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June 11, 2018.</w:t>
      </w:r>
    </w:p>
    <w:p>
      <w:pPr>
        <w:spacing w:after="0" w:line="4" w:lineRule="exact"/>
        <w:rPr>
          <w:sz w:val="24"/>
          <w:szCs w:val="24"/>
          <w:color w:val="auto"/>
        </w:rPr>
      </w:pPr>
    </w:p>
    <w:p>
      <w:pPr>
        <w:jc w:val="right"/>
        <w:ind w:right="20"/>
        <w:spacing w:after="0"/>
        <w:rPr>
          <w:sz w:val="20"/>
          <w:szCs w:val="20"/>
          <w:color w:val="auto"/>
        </w:rPr>
      </w:pPr>
      <w:r>
        <w:rPr>
          <w:rFonts w:ascii="Arial" w:cs="Arial" w:eastAsia="Arial" w:hAnsi="Arial"/>
          <w:sz w:val="14"/>
          <w:szCs w:val="14"/>
          <w:b w:val="1"/>
          <w:bCs w:val="1"/>
          <w:color w:val="auto"/>
        </w:rPr>
        <w:t>Registration No. 333-225213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30480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73660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8"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8"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AMENDMENT NO. 2</w:t>
      </w:r>
    </w:p>
    <w:p>
      <w:pPr>
        <w:spacing w:after="0" w:line="36"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TO</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FORM S-1</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i w:val="1"/>
          <w:iCs w:val="1"/>
          <w:color w:val="auto"/>
        </w:rPr>
        <w:t>Under</w:t>
      </w:r>
    </w:p>
    <w:p>
      <w:pPr>
        <w:jc w:val="center"/>
        <w:ind w:right="-17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111760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5" w:lineRule="exact"/>
        <w:rPr>
          <w:sz w:val="24"/>
          <w:szCs w:val="24"/>
          <w:color w:val="auto"/>
        </w:rPr>
      </w:pPr>
    </w:p>
    <w:p>
      <w:pPr>
        <w:jc w:val="center"/>
        <w:ind w:right="-179"/>
        <w:spacing w:after="0"/>
        <w:rPr>
          <w:sz w:val="20"/>
          <w:szCs w:val="20"/>
          <w:color w:val="auto"/>
        </w:rPr>
      </w:pPr>
      <w:r>
        <w:rPr>
          <w:rFonts w:ascii="Arial" w:cs="Arial" w:eastAsia="Arial" w:hAnsi="Arial"/>
          <w:sz w:val="36"/>
          <w:szCs w:val="36"/>
          <w:b w:val="1"/>
          <w:bCs w:val="1"/>
          <w:color w:val="auto"/>
        </w:rPr>
        <w:t>AVROBIO, INC.</w:t>
      </w:r>
    </w:p>
    <w:p>
      <w:pPr>
        <w:spacing w:after="0" w:line="3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41"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2700" w:type="dxa"/>
            <w:vAlign w:val="bottom"/>
          </w:tcPr>
          <w:p>
            <w:pPr>
              <w:jc w:val="center"/>
              <w:ind w:right="1014"/>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6"/>
              </w:rPr>
              <w:t>2836</w:t>
            </w:r>
          </w:p>
        </w:tc>
        <w:tc>
          <w:tcPr>
            <w:tcW w:w="2340" w:type="dxa"/>
            <w:vAlign w:val="bottom"/>
          </w:tcPr>
          <w:p>
            <w:pPr>
              <w:jc w:val="center"/>
              <w:ind w:left="1034"/>
              <w:spacing w:after="0"/>
              <w:rPr>
                <w:sz w:val="20"/>
                <w:szCs w:val="20"/>
                <w:color w:val="auto"/>
              </w:rPr>
            </w:pPr>
            <w:r>
              <w:rPr>
                <w:rFonts w:ascii="Arial" w:cs="Arial" w:eastAsia="Arial" w:hAnsi="Arial"/>
                <w:sz w:val="14"/>
                <w:szCs w:val="14"/>
                <w:b w:val="1"/>
                <w:bCs w:val="1"/>
                <w:color w:val="auto"/>
                <w:w w:val="90"/>
              </w:rPr>
              <w:t>81-0710585</w:t>
            </w:r>
          </w:p>
        </w:tc>
      </w:tr>
      <w:tr>
        <w:trPr>
          <w:trHeight w:val="135"/>
        </w:trPr>
        <w:tc>
          <w:tcPr>
            <w:tcW w:w="2700" w:type="dxa"/>
            <w:vAlign w:val="bottom"/>
          </w:tcPr>
          <w:p>
            <w:pPr>
              <w:jc w:val="center"/>
              <w:ind w:right="101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(Primary Standard Industrial</w:t>
            </w:r>
          </w:p>
        </w:tc>
        <w:tc>
          <w:tcPr>
            <w:tcW w:w="2340" w:type="dxa"/>
            <w:vAlign w:val="bottom"/>
          </w:tcPr>
          <w:p>
            <w:pPr>
              <w:jc w:val="center"/>
              <w:ind w:left="103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00" w:type="dxa"/>
            <w:vAlign w:val="bottom"/>
          </w:tcPr>
          <w:p>
            <w:pPr>
              <w:jc w:val="center"/>
              <w:ind w:right="994"/>
              <w:spacing w:after="0"/>
              <w:rPr>
                <w:sz w:val="20"/>
                <w:szCs w:val="20"/>
                <w:color w:val="auto"/>
              </w:rPr>
            </w:pPr>
            <w:r>
              <w:rPr>
                <w:rFonts w:ascii="Arial" w:cs="Arial" w:eastAsia="Arial" w:hAnsi="Arial"/>
                <w:sz w:val="13"/>
                <w:szCs w:val="13"/>
                <w:b w:val="1"/>
                <w:bCs w:val="1"/>
                <w:color w:val="auto"/>
                <w:w w:val="88"/>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40" w:type="dxa"/>
            <w:vAlign w:val="bottom"/>
          </w:tcPr>
          <w:p>
            <w:pPr>
              <w:jc w:val="center"/>
              <w:ind w:left="1034"/>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121920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22"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One Kendall Square</w:t>
      </w:r>
    </w:p>
    <w:p>
      <w:pPr>
        <w:jc w:val="center"/>
        <w:ind w:right="-179"/>
        <w:spacing w:after="0" w:line="233" w:lineRule="auto"/>
        <w:rPr>
          <w:sz w:val="20"/>
          <w:szCs w:val="20"/>
          <w:color w:val="auto"/>
        </w:rPr>
      </w:pPr>
      <w:r>
        <w:rPr>
          <w:rFonts w:ascii="Arial" w:cs="Arial" w:eastAsia="Arial" w:hAnsi="Arial"/>
          <w:sz w:val="15"/>
          <w:szCs w:val="15"/>
          <w:b w:val="1"/>
          <w:bCs w:val="1"/>
          <w:color w:val="auto"/>
        </w:rPr>
        <w:t>Building 300, Suite 201</w:t>
      </w:r>
    </w:p>
    <w:p>
      <w:pPr>
        <w:jc w:val="center"/>
        <w:ind w:right="-179"/>
        <w:spacing w:after="0" w:line="225" w:lineRule="auto"/>
        <w:rPr>
          <w:sz w:val="20"/>
          <w:szCs w:val="20"/>
          <w:color w:val="auto"/>
        </w:rPr>
      </w:pPr>
      <w:r>
        <w:rPr>
          <w:rFonts w:ascii="Arial" w:cs="Arial" w:eastAsia="Arial" w:hAnsi="Arial"/>
          <w:sz w:val="15"/>
          <w:szCs w:val="15"/>
          <w:b w:val="1"/>
          <w:bCs w:val="1"/>
          <w:color w:val="auto"/>
        </w:rPr>
        <w:t>Cambridge, MA 02139</w:t>
      </w:r>
    </w:p>
    <w:p>
      <w:pPr>
        <w:jc w:val="center"/>
        <w:ind w:right="-179"/>
        <w:spacing w:after="0" w:line="222" w:lineRule="auto"/>
        <w:rPr>
          <w:sz w:val="20"/>
          <w:szCs w:val="20"/>
          <w:color w:val="auto"/>
        </w:rPr>
      </w:pPr>
      <w:r>
        <w:rPr>
          <w:rFonts w:ascii="Arial" w:cs="Arial" w:eastAsia="Arial" w:hAnsi="Arial"/>
          <w:sz w:val="15"/>
          <w:szCs w:val="15"/>
          <w:b w:val="1"/>
          <w:bCs w:val="1"/>
          <w:color w:val="auto"/>
        </w:rPr>
        <w:t>(617) 914-8420</w:t>
      </w:r>
    </w:p>
    <w:p>
      <w:pPr>
        <w:jc w:val="center"/>
        <w:ind w:right="-17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104775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96" w:lineRule="exact"/>
        <w:rPr>
          <w:sz w:val="24"/>
          <w:szCs w:val="24"/>
          <w:color w:val="auto"/>
        </w:rPr>
      </w:pPr>
    </w:p>
    <w:p>
      <w:pPr>
        <w:jc w:val="center"/>
        <w:ind w:right="-179"/>
        <w:spacing w:after="0"/>
        <w:rPr>
          <w:sz w:val="20"/>
          <w:szCs w:val="20"/>
          <w:color w:val="auto"/>
        </w:rPr>
      </w:pPr>
      <w:r>
        <w:rPr>
          <w:rFonts w:ascii="Arial" w:cs="Arial" w:eastAsia="Arial" w:hAnsi="Arial"/>
          <w:sz w:val="15"/>
          <w:szCs w:val="15"/>
          <w:b w:val="1"/>
          <w:bCs w:val="1"/>
          <w:color w:val="auto"/>
        </w:rPr>
        <w:t>Geoff MacKay</w:t>
      </w:r>
    </w:p>
    <w:p>
      <w:pPr>
        <w:jc w:val="center"/>
        <w:ind w:right="-179"/>
        <w:spacing w:after="0" w:line="233" w:lineRule="auto"/>
        <w:rPr>
          <w:sz w:val="20"/>
          <w:szCs w:val="20"/>
          <w:color w:val="auto"/>
        </w:rPr>
      </w:pPr>
      <w:r>
        <w:rPr>
          <w:rFonts w:ascii="Arial" w:cs="Arial" w:eastAsia="Arial" w:hAnsi="Arial"/>
          <w:sz w:val="15"/>
          <w:szCs w:val="15"/>
          <w:b w:val="1"/>
          <w:bCs w:val="1"/>
          <w:color w:val="auto"/>
        </w:rPr>
        <w:t>President and Chief Executive Officer</w:t>
      </w:r>
    </w:p>
    <w:p>
      <w:pPr>
        <w:jc w:val="center"/>
        <w:ind w:right="-179"/>
        <w:spacing w:after="0" w:line="225" w:lineRule="auto"/>
        <w:rPr>
          <w:sz w:val="20"/>
          <w:szCs w:val="20"/>
          <w:color w:val="auto"/>
        </w:rPr>
      </w:pPr>
      <w:r>
        <w:rPr>
          <w:rFonts w:ascii="Arial" w:cs="Arial" w:eastAsia="Arial" w:hAnsi="Arial"/>
          <w:sz w:val="15"/>
          <w:szCs w:val="15"/>
          <w:b w:val="1"/>
          <w:bCs w:val="1"/>
          <w:color w:val="auto"/>
        </w:rPr>
        <w:t>One Kendall Square</w:t>
      </w:r>
    </w:p>
    <w:p>
      <w:pPr>
        <w:jc w:val="center"/>
        <w:ind w:right="-179"/>
        <w:spacing w:after="0" w:line="226" w:lineRule="auto"/>
        <w:rPr>
          <w:sz w:val="20"/>
          <w:szCs w:val="20"/>
          <w:color w:val="auto"/>
        </w:rPr>
      </w:pPr>
      <w:r>
        <w:rPr>
          <w:rFonts w:ascii="Arial" w:cs="Arial" w:eastAsia="Arial" w:hAnsi="Arial"/>
          <w:sz w:val="15"/>
          <w:szCs w:val="15"/>
          <w:b w:val="1"/>
          <w:bCs w:val="1"/>
          <w:color w:val="auto"/>
        </w:rPr>
        <w:t>Building 300, Suite 201</w:t>
      </w:r>
    </w:p>
    <w:p>
      <w:pPr>
        <w:jc w:val="center"/>
        <w:ind w:right="-179"/>
        <w:spacing w:after="0" w:line="225" w:lineRule="auto"/>
        <w:rPr>
          <w:sz w:val="20"/>
          <w:szCs w:val="20"/>
          <w:color w:val="auto"/>
        </w:rPr>
      </w:pPr>
      <w:r>
        <w:rPr>
          <w:rFonts w:ascii="Arial" w:cs="Arial" w:eastAsia="Arial" w:hAnsi="Arial"/>
          <w:sz w:val="15"/>
          <w:szCs w:val="15"/>
          <w:b w:val="1"/>
          <w:bCs w:val="1"/>
          <w:color w:val="auto"/>
        </w:rPr>
        <w:t>Cambridge, MA 02139</w:t>
      </w:r>
    </w:p>
    <w:p>
      <w:pPr>
        <w:jc w:val="center"/>
        <w:ind w:right="-179"/>
        <w:spacing w:after="0" w:line="222" w:lineRule="auto"/>
        <w:rPr>
          <w:sz w:val="20"/>
          <w:szCs w:val="20"/>
          <w:color w:val="auto"/>
        </w:rPr>
      </w:pPr>
      <w:r>
        <w:rPr>
          <w:rFonts w:ascii="Arial" w:cs="Arial" w:eastAsia="Arial" w:hAnsi="Arial"/>
          <w:sz w:val="15"/>
          <w:szCs w:val="15"/>
          <w:b w:val="1"/>
          <w:bCs w:val="1"/>
          <w:color w:val="auto"/>
        </w:rPr>
        <w:t>(617) 914-8420</w:t>
      </w:r>
    </w:p>
    <w:p>
      <w:pPr>
        <w:jc w:val="center"/>
        <w:ind w:right="-17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104775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tbl>
      <w:tblPr>
        <w:tblLayout w:type="fixed"/>
        <w:tblInd w:w="1120" w:type="dxa"/>
        <w:tblCellMar>
          <w:top w:w="0" w:type="dxa"/>
          <w:left w:w="0" w:type="dxa"/>
          <w:bottom w:w="0" w:type="dxa"/>
          <w:right w:w="0" w:type="dxa"/>
        </w:tblCellMar>
      </w:tblPr>
      <w:tr>
        <w:trPr>
          <w:trHeight w:val="194"/>
        </w:trPr>
        <w:tc>
          <w:tcPr>
            <w:tcW w:w="2760" w:type="dxa"/>
            <w:vAlign w:val="bottom"/>
          </w:tcPr>
          <w:p>
            <w:pPr>
              <w:spacing w:after="0"/>
              <w:rPr>
                <w:sz w:val="16"/>
                <w:szCs w:val="16"/>
                <w:color w:val="auto"/>
              </w:rPr>
            </w:pPr>
          </w:p>
        </w:tc>
        <w:tc>
          <w:tcPr>
            <w:tcW w:w="3840" w:type="dxa"/>
            <w:vAlign w:val="bottom"/>
          </w:tcPr>
          <w:p>
            <w:pPr>
              <w:ind w:left="1520"/>
              <w:spacing w:after="0"/>
              <w:rPr>
                <w:sz w:val="20"/>
                <w:szCs w:val="20"/>
                <w:color w:val="auto"/>
              </w:rPr>
            </w:pPr>
            <w:r>
              <w:rPr>
                <w:rFonts w:ascii="Arial" w:cs="Arial" w:eastAsia="Arial" w:hAnsi="Arial"/>
                <w:sz w:val="15"/>
                <w:szCs w:val="15"/>
                <w:b w:val="1"/>
                <w:bCs w:val="1"/>
                <w:i w:val="1"/>
                <w:iCs w:val="1"/>
                <w:color w:val="auto"/>
              </w:rPr>
              <w:t>Copies to:</w:t>
            </w:r>
          </w:p>
        </w:tc>
        <w:tc>
          <w:tcPr>
            <w:tcW w:w="2680" w:type="dxa"/>
            <w:vAlign w:val="bottom"/>
          </w:tcPr>
          <w:p>
            <w:pPr>
              <w:spacing w:after="0"/>
              <w:rPr>
                <w:sz w:val="16"/>
                <w:szCs w:val="16"/>
                <w:color w:val="auto"/>
              </w:rPr>
            </w:pPr>
          </w:p>
        </w:tc>
      </w:tr>
      <w:tr>
        <w:trPr>
          <w:trHeight w:val="193"/>
        </w:trPr>
        <w:tc>
          <w:tcPr>
            <w:tcW w:w="2760" w:type="dxa"/>
            <w:vAlign w:val="bottom"/>
          </w:tcPr>
          <w:p>
            <w:pPr>
              <w:jc w:val="center"/>
              <w:ind w:right="783"/>
              <w:spacing w:after="0"/>
              <w:rPr>
                <w:sz w:val="20"/>
                <w:szCs w:val="20"/>
                <w:color w:val="auto"/>
              </w:rPr>
            </w:pPr>
            <w:r>
              <w:rPr>
                <w:rFonts w:ascii="Arial" w:cs="Arial" w:eastAsia="Arial" w:hAnsi="Arial"/>
                <w:sz w:val="15"/>
                <w:szCs w:val="15"/>
                <w:b w:val="1"/>
                <w:bCs w:val="1"/>
                <w:color w:val="auto"/>
                <w:w w:val="97"/>
              </w:rPr>
              <w:t>Arthur McGivern, Esq.</w:t>
            </w: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94"/>
              </w:rPr>
              <w:t>Katina Dorton</w:t>
            </w:r>
          </w:p>
        </w:tc>
        <w:tc>
          <w:tcPr>
            <w:tcW w:w="2680" w:type="dxa"/>
            <w:vAlign w:val="bottom"/>
          </w:tcPr>
          <w:p>
            <w:pPr>
              <w:jc w:val="center"/>
              <w:ind w:left="743"/>
              <w:spacing w:after="0"/>
              <w:rPr>
                <w:sz w:val="20"/>
                <w:szCs w:val="20"/>
                <w:color w:val="auto"/>
              </w:rPr>
            </w:pPr>
            <w:r>
              <w:rPr>
                <w:rFonts w:ascii="Arial" w:cs="Arial" w:eastAsia="Arial" w:hAnsi="Arial"/>
                <w:sz w:val="15"/>
                <w:szCs w:val="15"/>
                <w:b w:val="1"/>
                <w:bCs w:val="1"/>
                <w:color w:val="auto"/>
                <w:w w:val="95"/>
              </w:rPr>
              <w:t>Patrick O’Brien, Esq.</w:t>
            </w:r>
          </w:p>
        </w:tc>
      </w:tr>
      <w:tr>
        <w:trPr>
          <w:trHeight w:val="162"/>
        </w:trPr>
        <w:tc>
          <w:tcPr>
            <w:tcW w:w="2760" w:type="dxa"/>
            <w:vAlign w:val="bottom"/>
          </w:tcPr>
          <w:p>
            <w:pPr>
              <w:jc w:val="center"/>
              <w:ind w:right="763"/>
              <w:spacing w:after="0" w:line="162" w:lineRule="exact"/>
              <w:rPr>
                <w:sz w:val="20"/>
                <w:szCs w:val="20"/>
                <w:color w:val="auto"/>
              </w:rPr>
            </w:pPr>
            <w:r>
              <w:rPr>
                <w:rFonts w:ascii="Arial" w:cs="Arial" w:eastAsia="Arial" w:hAnsi="Arial"/>
                <w:sz w:val="15"/>
                <w:szCs w:val="15"/>
                <w:b w:val="1"/>
                <w:bCs w:val="1"/>
                <w:color w:val="auto"/>
                <w:w w:val="90"/>
              </w:rPr>
              <w:t>James Xu, Esq.</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9"/>
              </w:rPr>
              <w:t>AVROBIO, Inc.</w:t>
            </w:r>
          </w:p>
        </w:tc>
        <w:tc>
          <w:tcPr>
            <w:tcW w:w="2680" w:type="dxa"/>
            <w:vAlign w:val="bottom"/>
          </w:tcPr>
          <w:p>
            <w:pPr>
              <w:jc w:val="center"/>
              <w:ind w:left="723"/>
              <w:spacing w:after="0" w:line="162" w:lineRule="exact"/>
              <w:rPr>
                <w:sz w:val="20"/>
                <w:szCs w:val="20"/>
                <w:color w:val="auto"/>
              </w:rPr>
            </w:pPr>
            <w:r>
              <w:rPr>
                <w:rFonts w:ascii="Arial" w:cs="Arial" w:eastAsia="Arial" w:hAnsi="Arial"/>
                <w:sz w:val="15"/>
                <w:szCs w:val="15"/>
                <w:b w:val="1"/>
                <w:bCs w:val="1"/>
                <w:color w:val="auto"/>
                <w:w w:val="97"/>
              </w:rPr>
              <w:t>Ropes &amp; Gray LLP</w:t>
            </w:r>
          </w:p>
        </w:tc>
      </w:tr>
      <w:tr>
        <w:trPr>
          <w:trHeight w:val="162"/>
        </w:trPr>
        <w:tc>
          <w:tcPr>
            <w:tcW w:w="2760" w:type="dxa"/>
            <w:vAlign w:val="bottom"/>
          </w:tcPr>
          <w:p>
            <w:pPr>
              <w:jc w:val="center"/>
              <w:ind w:right="783"/>
              <w:spacing w:after="0" w:line="162" w:lineRule="exact"/>
              <w:rPr>
                <w:sz w:val="20"/>
                <w:szCs w:val="20"/>
                <w:color w:val="auto"/>
              </w:rPr>
            </w:pPr>
            <w:r>
              <w:rPr>
                <w:rFonts w:ascii="Arial" w:cs="Arial" w:eastAsia="Arial" w:hAnsi="Arial"/>
                <w:sz w:val="15"/>
                <w:szCs w:val="15"/>
                <w:b w:val="1"/>
                <w:bCs w:val="1"/>
                <w:color w:val="auto"/>
                <w:w w:val="95"/>
              </w:rPr>
              <w:t>Goodwin Procter LLP</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3"/>
              </w:rPr>
              <w:t>One Kendall Square</w:t>
            </w:r>
          </w:p>
        </w:tc>
        <w:tc>
          <w:tcPr>
            <w:tcW w:w="2680" w:type="dxa"/>
            <w:vAlign w:val="bottom"/>
          </w:tcPr>
          <w:p>
            <w:pPr>
              <w:jc w:val="center"/>
              <w:ind w:left="723"/>
              <w:spacing w:after="0" w:line="162" w:lineRule="exact"/>
              <w:rPr>
                <w:sz w:val="20"/>
                <w:szCs w:val="20"/>
                <w:color w:val="auto"/>
              </w:rPr>
            </w:pPr>
            <w:r>
              <w:rPr>
                <w:rFonts w:ascii="Arial" w:cs="Arial" w:eastAsia="Arial" w:hAnsi="Arial"/>
                <w:sz w:val="15"/>
                <w:szCs w:val="15"/>
                <w:b w:val="1"/>
                <w:bCs w:val="1"/>
                <w:color w:val="auto"/>
                <w:w w:val="95"/>
              </w:rPr>
              <w:t>Prudential Tower</w:t>
            </w:r>
          </w:p>
        </w:tc>
      </w:tr>
      <w:tr>
        <w:trPr>
          <w:trHeight w:val="162"/>
        </w:trPr>
        <w:tc>
          <w:tcPr>
            <w:tcW w:w="2760" w:type="dxa"/>
            <w:vAlign w:val="bottom"/>
          </w:tcPr>
          <w:p>
            <w:pPr>
              <w:jc w:val="center"/>
              <w:ind w:right="763"/>
              <w:spacing w:after="0" w:line="162" w:lineRule="exact"/>
              <w:rPr>
                <w:sz w:val="20"/>
                <w:szCs w:val="20"/>
                <w:color w:val="auto"/>
              </w:rPr>
            </w:pPr>
            <w:r>
              <w:rPr>
                <w:rFonts w:ascii="Arial" w:cs="Arial" w:eastAsia="Arial" w:hAnsi="Arial"/>
                <w:sz w:val="15"/>
                <w:szCs w:val="15"/>
                <w:b w:val="1"/>
                <w:bCs w:val="1"/>
                <w:color w:val="auto"/>
                <w:w w:val="92"/>
              </w:rPr>
              <w:t>100 Northern Avenue</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1"/>
              </w:rPr>
              <w:t>Building 300, Suite 201</w:t>
            </w:r>
          </w:p>
        </w:tc>
        <w:tc>
          <w:tcPr>
            <w:tcW w:w="2680" w:type="dxa"/>
            <w:vAlign w:val="bottom"/>
          </w:tcPr>
          <w:p>
            <w:pPr>
              <w:jc w:val="center"/>
              <w:ind w:left="743"/>
              <w:spacing w:after="0" w:line="162" w:lineRule="exact"/>
              <w:rPr>
                <w:sz w:val="20"/>
                <w:szCs w:val="20"/>
                <w:color w:val="auto"/>
              </w:rPr>
            </w:pPr>
            <w:r>
              <w:rPr>
                <w:rFonts w:ascii="Arial" w:cs="Arial" w:eastAsia="Arial" w:hAnsi="Arial"/>
                <w:sz w:val="15"/>
                <w:szCs w:val="15"/>
                <w:b w:val="1"/>
                <w:bCs w:val="1"/>
                <w:color w:val="auto"/>
                <w:w w:val="89"/>
              </w:rPr>
              <w:t>800 Boylston Street</w:t>
            </w:r>
          </w:p>
        </w:tc>
      </w:tr>
      <w:tr>
        <w:trPr>
          <w:trHeight w:val="162"/>
        </w:trPr>
        <w:tc>
          <w:tcPr>
            <w:tcW w:w="2760" w:type="dxa"/>
            <w:vAlign w:val="bottom"/>
          </w:tcPr>
          <w:p>
            <w:pPr>
              <w:jc w:val="center"/>
              <w:ind w:right="783"/>
              <w:spacing w:after="0" w:line="162" w:lineRule="exact"/>
              <w:rPr>
                <w:sz w:val="20"/>
                <w:szCs w:val="20"/>
                <w:color w:val="auto"/>
              </w:rPr>
            </w:pPr>
            <w:r>
              <w:rPr>
                <w:rFonts w:ascii="Arial" w:cs="Arial" w:eastAsia="Arial" w:hAnsi="Arial"/>
                <w:sz w:val="15"/>
                <w:szCs w:val="15"/>
                <w:b w:val="1"/>
                <w:bCs w:val="1"/>
                <w:color w:val="auto"/>
                <w:w w:val="89"/>
              </w:rPr>
              <w:t>Boston, Massachusetts 02210</w:t>
            </w:r>
          </w:p>
        </w:tc>
        <w:tc>
          <w:tcPr>
            <w:tcW w:w="3840" w:type="dxa"/>
            <w:vAlign w:val="bottom"/>
          </w:tcPr>
          <w:p>
            <w:pPr>
              <w:jc w:val="center"/>
              <w:spacing w:after="0" w:line="162" w:lineRule="exact"/>
              <w:rPr>
                <w:sz w:val="20"/>
                <w:szCs w:val="20"/>
                <w:color w:val="auto"/>
              </w:rPr>
            </w:pPr>
            <w:r>
              <w:rPr>
                <w:rFonts w:ascii="Arial" w:cs="Arial" w:eastAsia="Arial" w:hAnsi="Arial"/>
                <w:sz w:val="15"/>
                <w:szCs w:val="15"/>
                <w:b w:val="1"/>
                <w:bCs w:val="1"/>
                <w:color w:val="auto"/>
                <w:w w:val="90"/>
              </w:rPr>
              <w:t>Cambridge, Massachusetts 02139</w:t>
            </w:r>
          </w:p>
        </w:tc>
        <w:tc>
          <w:tcPr>
            <w:tcW w:w="2680" w:type="dxa"/>
            <w:vAlign w:val="bottom"/>
          </w:tcPr>
          <w:p>
            <w:pPr>
              <w:jc w:val="center"/>
              <w:ind w:left="723"/>
              <w:spacing w:after="0" w:line="162" w:lineRule="exact"/>
              <w:rPr>
                <w:sz w:val="20"/>
                <w:szCs w:val="20"/>
                <w:color w:val="auto"/>
              </w:rPr>
            </w:pPr>
            <w:r>
              <w:rPr>
                <w:rFonts w:ascii="Arial" w:cs="Arial" w:eastAsia="Arial" w:hAnsi="Arial"/>
                <w:sz w:val="15"/>
                <w:szCs w:val="15"/>
                <w:b w:val="1"/>
                <w:bCs w:val="1"/>
                <w:color w:val="auto"/>
                <w:w w:val="88"/>
              </w:rPr>
              <w:t>Boston, Massachusetts 02199</w:t>
            </w:r>
          </w:p>
        </w:tc>
      </w:tr>
      <w:tr>
        <w:trPr>
          <w:trHeight w:val="198"/>
        </w:trPr>
        <w:tc>
          <w:tcPr>
            <w:tcW w:w="2760" w:type="dxa"/>
            <w:vAlign w:val="bottom"/>
          </w:tcPr>
          <w:p>
            <w:pPr>
              <w:jc w:val="center"/>
              <w:ind w:right="763"/>
              <w:spacing w:after="0"/>
              <w:rPr>
                <w:sz w:val="20"/>
                <w:szCs w:val="20"/>
                <w:color w:val="auto"/>
              </w:rPr>
            </w:pPr>
            <w:r>
              <w:rPr>
                <w:rFonts w:ascii="Arial" w:cs="Arial" w:eastAsia="Arial" w:hAnsi="Arial"/>
                <w:sz w:val="15"/>
                <w:szCs w:val="15"/>
                <w:b w:val="1"/>
                <w:bCs w:val="1"/>
                <w:color w:val="auto"/>
                <w:w w:val="93"/>
              </w:rPr>
              <w:t>(617) 570-1000</w:t>
            </w:r>
          </w:p>
        </w:tc>
        <w:tc>
          <w:tcPr>
            <w:tcW w:w="3840" w:type="dxa"/>
            <w:vAlign w:val="bottom"/>
          </w:tcPr>
          <w:p>
            <w:pPr>
              <w:jc w:val="center"/>
              <w:spacing w:after="0"/>
              <w:rPr>
                <w:sz w:val="20"/>
                <w:szCs w:val="20"/>
                <w:color w:val="auto"/>
              </w:rPr>
            </w:pPr>
            <w:r>
              <w:rPr>
                <w:rFonts w:ascii="Arial" w:cs="Arial" w:eastAsia="Arial" w:hAnsi="Arial"/>
                <w:sz w:val="15"/>
                <w:szCs w:val="15"/>
                <w:b w:val="1"/>
                <w:bCs w:val="1"/>
                <w:color w:val="auto"/>
                <w:w w:val="91"/>
              </w:rPr>
              <w:t>(617) 914-8420</w:t>
            </w:r>
          </w:p>
        </w:tc>
        <w:tc>
          <w:tcPr>
            <w:tcW w:w="2680" w:type="dxa"/>
            <w:vAlign w:val="bottom"/>
          </w:tcPr>
          <w:p>
            <w:pPr>
              <w:jc w:val="center"/>
              <w:ind w:left="723"/>
              <w:spacing w:after="0"/>
              <w:rPr>
                <w:sz w:val="20"/>
                <w:szCs w:val="20"/>
                <w:color w:val="auto"/>
              </w:rPr>
            </w:pPr>
            <w:r>
              <w:rPr>
                <w:rFonts w:ascii="Arial" w:cs="Arial" w:eastAsia="Arial" w:hAnsi="Arial"/>
                <w:sz w:val="15"/>
                <w:szCs w:val="15"/>
                <w:b w:val="1"/>
                <w:bCs w:val="1"/>
                <w:color w:val="auto"/>
                <w:w w:val="93"/>
              </w:rPr>
              <w:t>(617) 951-7000</w:t>
            </w:r>
          </w:p>
        </w:tc>
      </w:tr>
    </w:tbl>
    <w:p>
      <w:pPr>
        <w:spacing w:after="0" w:line="26" w:lineRule="exact"/>
        <w:rPr>
          <w:sz w:val="24"/>
          <w:szCs w:val="24"/>
          <w:color w:val="auto"/>
        </w:rPr>
      </w:pPr>
    </w:p>
    <w:p>
      <w:pPr>
        <w:ind w:left="200"/>
        <w:spacing w:after="0"/>
        <w:rPr>
          <w:sz w:val="20"/>
          <w:szCs w:val="20"/>
          <w:color w:val="auto"/>
        </w:rPr>
      </w:pPr>
      <w:r>
        <w:rPr>
          <w:rFonts w:ascii="Arial" w:cs="Arial" w:eastAsia="Arial" w:hAnsi="Arial"/>
          <w:sz w:val="14"/>
          <w:szCs w:val="14"/>
          <w:b w:val="1"/>
          <w:bCs w:val="1"/>
          <w:color w:val="auto"/>
        </w:rPr>
        <w:t>Approximate date of commencement of proposed sale to the public: As soon as practicable after the effective date of this registration statement</w:t>
      </w:r>
      <w:r>
        <w:rPr>
          <w:rFonts w:ascii="Arial" w:cs="Arial" w:eastAsia="Arial" w:hAnsi="Arial"/>
          <w:sz w:val="14"/>
          <w:szCs w:val="14"/>
          <w:color w:val="auto"/>
        </w:rPr>
        <w:t>.</w:t>
      </w:r>
    </w:p>
    <w:p>
      <w:pPr>
        <w:spacing w:after="0" w:line="46" w:lineRule="exact"/>
        <w:rPr>
          <w:sz w:val="24"/>
          <w:szCs w:val="24"/>
          <w:color w:val="auto"/>
        </w:rPr>
      </w:pPr>
    </w:p>
    <w:p>
      <w:pPr>
        <w:ind w:left="200" w:right="2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6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38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9" w:lineRule="exact"/>
        <w:rPr>
          <w:sz w:val="24"/>
          <w:szCs w:val="24"/>
          <w:color w:val="auto"/>
        </w:rPr>
      </w:pPr>
    </w:p>
    <w:p>
      <w:pPr>
        <w:ind w:left="200" w:right="2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240" w:top="230" w:right="419" w:bottom="1440" w:gutter="0" w:footer="0" w:header="0"/>
        </w:sectPr>
      </w:pPr>
    </w:p>
    <w:p>
      <w:pPr>
        <w:spacing w:after="0" w:line="11" w:lineRule="exact"/>
        <w:rPr>
          <w:sz w:val="24"/>
          <w:szCs w:val="24"/>
          <w:color w:val="auto"/>
        </w:rPr>
      </w:pPr>
    </w:p>
    <w:tbl>
      <w:tblPr>
        <w:tblLayout w:type="fixed"/>
        <w:tblInd w:w="200" w:type="dxa"/>
        <w:tblCellMar>
          <w:top w:w="0" w:type="dxa"/>
          <w:left w:w="0" w:type="dxa"/>
          <w:bottom w:w="0" w:type="dxa"/>
          <w:right w:w="0" w:type="dxa"/>
        </w:tblCellMar>
      </w:tblPr>
      <w:tr>
        <w:trPr>
          <w:trHeight w:val="181"/>
        </w:trPr>
        <w:tc>
          <w:tcPr>
            <w:tcW w:w="15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2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3860" w:type="dxa"/>
            <w:vAlign w:val="bottom"/>
          </w:tcPr>
          <w:p>
            <w:pPr>
              <w:ind w:left="2200"/>
              <w:spacing w:after="0"/>
              <w:rPr>
                <w:sz w:val="20"/>
                <w:szCs w:val="20"/>
                <w:color w:val="auto"/>
              </w:rPr>
            </w:pPr>
            <w:r>
              <w:rPr>
                <w:rFonts w:ascii="Arial" w:cs="Arial" w:eastAsia="Arial" w:hAnsi="Arial"/>
                <w:sz w:val="14"/>
                <w:szCs w:val="14"/>
                <w:color w:val="auto"/>
              </w:rPr>
              <w:t>Accelerated Filer</w:t>
            </w:r>
          </w:p>
        </w:tc>
      </w:tr>
      <w:tr>
        <w:trPr>
          <w:trHeight w:val="211"/>
        </w:trPr>
        <w:tc>
          <w:tcPr>
            <w:tcW w:w="1500" w:type="dxa"/>
            <w:vAlign w:val="bottom"/>
          </w:tcPr>
          <w:p>
            <w:pPr>
              <w:spacing w:after="0"/>
              <w:rPr>
                <w:sz w:val="20"/>
                <w:szCs w:val="20"/>
                <w:color w:val="auto"/>
              </w:rPr>
            </w:pPr>
            <w:r>
              <w:rPr>
                <w:rFonts w:ascii="Arial" w:cs="Arial" w:eastAsia="Arial" w:hAnsi="Arial"/>
                <w:sz w:val="14"/>
                <w:szCs w:val="14"/>
                <w:color w:val="auto"/>
              </w:rPr>
              <w:t>Non-Accelerated Filer</w:t>
            </w:r>
          </w:p>
        </w:tc>
        <w:tc>
          <w:tcPr>
            <w:tcW w:w="5220" w:type="dxa"/>
            <w:vAlign w:val="bottom"/>
          </w:tcPr>
          <w:p>
            <w:pPr>
              <w:ind w:left="16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860" w:type="dxa"/>
            <w:vAlign w:val="bottom"/>
          </w:tcPr>
          <w:p>
            <w:pPr>
              <w:ind w:left="2200"/>
              <w:spacing w:after="0"/>
              <w:rPr>
                <w:sz w:val="20"/>
                <w:szCs w:val="20"/>
                <w:color w:val="auto"/>
              </w:rPr>
            </w:pPr>
            <w:r>
              <w:rPr>
                <w:rFonts w:ascii="Arial" w:cs="Arial" w:eastAsia="Arial" w:hAnsi="Arial"/>
                <w:sz w:val="14"/>
                <w:szCs w:val="14"/>
                <w:color w:val="auto"/>
                <w:w w:val="93"/>
              </w:rPr>
              <w:t>Smaller Reporting Company</w:t>
            </w:r>
          </w:p>
        </w:tc>
      </w:tr>
      <w:tr>
        <w:trPr>
          <w:trHeight w:val="182"/>
        </w:trPr>
        <w:tc>
          <w:tcPr>
            <w:tcW w:w="150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3860" w:type="dxa"/>
            <w:vAlign w:val="bottom"/>
          </w:tcPr>
          <w:p>
            <w:pPr>
              <w:ind w:left="2200"/>
              <w:spacing w:after="0"/>
              <w:rPr>
                <w:sz w:val="20"/>
                <w:szCs w:val="20"/>
                <w:color w:val="auto"/>
              </w:rPr>
            </w:pPr>
            <w:r>
              <w:rPr>
                <w:rFonts w:ascii="Arial" w:cs="Arial" w:eastAsia="Arial" w:hAnsi="Arial"/>
                <w:sz w:val="14"/>
                <w:szCs w:val="14"/>
                <w:color w:val="auto"/>
                <w:w w:val="94"/>
              </w:rPr>
              <w:t>Emerging Growth Company</w:t>
            </w:r>
          </w:p>
        </w:tc>
      </w:tr>
    </w:tbl>
    <w:p>
      <w:pPr>
        <w:spacing w:after="0" w:line="20" w:lineRule="exact"/>
        <w:rPr>
          <w:sz w:val="24"/>
          <w:szCs w:val="24"/>
          <w:color w:val="auto"/>
        </w:rPr>
      </w:pPr>
    </w:p>
    <w:p>
      <w:pPr>
        <w:ind w:left="20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 w:lineRule="exact"/>
        <w:rPr>
          <w:sz w:val="24"/>
          <w:szCs w:val="24"/>
          <w:color w:val="auto"/>
        </w:rPr>
      </w:pPr>
    </w:p>
    <w:p>
      <w:pPr>
        <w:jc w:val="center"/>
        <w:ind w:left="560"/>
        <w:spacing w:after="0"/>
        <w:rPr>
          <w:sz w:val="20"/>
          <w:szCs w:val="20"/>
          <w:color w:val="auto"/>
        </w:rPr>
      </w:pPr>
      <w:r>
        <w:rPr>
          <w:rFonts w:ascii="Arial" w:cs="Arial" w:eastAsia="Arial" w:hAnsi="Arial"/>
          <w:sz w:val="14"/>
          <w:szCs w:val="14"/>
          <w:b w:val="1"/>
          <w:bCs w:val="1"/>
          <w:color w:val="auto"/>
        </w:rPr>
        <w:t>CALCULATION OF REGISTRATION FEE</w:t>
      </w:r>
    </w:p>
    <w:p>
      <w:pPr>
        <w:spacing w:after="0" w:line="20" w:lineRule="exact"/>
        <w:rPr>
          <w:sz w:val="24"/>
          <w:szCs w:val="24"/>
          <w:color w:val="auto"/>
        </w:rPr>
      </w:pPr>
      <w:r>
        <w:rPr>
          <w:sz w:val="24"/>
          <w:szCs w:val="24"/>
          <w:color w:val="auto"/>
        </w:rPr>
        <w:br w:type="column"/>
      </w:r>
    </w:p>
    <w:p>
      <w:pPr>
        <w:spacing w:after="0" w:line="132" w:lineRule="exact"/>
        <w:rPr>
          <w:sz w:val="20"/>
          <w:szCs w:val="20"/>
          <w:color w:val="auto"/>
        </w:rPr>
      </w:pPr>
      <w:r>
        <w:rPr>
          <w:rFonts w:ascii="MS PGothic" w:cs="MS PGothic" w:eastAsia="MS PGothic" w:hAnsi="MS PGothic"/>
          <w:sz w:val="14"/>
          <w:szCs w:val="14"/>
          <w:color w:val="auto"/>
        </w:rPr>
        <w:t>☐</w:t>
      </w:r>
    </w:p>
    <w:p>
      <w:pPr>
        <w:spacing w:after="0" w:line="7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75" w:lineRule="exact"/>
        <w:rPr>
          <w:sz w:val="24"/>
          <w:szCs w:val="24"/>
          <w:color w:val="auto"/>
        </w:rPr>
      </w:pPr>
    </w:p>
    <w:p>
      <w:pPr>
        <w:sectPr>
          <w:pgSz w:w="11900" w:h="16838" w:orient="portrait"/>
          <w:cols w:equalWidth="0" w:num="2">
            <w:col w:w="10880" w:space="200"/>
            <w:col w:w="160"/>
          </w:cols>
          <w:pgMar w:left="240" w:top="230" w:right="419" w:bottom="1440" w:gutter="0" w:footer="0" w:header="0"/>
          <w:type w:val="continuous"/>
        </w:sect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300" w:type="dxa"/>
            <w:vAlign w:val="bottom"/>
            <w:tcBorders>
              <w:top w:val="single" w:sz="8" w:color="auto"/>
              <w:bottom w:val="single" w:sz="8" w:color="auto"/>
            </w:tcBorders>
          </w:tcPr>
          <w:p>
            <w:pPr>
              <w:spacing w:after="0"/>
              <w:rPr>
                <w:sz w:val="3"/>
                <w:szCs w:val="3"/>
                <w:color w:val="auto"/>
              </w:rPr>
            </w:pPr>
          </w:p>
        </w:tc>
        <w:tc>
          <w:tcPr>
            <w:tcW w:w="120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300" w:type="dxa"/>
            <w:vAlign w:val="bottom"/>
            <w:tcBorders>
              <w:right w:val="single" w:sz="8" w:color="auto"/>
            </w:tcBorders>
          </w:tcPr>
          <w:p>
            <w:pPr>
              <w:spacing w:after="0"/>
              <w:rPr>
                <w:sz w:val="8"/>
                <w:szCs w:val="8"/>
                <w:color w:val="auto"/>
              </w:rPr>
            </w:pPr>
          </w:p>
        </w:tc>
        <w:tc>
          <w:tcPr>
            <w:tcW w:w="1200" w:type="dxa"/>
            <w:vAlign w:val="bottom"/>
            <w:tcBorders>
              <w:right w:val="single" w:sz="8" w:color="auto"/>
            </w:tcBorders>
          </w:tcPr>
          <w:p>
            <w:pPr>
              <w:spacing w:after="0"/>
              <w:rPr>
                <w:sz w:val="8"/>
                <w:szCs w:val="8"/>
                <w:color w:val="auto"/>
              </w:rPr>
            </w:pPr>
          </w:p>
        </w:tc>
        <w:tc>
          <w:tcPr>
            <w:tcW w:w="13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w:t>
            </w:r>
          </w:p>
        </w:tc>
        <w:tc>
          <w:tcPr>
            <w:tcW w:w="1540" w:type="dxa"/>
            <w:vAlign w:val="bottom"/>
            <w:tcBorders>
              <w:right w:val="single" w:sz="8" w:color="auto"/>
            </w:tcBorders>
          </w:tcPr>
          <w:p>
            <w:pPr>
              <w:jc w:val="center"/>
              <w:spacing w:after="0" w:line="97" w:lineRule="exact"/>
              <w:rPr>
                <w:sz w:val="20"/>
                <w:szCs w:val="20"/>
                <w:color w:val="auto"/>
              </w:rPr>
            </w:pPr>
            <w:r>
              <w:rPr>
                <w:rFonts w:ascii="Arial" w:cs="Arial" w:eastAsia="Arial" w:hAnsi="Arial"/>
                <w:sz w:val="11"/>
                <w:szCs w:val="11"/>
                <w:b w:val="1"/>
                <w:bCs w:val="1"/>
                <w:color w:val="auto"/>
              </w:rPr>
              <w:t>PROPOSED</w:t>
            </w: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7"/>
              </w:rPr>
              <w:t>TITLE OF EACH CLASS OF</w:t>
            </w:r>
          </w:p>
        </w:tc>
        <w:tc>
          <w:tcPr>
            <w:tcW w:w="12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AMOUNT</w:t>
            </w:r>
          </w:p>
        </w:tc>
        <w:tc>
          <w:tcPr>
            <w:tcW w:w="13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MAXIMUM</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rPr>
              <w:t>MAXIMUM</w:t>
            </w:r>
          </w:p>
        </w:tc>
        <w:tc>
          <w:tcPr>
            <w:tcW w:w="1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300" w:type="dxa"/>
            <w:vAlign w:val="bottom"/>
            <w:tcBorders>
              <w:right w:val="single" w:sz="8" w:color="auto"/>
            </w:tcBorders>
            <w:vMerge w:val="continue"/>
          </w:tcPr>
          <w:p>
            <w:pPr>
              <w:spacing w:after="0"/>
              <w:rPr>
                <w:sz w:val="10"/>
                <w:szCs w:val="10"/>
                <w:color w:val="auto"/>
              </w:rPr>
            </w:pPr>
          </w:p>
        </w:tc>
        <w:tc>
          <w:tcPr>
            <w:tcW w:w="120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5"/>
              </w:rPr>
              <w:t>TO BE</w:t>
            </w:r>
          </w:p>
        </w:tc>
        <w:tc>
          <w:tcPr>
            <w:tcW w:w="13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7"/>
              </w:rPr>
              <w:t>OFFERING PRICE</w:t>
            </w:r>
          </w:p>
        </w:tc>
        <w:tc>
          <w:tcPr>
            <w:tcW w:w="1540" w:type="dxa"/>
            <w:vAlign w:val="bottom"/>
            <w:tcBorders>
              <w:right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5"/>
              </w:rPr>
              <w:t>AGGREGATE</w:t>
            </w:r>
          </w:p>
        </w:tc>
        <w:tc>
          <w:tcPr>
            <w:tcW w:w="16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9"/>
              </w:rPr>
              <w:t>AMOUNT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SECURITIES TO BE REGISTERED</w:t>
            </w:r>
          </w:p>
        </w:tc>
        <w:tc>
          <w:tcPr>
            <w:tcW w:w="1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REGISTERED(1)</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OFFERING PRICE(2)</w:t>
            </w:r>
          </w:p>
        </w:tc>
        <w:tc>
          <w:tcPr>
            <w:tcW w:w="164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97"/>
              </w:rPr>
              <w:t>REGISTRATION FEE(3)</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530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par value $0.0001 per share</w:t>
            </w:r>
          </w:p>
        </w:tc>
        <w:tc>
          <w:tcPr>
            <w:tcW w:w="1200" w:type="dxa"/>
            <w:vAlign w:val="bottom"/>
            <w:tcBorders>
              <w:bottom w:val="single" w:sz="8" w:color="auto"/>
              <w:right w:val="single" w:sz="8" w:color="auto"/>
            </w:tcBorders>
          </w:tcPr>
          <w:p>
            <w:pPr>
              <w:jc w:val="right"/>
              <w:ind w:right="215"/>
              <w:spacing w:after="0" w:line="142" w:lineRule="exact"/>
              <w:rPr>
                <w:sz w:val="20"/>
                <w:szCs w:val="20"/>
                <w:color w:val="auto"/>
              </w:rPr>
            </w:pPr>
            <w:r>
              <w:rPr>
                <w:rFonts w:ascii="Arial" w:cs="Arial" w:eastAsia="Arial" w:hAnsi="Arial"/>
                <w:sz w:val="14"/>
                <w:szCs w:val="14"/>
                <w:color w:val="auto"/>
              </w:rPr>
              <w:t>5,073,800</w:t>
            </w:r>
          </w:p>
        </w:tc>
        <w:tc>
          <w:tcPr>
            <w:tcW w:w="13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$18.00</w:t>
            </w:r>
          </w:p>
        </w:tc>
        <w:tc>
          <w:tcPr>
            <w:tcW w:w="15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1"/>
              </w:rPr>
              <w:t>91,328,400</w:t>
            </w:r>
          </w:p>
        </w:tc>
        <w:tc>
          <w:tcPr>
            <w:tcW w:w="1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$11,371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4"/>
          <w:szCs w:val="24"/>
          <w:color w:val="auto"/>
        </w:rPr>
      </w:pPr>
    </w:p>
    <w:p>
      <w:pPr>
        <w:ind w:left="520" w:right="180" w:hanging="316"/>
        <w:spacing w:after="0" w:line="230"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 of 1933, as amended. Includes 661,800 shares that the underwriters have an option to purchase to cover over-allotments, if any.</w:t>
      </w:r>
    </w:p>
    <w:p>
      <w:pPr>
        <w:ind w:left="520" w:hanging="316"/>
        <w:spacing w:after="0" w:line="22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offering price of shares that the underwriters may purchase pursuant to an option to purchase additional shares.</w:t>
      </w: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$10,739 of this registration fee was previously paid by the Registrant in connection with the filing of its Registration Statement on Form S-1 on May 25,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116205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8" w:lineRule="exact"/>
        <w:rPr>
          <w:sz w:val="24"/>
          <w:szCs w:val="24"/>
          <w:color w:val="auto"/>
        </w:rPr>
      </w:pPr>
    </w:p>
    <w:p>
      <w:pPr>
        <w:ind w:left="200" w:right="300"/>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39370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82550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40"/>
        <w:spacing w:after="0" w:line="243"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jurisdiction where the offer or sale is not permitted.</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DE1A1E"/>
        </w:rPr>
        <w:t>SUBJECT TO COMPLETION, JUNE 11, 2018</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DE1A1E"/>
        </w:rPr>
        <w:t>PRELIMINARY PROSPECTUS</w:t>
      </w:r>
    </w:p>
    <w:p>
      <w:pPr>
        <w:spacing w:after="0" w:line="258" w:lineRule="exact"/>
        <w:rPr>
          <w:sz w:val="20"/>
          <w:szCs w:val="20"/>
          <w:color w:val="auto"/>
        </w:rPr>
      </w:pPr>
    </w:p>
    <w:p>
      <w:pPr>
        <w:jc w:val="center"/>
        <w:ind w:right="-199"/>
        <w:spacing w:after="0"/>
        <w:rPr>
          <w:sz w:val="20"/>
          <w:szCs w:val="20"/>
          <w:color w:val="auto"/>
        </w:rPr>
      </w:pPr>
      <w:r>
        <w:rPr>
          <w:rFonts w:ascii="Arial" w:cs="Arial" w:eastAsia="Arial" w:hAnsi="Arial"/>
          <w:sz w:val="32"/>
          <w:szCs w:val="32"/>
          <w:i w:val="1"/>
          <w:iCs w:val="1"/>
          <w:color w:val="auto"/>
        </w:rPr>
        <w:t>4,412,000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95885</wp:posOffset>
            </wp:positionV>
            <wp:extent cx="1551940" cy="394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9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9"/>
        <w:spacing w:after="0"/>
        <w:rPr>
          <w:sz w:val="20"/>
          <w:szCs w:val="20"/>
          <w:color w:val="auto"/>
        </w:rPr>
      </w:pPr>
      <w:r>
        <w:rPr>
          <w:rFonts w:ascii="Arial" w:cs="Arial" w:eastAsia="Arial" w:hAnsi="Arial"/>
          <w:sz w:val="22"/>
          <w:szCs w:val="22"/>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230505</wp:posOffset>
            </wp:positionV>
            <wp:extent cx="14662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58" w:lineRule="exact"/>
        <w:rPr>
          <w:sz w:val="20"/>
          <w:szCs w:val="20"/>
          <w:color w:val="auto"/>
        </w:rPr>
      </w:pPr>
    </w:p>
    <w:p>
      <w:pPr>
        <w:ind w:left="200" w:right="380"/>
        <w:spacing w:after="0" w:line="264" w:lineRule="auto"/>
        <w:rPr>
          <w:sz w:val="20"/>
          <w:szCs w:val="20"/>
          <w:color w:val="auto"/>
        </w:rPr>
      </w:pPr>
      <w:r>
        <w:rPr>
          <w:rFonts w:ascii="Arial" w:cs="Arial" w:eastAsia="Arial" w:hAnsi="Arial"/>
          <w:sz w:val="18"/>
          <w:szCs w:val="18"/>
          <w:b w:val="1"/>
          <w:bCs w:val="1"/>
          <w:i w:val="1"/>
          <w:iCs w:val="1"/>
          <w:color w:val="auto"/>
        </w:rPr>
        <w:t>We are offering 4,412,000 shares of our common stock. This is our initial public offering and no public market currently exists for our common stock. We expect the initial public offering price to be between $16.00 and $18.00 per share. We have applied to list our common stock on The Nasdaq Global Market under the symbol “AVRO.”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210185</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200" w:right="520"/>
        <w:spacing w:after="0" w:line="308" w:lineRule="auto"/>
        <w:rPr>
          <w:sz w:val="20"/>
          <w:szCs w:val="20"/>
          <w:color w:val="auto"/>
        </w:rPr>
      </w:pPr>
      <w:r>
        <w:rPr>
          <w:rFonts w:ascii="Arial" w:cs="Arial" w:eastAsia="Arial" w:hAnsi="Arial"/>
          <w:sz w:val="17"/>
          <w:szCs w:val="17"/>
          <w:b w:val="1"/>
          <w:bCs w:val="1"/>
          <w:i w:val="1"/>
          <w:iCs w:val="1"/>
          <w:color w:val="auto"/>
        </w:rPr>
        <w:t>We are an “emerging growth company” as defined in Section 2(a) of the Securities Act of 1933 and will be subject to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196215</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0" w:right="460"/>
        <w:spacing w:after="0" w:line="251"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Investing in our common stock involves a high degree of risk. Please read “</w:t>
      </w:r>
      <w:hyperlink w:anchor="page14">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11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209550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00" w:right="40"/>
        <w:spacing w:after="0" w:line="277" w:lineRule="auto"/>
        <w:rPr>
          <w:sz w:val="20"/>
          <w:szCs w:val="20"/>
          <w:color w:val="auto"/>
        </w:rPr>
      </w:pPr>
      <w:r>
        <w:rPr>
          <w:rFonts w:ascii="Arial" w:cs="Arial" w:eastAsia="Arial" w:hAnsi="Arial"/>
          <w:sz w:val="18"/>
          <w:szCs w:val="18"/>
          <w:b w:val="1"/>
          <w:bCs w:val="1"/>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Arial" w:cs="Arial" w:eastAsia="Arial" w:hAnsi="Arial"/>
          <w:sz w:val="18"/>
          <w:szCs w:val="18"/>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203200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tbl>
      <w:tblPr>
        <w:tblLayout w:type="fixed"/>
        <w:tblInd w:w="200" w:type="dxa"/>
        <w:tblCellMar>
          <w:top w:w="0" w:type="dxa"/>
          <w:left w:w="0" w:type="dxa"/>
          <w:bottom w:w="0" w:type="dxa"/>
          <w:right w:w="0" w:type="dxa"/>
        </w:tblCellMar>
      </w:tblPr>
      <w:tr>
        <w:trPr>
          <w:trHeight w:val="167"/>
        </w:trPr>
        <w:tc>
          <w:tcPr>
            <w:tcW w:w="5820" w:type="dxa"/>
            <w:vAlign w:val="bottom"/>
          </w:tcPr>
          <w:p>
            <w:pPr>
              <w:spacing w:after="0"/>
              <w:rPr>
                <w:sz w:val="14"/>
                <w:szCs w:val="14"/>
                <w:color w:val="auto"/>
              </w:rPr>
            </w:pPr>
          </w:p>
        </w:tc>
        <w:tc>
          <w:tcPr>
            <w:tcW w:w="3820" w:type="dxa"/>
            <w:vAlign w:val="bottom"/>
            <w:gridSpan w:val="3"/>
          </w:tcPr>
          <w:p>
            <w:pPr>
              <w:ind w:left="2500"/>
              <w:spacing w:after="0"/>
              <w:rPr>
                <w:sz w:val="20"/>
                <w:szCs w:val="20"/>
                <w:color w:val="auto"/>
              </w:rPr>
            </w:pPr>
            <w:r>
              <w:rPr>
                <w:rFonts w:ascii="Arial" w:cs="Arial" w:eastAsia="Arial" w:hAnsi="Arial"/>
                <w:sz w:val="14"/>
                <w:szCs w:val="14"/>
                <w:b w:val="1"/>
                <w:bCs w:val="1"/>
                <w:i w:val="1"/>
                <w:iCs w:val="1"/>
                <w:color w:val="auto"/>
              </w:rPr>
              <w:t>PER SHARE</w:t>
            </w:r>
          </w:p>
        </w:tc>
        <w:tc>
          <w:tcPr>
            <w:tcW w:w="1080" w:type="dxa"/>
            <w:vAlign w:val="bottom"/>
            <w:gridSpan w:val="3"/>
          </w:tcPr>
          <w:p>
            <w:pPr>
              <w:ind w:left="620"/>
              <w:spacing w:after="0"/>
              <w:rPr>
                <w:sz w:val="20"/>
                <w:szCs w:val="20"/>
                <w:color w:val="auto"/>
              </w:rPr>
            </w:pPr>
            <w:r>
              <w:rPr>
                <w:rFonts w:ascii="Arial" w:cs="Arial" w:eastAsia="Arial" w:hAnsi="Arial"/>
                <w:sz w:val="14"/>
                <w:szCs w:val="14"/>
                <w:b w:val="1"/>
                <w:bCs w:val="1"/>
                <w:i w:val="1"/>
                <w:iCs w:val="1"/>
                <w:color w:val="auto"/>
                <w:w w:val="94"/>
              </w:rPr>
              <w:t>TOTAL</w:t>
            </w:r>
          </w:p>
        </w:tc>
      </w:tr>
      <w:tr>
        <w:trPr>
          <w:trHeight w:val="182"/>
        </w:trPr>
        <w:tc>
          <w:tcPr>
            <w:tcW w:w="5820" w:type="dxa"/>
            <w:vAlign w:val="bottom"/>
          </w:tcPr>
          <w:p>
            <w:pPr>
              <w:spacing w:after="0" w:line="182" w:lineRule="exact"/>
              <w:rPr>
                <w:sz w:val="20"/>
                <w:szCs w:val="20"/>
                <w:color w:val="auto"/>
              </w:rPr>
            </w:pPr>
            <w:r>
              <w:rPr>
                <w:rFonts w:ascii="Arial" w:cs="Arial" w:eastAsia="Arial" w:hAnsi="Arial"/>
                <w:sz w:val="18"/>
                <w:szCs w:val="18"/>
                <w:i w:val="1"/>
                <w:iCs w:val="1"/>
                <w:color w:val="auto"/>
              </w:rPr>
              <w:t>Public Offering Price</w:t>
            </w:r>
          </w:p>
        </w:tc>
        <w:tc>
          <w:tcPr>
            <w:tcW w:w="2500" w:type="dxa"/>
            <w:vAlign w:val="bottom"/>
          </w:tcPr>
          <w:p>
            <w:pPr>
              <w:spacing w:after="0"/>
              <w:rPr>
                <w:sz w:val="15"/>
                <w:szCs w:val="15"/>
                <w:color w:val="auto"/>
              </w:rPr>
            </w:pPr>
          </w:p>
        </w:tc>
        <w:tc>
          <w:tcPr>
            <w:tcW w:w="800" w:type="dxa"/>
            <w:vAlign w:val="bottom"/>
            <w:tcBorders>
              <w:top w:val="single" w:sz="8" w:color="auto"/>
            </w:tcBorders>
          </w:tcPr>
          <w:p>
            <w:pPr>
              <w:jc w:val="right"/>
              <w:ind w:right="570"/>
              <w:spacing w:after="0" w:line="182" w:lineRule="exact"/>
              <w:rPr>
                <w:sz w:val="20"/>
                <w:szCs w:val="20"/>
                <w:color w:val="auto"/>
              </w:rPr>
            </w:pPr>
            <w:r>
              <w:rPr>
                <w:rFonts w:ascii="Arial" w:cs="Arial" w:eastAsia="Arial" w:hAnsi="Arial"/>
                <w:sz w:val="18"/>
                <w:szCs w:val="18"/>
                <w:i w:val="1"/>
                <w:iCs w:val="1"/>
                <w:color w:val="auto"/>
              </w:rPr>
              <w:t>$</w:t>
            </w:r>
          </w:p>
        </w:tc>
        <w:tc>
          <w:tcPr>
            <w:tcW w:w="520" w:type="dxa"/>
            <w:vAlign w:val="bottom"/>
          </w:tcPr>
          <w:p>
            <w:pPr>
              <w:spacing w:after="0"/>
              <w:rPr>
                <w:sz w:val="15"/>
                <w:szCs w:val="15"/>
                <w:color w:val="auto"/>
              </w:rPr>
            </w:pPr>
          </w:p>
        </w:tc>
        <w:tc>
          <w:tcPr>
            <w:tcW w:w="620" w:type="dxa"/>
            <w:vAlign w:val="bottom"/>
          </w:tcPr>
          <w:p>
            <w:pPr>
              <w:jc w:val="right"/>
              <w:spacing w:after="0" w:line="182" w:lineRule="exact"/>
              <w:rPr>
                <w:sz w:val="20"/>
                <w:szCs w:val="20"/>
                <w:color w:val="auto"/>
              </w:rPr>
            </w:pPr>
            <w:r>
              <w:rPr>
                <w:rFonts w:ascii="Arial" w:cs="Arial" w:eastAsia="Arial" w:hAnsi="Arial"/>
                <w:sz w:val="18"/>
                <w:szCs w:val="18"/>
                <w:i w:val="1"/>
                <w:iCs w:val="1"/>
                <w:color w:val="auto"/>
              </w:rPr>
              <w:t>$</w:t>
            </w:r>
          </w:p>
        </w:tc>
        <w:tc>
          <w:tcPr>
            <w:tcW w:w="4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i w:val="1"/>
                <w:iCs w:val="1"/>
                <w:color w:val="auto"/>
              </w:rPr>
              <w:t>Underwriting Discounts and Commissions (1)</w:t>
            </w:r>
          </w:p>
        </w:tc>
        <w:tc>
          <w:tcPr>
            <w:tcW w:w="2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5820" w:type="dxa"/>
            <w:vAlign w:val="bottom"/>
          </w:tcPr>
          <w:p>
            <w:pPr>
              <w:spacing w:after="0"/>
              <w:rPr>
                <w:sz w:val="20"/>
                <w:szCs w:val="20"/>
                <w:color w:val="auto"/>
              </w:rPr>
            </w:pPr>
            <w:r>
              <w:rPr>
                <w:rFonts w:ascii="Arial" w:cs="Arial" w:eastAsia="Arial" w:hAnsi="Arial"/>
                <w:sz w:val="18"/>
                <w:szCs w:val="18"/>
                <w:i w:val="1"/>
                <w:iCs w:val="1"/>
                <w:color w:val="auto"/>
              </w:rPr>
              <w:t>Proceeds to us, before expenses</w:t>
            </w:r>
          </w:p>
        </w:tc>
        <w:tc>
          <w:tcPr>
            <w:tcW w:w="2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See “Underwriters” in this prospectus for a description of compensation payable to the underwriters.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6"/>
          <w:szCs w:val="16"/>
          <w:i w:val="1"/>
          <w:iCs w:val="1"/>
          <w:color w:val="auto"/>
        </w:rPr>
        <w:t>We have granted the underwriters an option for a period of 30 days to purchase an additional 661,800 shares of our common stock. If the underwriters</w:t>
      </w:r>
    </w:p>
    <w:p>
      <w:pPr>
        <w:spacing w:after="0" w:line="46" w:lineRule="exact"/>
        <w:rPr>
          <w:sz w:val="20"/>
          <w:szCs w:val="20"/>
          <w:color w:val="auto"/>
        </w:rPr>
      </w:pPr>
    </w:p>
    <w:p>
      <w:pPr>
        <w:ind w:left="200"/>
        <w:spacing w:after="0"/>
        <w:tabs>
          <w:tab w:leader="none" w:pos="7740" w:val="left"/>
        </w:tabs>
        <w:rPr>
          <w:sz w:val="20"/>
          <w:szCs w:val="20"/>
          <w:color w:val="auto"/>
        </w:rPr>
      </w:pPr>
      <w:r>
        <w:rPr>
          <w:rFonts w:ascii="Arial" w:cs="Arial" w:eastAsia="Arial" w:hAnsi="Arial"/>
          <w:sz w:val="18"/>
          <w:szCs w:val="18"/>
          <w:i w:val="1"/>
          <w:iCs w:val="1"/>
          <w:color w:val="auto"/>
        </w:rPr>
        <w:t>exercise the option in full, the total underwriting discounts and commissions payable by us will be $</w:t>
      </w:r>
      <w:r>
        <w:rPr>
          <w:sz w:val="20"/>
          <w:szCs w:val="20"/>
          <w:color w:val="auto"/>
        </w:rPr>
        <w:tab/>
      </w:r>
      <w:r>
        <w:rPr>
          <w:rFonts w:ascii="Arial" w:cs="Arial" w:eastAsia="Arial" w:hAnsi="Arial"/>
          <w:sz w:val="15"/>
          <w:szCs w:val="15"/>
          <w:i w:val="1"/>
          <w:iCs w:val="1"/>
          <w:color w:val="auto"/>
        </w:rPr>
        <w:t>, and the total proceeds to us, before expenses,</w:t>
      </w:r>
    </w:p>
    <w:p>
      <w:pPr>
        <w:spacing w:after="0" w:line="9"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i w:val="1"/>
          <w:iCs w:val="1"/>
          <w:color w:val="auto"/>
        </w:rPr>
        <w:t>will be $</w:t>
      </w:r>
      <w:r>
        <w:rPr>
          <w:sz w:val="20"/>
          <w:szCs w:val="20"/>
          <w:color w:val="auto"/>
        </w:rPr>
        <w:tab/>
      </w:r>
      <w:r>
        <w:rPr>
          <w:rFonts w:ascii="Arial" w:cs="Arial" w:eastAsia="Arial" w:hAnsi="Arial"/>
          <w:sz w:val="14"/>
          <w:szCs w:val="14"/>
          <w:i w:val="1"/>
          <w:iCs w:val="1"/>
          <w:color w:val="auto"/>
        </w:rPr>
        <w:t>.</w:t>
      </w:r>
    </w:p>
    <w:p>
      <w:pPr>
        <w:spacing w:after="0" w:line="319"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i w:val="1"/>
          <w:iCs w:val="1"/>
          <w:color w:val="auto"/>
        </w:rPr>
        <w:t>Certain of our existing stockholders, including certain affiliates of our directors, have indicated an interest in purchasing an aggregate of approximately $37.5 million of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w:t>
      </w:r>
    </w:p>
    <w:p>
      <w:pPr>
        <w:spacing w:after="0" w:line="29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18"/>
                <w:szCs w:val="18"/>
                <w:i w:val="1"/>
                <w:iCs w:val="1"/>
                <w:color w:val="auto"/>
                <w:w w:val="95"/>
              </w:rPr>
              <w:t>Delivery of the shares of common stock is expected to be made on or about</w:t>
            </w: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222885</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spacing w:after="0"/>
        <w:tabs>
          <w:tab w:leader="none" w:pos="5200" w:val="left"/>
          <w:tab w:leader="none" w:pos="8800" w:val="left"/>
        </w:tabs>
        <w:rPr>
          <w:sz w:val="20"/>
          <w:szCs w:val="20"/>
          <w:color w:val="auto"/>
        </w:rPr>
      </w:pPr>
      <w:r>
        <w:rPr>
          <w:rFonts w:ascii="Arial" w:cs="Arial" w:eastAsia="Arial" w:hAnsi="Arial"/>
          <w:sz w:val="20"/>
          <w:szCs w:val="20"/>
          <w:i w:val="1"/>
          <w:iCs w:val="1"/>
          <w:color w:val="auto"/>
        </w:rPr>
        <w:t>MORGAN STANLEY</w:t>
      </w:r>
      <w:r>
        <w:rPr>
          <w:sz w:val="20"/>
          <w:szCs w:val="20"/>
          <w:color w:val="auto"/>
        </w:rPr>
        <w:tab/>
      </w:r>
      <w:r>
        <w:rPr>
          <w:rFonts w:ascii="Arial" w:cs="Arial" w:eastAsia="Arial" w:hAnsi="Arial"/>
          <w:sz w:val="20"/>
          <w:szCs w:val="20"/>
          <w:i w:val="1"/>
          <w:iCs w:val="1"/>
          <w:color w:val="auto"/>
        </w:rPr>
        <w:t>COWEN</w:t>
      </w:r>
      <w:r>
        <w:rPr>
          <w:sz w:val="20"/>
          <w:szCs w:val="20"/>
          <w:color w:val="auto"/>
        </w:rPr>
        <w:tab/>
      </w:r>
      <w:r>
        <w:rPr>
          <w:rFonts w:ascii="Arial" w:cs="Arial" w:eastAsia="Arial" w:hAnsi="Arial"/>
          <w:sz w:val="16"/>
          <w:szCs w:val="16"/>
          <w:i w:val="1"/>
          <w:iCs w:val="1"/>
          <w:color w:val="auto"/>
        </w:rPr>
        <w:t>WELLS FARGO SECURITIES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WEDBUSH PACGROW</w:t>
      </w:r>
    </w:p>
    <w:p>
      <w:pPr>
        <w:sectPr>
          <w:pgSz w:w="11900" w:h="16838" w:orient="portrait"/>
          <w:cols w:equalWidth="0" w:num="1">
            <w:col w:w="11220"/>
          </w:cols>
          <w:pgMar w:left="240" w:top="459" w:right="439" w:bottom="1440" w:gutter="0" w:footer="0" w:header="0"/>
        </w:sectPr>
      </w:pPr>
    </w:p>
    <w:p>
      <w:pPr>
        <w:spacing w:after="0" w:line="218" w:lineRule="exact"/>
        <w:rPr>
          <w:sz w:val="20"/>
          <w:szCs w:val="20"/>
          <w:color w:val="auto"/>
        </w:rPr>
      </w:pPr>
    </w:p>
    <w:p>
      <w:pPr>
        <w:ind w:left="200"/>
        <w:spacing w:after="0"/>
        <w:tabs>
          <w:tab w:leader="none" w:pos="2180" w:val="left"/>
        </w:tabs>
        <w:rPr>
          <w:sz w:val="20"/>
          <w:szCs w:val="20"/>
          <w:color w:val="auto"/>
        </w:rPr>
      </w:pPr>
      <w:r>
        <w:rPr>
          <w:rFonts w:ascii="Arial" w:cs="Arial" w:eastAsia="Arial" w:hAnsi="Arial"/>
          <w:sz w:val="18"/>
          <w:szCs w:val="18"/>
          <w:i w:val="1"/>
          <w:iCs w:val="1"/>
          <w:color w:val="auto"/>
        </w:rPr>
        <w:t>Prospectus dated</w:t>
      </w:r>
      <w:r>
        <w:rPr>
          <w:sz w:val="20"/>
          <w:szCs w:val="20"/>
          <w:color w:val="auto"/>
        </w:rPr>
        <w:tab/>
      </w:r>
      <w:r>
        <w:rPr>
          <w:rFonts w:ascii="Arial" w:cs="Arial" w:eastAsia="Arial" w:hAnsi="Arial"/>
          <w:sz w:val="16"/>
          <w:szCs w:val="16"/>
          <w:i w:val="1"/>
          <w:iCs w:val="1"/>
          <w:color w:val="auto"/>
        </w:rPr>
        <w:t>, 2018</w:t>
      </w:r>
    </w:p>
    <w:p>
      <w:pPr>
        <w:sectPr>
          <w:pgSz w:w="11900" w:h="16838" w:orient="portrait"/>
          <w:cols w:equalWidth="0" w:num="1">
            <w:col w:w="11220"/>
          </w:cols>
          <w:pgMar w:left="24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256540</wp:posOffset>
            </wp:positionV>
            <wp:extent cx="146621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80" w:type="dxa"/>
            <w:vAlign w:val="bottom"/>
            <w:gridSpan w:val="10"/>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PROSPECTUS SUMMARY</w:t>
              </w:r>
            </w:hyperlink>
          </w:p>
        </w:tc>
        <w:tc>
          <w:tcPr>
            <w:tcW w:w="2420" w:type="dxa"/>
            <w:vAlign w:val="bottom"/>
            <w:gridSpan w:val="7"/>
            <w:vMerge w:val="restart"/>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80" w:type="dxa"/>
            <w:vAlign w:val="bottom"/>
            <w:tcBorders>
              <w:bottom w:val="single" w:sz="8" w:color="0000EE"/>
            </w:tcBorders>
            <w:gridSpan w:val="10"/>
            <w:vMerge w:val="continue"/>
          </w:tcPr>
          <w:p>
            <w:pPr>
              <w:spacing w:after="0"/>
              <w:rPr>
                <w:sz w:val="14"/>
                <w:szCs w:val="14"/>
                <w:color w:val="auto"/>
              </w:rPr>
            </w:pPr>
          </w:p>
        </w:tc>
        <w:tc>
          <w:tcPr>
            <w:tcW w:w="2420" w:type="dxa"/>
            <w:vAlign w:val="bottom"/>
            <w:gridSpan w:val="7"/>
            <w:vMerge w:val="continue"/>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RISK FACTORS</w:t>
              </w:r>
            </w:hyperlink>
          </w:p>
        </w:tc>
        <w:tc>
          <w:tcPr>
            <w:tcW w:w="3260" w:type="dxa"/>
            <w:vAlign w:val="bottom"/>
            <w:gridSpan w:val="13"/>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SPECIAL NOTE REGARDING FORWARD-LOOKING</w:t>
              </w:r>
            </w:hyperlink>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39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STATEMENTS</w:t>
              </w:r>
            </w:hyperlink>
          </w:p>
        </w:tc>
        <w:tc>
          <w:tcPr>
            <w:tcW w:w="360" w:type="dxa"/>
            <w:vAlign w:val="bottom"/>
            <w:gridSpan w:val="2"/>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62">
              <w:r>
                <w:rPr>
                  <w:rFonts w:ascii="Arial" w:cs="Arial" w:eastAsia="Arial" w:hAnsi="Arial"/>
                  <w:sz w:val="18"/>
                  <w:szCs w:val="18"/>
                  <w:color w:val="0000EE"/>
                  <w:w w:val="90"/>
                </w:rPr>
                <w:t>USE OF PROCEEDS</w:t>
              </w:r>
            </w:hyperlink>
          </w:p>
        </w:tc>
        <w:tc>
          <w:tcPr>
            <w:tcW w:w="2920" w:type="dxa"/>
            <w:vAlign w:val="bottom"/>
            <w:gridSpan w:val="8"/>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DIVIDEND POLICY</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CAPITALIZATION</w:t>
              </w:r>
            </w:hyperlink>
          </w:p>
        </w:tc>
        <w:tc>
          <w:tcPr>
            <w:tcW w:w="2940" w:type="dxa"/>
            <w:vAlign w:val="bottom"/>
            <w:gridSpan w:val="9"/>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9"/>
              </w:rPr>
            </w:pPr>
            <w:hyperlink w:anchor="page67">
              <w:r>
                <w:rPr>
                  <w:rFonts w:ascii="Arial" w:cs="Arial" w:eastAsia="Arial" w:hAnsi="Arial"/>
                  <w:sz w:val="18"/>
                  <w:szCs w:val="18"/>
                  <w:color w:val="0000EE"/>
                  <w:w w:val="99"/>
                </w:rPr>
                <w:t>DILUTION</w:t>
              </w:r>
            </w:hyperlink>
          </w:p>
        </w:tc>
        <w:tc>
          <w:tcPr>
            <w:tcW w:w="580" w:type="dxa"/>
            <w:vAlign w:val="bottom"/>
            <w:tcBorders>
              <w:top w:val="single" w:sz="8" w:color="0000EE"/>
            </w:tcBorders>
            <w:gridSpan w:val="4"/>
          </w:tcPr>
          <w:p>
            <w:pPr>
              <w:spacing w:after="0"/>
              <w:rPr>
                <w:sz w:val="17"/>
                <w:szCs w:val="17"/>
                <w:color w:val="auto"/>
              </w:rPr>
            </w:pPr>
          </w:p>
        </w:tc>
        <w:tc>
          <w:tcPr>
            <w:tcW w:w="3060" w:type="dxa"/>
            <w:vAlign w:val="bottom"/>
            <w:gridSpan w:val="10"/>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242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w:anchor="page70">
              <w:r>
                <w:rPr>
                  <w:rFonts w:ascii="Arial" w:cs="Arial" w:eastAsia="Arial" w:hAnsi="Arial"/>
                  <w:sz w:val="18"/>
                  <w:szCs w:val="18"/>
                  <w:color w:val="0000EE"/>
                  <w:w w:val="97"/>
                </w:rPr>
                <w:t>SELECTED FINANCIAL DATA</w:t>
              </w:r>
            </w:hyperlink>
          </w:p>
        </w:tc>
        <w:tc>
          <w:tcPr>
            <w:tcW w:w="2080" w:type="dxa"/>
            <w:vAlign w:val="bottom"/>
            <w:gridSpan w:val="5"/>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MANAGEMENT’S DISCUSSION AND ANALYSIS OF</w:t>
              </w:r>
            </w:hyperlink>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40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FINANCIAL CONDITION AND RESULTS OF</w:t>
              </w:r>
            </w:hyperlink>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5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OPERATIONS</w:t>
              </w:r>
            </w:hyperlink>
          </w:p>
        </w:tc>
        <w:tc>
          <w:tcPr>
            <w:tcW w:w="800" w:type="dxa"/>
            <w:vAlign w:val="bottom"/>
            <w:gridSpan w:val="3"/>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BUSINESS</w:t>
              </w:r>
            </w:hyperlink>
          </w:p>
        </w:tc>
        <w:tc>
          <w:tcPr>
            <w:tcW w:w="3660" w:type="dxa"/>
            <w:vAlign w:val="bottom"/>
            <w:gridSpan w:val="15"/>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131">
              <w:r>
                <w:rPr>
                  <w:rFonts w:ascii="Arial" w:cs="Arial" w:eastAsia="Arial" w:hAnsi="Arial"/>
                  <w:sz w:val="18"/>
                  <w:szCs w:val="18"/>
                  <w:color w:val="0000EE"/>
                </w:rPr>
                <w:t>MANAGEMENT</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1280" w:type="dxa"/>
            <w:vAlign w:val="bottom"/>
            <w:gridSpan w:val="6"/>
            <w:shd w:val="clear" w:color="auto" w:fill="0000EE"/>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139">
              <w:r>
                <w:rPr>
                  <w:rFonts w:ascii="Arial" w:cs="Arial" w:eastAsia="Arial" w:hAnsi="Arial"/>
                  <w:sz w:val="18"/>
                  <w:szCs w:val="18"/>
                  <w:color w:val="0000EE"/>
                  <w:w w:val="95"/>
                </w:rPr>
                <w:t>EXECUTIVE COMPENSATION</w:t>
              </w:r>
            </w:hyperlink>
          </w:p>
        </w:tc>
        <w:tc>
          <w:tcPr>
            <w:tcW w:w="2060" w:type="dxa"/>
            <w:vAlign w:val="bottom"/>
            <w:gridSpan w:val="4"/>
          </w:tcPr>
          <w:p>
            <w:pPr>
              <w:spacing w:after="0"/>
              <w:rPr>
                <w:sz w:val="17"/>
                <w:szCs w:val="17"/>
                <w:color w:val="auto"/>
              </w:rPr>
            </w:pPr>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96"/>
        </w:trPr>
        <w:tc>
          <w:tcPr>
            <w:tcW w:w="4500" w:type="dxa"/>
            <w:vAlign w:val="bottom"/>
            <w:gridSpan w:val="17"/>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DIRECTOR COMPENSATION</w:t>
              </w:r>
            </w:hyperlink>
          </w:p>
        </w:tc>
        <w:tc>
          <w:tcPr>
            <w:tcW w:w="7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4960" w:type="dxa"/>
            <w:vAlign w:val="bottom"/>
            <w:gridSpan w:val="15"/>
            <w:vMerge w:val="restart"/>
          </w:tcPr>
          <w:p>
            <w:pPr>
              <w:spacing w:after="0"/>
              <w:rPr>
                <w:rFonts w:ascii="Arial" w:cs="Arial" w:eastAsia="Arial" w:hAnsi="Arial"/>
                <w:sz w:val="18"/>
                <w:szCs w:val="18"/>
                <w:color w:val="0000EE"/>
              </w:rPr>
            </w:pPr>
            <w:hyperlink w:anchor="page150">
              <w:r>
                <w:rPr>
                  <w:rFonts w:ascii="Arial" w:cs="Arial" w:eastAsia="Arial" w:hAnsi="Arial"/>
                  <w:sz w:val="18"/>
                  <w:szCs w:val="18"/>
                  <w:color w:val="0000EE"/>
                </w:rPr>
                <w:t>CERTAIN RELATIONSHIPS AND RELATED PARTY</w:t>
              </w:r>
            </w:hyperlink>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PAGE</w:t>
            </w:r>
          </w:p>
        </w:tc>
        <w:tc>
          <w:tcPr>
            <w:tcW w:w="0" w:type="dxa"/>
            <w:vAlign w:val="bottom"/>
          </w:tcPr>
          <w:p>
            <w:pPr>
              <w:spacing w:after="0"/>
              <w:rPr>
                <w:sz w:val="1"/>
                <w:szCs w:val="1"/>
                <w:color w:val="auto"/>
              </w:rPr>
            </w:pPr>
          </w:p>
        </w:tc>
      </w:tr>
      <w:tr>
        <w:trPr>
          <w:trHeight w:val="156"/>
        </w:trPr>
        <w:tc>
          <w:tcPr>
            <w:tcW w:w="4960" w:type="dxa"/>
            <w:vAlign w:val="bottom"/>
            <w:gridSpan w:val="15"/>
            <w:vMerge w:val="continue"/>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150">
              <w:r>
                <w:rPr>
                  <w:rFonts w:ascii="Arial" w:cs="Arial" w:eastAsia="Arial" w:hAnsi="Arial"/>
                  <w:sz w:val="18"/>
                  <w:szCs w:val="18"/>
                  <w:color w:val="0000EE"/>
                  <w:w w:val="96"/>
                </w:rPr>
                <w:t>TRANSACTIONS</w:t>
              </w:r>
            </w:hyperlink>
          </w:p>
        </w:tc>
        <w:tc>
          <w:tcPr>
            <w:tcW w:w="2500" w:type="dxa"/>
            <w:vAlign w:val="bottom"/>
            <w:tcBorders>
              <w:top w:val="single" w:sz="8" w:color="0000EE"/>
            </w:tcBorders>
            <w:gridSpan w:val="7"/>
          </w:tcPr>
          <w:p>
            <w:pPr>
              <w:spacing w:after="0"/>
              <w:rPr>
                <w:sz w:val="17"/>
                <w:szCs w:val="17"/>
                <w:color w:val="auto"/>
              </w:rPr>
            </w:pPr>
          </w:p>
        </w:tc>
        <w:tc>
          <w:tcPr>
            <w:tcW w:w="9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PRINCIPAL STOCKHOLDERS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80" w:type="dxa"/>
            <w:vAlign w:val="bottom"/>
            <w:tcBorders>
              <w:bottom w:val="single" w:sz="8" w:color="0000EE"/>
            </w:tcBorders>
            <w:gridSpan w:val="8"/>
          </w:tcPr>
          <w:p>
            <w:pPr>
              <w:spacing w:after="0" w:line="196" w:lineRule="exact"/>
              <w:rPr>
                <w:rFonts w:ascii="Arial" w:cs="Arial" w:eastAsia="Arial" w:hAnsi="Arial"/>
                <w:sz w:val="18"/>
                <w:szCs w:val="18"/>
                <w:color w:val="0000EE"/>
                <w:w w:val="95"/>
              </w:rPr>
            </w:pPr>
            <w:hyperlink w:anchor="page157">
              <w:r>
                <w:rPr>
                  <w:rFonts w:ascii="Arial" w:cs="Arial" w:eastAsia="Arial" w:hAnsi="Arial"/>
                  <w:sz w:val="18"/>
                  <w:szCs w:val="18"/>
                  <w:color w:val="0000EE"/>
                  <w:w w:val="95"/>
                </w:rPr>
                <w:t>DESCRIPTION OF CAPITAL STOCK</w:t>
              </w:r>
            </w:hyperlink>
          </w:p>
        </w:tc>
        <w:tc>
          <w:tcPr>
            <w:tcW w:w="208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63">
              <w:r>
                <w:rPr>
                  <w:rFonts w:ascii="Arial" w:cs="Arial" w:eastAsia="Arial" w:hAnsi="Arial"/>
                  <w:sz w:val="18"/>
                  <w:szCs w:val="18"/>
                  <w:color w:val="0000EE"/>
                </w:rPr>
                <w:t>SHARES ELIGIBLE FOR FUTURE SALE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165">
              <w:r>
                <w:rPr>
                  <w:rFonts w:ascii="Arial" w:cs="Arial" w:eastAsia="Arial" w:hAnsi="Arial"/>
                  <w:sz w:val="18"/>
                  <w:szCs w:val="18"/>
                  <w:color w:val="0000EE"/>
                  <w:w w:val="97"/>
                </w:rPr>
                <w:t>MATERIAL U.S. FEDERAL INCOME TAX</w:t>
              </w:r>
            </w:hyperlink>
          </w:p>
        </w:tc>
        <w:tc>
          <w:tcPr>
            <w:tcW w:w="1660" w:type="dxa"/>
            <w:vAlign w:val="bottom"/>
            <w:gridSpan w:val="5"/>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780" w:type="dxa"/>
            <w:vAlign w:val="bottom"/>
            <w:gridSpan w:val="14"/>
          </w:tcPr>
          <w:p>
            <w:pPr>
              <w:spacing w:after="0" w:line="196" w:lineRule="exact"/>
              <w:rPr>
                <w:rFonts w:ascii="Arial" w:cs="Arial" w:eastAsia="Arial" w:hAnsi="Arial"/>
                <w:sz w:val="18"/>
                <w:szCs w:val="18"/>
                <w:color w:val="0000EE"/>
              </w:rPr>
            </w:pPr>
            <w:hyperlink w:anchor="page165">
              <w:r>
                <w:rPr>
                  <w:rFonts w:ascii="Arial" w:cs="Arial" w:eastAsia="Arial" w:hAnsi="Arial"/>
                  <w:sz w:val="18"/>
                  <w:szCs w:val="18"/>
                  <w:color w:val="0000EE"/>
                </w:rPr>
                <w:t>CONSIDERATIONS FOR NON-U.S. HOLDERS OF</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165">
              <w:r>
                <w:rPr>
                  <w:rFonts w:ascii="Arial" w:cs="Arial" w:eastAsia="Arial" w:hAnsi="Arial"/>
                  <w:sz w:val="18"/>
                  <w:szCs w:val="18"/>
                  <w:color w:val="0000EE"/>
                  <w:w w:val="96"/>
                </w:rPr>
                <w:t>COMMON STOCK</w:t>
              </w:r>
            </w:hyperlink>
          </w:p>
        </w:tc>
        <w:tc>
          <w:tcPr>
            <w:tcW w:w="2420" w:type="dxa"/>
            <w:vAlign w:val="bottom"/>
            <w:tcBorders>
              <w:top w:val="single" w:sz="8" w:color="0000EE"/>
            </w:tcBorders>
            <w:gridSpan w:val="7"/>
          </w:tcPr>
          <w:p>
            <w:pPr>
              <w:spacing w:after="0"/>
              <w:rPr>
                <w:sz w:val="17"/>
                <w:szCs w:val="17"/>
                <w:color w:val="auto"/>
              </w:rPr>
            </w:pPr>
          </w:p>
        </w:tc>
        <w:tc>
          <w:tcPr>
            <w:tcW w:w="8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69">
              <w:r>
                <w:rPr>
                  <w:rFonts w:ascii="Arial" w:cs="Arial" w:eastAsia="Arial" w:hAnsi="Arial"/>
                  <w:sz w:val="18"/>
                  <w:szCs w:val="18"/>
                  <w:color w:val="0000EE"/>
                </w:rPr>
                <w:t>UNDERWRITERS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LEGAL MATTERS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75">
              <w:r>
                <w:rPr>
                  <w:rFonts w:ascii="Arial" w:cs="Arial" w:eastAsia="Arial" w:hAnsi="Arial"/>
                  <w:sz w:val="18"/>
                  <w:szCs w:val="18"/>
                  <w:color w:val="0000EE"/>
                  <w:w w:val="90"/>
                </w:rPr>
                <w:t>EXPERTS</w:t>
              </w:r>
            </w:hyperlink>
          </w:p>
        </w:tc>
        <w:tc>
          <w:tcPr>
            <w:tcW w:w="680" w:type="dxa"/>
            <w:vAlign w:val="bottom"/>
            <w:tcBorders>
              <w:top w:val="single" w:sz="8" w:color="0000EE"/>
            </w:tcBorders>
            <w:gridSpan w:val="2"/>
          </w:tcPr>
          <w:p>
            <w:pPr>
              <w:spacing w:after="0"/>
              <w:rPr>
                <w:sz w:val="17"/>
                <w:szCs w:val="17"/>
                <w:color w:val="auto"/>
              </w:rPr>
            </w:pPr>
          </w:p>
        </w:tc>
        <w:tc>
          <w:tcPr>
            <w:tcW w:w="350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WHERE YOU CAN FIND MORE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3820" w:type="dxa"/>
            <w:vAlign w:val="bottom"/>
            <w:gridSpan w:val="11"/>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60" w:type="dxa"/>
            <w:vAlign w:val="bottom"/>
            <w:gridSpan w:val="15"/>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INDEX TO CONSOLIDATED FINANCIAL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754380</wp:posOffset>
            </wp:positionV>
            <wp:extent cx="146621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861" w:lineRule="exact"/>
        <w:rPr>
          <w:sz w:val="20"/>
          <w:szCs w:val="20"/>
          <w:color w:val="auto"/>
        </w:rPr>
      </w:pPr>
    </w:p>
    <w:p>
      <w:pPr>
        <w:sectPr>
          <w:pgSz w:w="11900" w:h="16838" w:orient="portrait"/>
          <w:cols w:equalWidth="0" w:num="2">
            <w:col w:w="5440" w:space="380"/>
            <w:col w:w="5380"/>
          </w:cols>
          <w:pgMar w:left="240" w:top="459" w:right="45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640"/>
        <w:spacing w:after="0"/>
        <w:tabs>
          <w:tab w:leader="none" w:pos="2980" w:val="left"/>
        </w:tabs>
        <w:rPr>
          <w:sz w:val="20"/>
          <w:szCs w:val="20"/>
          <w:color w:val="auto"/>
        </w:rPr>
      </w:pPr>
      <w:r>
        <w:rPr>
          <w:rFonts w:ascii="Arial" w:cs="Arial" w:eastAsia="Arial" w:hAnsi="Arial"/>
          <w:sz w:val="18"/>
          <w:szCs w:val="18"/>
          <w:b w:val="1"/>
          <w:bCs w:val="1"/>
          <w:color w:val="auto"/>
        </w:rPr>
        <w:t>Through and including</w:t>
      </w:r>
      <w:r>
        <w:rPr>
          <w:sz w:val="20"/>
          <w:szCs w:val="20"/>
          <w:color w:val="auto"/>
        </w:rPr>
        <w:tab/>
      </w:r>
      <w:r>
        <w:rPr>
          <w:rFonts w:ascii="Arial" w:cs="Arial" w:eastAsia="Arial" w:hAnsi="Arial"/>
          <w:sz w:val="15"/>
          <w:szCs w:val="15"/>
          <w:b w:val="1"/>
          <w:bCs w:val="1"/>
          <w:color w:val="auto"/>
        </w:rPr>
        <w:t>, 2018 (25 days after the date of this prospectus), all dealers effecting transactions in these securities,</w:t>
      </w:r>
    </w:p>
    <w:p>
      <w:pPr>
        <w:spacing w:after="0" w:line="27" w:lineRule="exact"/>
        <w:rPr>
          <w:sz w:val="20"/>
          <w:szCs w:val="20"/>
          <w:color w:val="auto"/>
        </w:rPr>
      </w:pPr>
    </w:p>
    <w:p>
      <w:pPr>
        <w:ind w:left="200" w:right="80"/>
        <w:spacing w:after="0" w:line="290" w:lineRule="auto"/>
        <w:rPr>
          <w:sz w:val="20"/>
          <w:szCs w:val="20"/>
          <w:color w:val="auto"/>
        </w:rPr>
      </w:pPr>
      <w:r>
        <w:rPr>
          <w:rFonts w:ascii="Arial" w:cs="Arial" w:eastAsia="Arial" w:hAnsi="Arial"/>
          <w:sz w:val="17"/>
          <w:szCs w:val="17"/>
          <w:b w:val="1"/>
          <w:bCs w:val="1"/>
          <w:color w:val="auto"/>
        </w:rPr>
        <w:t>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we file with the Securities and Exchange Commission. Neither we nor the underwriters have authorized anyone to provide you with information other than that contained in this prospectus or any free writing prospectus prepared by or on behalf of us or to which we have referred you. We take no responsibility for, and can provide no assurance as to the reliability of, any other information that others may give you. We and the underwriters are offering to sell, and seeking offers to buy, common stock only in jurisdictions where offers and sales are permitted. The information contained in this prospectus is accurate only as of the date on the front cover page of this prospectus, or other earlier date stated in this prospectus, regardless of the time of delivery of this prospectus or of any sale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223520</wp:posOffset>
            </wp:positionV>
            <wp:extent cx="14662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market data and certain other statistical information used throughout this prospectus are based on independent industry publications, governmental publications, reports by market research firms, or other independent sources that we believe to be reliable sources. We are responsible for all of the disclosure contained in this prospectus, and we believe that these sources are reliable; however,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“Risk Factors” and elsewhere in this prospectus. Some data are also based on our good faith estimates.</w:t>
      </w:r>
    </w:p>
    <w:p>
      <w:pPr>
        <w:sectPr>
          <w:pgSz w:w="11900" w:h="16838" w:orient="portrait"/>
          <w:cols w:equalWidth="0" w:num="1">
            <w:col w:w="11200"/>
          </w:cols>
          <w:pgMar w:left="240" w:top="459" w:right="45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98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65989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i w:val="1"/>
          <w:iCs w:val="1"/>
          <w:color w:val="auto"/>
        </w:rPr>
        <w:t>This summary highlights information contained elsewhere in this prospectus and does not contain all of the information that you should consider in making your investment decision. Before investing in our common stock, you should carefully read this entire prospectus, including our consolidated financial statements and the related notes included elsewhere in this prospectus. You should also consider, among other things, the matters described under “Risk Factors” and “Management’s Discussion and Analysis of Financial Condition and Results of Operations,” in each case appearing elsewhere in this prospectus. As used in this prospectus, unless the context otherwise requires, references to the “company,” “we,” “us” and “our” refer to AVROBIO, Inc.</w:t>
      </w:r>
    </w:p>
    <w:p>
      <w:pPr>
        <w:spacing w:after="0" w:line="29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80" w:right="180" w:firstLine="426"/>
        <w:spacing w:after="0" w:line="291" w:lineRule="auto"/>
        <w:rPr>
          <w:sz w:val="20"/>
          <w:szCs w:val="20"/>
          <w:color w:val="auto"/>
        </w:rPr>
      </w:pPr>
      <w:r>
        <w:rPr>
          <w:rFonts w:ascii="Arial" w:cs="Arial" w:eastAsia="Arial" w:hAnsi="Arial"/>
          <w:sz w:val="16"/>
          <w:szCs w:val="16"/>
          <w:color w:val="auto"/>
        </w:rPr>
        <w:t xml:space="preserve">We are a Phase 2 clinical stage gene therapy company focused on developing potentially curative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which transforms stem cells from patients into therapeutic products, has the potential to provide curative benefit for a range of diseases in an outpatient setting. Our initial focus is on a group of rare genetic diseases referred to as lysosomal storage diseases, which today are primarily managed with enzyme replacement therapies, or ERTs. These lysosomal storage diseases have well understood biologies, identified patient populations and represent large market opportunities with approximately $4.0 billion in worldwide net sales in 2017.</w:t>
      </w:r>
    </w:p>
    <w:p>
      <w:pPr>
        <w:spacing w:after="0" w:line="167"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Our initial pipeline is comprised of four lentiviral-based gene therapies, including AVR-RD-01 for the treatment of Fabry disease, AVR-RD-02 for the treatment of Gaucher disease, AVR-RD-03 for the treatment of Pompe disease and AVR-RD-04 for the treatment of cystinosis. AVR-RD-01 is currently being evaluated in an investigator-sponsored Phase 1 clinical trial and our company-sponsored Phase 2 clinical trial to assess safety and toxicity, as well as preliminary efficacy. In addition, Phase 1/2 clinical trials for both AVR-RD-02 and AVR-RD-04 are being planned and we expect patients will be dosed in 2019.</w:t>
      </w:r>
    </w:p>
    <w:p>
      <w:pPr>
        <w:spacing w:after="0" w:line="188" w:lineRule="exact"/>
        <w:rPr>
          <w:sz w:val="20"/>
          <w:szCs w:val="20"/>
          <w:color w:val="auto"/>
        </w:rPr>
      </w:pPr>
    </w:p>
    <w:p>
      <w:pPr>
        <w:ind w:left="380" w:right="20" w:firstLine="426"/>
        <w:spacing w:after="0" w:line="254" w:lineRule="auto"/>
        <w:rPr>
          <w:sz w:val="20"/>
          <w:szCs w:val="20"/>
          <w:color w:val="auto"/>
        </w:rPr>
      </w:pPr>
      <w:r>
        <w:rPr>
          <w:rFonts w:ascii="Arial" w:cs="Arial" w:eastAsia="Arial" w:hAnsi="Arial"/>
          <w:sz w:val="18"/>
          <w:szCs w:val="18"/>
          <w:color w:val="auto"/>
        </w:rPr>
        <w:t>The first two patients in the ongoing Phase 1 clinical trial of AVR-RD-01 have been dosed. The primary goal for this clinical trial is to assess the safety and toxicity of AVR-RD-01. In this trial, safety and toxicity are measured by the frequency of clinically notable abnormal vital signs and laboratory results and the frequency of treatment-related adverse events. A secondary objective for this clinical trial is to obtain preliminary efficacy signals of AVR-RD-01 therapy as assessed by a-galactosidase enzyme activity compared to baseline. Enrollment in this clinical trial is ongoing, with up to six patients with Fabry disease who have been treated with ERT expected to be enrolled. Because this is a Phase 1 trial, the currently approved standard of care, ERT, is suspended for enrolled patients one month prior to receiving AVR-RD-01 and is then resumed one month after AVR-RD-01 treatment. We believe the preliminary results from this trial support the potential of AVR-RD-01 to drive active enzyme production for long durations.</w:t>
      </w:r>
    </w:p>
    <w:p>
      <w:pPr>
        <w:spacing w:after="0" w:line="192" w:lineRule="exact"/>
        <w:rPr>
          <w:sz w:val="20"/>
          <w:szCs w:val="20"/>
          <w:color w:val="auto"/>
        </w:rPr>
      </w:pPr>
    </w:p>
    <w:p>
      <w:pPr>
        <w:ind w:left="380" w:right="240" w:firstLine="426"/>
        <w:spacing w:after="0" w:line="259" w:lineRule="auto"/>
        <w:rPr>
          <w:sz w:val="20"/>
          <w:szCs w:val="20"/>
          <w:color w:val="auto"/>
        </w:rPr>
      </w:pPr>
      <w:r>
        <w:rPr>
          <w:rFonts w:ascii="Arial" w:cs="Arial" w:eastAsia="Arial" w:hAnsi="Arial"/>
          <w:sz w:val="18"/>
          <w:szCs w:val="18"/>
          <w:color w:val="auto"/>
        </w:rPr>
        <w:t>On June 7, 2018, we dosed the first patient in our company-sponsored Phase 2 clinical trial of AVR-RD-01. The primary objective for this clinical trial is to assess safety and efficacy, measured by multiple indicators, such as globotriaosylceramide levels in multiple tissues, organ function, gastrointestinal symptoms and pain and quality of life. Enrollment in this trial is ongoing, with up to 12 treatment-naïve patients with Fabry disease expected to be enrolled.</w:t>
      </w:r>
    </w:p>
    <w:p>
      <w:pPr>
        <w:spacing w:after="0" w:line="187"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 xml:space="preserve">Lentiviral-based gene therapy has been observed to be well-tolerated in third parties’ ongoing clinical trials for rare diseases such as beta thalassemia, ALD and ADA-SCID. To date, over 200 patients have been treated with lentiviral-based gene therapies in third parties’ rare disease clinical trials. Historically, the use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therapies has been restricted primarily to the most acutely severe diseases where risks of the typical requirement for heavily ablating the patients’ bone marrow and thus significantly impairing these patients’ immune systems had an acceptable risk/benefit profile. The ablation procedure, also known as the conditioning regimen, is administered prior to the gene therapy. The more intensive the conditioning regimen, the greater the risk of toxicity and thus the need for more intensive in-patient monitoring and potential for lengthy hospitalization.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240" w:top="459" w:right="6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435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643572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color w:val="auto"/>
        </w:rPr>
        <w:t>Our goal is to broaden the applicability of lentiviral-based gene therapy by initially targeting diseases where we generally believe durable effects can be achieved following a milder conditioning regimen that allows for outpatient treatment. We believe our approach of choosing diseases where the conditioning regimen can be milder, thus improving patient tolerability, will extend the reach of our gene therapies to a broad range of diseases as first-line therapies.</w:t>
      </w:r>
    </w:p>
    <w:p>
      <w:pPr>
        <w:spacing w:after="0" w:line="187" w:lineRule="exact"/>
        <w:rPr>
          <w:sz w:val="20"/>
          <w:szCs w:val="20"/>
          <w:color w:val="auto"/>
        </w:rPr>
      </w:pPr>
    </w:p>
    <w:p>
      <w:pPr>
        <w:ind w:left="380" w:right="100" w:firstLine="426"/>
        <w:spacing w:after="0" w:line="289" w:lineRule="auto"/>
        <w:rPr>
          <w:sz w:val="20"/>
          <w:szCs w:val="20"/>
          <w:color w:val="auto"/>
        </w:rPr>
      </w:pPr>
      <w:r>
        <w:rPr>
          <w:rFonts w:ascii="Arial" w:cs="Arial" w:eastAsia="Arial" w:hAnsi="Arial"/>
          <w:sz w:val="16"/>
          <w:szCs w:val="16"/>
          <w:color w:val="auto"/>
        </w:rPr>
        <w:t>We are initially targeting rare diseases in which current standard of care provides the mechanistic proof that the enzymes or other proteins produced endogenously following treatment with our gene therapies can offer benefit to patients. Typically in lysosomal storage diseases, a gene mutation results in the deficiency or malfunction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the diseases continue to progress. Further, the frequent, periodic and life-long dosing schedule required for ERTs results in significant costs for the healthcare system and is burdensome for the patient.</w:t>
      </w:r>
    </w:p>
    <w:p>
      <w:pPr>
        <w:spacing w:after="0" w:line="167"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We believe our gene therapies leverage the well 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cure these diseases while also providing significant health economic advantages.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380" w:right="520" w:firstLine="426"/>
        <w:spacing w:after="0" w:line="277" w:lineRule="auto"/>
        <w:rPr>
          <w:sz w:val="20"/>
          <w:szCs w:val="20"/>
          <w:color w:val="auto"/>
        </w:rPr>
      </w:pPr>
      <w:r>
        <w:rPr>
          <w:rFonts w:ascii="Arial" w:cs="Arial" w:eastAsia="Arial" w:hAnsi="Arial"/>
          <w:sz w:val="18"/>
          <w:szCs w:val="18"/>
          <w:color w:val="auto"/>
        </w:rPr>
        <w:t>Our programs leverage years of extensive preclinical and early clinical research by leading researchers, as well as our internal research efforts. The status of our lentiviral-based gene therapy programs is reflected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556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59556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00" w:firstLine="426"/>
        <w:spacing w:after="0" w:line="291" w:lineRule="auto"/>
        <w:rPr>
          <w:sz w:val="20"/>
          <w:szCs w:val="20"/>
          <w:color w:val="auto"/>
        </w:rPr>
      </w:pPr>
      <w:r>
        <w:rPr>
          <w:rFonts w:ascii="Arial" w:cs="Arial" w:eastAsia="Arial" w:hAnsi="Arial"/>
          <w:sz w:val="16"/>
          <w:szCs w:val="16"/>
          <w:b w:val="1"/>
          <w:bCs w:val="1"/>
          <w:i w:val="1"/>
          <w:iCs w:val="1"/>
          <w:color w:val="auto"/>
        </w:rPr>
        <w:t xml:space="preserve">AVR-RD-01. </w:t>
      </w:r>
      <w:r>
        <w:rPr>
          <w:rFonts w:ascii="Arial" w:cs="Arial" w:eastAsia="Arial" w:hAnsi="Arial"/>
          <w:sz w:val="16"/>
          <w:szCs w:val="16"/>
          <w:color w:val="auto"/>
        </w:rPr>
        <w:t>Our lead product candidate, AVR-RD-01 for the treatment of Fabry disease, is derived from hematopoietic stem cells to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gene encoding the enzyme a-galactosidase A, or AGA, is added in an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process using a lentiviral vector. In an ongoing Phase 1 clinical trial of patients with Fabry disease, AVR-RD-01 has led to the production of active AGA enzyme in the two patients treated to date. In both patients, within days of receiving AVR-RD-01, the level of AGA enzyme activity began to rise from nearly undetectable levels before treatment to levels above the range for males with classic Fabry disease. As of twelve months after receiving AVR-RD-01, the first patient’s plasma AGA enzyme activity levels continued to be above the range for males with classic Fabry disease. Plasma AGA enzyme activity levels in the second patient remained above the range for males with classic Fabry disease, defined as less than 1 nmol/hr/ml, as of three months after treatment.</w:t>
      </w:r>
    </w:p>
    <w:p>
      <w:pPr>
        <w:spacing w:after="0" w:line="2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Plasma AGA Activity (nmol/hr/ml) Following Treatment with AVR-RD-01</w:t>
      </w:r>
    </w:p>
    <w:p>
      <w:pPr>
        <w:spacing w:after="0" w:line="251" w:lineRule="exact"/>
        <w:rPr>
          <w:sz w:val="20"/>
          <w:szCs w:val="20"/>
          <w:color w:val="auto"/>
        </w:rPr>
      </w:pPr>
    </w:p>
    <w:tbl>
      <w:tblPr>
        <w:tblLayout w:type="fixed"/>
        <w:tblInd w:w="390" w:type="dxa"/>
        <w:tblCellMar>
          <w:top w:w="0" w:type="dxa"/>
          <w:left w:w="0" w:type="dxa"/>
          <w:bottom w:w="0" w:type="dxa"/>
          <w:right w:w="0" w:type="dxa"/>
        </w:tblCellMar>
      </w:tblPr>
      <w:tr>
        <w:trPr>
          <w:trHeight w:val="139"/>
        </w:trPr>
        <w:tc>
          <w:tcPr>
            <w:tcW w:w="2440" w:type="dxa"/>
            <w:vAlign w:val="bottom"/>
            <w:tcBorders>
              <w:top w:val="single" w:sz="8" w:color="auto"/>
              <w:left w:val="single" w:sz="8" w:color="auto"/>
              <w:right w:val="single" w:sz="8" w:color="auto"/>
            </w:tcBorders>
          </w:tcPr>
          <w:p>
            <w:pPr>
              <w:spacing w:after="0"/>
              <w:rPr>
                <w:sz w:val="12"/>
                <w:szCs w:val="12"/>
                <w:color w:val="auto"/>
              </w:rPr>
            </w:pPr>
          </w:p>
        </w:tc>
        <w:tc>
          <w:tcPr>
            <w:tcW w:w="3340" w:type="dxa"/>
            <w:vAlign w:val="bottom"/>
            <w:tcBorders>
              <w:top w:val="single" w:sz="8" w:color="auto"/>
              <w:right w:val="single" w:sz="8" w:color="auto"/>
            </w:tcBorders>
          </w:tcPr>
          <w:p>
            <w:pPr>
              <w:jc w:val="center"/>
              <w:ind w:left="1539"/>
              <w:spacing w:after="0" w:line="139" w:lineRule="exact"/>
              <w:rPr>
                <w:sz w:val="20"/>
                <w:szCs w:val="20"/>
                <w:color w:val="auto"/>
              </w:rPr>
            </w:pPr>
            <w:r>
              <w:rPr>
                <w:rFonts w:ascii="Arial" w:cs="Arial" w:eastAsia="Arial" w:hAnsi="Arial"/>
                <w:sz w:val="14"/>
                <w:szCs w:val="14"/>
                <w:b w:val="1"/>
                <w:bCs w:val="1"/>
                <w:color w:val="auto"/>
                <w:w w:val="96"/>
              </w:rPr>
              <w:t>Day 0</w:t>
            </w:r>
          </w:p>
        </w:tc>
        <w:tc>
          <w:tcPr>
            <w:tcW w:w="2380" w:type="dxa"/>
            <w:vAlign w:val="bottom"/>
            <w:tcBorders>
              <w:top w:val="single" w:sz="8" w:color="auto"/>
              <w:right w:val="single" w:sz="8" w:color="auto"/>
            </w:tcBorders>
          </w:tcPr>
          <w:p>
            <w:pPr>
              <w:jc w:val="right"/>
              <w:ind w:right="76"/>
              <w:spacing w:after="0" w:line="139" w:lineRule="exact"/>
              <w:rPr>
                <w:sz w:val="20"/>
                <w:szCs w:val="20"/>
                <w:color w:val="auto"/>
              </w:rPr>
            </w:pPr>
            <w:r>
              <w:rPr>
                <w:rFonts w:ascii="Arial" w:cs="Arial" w:eastAsia="Arial" w:hAnsi="Arial"/>
                <w:sz w:val="14"/>
                <w:szCs w:val="14"/>
                <w:b w:val="1"/>
                <w:bCs w:val="1"/>
                <w:color w:val="auto"/>
              </w:rPr>
              <w:t>3 Months</w:t>
            </w:r>
          </w:p>
        </w:tc>
        <w:tc>
          <w:tcPr>
            <w:tcW w:w="2500" w:type="dxa"/>
            <w:vAlign w:val="bottom"/>
            <w:tcBorders>
              <w:top w:val="single" w:sz="8" w:color="auto"/>
              <w:right w:val="single" w:sz="8" w:color="auto"/>
            </w:tcBorders>
          </w:tcPr>
          <w:p>
            <w:pPr>
              <w:ind w:left="1660"/>
              <w:spacing w:after="0" w:line="139" w:lineRule="exact"/>
              <w:rPr>
                <w:sz w:val="20"/>
                <w:szCs w:val="20"/>
                <w:color w:val="auto"/>
              </w:rPr>
            </w:pPr>
            <w:r>
              <w:rPr>
                <w:rFonts w:ascii="Arial" w:cs="Arial" w:eastAsia="Arial" w:hAnsi="Arial"/>
                <w:sz w:val="14"/>
                <w:szCs w:val="14"/>
                <w:b w:val="1"/>
                <w:bCs w:val="1"/>
                <w:color w:val="auto"/>
              </w:rPr>
              <w:t>12 Months</w:t>
            </w:r>
          </w:p>
        </w:tc>
      </w:tr>
      <w:tr>
        <w:trPr>
          <w:trHeight w:val="185"/>
        </w:trPr>
        <w:tc>
          <w:tcPr>
            <w:tcW w:w="2440" w:type="dxa"/>
            <w:vAlign w:val="bottom"/>
            <w:tcBorders>
              <w:left w:val="single" w:sz="8" w:color="auto"/>
              <w:bottom w:val="single" w:sz="8" w:color="auto"/>
              <w:right w:val="single" w:sz="8" w:color="auto"/>
            </w:tcBorders>
          </w:tcPr>
          <w:p>
            <w:pPr>
              <w:spacing w:after="0"/>
              <w:rPr>
                <w:sz w:val="16"/>
                <w:szCs w:val="16"/>
                <w:color w:val="auto"/>
              </w:rPr>
            </w:pPr>
          </w:p>
        </w:tc>
        <w:tc>
          <w:tcPr>
            <w:tcW w:w="3340" w:type="dxa"/>
            <w:vAlign w:val="bottom"/>
            <w:tcBorders>
              <w:bottom w:val="single" w:sz="8" w:color="auto"/>
              <w:right w:val="single" w:sz="8" w:color="auto"/>
            </w:tcBorders>
          </w:tcPr>
          <w:p>
            <w:pPr>
              <w:ind w:left="1640"/>
              <w:spacing w:after="0"/>
              <w:rPr>
                <w:sz w:val="20"/>
                <w:szCs w:val="20"/>
                <w:color w:val="auto"/>
              </w:rPr>
            </w:pPr>
            <w:r>
              <w:rPr>
                <w:rFonts w:ascii="Arial" w:cs="Arial" w:eastAsia="Arial" w:hAnsi="Arial"/>
                <w:sz w:val="14"/>
                <w:szCs w:val="14"/>
                <w:b w:val="1"/>
                <w:bCs w:val="1"/>
                <w:color w:val="auto"/>
              </w:rPr>
              <w:t>(Infusion of AVR-RD-01)</w:t>
            </w:r>
          </w:p>
        </w:tc>
        <w:tc>
          <w:tcPr>
            <w:tcW w:w="2380" w:type="dxa"/>
            <w:vAlign w:val="bottom"/>
            <w:tcBorders>
              <w:bottom w:val="single" w:sz="8" w:color="auto"/>
              <w:right w:val="single" w:sz="8" w:color="auto"/>
            </w:tcBorders>
          </w:tcPr>
          <w:p>
            <w:pPr>
              <w:spacing w:after="0"/>
              <w:rPr>
                <w:sz w:val="16"/>
                <w:szCs w:val="16"/>
                <w:color w:val="auto"/>
              </w:rPr>
            </w:pPr>
          </w:p>
        </w:tc>
        <w:tc>
          <w:tcPr>
            <w:tcW w:w="2500" w:type="dxa"/>
            <w:vAlign w:val="bottom"/>
            <w:tcBorders>
              <w:bottom w:val="single" w:sz="8" w:color="auto"/>
              <w:right w:val="single" w:sz="8" w:color="auto"/>
            </w:tcBorders>
          </w:tcPr>
          <w:p>
            <w:pPr>
              <w:spacing w:after="0"/>
              <w:rPr>
                <w:sz w:val="16"/>
                <w:szCs w:val="16"/>
                <w:color w:val="auto"/>
              </w:rPr>
            </w:pPr>
          </w:p>
        </w:tc>
      </w:tr>
      <w:tr>
        <w:trPr>
          <w:trHeight w:val="210"/>
        </w:trPr>
        <w:tc>
          <w:tcPr>
            <w:tcW w:w="2440" w:type="dxa"/>
            <w:vAlign w:val="bottom"/>
            <w:tcBorders>
              <w:left w:val="single" w:sz="8" w:color="auto"/>
              <w:bottom w:val="single" w:sz="8" w:color="auto"/>
              <w:right w:val="single" w:sz="8" w:color="auto"/>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Patient 1</w:t>
            </w:r>
          </w:p>
        </w:tc>
        <w:tc>
          <w:tcPr>
            <w:tcW w:w="3340" w:type="dxa"/>
            <w:vAlign w:val="bottom"/>
            <w:tcBorders>
              <w:bottom w:val="single" w:sz="8" w:color="auto"/>
              <w:right w:val="single" w:sz="8" w:color="auto"/>
            </w:tcBorders>
            <w:shd w:val="clear" w:color="auto" w:fill="CCEEFF"/>
          </w:tcPr>
          <w:p>
            <w:pPr>
              <w:jc w:val="center"/>
              <w:ind w:left="1539"/>
              <w:spacing w:after="0"/>
              <w:rPr>
                <w:sz w:val="20"/>
                <w:szCs w:val="20"/>
                <w:color w:val="auto"/>
              </w:rPr>
            </w:pPr>
            <w:r>
              <w:rPr>
                <w:rFonts w:ascii="Arial" w:cs="Arial" w:eastAsia="Arial" w:hAnsi="Arial"/>
                <w:sz w:val="18"/>
                <w:szCs w:val="18"/>
                <w:color w:val="auto"/>
                <w:w w:val="95"/>
              </w:rPr>
              <w:t>0.1</w:t>
            </w:r>
          </w:p>
        </w:tc>
        <w:tc>
          <w:tcPr>
            <w:tcW w:w="2380" w:type="dxa"/>
            <w:vAlign w:val="bottom"/>
            <w:tcBorders>
              <w:bottom w:val="single" w:sz="8" w:color="auto"/>
              <w:right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rPr>
              <w:t>5.8</w:t>
            </w:r>
          </w:p>
        </w:tc>
        <w:tc>
          <w:tcPr>
            <w:tcW w:w="2500" w:type="dxa"/>
            <w:vAlign w:val="bottom"/>
            <w:tcBorders>
              <w:bottom w:val="single" w:sz="8" w:color="auto"/>
              <w:right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rPr>
              <w:t>5.8</w:t>
            </w:r>
          </w:p>
        </w:tc>
      </w:tr>
      <w:tr>
        <w:trPr>
          <w:trHeight w:val="210"/>
        </w:trPr>
        <w:tc>
          <w:tcPr>
            <w:tcW w:w="2440" w:type="dxa"/>
            <w:vAlign w:val="bottom"/>
            <w:tcBorders>
              <w:left w:val="single" w:sz="8" w:color="auto"/>
              <w:bottom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Patient 2</w:t>
            </w:r>
          </w:p>
        </w:tc>
        <w:tc>
          <w:tcPr>
            <w:tcW w:w="3340" w:type="dxa"/>
            <w:vAlign w:val="bottom"/>
            <w:tcBorders>
              <w:bottom w:val="single" w:sz="8" w:color="auto"/>
              <w:right w:val="single" w:sz="8" w:color="auto"/>
            </w:tcBorders>
          </w:tcPr>
          <w:p>
            <w:pPr>
              <w:jc w:val="center"/>
              <w:ind w:left="1539"/>
              <w:spacing w:after="0"/>
              <w:rPr>
                <w:sz w:val="20"/>
                <w:szCs w:val="20"/>
                <w:color w:val="auto"/>
              </w:rPr>
            </w:pPr>
            <w:r>
              <w:rPr>
                <w:rFonts w:ascii="Arial" w:cs="Arial" w:eastAsia="Arial" w:hAnsi="Arial"/>
                <w:sz w:val="18"/>
                <w:szCs w:val="18"/>
                <w:color w:val="auto"/>
                <w:w w:val="95"/>
              </w:rPr>
              <w:t>0.2</w:t>
            </w:r>
          </w:p>
        </w:tc>
        <w:tc>
          <w:tcPr>
            <w:tcW w:w="2380" w:type="dxa"/>
            <w:vAlign w:val="bottom"/>
            <w:tcBorders>
              <w:bottom w:val="single" w:sz="8" w:color="auto"/>
              <w:right w:val="single" w:sz="8" w:color="auto"/>
            </w:tcBorders>
          </w:tcPr>
          <w:p>
            <w:pPr>
              <w:jc w:val="right"/>
              <w:ind w:right="216"/>
              <w:spacing w:after="0"/>
              <w:rPr>
                <w:sz w:val="20"/>
                <w:szCs w:val="20"/>
                <w:color w:val="auto"/>
              </w:rPr>
            </w:pPr>
            <w:r>
              <w:rPr>
                <w:rFonts w:ascii="Arial" w:cs="Arial" w:eastAsia="Arial" w:hAnsi="Arial"/>
                <w:sz w:val="18"/>
                <w:szCs w:val="18"/>
                <w:color w:val="auto"/>
              </w:rPr>
              <w:t>7.6</w:t>
            </w:r>
          </w:p>
        </w:tc>
        <w:tc>
          <w:tcPr>
            <w:tcW w:w="2500" w:type="dxa"/>
            <w:vAlign w:val="bottom"/>
            <w:tcBorders>
              <w:bottom w:val="single" w:sz="8" w:color="auto"/>
              <w:right w:val="single" w:sz="8" w:color="auto"/>
            </w:tcBorders>
          </w:tcPr>
          <w:p>
            <w:pPr>
              <w:jc w:val="center"/>
              <w:ind w:left="1496"/>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380" w:right="240" w:firstLine="426"/>
        <w:spacing w:after="0" w:line="277" w:lineRule="auto"/>
        <w:rPr>
          <w:sz w:val="20"/>
          <w:szCs w:val="20"/>
          <w:color w:val="auto"/>
        </w:rPr>
      </w:pPr>
      <w:r>
        <w:rPr>
          <w:rFonts w:ascii="Arial" w:cs="Arial" w:eastAsia="Arial" w:hAnsi="Arial"/>
          <w:sz w:val="18"/>
          <w:szCs w:val="18"/>
          <w:color w:val="auto"/>
        </w:rPr>
        <w:t>We believe these preliminary results support the potential of AVR-RD-01 to drive active enzyme production for long durations. On June 7, 2018, we dosed the first patient in our company-sponsored Phase 2 clinical trial.</w:t>
      </w:r>
    </w:p>
    <w:p>
      <w:pPr>
        <w:spacing w:after="0" w:line="170" w:lineRule="exact"/>
        <w:rPr>
          <w:sz w:val="20"/>
          <w:szCs w:val="20"/>
          <w:color w:val="auto"/>
        </w:rPr>
      </w:pPr>
    </w:p>
    <w:p>
      <w:pPr>
        <w:ind w:left="380" w:right="60" w:firstLine="426"/>
        <w:spacing w:after="0" w:line="259" w:lineRule="auto"/>
        <w:rPr>
          <w:sz w:val="20"/>
          <w:szCs w:val="20"/>
          <w:color w:val="auto"/>
        </w:rPr>
      </w:pPr>
      <w:r>
        <w:rPr>
          <w:rFonts w:ascii="Arial" w:cs="Arial" w:eastAsia="Arial" w:hAnsi="Arial"/>
          <w:sz w:val="18"/>
          <w:szCs w:val="18"/>
          <w:b w:val="1"/>
          <w:bCs w:val="1"/>
          <w:i w:val="1"/>
          <w:iCs w:val="1"/>
          <w:color w:val="auto"/>
        </w:rPr>
        <w:t xml:space="preserve">AVR-RD-02. </w:t>
      </w:r>
      <w:r>
        <w:rPr>
          <w:rFonts w:ascii="Arial" w:cs="Arial" w:eastAsia="Arial" w:hAnsi="Arial"/>
          <w:sz w:val="18"/>
          <w:szCs w:val="18"/>
          <w:color w:val="auto"/>
        </w:rPr>
        <w:t>We are developing AVR-RD-02 for the treatment of Type 1 Gaucher disease. We will manufacture AVR-RD-02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hematopoietic stem cells that are first extracted from the patient, modified to add the gene that encodes for glucocerebrosidase, or GCase, and then infused into the patient. We plan to initiate a Phase 1/2 clinical trial for AVR-RD-02 in patients with Type 1 Gaucher disease and expect to dose the first patient in this clinical trial in 2019.</w:t>
      </w:r>
    </w:p>
    <w:p>
      <w:pPr>
        <w:spacing w:after="0" w:line="187"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b w:val="1"/>
          <w:bCs w:val="1"/>
          <w:i w:val="1"/>
          <w:iCs w:val="1"/>
          <w:color w:val="auto"/>
        </w:rPr>
        <w:t xml:space="preserve">AVR-RD-03. </w:t>
      </w:r>
      <w:r>
        <w:rPr>
          <w:rFonts w:ascii="Arial" w:cs="Arial" w:eastAsia="Arial" w:hAnsi="Arial"/>
          <w:sz w:val="18"/>
          <w:szCs w:val="18"/>
          <w:color w:val="auto"/>
        </w:rPr>
        <w:t>We are developing AVR-RD-03 for the treatment of Pompe disease. We will manufacture AVR-RD-03 from hematopoietic 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cells that are first extracted from the patient, modified to add the gene that encodes for acid alpha glucosidase A, or GAA, attached to a peptide sequence known as a glycosylation-independent lysosomal targeting, or GILT, tag and then infused into the patient. AVR-RD-03 will incorporate a GILT tag because the addition of a GILT tag has been shown to increase the uptake of GAA into cells, especially in muscle cells, which is a particularly important target tissue for patients with Pompe disease.</w:t>
      </w:r>
    </w:p>
    <w:p>
      <w:pPr>
        <w:spacing w:after="0" w:line="188" w:lineRule="exact"/>
        <w:rPr>
          <w:sz w:val="20"/>
          <w:szCs w:val="20"/>
          <w:color w:val="auto"/>
        </w:rPr>
      </w:pPr>
    </w:p>
    <w:p>
      <w:pPr>
        <w:ind w:left="380" w:right="340" w:firstLine="426"/>
        <w:spacing w:after="0" w:line="286" w:lineRule="auto"/>
        <w:rPr>
          <w:sz w:val="20"/>
          <w:szCs w:val="20"/>
          <w:color w:val="auto"/>
        </w:rPr>
      </w:pPr>
      <w:r>
        <w:rPr>
          <w:rFonts w:ascii="Arial" w:cs="Arial" w:eastAsia="Arial" w:hAnsi="Arial"/>
          <w:sz w:val="17"/>
          <w:szCs w:val="17"/>
          <w:b w:val="1"/>
          <w:bCs w:val="1"/>
          <w:i w:val="1"/>
          <w:iCs w:val="1"/>
          <w:color w:val="auto"/>
        </w:rPr>
        <w:t xml:space="preserve">AVR-RD-04. </w:t>
      </w:r>
      <w:r>
        <w:rPr>
          <w:rFonts w:ascii="Arial" w:cs="Arial" w:eastAsia="Arial" w:hAnsi="Arial"/>
          <w:sz w:val="17"/>
          <w:szCs w:val="17"/>
          <w:color w:val="auto"/>
        </w:rPr>
        <w:t>We are developing AVR-RD-04 for the treatment of patients with cystinosis. We will manufacture AVR-RD-04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hematopoietic stem cells that are first extracted from the patient, modified to add the gene that encodes for cystinosin, and then infused into the patient. In a planned academic sponsored Phase 1/2 clinical trial, we expect the first patient will be dosed in 2019.</w:t>
      </w:r>
    </w:p>
    <w:p>
      <w:pPr>
        <w:spacing w:after="0" w:line="166" w:lineRule="exact"/>
        <w:rPr>
          <w:sz w:val="20"/>
          <w:szCs w:val="20"/>
          <w:color w:val="auto"/>
        </w:rPr>
      </w:pPr>
    </w:p>
    <w:p>
      <w:pPr>
        <w:ind w:left="380" w:right="60" w:firstLine="426"/>
        <w:spacing w:after="0" w:line="308" w:lineRule="auto"/>
        <w:rPr>
          <w:sz w:val="20"/>
          <w:szCs w:val="20"/>
          <w:color w:val="auto"/>
        </w:rPr>
      </w:pPr>
      <w:r>
        <w:rPr>
          <w:rFonts w:ascii="Arial" w:cs="Arial" w:eastAsia="Arial" w:hAnsi="Arial"/>
          <w:sz w:val="17"/>
          <w:szCs w:val="17"/>
          <w:color w:val="auto"/>
        </w:rPr>
        <w:t>We continue to seek opportunities to expand our approach to other rare and non-rare diseases. We plan to identify and develop future product candidates through our own internal research efforts as well as through collaborations with leading researchers worldwide.</w:t>
      </w:r>
    </w:p>
    <w:p>
      <w:pPr>
        <w:spacing w:after="0" w:line="147" w:lineRule="exact"/>
        <w:rPr>
          <w:sz w:val="20"/>
          <w:szCs w:val="20"/>
          <w:color w:val="auto"/>
        </w:rPr>
      </w:pPr>
    </w:p>
    <w:p>
      <w:pPr>
        <w:ind w:left="380" w:right="60" w:firstLine="426"/>
        <w:spacing w:after="0" w:line="257" w:lineRule="auto"/>
        <w:rPr>
          <w:sz w:val="20"/>
          <w:szCs w:val="20"/>
          <w:color w:val="auto"/>
        </w:rPr>
      </w:pPr>
      <w:r>
        <w:rPr>
          <w:rFonts w:ascii="Arial" w:cs="Arial" w:eastAsia="Arial" w:hAnsi="Arial"/>
          <w:sz w:val="18"/>
          <w:szCs w:val="18"/>
          <w:color w:val="auto"/>
        </w:rPr>
        <w:t>We have developed a detailed plan for the more cost efficient and scalable manufacturing of our product candidates. We are establishing global manufacturing capabilities to support all aspects of the development and, if approved, the eventual commercialization of our gene therapies, from lentiviral vector production to cell processing. We are currently executing on our plans to move to a closed, automated manufacturing system. We also utilize a cryopreservation process that we believe will allow for the global distribution and, if approved, commercialization of our gene therapies.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2814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62814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Expertise</w:t>
      </w:r>
    </w:p>
    <w:p>
      <w:pPr>
        <w:spacing w:after="0" w:line="121" w:lineRule="exact"/>
        <w:rPr>
          <w:sz w:val="20"/>
          <w:szCs w:val="20"/>
          <w:color w:val="auto"/>
        </w:rPr>
      </w:pPr>
    </w:p>
    <w:p>
      <w:pPr>
        <w:ind w:left="380" w:right="180" w:firstLine="426"/>
        <w:spacing w:after="0" w:line="302" w:lineRule="auto"/>
        <w:rPr>
          <w:sz w:val="20"/>
          <w:szCs w:val="20"/>
          <w:color w:val="auto"/>
        </w:rPr>
      </w:pPr>
      <w:r>
        <w:rPr>
          <w:rFonts w:ascii="Arial" w:cs="Arial" w:eastAsia="Arial" w:hAnsi="Arial"/>
          <w:sz w:val="16"/>
          <w:szCs w:val="16"/>
          <w:color w:val="auto"/>
        </w:rPr>
        <w:t>We are led by biopharmaceutical experts with extensive experience in gene and cellular therapy and rare diseases. Our team has broad expertise in the clinical, regulatory and commercialization aspects of rare diseases as well as process development and manufacturing for cellular therapies. Members of our management team have held senior positions at Shire, Genzyme, Novartis, Lonza and other companies pursuing development, manufacturing and commercialization of gene and cellular therapies and therapies to treat rare diseases.</w:t>
      </w:r>
    </w:p>
    <w:p>
      <w:pPr>
        <w:spacing w:after="0" w:line="258"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80" w:right="40" w:firstLine="426"/>
        <w:spacing w:after="0" w:line="277" w:lineRule="auto"/>
        <w:rPr>
          <w:sz w:val="20"/>
          <w:szCs w:val="20"/>
          <w:color w:val="auto"/>
        </w:rPr>
      </w:pPr>
      <w:r>
        <w:rPr>
          <w:rFonts w:ascii="Arial" w:cs="Arial" w:eastAsia="Arial" w:hAnsi="Arial"/>
          <w:sz w:val="18"/>
          <w:szCs w:val="18"/>
          <w:color w:val="auto"/>
        </w:rPr>
        <w:t>Our goal is to develop and commercialize potentially curative lentiviral-based gene therapies for patients and expand the use of this approach to treat a number of diseases. Key elements of our strategy to achieve our goal include:</w:t>
      </w:r>
    </w:p>
    <w:p>
      <w:pPr>
        <w:spacing w:after="0" w:line="76" w:lineRule="exact"/>
        <w:rPr>
          <w:sz w:val="20"/>
          <w:szCs w:val="20"/>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Rapidly advance our initial gene therapies;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 first-line gene therapies for lysosomal storage diseases;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Globally develop, manufacture and commercialize our gene therapies;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Industrialize lentiviral-based gene therapy;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Leverage our approach beyond our initial indications.</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80" w:right="160" w:firstLine="426"/>
        <w:spacing w:after="0" w:line="342" w:lineRule="auto"/>
        <w:rPr>
          <w:sz w:val="20"/>
          <w:szCs w:val="20"/>
          <w:color w:val="auto"/>
        </w:rPr>
      </w:pPr>
      <w:r>
        <w:rPr>
          <w:rFonts w:ascii="Arial" w:cs="Arial" w:eastAsia="Arial" w:hAnsi="Arial"/>
          <w:sz w:val="16"/>
          <w:szCs w:val="16"/>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29" w:lineRule="exact"/>
        <w:rPr>
          <w:sz w:val="20"/>
          <w:szCs w:val="20"/>
          <w:color w:val="auto"/>
        </w:rPr>
      </w:pPr>
    </w:p>
    <w:p>
      <w:pPr>
        <w:ind w:left="1220" w:right="60" w:hanging="415"/>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incurred net losses since inception. We expect to incur net losses for the foreseeable future and may never achieve or maintain profitability.</w:t>
      </w:r>
    </w:p>
    <w:p>
      <w:pPr>
        <w:spacing w:after="0" w:line="75" w:lineRule="exact"/>
        <w:rPr>
          <w:rFonts w:ascii="Arial" w:cs="Arial" w:eastAsia="Arial" w:hAnsi="Arial"/>
          <w:sz w:val="18"/>
          <w:szCs w:val="18"/>
          <w:color w:val="auto"/>
        </w:rPr>
      </w:pPr>
    </w:p>
    <w:p>
      <w:pPr>
        <w:ind w:left="1220" w:right="180" w:hanging="415"/>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75" w:lineRule="exact"/>
        <w:rPr>
          <w:rFonts w:ascii="Arial" w:cs="Arial" w:eastAsia="Arial" w:hAnsi="Arial"/>
          <w:sz w:val="18"/>
          <w:szCs w:val="18"/>
          <w:color w:val="auto"/>
        </w:rPr>
      </w:pPr>
    </w:p>
    <w:p>
      <w:pPr>
        <w:ind w:left="1220" w:right="480" w:hanging="415"/>
        <w:spacing w:after="0" w:line="264"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86" w:lineRule="exact"/>
        <w:rPr>
          <w:rFonts w:ascii="Arial" w:cs="Arial" w:eastAsia="Arial" w:hAnsi="Arial"/>
          <w:sz w:val="18"/>
          <w:szCs w:val="18"/>
          <w:color w:val="auto"/>
        </w:rPr>
      </w:pPr>
    </w:p>
    <w:p>
      <w:pPr>
        <w:ind w:left="1220" w:right="100" w:hanging="415"/>
        <w:spacing w:after="0" w:line="259"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AVR-RD-01 is being investigated in an investigator-sponsored ongoing Phase 1 clinical trial, in which two patients have been dosed to date and a company-sponsored Phase 2 clinical trial, in which one patient has been dosed to date. We have not commenced clinical trials for any of our other product candidates. We have never completed pivotal clinical trials, and may be unable to do so for any product candidates we may develop, including AVR-RD-01.</w:t>
      </w:r>
    </w:p>
    <w:p>
      <w:pPr>
        <w:spacing w:after="0" w:line="92" w:lineRule="exact"/>
        <w:rPr>
          <w:rFonts w:ascii="Arial" w:cs="Arial" w:eastAsia="Arial" w:hAnsi="Arial"/>
          <w:sz w:val="18"/>
          <w:szCs w:val="18"/>
          <w:color w:val="auto"/>
        </w:rPr>
      </w:pPr>
    </w:p>
    <w:p>
      <w:pPr>
        <w:ind w:left="1220" w:right="240" w:hanging="415"/>
        <w:spacing w:after="0" w:line="277"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find it difficult to enroll patients in our clinical trials, which could delay or prevent us from proceeding with clinical trials of our product candidates.</w:t>
      </w:r>
    </w:p>
    <w:p>
      <w:pPr>
        <w:spacing w:after="0" w:line="75" w:lineRule="exact"/>
        <w:rPr>
          <w:rFonts w:ascii="Arial" w:cs="Arial" w:eastAsia="Arial" w:hAnsi="Arial"/>
          <w:sz w:val="18"/>
          <w:szCs w:val="18"/>
          <w:color w:val="auto"/>
        </w:rPr>
      </w:pPr>
    </w:p>
    <w:p>
      <w:pPr>
        <w:ind w:left="1220" w:hanging="415"/>
        <w:spacing w:after="0" w:line="279"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585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60585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960" w:hanging="415"/>
        <w:spacing w:after="0" w:line="342" w:lineRule="auto"/>
        <w:tabs>
          <w:tab w:leader="none" w:pos="1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29" w:lineRule="exact"/>
        <w:rPr>
          <w:rFonts w:ascii="Arial" w:cs="Arial" w:eastAsia="Arial" w:hAnsi="Arial"/>
          <w:sz w:val="16"/>
          <w:szCs w:val="16"/>
          <w:color w:val="auto"/>
        </w:rPr>
      </w:pPr>
    </w:p>
    <w:p>
      <w:pPr>
        <w:ind w:left="1220" w:right="180" w:hanging="415"/>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 therapies are novel, complex and difficult to manufacture. We could experience production problems that result in delays in our development or commercialization programs or otherwise adversely affect our business.</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Third-party claims of intellectual property infringement may prevent or delay our development and commercialization efforts.</w:t>
      </w:r>
    </w:p>
    <w:p>
      <w:pPr>
        <w:spacing w:after="0" w:line="142" w:lineRule="exact"/>
        <w:rPr>
          <w:rFonts w:ascii="Arial" w:cs="Arial" w:eastAsia="Arial" w:hAnsi="Arial"/>
          <w:sz w:val="17"/>
          <w:szCs w:val="17"/>
          <w:color w:val="auto"/>
        </w:rPr>
      </w:pPr>
    </w:p>
    <w:p>
      <w:pPr>
        <w:ind w:left="1220" w:right="20" w:hanging="415"/>
        <w:spacing w:after="0" w:line="259"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rights to develop and commercialize our product candidates are subject, in part, to the terms and conditions of licenses granted to us by others. In particular, we have in-licensed certain intellectual property rights and know-how relevant to AVR-RD-01 for our Fabry program and AVR-RD-02 for our Gaucher program, but do not own or license any patents or patent applications covering these product candidates.</w:t>
      </w:r>
    </w:p>
    <w:p>
      <w:pPr>
        <w:spacing w:after="0" w:line="92" w:lineRule="exact"/>
        <w:rPr>
          <w:rFonts w:ascii="Arial" w:cs="Arial" w:eastAsia="Arial" w:hAnsi="Arial"/>
          <w:sz w:val="18"/>
          <w:szCs w:val="18"/>
          <w:color w:val="auto"/>
        </w:rPr>
      </w:pPr>
    </w:p>
    <w:p>
      <w:pPr>
        <w:ind w:left="1220" w:right="140" w:hanging="415"/>
        <w:spacing w:after="0" w:line="264"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aware of issued patents in the United States that cover the lentiviral vectors used in the manufacture of our product candidates. While we believe that we have reasonable defenses against a claim of infringement, there can be no assurance that we will prevail in any such action by the holder of these patents.</w:t>
      </w:r>
    </w:p>
    <w:p>
      <w:pPr>
        <w:spacing w:after="0" w:line="86" w:lineRule="exact"/>
        <w:rPr>
          <w:rFonts w:ascii="Arial" w:cs="Arial" w:eastAsia="Arial" w:hAnsi="Arial"/>
          <w:sz w:val="18"/>
          <w:szCs w:val="18"/>
          <w:color w:val="auto"/>
        </w:rPr>
      </w:pPr>
    </w:p>
    <w:p>
      <w:pPr>
        <w:ind w:left="1220" w:right="300" w:hanging="415"/>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and our independent registered public accounting firm have identified material weaknesses in our internal control over financial reporting which will require remediation.</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History</w:t>
      </w:r>
    </w:p>
    <w:p>
      <w:pPr>
        <w:spacing w:after="0" w:line="121"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were formed as a corporation under the laws of the State of Delaware in November 2015 under the name AvroBio, Inc. Our corporate name was changed to AVROBIO, Inc. in June 2017. Our executive offices are located at One Kendall Square, Building 300, Suite 201, Cambridge, MA 02139 and our telephone number is (617) 914-8420. Our website address is www.avrobio.com. We do not incorporate the information on or accessible through our website into this prospectus, and you should not consider any information on, or that can be accessed through, our website as part of this prospectus.</w:t>
      </w:r>
    </w:p>
    <w:p>
      <w:pPr>
        <w:spacing w:after="0" w:line="188" w:lineRule="exact"/>
        <w:rPr>
          <w:sz w:val="20"/>
          <w:szCs w:val="20"/>
          <w:color w:val="auto"/>
        </w:rPr>
      </w:pPr>
    </w:p>
    <w:p>
      <w:pPr>
        <w:ind w:left="380" w:right="280" w:firstLine="426"/>
        <w:spacing w:after="0" w:line="312" w:lineRule="auto"/>
        <w:rPr>
          <w:sz w:val="20"/>
          <w:szCs w:val="20"/>
          <w:color w:val="auto"/>
        </w:rPr>
      </w:pPr>
      <w:r>
        <w:rPr>
          <w:rFonts w:ascii="Arial" w:cs="Arial" w:eastAsia="Arial" w:hAnsi="Arial"/>
          <w:sz w:val="16"/>
          <w:szCs w:val="16"/>
          <w:color w:val="auto"/>
        </w:rPr>
        <w:t xml:space="preserve">The trademarks, trade names and service marks appearing in this prospectus are the property of their respective owners. Solely for convenience, the trademarks and trade names in this prospectus are referred to without the symbols </w:t>
      </w:r>
      <w:r>
        <w:rPr>
          <w:rFonts w:ascii="Arial" w:cs="Arial" w:eastAsia="Arial" w:hAnsi="Arial"/>
          <w:sz w:val="13"/>
          <w:szCs w:val="13"/>
          <w:color w:val="auto"/>
        </w:rPr>
        <w:t>®</w:t>
      </w:r>
      <w:r>
        <w:rPr>
          <w:rFonts w:ascii="Arial" w:cs="Arial" w:eastAsia="Arial" w:hAnsi="Arial"/>
          <w:sz w:val="16"/>
          <w:szCs w:val="16"/>
          <w:color w:val="auto"/>
        </w:rPr>
        <w:t xml:space="preserve"> and ™, but such references should not be construed as any indicator that their respective owners will not assert, to the fullest extent under applicable law, their rights thereto.</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jc w:val="both"/>
        <w:ind w:left="380" w:right="140" w:firstLine="426"/>
        <w:spacing w:after="0" w:line="264"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As an emerging growth company, we may take advantage of specified reduced disclosure and other requirements that are otherwise applicable generally to public companies. These provisions include:</w:t>
      </w:r>
    </w:p>
    <w:p>
      <w:pPr>
        <w:spacing w:after="0" w:line="87" w:lineRule="exact"/>
        <w:rPr>
          <w:sz w:val="20"/>
          <w:szCs w:val="20"/>
          <w:color w:val="auto"/>
        </w:rPr>
      </w:pPr>
    </w:p>
    <w:p>
      <w:pPr>
        <w:ind w:left="1220" w:right="100" w:hanging="415"/>
        <w:spacing w:after="0" w:line="308" w:lineRule="auto"/>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51" w:lineRule="exact"/>
        <w:rPr>
          <w:rFonts w:ascii="Arial" w:cs="Arial" w:eastAsia="Arial" w:hAnsi="Arial"/>
          <w:sz w:val="17"/>
          <w:szCs w:val="17"/>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advisory votes on executive compensation or golden parachute arrangements;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240" w:top="459" w:right="6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9335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193357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240" w:hanging="415"/>
        <w:spacing w:after="0" w:line="342"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124" w:lineRule="exact"/>
        <w:rPr>
          <w:sz w:val="20"/>
          <w:szCs w:val="20"/>
          <w:color w:val="auto"/>
        </w:rPr>
      </w:pPr>
    </w:p>
    <w:p>
      <w:pPr>
        <w:ind w:left="380" w:firstLine="426"/>
        <w:spacing w:after="0" w:line="289" w:lineRule="auto"/>
        <w:rPr>
          <w:sz w:val="20"/>
          <w:szCs w:val="20"/>
          <w:color w:val="auto"/>
        </w:rPr>
      </w:pPr>
      <w:r>
        <w:rPr>
          <w:rFonts w:ascii="Arial" w:cs="Arial" w:eastAsia="Arial" w:hAnsi="Arial"/>
          <w:sz w:val="16"/>
          <w:szCs w:val="16"/>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$1.07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Securities and Exchange Commission, or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will not be subject to the same new or revised accounting standards as other public companies that are not emerging growth companies.</w:t>
      </w:r>
    </w:p>
    <w:p>
      <w:pPr>
        <w:spacing w:after="0" w:line="200" w:lineRule="exact"/>
        <w:rPr>
          <w:sz w:val="20"/>
          <w:szCs w:val="20"/>
          <w:color w:val="auto"/>
        </w:rPr>
      </w:pPr>
    </w:p>
    <w:p>
      <w:pPr>
        <w:spacing w:after="0" w:line="399"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24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40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THE OFFERING</w:t>
            </w:r>
          </w:p>
        </w:tc>
        <w:tc>
          <w:tcPr>
            <w:tcW w:w="0" w:type="dxa"/>
            <w:vAlign w:val="bottom"/>
          </w:tcPr>
          <w:p>
            <w:pPr>
              <w:spacing w:after="0"/>
              <w:rPr>
                <w:sz w:val="1"/>
                <w:szCs w:val="1"/>
                <w:color w:val="auto"/>
              </w:rPr>
            </w:pPr>
          </w:p>
        </w:tc>
      </w:tr>
      <w:tr>
        <w:trPr>
          <w:trHeight w:val="527"/>
        </w:trPr>
        <w:tc>
          <w:tcPr>
            <w:tcW w:w="462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6000" w:type="dxa"/>
            <w:vAlign w:val="bottom"/>
          </w:tcPr>
          <w:p>
            <w:pPr>
              <w:ind w:left="1020"/>
              <w:spacing w:after="0"/>
              <w:rPr>
                <w:sz w:val="20"/>
                <w:szCs w:val="20"/>
                <w:color w:val="auto"/>
              </w:rPr>
            </w:pPr>
            <w:r>
              <w:rPr>
                <w:rFonts w:ascii="Arial" w:cs="Arial" w:eastAsia="Arial" w:hAnsi="Arial"/>
                <w:sz w:val="18"/>
                <w:szCs w:val="18"/>
                <w:color w:val="auto"/>
              </w:rPr>
              <w:t>4,412,000 shares</w:t>
            </w: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0"/>
                <w:szCs w:val="20"/>
                <w:color w:val="auto"/>
              </w:rPr>
            </w:pPr>
            <w:r>
              <w:rPr>
                <w:rFonts w:ascii="Arial" w:cs="Arial" w:eastAsia="Arial" w:hAnsi="Arial"/>
                <w:sz w:val="18"/>
                <w:szCs w:val="18"/>
                <w:color w:val="auto"/>
                <w:w w:val="91"/>
              </w:rPr>
              <w:t>Common stock to be outstanding immediately after this offering</w:t>
            </w:r>
          </w:p>
        </w:tc>
        <w:tc>
          <w:tcPr>
            <w:tcW w:w="6000" w:type="dxa"/>
            <w:vAlign w:val="bottom"/>
            <w:vMerge w:val="restart"/>
          </w:tcPr>
          <w:p>
            <w:pPr>
              <w:ind w:left="1020"/>
              <w:spacing w:after="0"/>
              <w:rPr>
                <w:sz w:val="20"/>
                <w:szCs w:val="20"/>
                <w:color w:val="auto"/>
              </w:rPr>
            </w:pPr>
            <w:r>
              <w:rPr>
                <w:rFonts w:ascii="Arial" w:cs="Arial" w:eastAsia="Arial" w:hAnsi="Arial"/>
                <w:sz w:val="18"/>
                <w:szCs w:val="18"/>
                <w:color w:val="auto"/>
                <w:w w:val="93"/>
              </w:rPr>
              <w:t>22,313,687 shares (22,975,487 shares if the underwriters exercise</w:t>
            </w:r>
          </w:p>
        </w:tc>
        <w:tc>
          <w:tcPr>
            <w:tcW w:w="0" w:type="dxa"/>
            <w:vAlign w:val="bottom"/>
          </w:tcPr>
          <w:p>
            <w:pPr>
              <w:spacing w:after="0"/>
              <w:rPr>
                <w:sz w:val="1"/>
                <w:szCs w:val="1"/>
                <w:color w:val="auto"/>
              </w:rPr>
            </w:pPr>
          </w:p>
        </w:tc>
      </w:tr>
      <w:tr>
        <w:trPr>
          <w:trHeight w:val="202"/>
        </w:trPr>
        <w:tc>
          <w:tcPr>
            <w:tcW w:w="4620" w:type="dxa"/>
            <w:vAlign w:val="bottom"/>
          </w:tcPr>
          <w:p>
            <w:pPr>
              <w:spacing w:after="0"/>
              <w:rPr>
                <w:sz w:val="17"/>
                <w:szCs w:val="17"/>
                <w:color w:val="auto"/>
              </w:rPr>
            </w:pPr>
          </w:p>
        </w:tc>
        <w:tc>
          <w:tcPr>
            <w:tcW w:w="6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rPr>
              <w:t>their option to purchase additional shares in full)</w:t>
            </w:r>
          </w:p>
        </w:tc>
        <w:tc>
          <w:tcPr>
            <w:tcW w:w="0" w:type="dxa"/>
            <w:vAlign w:val="bottom"/>
          </w:tcPr>
          <w:p>
            <w:pPr>
              <w:spacing w:after="0"/>
              <w:rPr>
                <w:sz w:val="1"/>
                <w:szCs w:val="1"/>
                <w:color w:val="auto"/>
              </w:rPr>
            </w:pPr>
          </w:p>
        </w:tc>
      </w:tr>
      <w:tr>
        <w:trPr>
          <w:trHeight w:val="269"/>
        </w:trPr>
        <w:tc>
          <w:tcPr>
            <w:tcW w:w="4620" w:type="dxa"/>
            <w:vAlign w:val="bottom"/>
          </w:tcPr>
          <w:p>
            <w:pPr>
              <w:spacing w:after="0"/>
              <w:rPr>
                <w:sz w:val="20"/>
                <w:szCs w:val="20"/>
                <w:color w:val="auto"/>
              </w:rPr>
            </w:pPr>
            <w:r>
              <w:rPr>
                <w:rFonts w:ascii="Arial" w:cs="Arial" w:eastAsia="Arial" w:hAnsi="Arial"/>
                <w:sz w:val="18"/>
                <w:szCs w:val="18"/>
                <w:color w:val="auto"/>
              </w:rPr>
              <w:t>Underwriters’ option to purchase additional shares</w:t>
            </w:r>
          </w:p>
        </w:tc>
        <w:tc>
          <w:tcPr>
            <w:tcW w:w="6000" w:type="dxa"/>
            <w:vAlign w:val="bottom"/>
          </w:tcPr>
          <w:p>
            <w:pPr>
              <w:ind w:left="1020"/>
              <w:spacing w:after="0"/>
              <w:rPr>
                <w:sz w:val="20"/>
                <w:szCs w:val="20"/>
                <w:color w:val="auto"/>
              </w:rPr>
            </w:pPr>
            <w:r>
              <w:rPr>
                <w:rFonts w:ascii="Arial" w:cs="Arial" w:eastAsia="Arial" w:hAnsi="Arial"/>
                <w:sz w:val="18"/>
                <w:szCs w:val="18"/>
                <w:color w:val="auto"/>
                <w:w w:val="91"/>
              </w:rPr>
              <w:t>We have granted a 30-day option to the underwriters to purchase up</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5"/>
              </w:rPr>
              <w:t>to an aggregate of 661,800 additional shares of common stock</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6"/>
              </w:rPr>
              <w:t>from us at the public offering price, less underwriting discounts</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88"/>
              </w:rPr>
              <w:t>and commissions on the same terms as set forth in this prospectus.</w:t>
            </w:r>
          </w:p>
        </w:tc>
        <w:tc>
          <w:tcPr>
            <w:tcW w:w="0" w:type="dxa"/>
            <w:vAlign w:val="bottom"/>
          </w:tcPr>
          <w:p>
            <w:pPr>
              <w:spacing w:after="0"/>
              <w:rPr>
                <w:sz w:val="1"/>
                <w:szCs w:val="1"/>
                <w:color w:val="auto"/>
              </w:rPr>
            </w:pPr>
          </w:p>
        </w:tc>
      </w:tr>
      <w:tr>
        <w:trPr>
          <w:trHeight w:val="269"/>
        </w:trPr>
        <w:tc>
          <w:tcPr>
            <w:tcW w:w="4620" w:type="dxa"/>
            <w:vAlign w:val="bottom"/>
          </w:tcPr>
          <w:p>
            <w:pPr>
              <w:spacing w:after="0"/>
              <w:rPr>
                <w:sz w:val="20"/>
                <w:szCs w:val="20"/>
                <w:color w:val="auto"/>
              </w:rPr>
            </w:pPr>
            <w:r>
              <w:rPr>
                <w:rFonts w:ascii="Arial" w:cs="Arial" w:eastAsia="Arial" w:hAnsi="Arial"/>
                <w:sz w:val="18"/>
                <w:szCs w:val="18"/>
                <w:color w:val="auto"/>
              </w:rPr>
              <w:t>Use of proceeds</w:t>
            </w:r>
          </w:p>
        </w:tc>
        <w:tc>
          <w:tcPr>
            <w:tcW w:w="6000" w:type="dxa"/>
            <w:vAlign w:val="bottom"/>
          </w:tcPr>
          <w:p>
            <w:pPr>
              <w:ind w:left="1020"/>
              <w:spacing w:after="0"/>
              <w:rPr>
                <w:sz w:val="20"/>
                <w:szCs w:val="20"/>
                <w:color w:val="auto"/>
              </w:rPr>
            </w:pPr>
            <w:r>
              <w:rPr>
                <w:rFonts w:ascii="Arial" w:cs="Arial" w:eastAsia="Arial" w:hAnsi="Arial"/>
                <w:sz w:val="18"/>
                <w:szCs w:val="18"/>
                <w:color w:val="auto"/>
                <w:w w:val="89"/>
              </w:rPr>
              <w:t>We estimate that we will receive net proceeds from the sale of shares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rPr>
              <w:t>of our common stock in this offering of approximately</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6"/>
              </w:rPr>
              <w:t>$67.5 million, or $77.9 million if the underwriters exercise their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6"/>
              </w:rPr>
              <w:t>option to purchase additional shares in full, assuming an initial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2"/>
              </w:rPr>
              <w:t>public offering price of $17.00 per share, the midpoint of the price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7"/>
              </w:rPr>
              <w:t>range set forth on the cover page of this prospectus, and after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1"/>
              </w:rPr>
              <w:t>deducting estimated underwriting discounts and commissions and</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2"/>
              </w:rPr>
              <w:t>estimated offering expenses payable by us. We intend to use the</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6"/>
              </w:rPr>
              <w:t>net proceeds from this offering, together with our existing cash</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89"/>
              </w:rPr>
              <w:t>and cash equivalents, to advance our lead product candidate AVR-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89"/>
              </w:rPr>
              <w:t>RD-01; to advance our other product candidates and programs; for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1"/>
              </w:rPr>
              <w:t>our external and internal manufacturing and process development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1"/>
              </w:rPr>
              <w:t>activities; for research and development activities that relate to all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9"/>
              </w:rPr>
              <w:t>of our clinical and preclinical activities; and the remainder for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rPr>
              <w:t>planned general and administrative expenses, the costs of</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2"/>
              </w:rPr>
              <w:t>operating as a public company, working capital and other general</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rPr>
              <w:t>corporate purposes. For a more complete description of our</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rPr>
              <w:t>intended use of the proceeds from this offering, see “Use of</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rPr>
              <w:t>Proceeds.”</w:t>
            </w:r>
          </w:p>
        </w:tc>
        <w:tc>
          <w:tcPr>
            <w:tcW w:w="0" w:type="dxa"/>
            <w:vAlign w:val="bottom"/>
          </w:tcPr>
          <w:p>
            <w:pPr>
              <w:spacing w:after="0"/>
              <w:rPr>
                <w:sz w:val="1"/>
                <w:szCs w:val="1"/>
                <w:color w:val="auto"/>
              </w:rPr>
            </w:pPr>
          </w:p>
        </w:tc>
      </w:tr>
      <w:tr>
        <w:trPr>
          <w:trHeight w:val="269"/>
        </w:trPr>
        <w:tc>
          <w:tcPr>
            <w:tcW w:w="4620" w:type="dxa"/>
            <w:vAlign w:val="bottom"/>
          </w:tcPr>
          <w:p>
            <w:pPr>
              <w:spacing w:after="0"/>
              <w:rPr>
                <w:sz w:val="20"/>
                <w:szCs w:val="20"/>
                <w:color w:val="auto"/>
              </w:rPr>
            </w:pPr>
            <w:r>
              <w:rPr>
                <w:rFonts w:ascii="Arial" w:cs="Arial" w:eastAsia="Arial" w:hAnsi="Arial"/>
                <w:sz w:val="18"/>
                <w:szCs w:val="18"/>
                <w:color w:val="auto"/>
              </w:rPr>
              <w:t>Risk factors</w:t>
            </w:r>
          </w:p>
        </w:tc>
        <w:tc>
          <w:tcPr>
            <w:tcW w:w="6000" w:type="dxa"/>
            <w:vAlign w:val="bottom"/>
          </w:tcPr>
          <w:p>
            <w:pPr>
              <w:ind w:left="1020"/>
              <w:spacing w:after="0"/>
              <w:rPr>
                <w:sz w:val="20"/>
                <w:szCs w:val="20"/>
                <w:color w:val="auto"/>
              </w:rPr>
            </w:pPr>
            <w:r>
              <w:rPr>
                <w:rFonts w:ascii="Arial" w:cs="Arial" w:eastAsia="Arial" w:hAnsi="Arial"/>
                <w:sz w:val="18"/>
                <w:szCs w:val="18"/>
                <w:color w:val="auto"/>
              </w:rPr>
              <w:t>You should carefully read the “Risk Factors” section of this</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w w:val="96"/>
              </w:rPr>
              <w:t>prospectus for a discussion of factors that you should consider</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p>
        </w:tc>
        <w:tc>
          <w:tcPr>
            <w:tcW w:w="6000" w:type="dxa"/>
            <w:vAlign w:val="bottom"/>
          </w:tcPr>
          <w:p>
            <w:pPr>
              <w:ind w:left="1200"/>
              <w:spacing w:after="0"/>
              <w:rPr>
                <w:sz w:val="20"/>
                <w:szCs w:val="20"/>
                <w:color w:val="auto"/>
              </w:rPr>
            </w:pPr>
            <w:r>
              <w:rPr>
                <w:rFonts w:ascii="Arial" w:cs="Arial" w:eastAsia="Arial" w:hAnsi="Arial"/>
                <w:sz w:val="18"/>
                <w:szCs w:val="18"/>
                <w:color w:val="auto"/>
              </w:rPr>
              <w:t>before deciding to invest in our common stock.</w:t>
            </w:r>
          </w:p>
        </w:tc>
        <w:tc>
          <w:tcPr>
            <w:tcW w:w="0" w:type="dxa"/>
            <w:vAlign w:val="bottom"/>
          </w:tcPr>
          <w:p>
            <w:pPr>
              <w:spacing w:after="0"/>
              <w:rPr>
                <w:sz w:val="1"/>
                <w:szCs w:val="1"/>
                <w:color w:val="auto"/>
              </w:rPr>
            </w:pPr>
          </w:p>
        </w:tc>
      </w:tr>
      <w:tr>
        <w:trPr>
          <w:trHeight w:val="284"/>
        </w:trPr>
        <w:tc>
          <w:tcPr>
            <w:tcW w:w="4620" w:type="dxa"/>
            <w:vAlign w:val="bottom"/>
          </w:tcPr>
          <w:p>
            <w:pPr>
              <w:spacing w:after="0"/>
              <w:rPr>
                <w:sz w:val="20"/>
                <w:szCs w:val="20"/>
                <w:color w:val="auto"/>
              </w:rPr>
            </w:pPr>
            <w:r>
              <w:rPr>
                <w:rFonts w:ascii="Arial" w:cs="Arial" w:eastAsia="Arial" w:hAnsi="Arial"/>
                <w:sz w:val="18"/>
                <w:szCs w:val="18"/>
                <w:color w:val="auto"/>
              </w:rPr>
              <w:t>Proposed Nasdaq Global Market symbol</w:t>
            </w:r>
          </w:p>
        </w:tc>
        <w:tc>
          <w:tcPr>
            <w:tcW w:w="6000" w:type="dxa"/>
            <w:vAlign w:val="bottom"/>
          </w:tcPr>
          <w:p>
            <w:pPr>
              <w:ind w:left="1020"/>
              <w:spacing w:after="0"/>
              <w:rPr>
                <w:sz w:val="20"/>
                <w:szCs w:val="20"/>
                <w:color w:val="auto"/>
              </w:rPr>
            </w:pPr>
            <w:r>
              <w:rPr>
                <w:rFonts w:ascii="Arial" w:cs="Arial" w:eastAsia="Arial" w:hAnsi="Arial"/>
                <w:sz w:val="18"/>
                <w:szCs w:val="18"/>
                <w:color w:val="auto"/>
              </w:rPr>
              <w:t>“AVRO”</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80" w:right="160" w:firstLine="426"/>
        <w:spacing w:after="0" w:line="302" w:lineRule="auto"/>
        <w:rPr>
          <w:sz w:val="20"/>
          <w:szCs w:val="20"/>
          <w:color w:val="auto"/>
        </w:rPr>
      </w:pPr>
      <w:r>
        <w:rPr>
          <w:rFonts w:ascii="Arial" w:cs="Arial" w:eastAsia="Arial" w:hAnsi="Arial"/>
          <w:sz w:val="16"/>
          <w:szCs w:val="16"/>
          <w:color w:val="auto"/>
        </w:rPr>
        <w:t>Certain of our existing stockholders, including certain affiliates of our directors, have indicated an interest in purchasing an aggregate of approximately $37.5 million of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w:t>
      </w:r>
    </w:p>
    <w:p>
      <w:pPr>
        <w:spacing w:after="0" w:line="200" w:lineRule="exact"/>
        <w:rPr>
          <w:sz w:val="20"/>
          <w:szCs w:val="20"/>
          <w:color w:val="auto"/>
        </w:rPr>
      </w:pPr>
    </w:p>
    <w:p>
      <w:pPr>
        <w:spacing w:after="0" w:line="38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215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4215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640" w:firstLine="426"/>
        <w:spacing w:after="0" w:line="264" w:lineRule="auto"/>
        <w:rPr>
          <w:sz w:val="20"/>
          <w:szCs w:val="20"/>
          <w:color w:val="auto"/>
        </w:rPr>
      </w:pPr>
      <w:r>
        <w:rPr>
          <w:rFonts w:ascii="Arial" w:cs="Arial" w:eastAsia="Arial" w:hAnsi="Arial"/>
          <w:sz w:val="18"/>
          <w:szCs w:val="18"/>
          <w:color w:val="auto"/>
        </w:rPr>
        <w:t>The number of shares of our common stock to be outstanding after this offering is based on 2,581,474 shares of our common stock outstanding as of March 31, 2018, and gives effect to the conversion of all of our outstanding preferred stock into 15,320,213 shares of our common stock immediately prior to the closing of this offering, and excludes:</w:t>
      </w:r>
    </w:p>
    <w:p>
      <w:pPr>
        <w:spacing w:after="0" w:line="87" w:lineRule="exact"/>
        <w:rPr>
          <w:sz w:val="20"/>
          <w:szCs w:val="20"/>
          <w:color w:val="auto"/>
        </w:rPr>
      </w:pPr>
    </w:p>
    <w:p>
      <w:pPr>
        <w:ind w:left="1220" w:right="42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1,788,750 shares of common stock issuable upon the exercise of stock options outstanding as of March 31, 2018, with a weighted-average exercise price of $2.56 per share;</w:t>
      </w:r>
    </w:p>
    <w:p>
      <w:pPr>
        <w:spacing w:after="0" w:line="75" w:lineRule="exact"/>
        <w:rPr>
          <w:rFonts w:ascii="Arial" w:cs="Arial" w:eastAsia="Arial" w:hAnsi="Arial"/>
          <w:sz w:val="18"/>
          <w:szCs w:val="18"/>
          <w:color w:val="auto"/>
        </w:rPr>
      </w:pPr>
    </w:p>
    <w:p>
      <w:pPr>
        <w:ind w:left="1220" w:hanging="415"/>
        <w:spacing w:after="0" w:line="264"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6,850 shares of common stock issuable upon the exercise of a warrant to purchase preferred stock outstanding as of March 31, 2018 that will automatically become a warrant to purchase common stock upon the completion of this offering, with an exercise price of $3.2845 per share;</w:t>
      </w:r>
    </w:p>
    <w:p>
      <w:pPr>
        <w:spacing w:after="0" w:line="86" w:lineRule="exact"/>
        <w:rPr>
          <w:rFonts w:ascii="Arial" w:cs="Arial" w:eastAsia="Arial" w:hAnsi="Arial"/>
          <w:sz w:val="18"/>
          <w:szCs w:val="18"/>
          <w:color w:val="auto"/>
        </w:rPr>
      </w:pPr>
    </w:p>
    <w:p>
      <w:pPr>
        <w:ind w:left="122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additional 58,472 shares of common stock reserved for issuance under our Amended and Restated 2015 Stock Option and Grant Plan as of March 31, 2018, which shares will no longer be reserved following this offering;</w:t>
      </w:r>
    </w:p>
    <w:p>
      <w:pPr>
        <w:spacing w:after="0" w:line="75" w:lineRule="exact"/>
        <w:rPr>
          <w:rFonts w:ascii="Arial" w:cs="Arial" w:eastAsia="Arial" w:hAnsi="Arial"/>
          <w:sz w:val="18"/>
          <w:szCs w:val="18"/>
          <w:color w:val="auto"/>
        </w:rPr>
      </w:pPr>
    </w:p>
    <w:p>
      <w:pPr>
        <w:ind w:left="1220" w:right="18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additional 616,300 shares of common stock that will be made available for future issuance under our 2018 Stock Option and Grant Plan upon the effectiveness of the registration statement of which this prospectus forms a part; and</w:t>
      </w:r>
    </w:p>
    <w:p>
      <w:pPr>
        <w:spacing w:after="0" w:line="75" w:lineRule="exact"/>
        <w:rPr>
          <w:rFonts w:ascii="Arial" w:cs="Arial" w:eastAsia="Arial" w:hAnsi="Arial"/>
          <w:sz w:val="18"/>
          <w:szCs w:val="18"/>
          <w:color w:val="auto"/>
        </w:rPr>
      </w:pPr>
    </w:p>
    <w:p>
      <w:pPr>
        <w:ind w:left="1220" w:right="20" w:hanging="415"/>
        <w:spacing w:after="0" w:line="277"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additional 223,200 shares of common stock that will be made available for future issuance under our 2018 Employee Stock Purchase Plan upon the effectiveness of the registration statement of which this prospectus forms a part.</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Unless otherwise indicated, all information in this prospectus reflects or assumes the following:</w:t>
      </w:r>
    </w:p>
    <w:p>
      <w:pPr>
        <w:spacing w:after="0" w:line="131" w:lineRule="exact"/>
        <w:rPr>
          <w:sz w:val="20"/>
          <w:szCs w:val="20"/>
          <w:color w:val="auto"/>
        </w:rPr>
      </w:pPr>
    </w:p>
    <w:p>
      <w:pPr>
        <w:ind w:left="1220" w:right="180" w:hanging="415"/>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upon the closing of this offering;</w:t>
      </w:r>
    </w:p>
    <w:p>
      <w:pPr>
        <w:spacing w:after="0" w:line="75" w:lineRule="exact"/>
        <w:rPr>
          <w:rFonts w:ascii="Arial" w:cs="Arial" w:eastAsia="Arial" w:hAnsi="Arial"/>
          <w:sz w:val="18"/>
          <w:szCs w:val="18"/>
          <w:color w:val="auto"/>
        </w:rPr>
      </w:pPr>
    </w:p>
    <w:p>
      <w:pPr>
        <w:ind w:left="1220" w:right="280" w:hanging="415"/>
        <w:spacing w:after="0" w:line="277"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automatic conversion of all of our outstanding shares of preferred stock into an aggregate of 15,320,213 shares of common stock upon the closing of this offering;</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 issuance or exercise of outstanding options or warrants after March 31, 2018;</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1-for-4.132 reverse split of our common stock effected on June 7, 2018;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9"/>
        </w:numPr>
        <w:rPr>
          <w:rFonts w:ascii="Arial" w:cs="Arial" w:eastAsia="Arial" w:hAnsi="Arial"/>
          <w:sz w:val="17"/>
          <w:szCs w:val="17"/>
          <w:color w:val="auto"/>
        </w:rPr>
      </w:pPr>
      <w:r>
        <w:rPr>
          <w:rFonts w:ascii="Arial" w:cs="Arial" w:eastAsia="Arial" w:hAnsi="Arial"/>
          <w:sz w:val="17"/>
          <w:szCs w:val="17"/>
          <w:color w:val="auto"/>
        </w:rPr>
        <w:t>no exercise by the underwriters of their option to purchase up to 661,800 additional shares of common stock in this offering.</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67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66675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80" w:right="60" w:firstLine="426"/>
        <w:spacing w:after="0" w:line="289" w:lineRule="auto"/>
        <w:rPr>
          <w:sz w:val="20"/>
          <w:szCs w:val="20"/>
          <w:color w:val="auto"/>
        </w:rPr>
      </w:pPr>
      <w:r>
        <w:rPr>
          <w:rFonts w:ascii="Arial" w:cs="Arial" w:eastAsia="Arial" w:hAnsi="Arial"/>
          <w:sz w:val="16"/>
          <w:szCs w:val="16"/>
          <w:color w:val="auto"/>
        </w:rPr>
        <w:t>The summary consolidated statements of operations data presented below for the years ended December 31, 2016 and 2017 are derived from our audited consolidated financial statements included elsewhere in this prospectus. The consolidated statements of operations data for the three months ended March 31, 2017 and 2018 and the consolidated balance sheet data as of March 31, 2018 have been derived from our unaudited condensed consolidated financial statements included elsewhere in this prospectus and have been prepared on the same basis as the audited consolidated financial statements. In the opinion of management, the unaudited data reflects all adjustments, consisting only of normal recurring adjustments, necessary for a fair presentation of the financial information contained in those statements. Our historical results are not necessarily indicative of the results that may be expected in any future period. You should read the following summary consolidated financial data together with the information in the sections titled “Selected Consolidated Financial Data” and “Management’s Discussion and Analysis of Financial Condition and Results of Operations” and our consolidated financial statements and related notes included elsewhere in this prospectus.</w:t>
      </w:r>
    </w:p>
    <w:p>
      <w:pPr>
        <w:spacing w:after="0" w:line="173"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vMerge w:val="restart"/>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2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March 31,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20" w:type="dxa"/>
            <w:vAlign w:val="bottom"/>
            <w:gridSpan w:val="7"/>
          </w:tcPr>
          <w:p>
            <w:pPr>
              <w:jc w:val="right"/>
              <w:ind w:right="68"/>
              <w:spacing w:after="0" w:line="142" w:lineRule="exact"/>
              <w:rPr>
                <w:sz w:val="20"/>
                <w:szCs w:val="20"/>
                <w:color w:val="auto"/>
              </w:rPr>
            </w:pPr>
            <w:r>
              <w:rPr>
                <w:rFonts w:ascii="Arial" w:cs="Arial" w:eastAsia="Arial" w:hAnsi="Arial"/>
                <w:sz w:val="14"/>
                <w:szCs w:val="14"/>
                <w:b w:val="1"/>
                <w:bCs w:val="1"/>
                <w:color w:val="auto"/>
                <w:w w:val="93"/>
              </w:rPr>
              <w:t>(in thousands, except share and per share data)</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 of Operations Data:</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2,663</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15,191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5,647</w:t>
            </w:r>
          </w:p>
        </w:tc>
        <w:tc>
          <w:tcPr>
            <w:tcW w:w="0" w:type="dxa"/>
            <w:vAlign w:val="bottom"/>
          </w:tcPr>
          <w:p>
            <w:pPr>
              <w:spacing w:after="0"/>
              <w:rPr>
                <w:sz w:val="1"/>
                <w:szCs w:val="1"/>
                <w:color w:val="auto"/>
              </w:rPr>
            </w:pPr>
          </w:p>
        </w:tc>
      </w:tr>
      <w:tr>
        <w:trPr>
          <w:trHeight w:val="216"/>
        </w:trPr>
        <w:tc>
          <w:tcPr>
            <w:tcW w:w="55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1,962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18"/>
                <w:szCs w:val="18"/>
                <w:color w:val="auto"/>
              </w:rPr>
            </w:pPr>
          </w:p>
        </w:tc>
        <w:tc>
          <w:tcPr>
            <w:tcW w:w="1260" w:type="dxa"/>
            <w:vAlign w:val="bottom"/>
            <w:gridSpan w:val="2"/>
          </w:tcPr>
          <w:p>
            <w:pPr>
              <w:jc w:val="right"/>
              <w:ind w:right="468"/>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2,141</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4,625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18,386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2,044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23"/>
        </w:trPr>
        <w:tc>
          <w:tcPr>
            <w:tcW w:w="55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(18,386)</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1260" w:type="dxa"/>
            <w:vAlign w:val="bottom"/>
            <w:gridSpan w:val="2"/>
          </w:tcPr>
          <w:p>
            <w:pPr>
              <w:jc w:val="right"/>
              <w:ind w:right="46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 in fair value of preferred stock warrant liability</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540" w:type="dxa"/>
            <w:vAlign w:val="bottom"/>
          </w:tcPr>
          <w:p>
            <w:pPr>
              <w:ind w:left="380"/>
              <w:spacing w:after="0"/>
              <w:rPr>
                <w:sz w:val="20"/>
                <w:szCs w:val="20"/>
                <w:color w:val="auto"/>
              </w:rPr>
            </w:pPr>
            <w:r>
              <w:rPr>
                <w:rFonts w:ascii="Arial" w:cs="Arial" w:eastAsia="Arial" w:hAnsi="Arial"/>
                <w:sz w:val="18"/>
                <w:szCs w:val="18"/>
                <w:color w:val="auto"/>
              </w:rPr>
              <w:t>Change in fair value of derivative liability</w:t>
            </w: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1260" w:type="dxa"/>
            <w:vAlign w:val="bottom"/>
            <w:gridSpan w:val="2"/>
          </w:tcPr>
          <w:p>
            <w:pPr>
              <w:jc w:val="right"/>
              <w:ind w:right="408"/>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 expense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5540" w:type="dxa"/>
            <w:vAlign w:val="bottom"/>
          </w:tcPr>
          <w:p>
            <w:pPr>
              <w:ind w:left="740"/>
              <w:spacing w:after="0"/>
              <w:rPr>
                <w:sz w:val="20"/>
                <w:szCs w:val="20"/>
                <w:color w:val="auto"/>
              </w:rPr>
            </w:pPr>
            <w:r>
              <w:rPr>
                <w:rFonts w:ascii="Arial" w:cs="Arial" w:eastAsia="Arial" w:hAnsi="Arial"/>
                <w:sz w:val="18"/>
                <w:szCs w:val="18"/>
                <w:color w:val="auto"/>
              </w:rPr>
              <w:t>Total other expense, net</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(18,648)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20"/>
              <w:spacing w:after="0"/>
              <w:rPr>
                <w:sz w:val="20"/>
                <w:szCs w:val="20"/>
                <w:color w:val="auto"/>
              </w:rPr>
            </w:pPr>
            <w:r>
              <w:rPr>
                <w:rFonts w:ascii="Arial" w:cs="Arial" w:eastAsia="Arial" w:hAnsi="Arial"/>
                <w:sz w:val="18"/>
                <w:szCs w:val="18"/>
                <w:color w:val="auto"/>
              </w:rPr>
              <w:t>Reconciliation of net loss to net loss attributable to common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0"/>
              <w:spacing w:after="0"/>
              <w:rPr>
                <w:sz w:val="20"/>
                <w:szCs w:val="20"/>
                <w:color w:val="auto"/>
              </w:rPr>
            </w:pPr>
            <w:r>
              <w:rPr>
                <w:rFonts w:ascii="Arial" w:cs="Arial" w:eastAsia="Arial" w:hAnsi="Arial"/>
                <w:sz w:val="18"/>
                <w:szCs w:val="18"/>
                <w:color w:val="auto"/>
              </w:rPr>
              <w:t>stockholders: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(4,664)</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(18,648)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(2,077)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2"/>
        </w:trPr>
        <w:tc>
          <w:tcPr>
            <w:tcW w:w="5540" w:type="dxa"/>
            <w:vAlign w:val="bottom"/>
          </w:tcPr>
          <w:p>
            <w:pPr>
              <w:ind w:left="20"/>
              <w:spacing w:after="0" w:line="201" w:lineRule="exact"/>
              <w:rPr>
                <w:sz w:val="20"/>
                <w:szCs w:val="20"/>
                <w:color w:val="auto"/>
              </w:rPr>
            </w:pPr>
            <w:r>
              <w:rPr>
                <w:rFonts w:ascii="Arial" w:cs="Arial" w:eastAsia="Arial" w:hAnsi="Arial"/>
                <w:sz w:val="18"/>
                <w:szCs w:val="18"/>
                <w:color w:val="auto"/>
              </w:rPr>
              <w:t>Accretion of redeemable convertible preferred stock to redemption</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1260" w:type="dxa"/>
            <w:vAlign w:val="bottom"/>
            <w:gridSpan w:val="2"/>
          </w:tcPr>
          <w:p>
            <w:pPr>
              <w:jc w:val="right"/>
              <w:ind w:right="408"/>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(4,969)</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(18,733)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(2,124)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20"/>
              <w:spacing w:after="0"/>
              <w:rPr>
                <w:sz w:val="20"/>
                <w:szCs w:val="20"/>
                <w:color w:val="auto"/>
              </w:rPr>
            </w:pPr>
            <w:r>
              <w:rPr>
                <w:rFonts w:ascii="Arial" w:cs="Arial" w:eastAsia="Arial" w:hAnsi="Arial"/>
                <w:sz w:val="18"/>
                <w:szCs w:val="18"/>
                <w:color w:val="auto"/>
              </w:rPr>
              <w:t>Net loss per share attributable to common stockholders—basic and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(8.38)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8"/>
              <w:spacing w:after="0"/>
              <w:rPr>
                <w:sz w:val="20"/>
                <w:szCs w:val="20"/>
                <w:color w:val="auto"/>
              </w:rPr>
            </w:pPr>
            <w:r>
              <w:rPr>
                <w:rFonts w:ascii="Arial" w:cs="Arial" w:eastAsia="Arial" w:hAnsi="Arial"/>
                <w:sz w:val="18"/>
                <w:szCs w:val="18"/>
                <w:color w:val="auto"/>
              </w:rPr>
              <w:t>(0.97)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outstanding—basic and diluted</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2,038,025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2,235,865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w w:val="87"/>
              </w:rPr>
              <w:t>2,181,715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2,324,790</w:t>
            </w:r>
          </w:p>
        </w:tc>
        <w:tc>
          <w:tcPr>
            <w:tcW w:w="0" w:type="dxa"/>
            <w:vAlign w:val="bottom"/>
          </w:tcPr>
          <w:p>
            <w:pPr>
              <w:spacing w:after="0"/>
              <w:rPr>
                <w:sz w:val="1"/>
                <w:szCs w:val="1"/>
                <w:color w:val="auto"/>
              </w:rPr>
            </w:pPr>
          </w:p>
        </w:tc>
      </w:tr>
      <w:tr>
        <w:trPr>
          <w:trHeight w:val="202"/>
        </w:trPr>
        <w:tc>
          <w:tcPr>
            <w:tcW w:w="5540" w:type="dxa"/>
            <w:vAlign w:val="bottom"/>
          </w:tcPr>
          <w:p>
            <w:pPr>
              <w:ind w:left="20"/>
              <w:spacing w:after="0" w:line="201" w:lineRule="exact"/>
              <w:rPr>
                <w:sz w:val="20"/>
                <w:szCs w:val="20"/>
                <w:color w:val="auto"/>
              </w:rPr>
            </w:pPr>
            <w:r>
              <w:rPr>
                <w:rFonts w:ascii="Arial" w:cs="Arial" w:eastAsia="Arial" w:hAnsi="Arial"/>
                <w:sz w:val="18"/>
                <w:szCs w:val="18"/>
                <w:color w:val="auto"/>
              </w:rPr>
              <w:t>Pro forma net loss per share attributable to common stockholders—</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tcPr>
          <w:p>
            <w:pPr>
              <w:ind w:left="200"/>
              <w:spacing w:after="0"/>
              <w:rPr>
                <w:sz w:val="20"/>
                <w:szCs w:val="20"/>
                <w:color w:val="auto"/>
              </w:rPr>
            </w:pPr>
            <w:r>
              <w:rPr>
                <w:rFonts w:ascii="Arial" w:cs="Arial" w:eastAsia="Arial" w:hAnsi="Arial"/>
                <w:sz w:val="18"/>
                <w:szCs w:val="18"/>
                <w:color w:val="auto"/>
              </w:rPr>
              <w:t>basic and diluted</w:t>
            </w:r>
            <w:r>
              <w:rPr>
                <w:rFonts w:ascii="Arial" w:cs="Arial" w:eastAsia="Arial" w:hAnsi="Arial"/>
                <w:sz w:val="15"/>
                <w:szCs w:val="15"/>
                <w:color w:val="auto"/>
              </w:rPr>
              <w:t>(1)</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99"/>
              </w:rPr>
              <w:t>Pro forma weighted-average common shares outstanding—basic and</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6,922,173</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16,187,901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800" w:right="200" w:hanging="414"/>
        <w:spacing w:after="0" w:line="312"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See Notes 2 and 13 to our audited consolidated financial statements and Note 12 to our unaudited condensed consolidated financial statements appearing elsewhere in this prospectus for further details on the calculation of basic and diluted net loss per share attributable to common stockholders and on the calculation of pro forma basic and diluted net loss per share attributable to common stockholders.</w:t>
      </w:r>
    </w:p>
    <w:p>
      <w:pPr>
        <w:spacing w:after="0" w:line="200" w:lineRule="exact"/>
        <w:rPr>
          <w:sz w:val="20"/>
          <w:szCs w:val="20"/>
          <w:color w:val="auto"/>
        </w:rPr>
      </w:pPr>
    </w:p>
    <w:p>
      <w:pPr>
        <w:spacing w:after="0" w:line="37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7891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2145" cy="47891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March 31, 2018</w:t>
            </w:r>
          </w:p>
        </w:tc>
        <w:tc>
          <w:tcPr>
            <w:tcW w:w="9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80" w:type="dxa"/>
            <w:vAlign w:val="bottom"/>
          </w:tcPr>
          <w:p>
            <w:pPr>
              <w:spacing w:after="0"/>
              <w:rPr>
                <w:sz w:val="10"/>
                <w:szCs w:val="10"/>
                <w:color w:val="auto"/>
              </w:rPr>
            </w:pPr>
          </w:p>
        </w:tc>
        <w:tc>
          <w:tcPr>
            <w:tcW w:w="8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Actual</w:t>
            </w:r>
          </w:p>
        </w:tc>
        <w:tc>
          <w:tcPr>
            <w:tcW w:w="152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(2)</w:t>
            </w:r>
          </w:p>
        </w:tc>
        <w:tc>
          <w:tcPr>
            <w:tcW w:w="940" w:type="dxa"/>
            <w:vAlign w:val="bottom"/>
          </w:tcPr>
          <w:p>
            <w:pPr>
              <w:ind w:left="160"/>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8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95"/>
              </w:rPr>
              <w:t>As Adjusted</w:t>
            </w:r>
            <w:r>
              <w:rPr>
                <w:rFonts w:ascii="Arial" w:cs="Arial" w:eastAsia="Arial" w:hAnsi="Arial"/>
                <w:sz w:val="12"/>
                <w:szCs w:val="12"/>
                <w:b w:val="1"/>
                <w:bCs w:val="1"/>
                <w:color w:val="auto"/>
                <w:w w:val="95"/>
              </w:rPr>
              <w:t>(3)</w:t>
            </w:r>
          </w:p>
        </w:tc>
        <w:tc>
          <w:tcPr>
            <w:tcW w:w="0" w:type="dxa"/>
            <w:vAlign w:val="bottom"/>
          </w:tcPr>
          <w:p>
            <w:pPr>
              <w:spacing w:after="0"/>
              <w:rPr>
                <w:sz w:val="1"/>
                <w:szCs w:val="1"/>
                <w:color w:val="auto"/>
              </w:rPr>
            </w:pPr>
          </w:p>
        </w:tc>
      </w:tr>
      <w:tr>
        <w:trPr>
          <w:trHeight w:val="142"/>
        </w:trPr>
        <w:tc>
          <w:tcPr>
            <w:tcW w:w="728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8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w w:val="91"/>
              </w:rPr>
              <w:t>$ 57,928</w:t>
            </w:r>
          </w:p>
        </w:tc>
        <w:tc>
          <w:tcPr>
            <w:tcW w:w="1520" w:type="dxa"/>
            <w:vAlign w:val="bottom"/>
          </w:tcPr>
          <w:p>
            <w:pPr>
              <w:jc w:val="right"/>
              <w:ind w:right="315"/>
              <w:spacing w:after="0"/>
              <w:rPr>
                <w:sz w:val="20"/>
                <w:szCs w:val="20"/>
                <w:color w:val="auto"/>
              </w:rPr>
            </w:pPr>
            <w:r>
              <w:rPr>
                <w:rFonts w:ascii="Arial" w:cs="Arial" w:eastAsia="Arial" w:hAnsi="Arial"/>
                <w:sz w:val="18"/>
                <w:szCs w:val="18"/>
                <w:color w:val="auto"/>
              </w:rPr>
              <w:t>$   57,928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   123,461</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53,420</w:t>
            </w:r>
          </w:p>
        </w:tc>
        <w:tc>
          <w:tcPr>
            <w:tcW w:w="152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53,420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119,454</w:t>
            </w: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60,216</w:t>
            </w:r>
          </w:p>
        </w:tc>
        <w:tc>
          <w:tcPr>
            <w:tcW w:w="1520" w:type="dxa"/>
            <w:vAlign w:val="bottom"/>
          </w:tcPr>
          <w:p>
            <w:pPr>
              <w:jc w:val="right"/>
              <w:ind w:right="315"/>
              <w:spacing w:after="0"/>
              <w:rPr>
                <w:sz w:val="20"/>
                <w:szCs w:val="20"/>
                <w:color w:val="auto"/>
              </w:rPr>
            </w:pPr>
            <w:r>
              <w:rPr>
                <w:rFonts w:ascii="Arial" w:cs="Arial" w:eastAsia="Arial" w:hAnsi="Arial"/>
                <w:sz w:val="18"/>
                <w:szCs w:val="18"/>
                <w:color w:val="auto"/>
              </w:rPr>
              <w:t>60,216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125,193</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to purchase redeemable convertible preferred stock</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47</w:t>
            </w:r>
          </w:p>
        </w:tc>
        <w:tc>
          <w:tcPr>
            <w:tcW w:w="152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color w:val="auto"/>
              </w:rPr>
              <w:t>Derivative liability</w:t>
            </w:r>
          </w:p>
        </w:tc>
        <w:tc>
          <w:tcPr>
            <w:tcW w:w="860" w:type="dxa"/>
            <w:vAlign w:val="bottom"/>
          </w:tcPr>
          <w:p>
            <w:pPr>
              <w:jc w:val="right"/>
              <w:ind w:right="112"/>
              <w:spacing w:after="0"/>
              <w:rPr>
                <w:sz w:val="20"/>
                <w:szCs w:val="20"/>
                <w:color w:val="auto"/>
              </w:rPr>
            </w:pPr>
            <w:r>
              <w:rPr>
                <w:rFonts w:ascii="Arial" w:cs="Arial" w:eastAsia="Arial" w:hAnsi="Arial"/>
                <w:sz w:val="18"/>
                <w:szCs w:val="18"/>
                <w:color w:val="auto"/>
              </w:rPr>
              <w:t>958</w:t>
            </w:r>
          </w:p>
        </w:tc>
        <w:tc>
          <w:tcPr>
            <w:tcW w:w="1520" w:type="dxa"/>
            <w:vAlign w:val="bottom"/>
          </w:tcPr>
          <w:p>
            <w:pPr>
              <w:jc w:val="right"/>
              <w:ind w:right="315"/>
              <w:spacing w:after="0"/>
              <w:rPr>
                <w:sz w:val="20"/>
                <w:szCs w:val="20"/>
                <w:color w:val="auto"/>
              </w:rPr>
            </w:pPr>
            <w:r>
              <w:rPr>
                <w:rFonts w:ascii="Arial" w:cs="Arial" w:eastAsia="Arial" w:hAnsi="Arial"/>
                <w:sz w:val="18"/>
                <w:szCs w:val="18"/>
                <w:color w:val="auto"/>
              </w:rPr>
              <w:t>958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8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87,500</w:t>
            </w:r>
          </w:p>
        </w:tc>
        <w:tc>
          <w:tcPr>
            <w:tcW w:w="152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Total stockholders’ (deficit) equity</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(33,511)</w:t>
            </w:r>
          </w:p>
        </w:tc>
        <w:tc>
          <w:tcPr>
            <w:tcW w:w="1520" w:type="dxa"/>
            <w:vAlign w:val="bottom"/>
          </w:tcPr>
          <w:p>
            <w:pPr>
              <w:jc w:val="right"/>
              <w:ind w:right="315"/>
              <w:spacing w:after="0"/>
              <w:rPr>
                <w:sz w:val="20"/>
                <w:szCs w:val="20"/>
                <w:color w:val="auto"/>
              </w:rPr>
            </w:pPr>
            <w:r>
              <w:rPr>
                <w:rFonts w:ascii="Arial" w:cs="Arial" w:eastAsia="Arial" w:hAnsi="Arial"/>
                <w:sz w:val="18"/>
                <w:szCs w:val="18"/>
                <w:color w:val="auto"/>
              </w:rPr>
              <w:t>54,036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120,472</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800" w:hanging="414"/>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23" w:lineRule="exact"/>
        <w:rPr>
          <w:rFonts w:ascii="Arial" w:cs="Arial" w:eastAsia="Arial" w:hAnsi="Arial"/>
          <w:sz w:val="18"/>
          <w:szCs w:val="18"/>
          <w:color w:val="auto"/>
        </w:rPr>
      </w:pPr>
    </w:p>
    <w:p>
      <w:pPr>
        <w:jc w:val="both"/>
        <w:ind w:left="800" w:right="60" w:hanging="414"/>
        <w:spacing w:after="0" w:line="281"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pro forma balance sheet data gives effect to (i) the conversion of all outstanding shares of redeemable convertible preferred stock into an aggregate of 15,320,213 shares of common stock upon the closing of this offering; and (ii) the outstanding warrant to purchase shares of our redeemable convertible preferred stock becoming a warrant to purchase shares of our common stock upon the closing of this offering.</w:t>
      </w:r>
    </w:p>
    <w:p>
      <w:pPr>
        <w:spacing w:after="0" w:line="2" w:lineRule="exact"/>
        <w:rPr>
          <w:rFonts w:ascii="Arial" w:cs="Arial" w:eastAsia="Arial" w:hAnsi="Arial"/>
          <w:sz w:val="16"/>
          <w:szCs w:val="16"/>
          <w:color w:val="auto"/>
        </w:rPr>
      </w:pPr>
    </w:p>
    <w:p>
      <w:pPr>
        <w:ind w:left="800" w:right="20" w:hanging="414"/>
        <w:spacing w:after="0" w:line="284"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pro forma as adjusted balance sheet data gives effect to the pro forma adjustments described in footnote (2) above, as well as (i) our issuance and sale of 4,412,000 shares of common stock in this offering at an assumed initial public offering price of $17.00 per share, the midpoint of the price range set forth on the cover page of this prospectus, after deducting estimated underwriting discounts and commissions and estimated offering expenses payable by us and (ii) the payment by us of an aggregate of $2.0 million to University Health Network pursuant to the Stock Purchase Agreement, dated as of January 27, 2016, between us and University Health Network, in connection with this offering. Additionally, for purposes of the pro forma as adjusted amounts shown above, the net proceeds to be received by us from the sale of common stock in this offering have been increased by approximately $55,000 to reflect the estimated offering expenses that had been paid by us as of March 31, 2018. Each $1.00 increase (decrease) in the assumed initial public offering price of $17.00 per share, the midpoint of the price range set forth on the cover page of this prospectus, would increase (decrease) the pro forma as adjusted amount of each of cash and cash equivalents, working capital, total assets and total stockholders’ equity by $4.1 million, assuming that the number of shares offered by 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 (decrease) the pro forma as adjusted amount of each of cash and cash equivalents, working capital, total assets and total stockholders’ equity by $15.8 million, assuming no change in the assumed initial public offering price per share and after deducting estimated underwriting discounts and commissions and estimated offering expenses payable by us. This pro forma as adjusted information is illustrative only and will depend on the actual initial public offering price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following risks and uncertainties, together with all other information in this prospectus, including our consolidated financial statements and related notes and “Management’s Discussion and Analysis of Financial Condition and Results of Operations,” before investing in our common stock. Any of the risk factors we describe below could adversely affect our business, financial condition or results of operations. The market price of our common stock could decline if one or more of these risks or uncertainties were to occur, which may cause you to lose all or part of the money you paid to buy our common stock. Additional risks that are currently unknown to us or that we currently believe to be immaterial may also impair our business. Certain statements below are forward-looking statements. See “Special Note Regarding Forward-Looking Statements” in this prospectus.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21" w:lineRule="exact"/>
        <w:rPr>
          <w:sz w:val="20"/>
          <w:szCs w:val="20"/>
          <w:color w:val="auto"/>
        </w:rPr>
      </w:pPr>
    </w:p>
    <w:p>
      <w:pPr>
        <w:ind w:left="640" w:right="540"/>
        <w:spacing w:after="0" w:line="277" w:lineRule="auto"/>
        <w:rPr>
          <w:sz w:val="20"/>
          <w:szCs w:val="20"/>
          <w:color w:val="auto"/>
        </w:rPr>
      </w:pPr>
      <w:r>
        <w:rPr>
          <w:rFonts w:ascii="Arial" w:cs="Arial" w:eastAsia="Arial" w:hAnsi="Arial"/>
          <w:sz w:val="18"/>
          <w:szCs w:val="18"/>
          <w:b w:val="1"/>
          <w:bCs w:val="1"/>
          <w:i w:val="1"/>
          <w:iCs w:val="1"/>
          <w:color w:val="auto"/>
        </w:rPr>
        <w:t>We have incurred net losses since inception. We expect to incur net losses for the foreseeable future and may never achieve or maintain profitability.</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Since inception, we have incurred net losses. We incurred net losses of $4.7 million, $18.6 million and $8.2 million for the years ended December 31, 2016 and 2017, and the three months ended March 31, 2018, respectively. We historically have financed our operations primarily through private placements of our preferred stock. We have devoted substantially all of our efforts to research and development, including clinical and preclinical development of our product candidates, as well as assembling our team. We expect that it will be several years, if ever, before we have commercialized any product candidates. We expect to continue to incur significant expenses and increasing operating losses for the foreseeable future. We anticipate that our expenses will increase substantially if, and as, we:</w:t>
      </w:r>
    </w:p>
    <w:p>
      <w:pPr>
        <w:spacing w:after="0" w:line="99" w:lineRule="exact"/>
        <w:rPr>
          <w:sz w:val="20"/>
          <w:szCs w:val="20"/>
          <w:color w:val="auto"/>
        </w:rPr>
      </w:pPr>
    </w:p>
    <w:p>
      <w:pPr>
        <w:ind w:left="106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recently initiated Phase 2 clinical trial for AVR-RD-01;</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identify and develop or in-license additional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1060" w:right="36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transition our organization to being a public company.</w:t>
      </w:r>
    </w:p>
    <w:p>
      <w:pPr>
        <w:spacing w:after="0" w:line="225"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To become and remain profitable, we must develop and eventually commercialize product candidates with significant market potential. This will require us to be successful in a range of challenging activities, and our expenses will increase substantially as we seek to complete preclinical and clinical trials of our product candidates, and manufacture, market and sell these or any future product candidates for which we may obtain marketing approval, if any, and satisfy any post-marketing requirements. We may never succeed in any or all of these activities and, even if we do, we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or continue our operations. A decline in the value of our company also could cause you to lose all or part of your investment.</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do not expect to do so for the next several years, if ever.</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collaborative partners, to successfully complete the development of, and obtain the regulatory approvals necessary to commercialize, our product candidates. We do not anticipate generating revenues from product sales for the next several years, if ever. Our ability to generate future revenues from product sales depends heavily on our, or our collaborators’, success in:</w:t>
      </w:r>
    </w:p>
    <w:p>
      <w:pPr>
        <w:spacing w:after="0" w:line="92" w:lineRule="exact"/>
        <w:rPr>
          <w:sz w:val="20"/>
          <w:szCs w:val="20"/>
          <w:color w:val="auto"/>
        </w:rPr>
      </w:pPr>
    </w:p>
    <w:p>
      <w:pPr>
        <w:ind w:left="1060" w:right="22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completing research and preclinical and clinical development of our product candidates and identifying new lentiviral-based gene therapy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seeking and obtaining regulatory and marketing approvals for product candidates for which we complete clinical trials;</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by establishing a sales force, marketing and distribution infrastructure or, alternatively, collaborating with a commercialization partner;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qualifying for adequate coverage and reimbursement by government and third-party payors for our product candidates;</w:t>
      </w:r>
    </w:p>
    <w:p>
      <w:pPr>
        <w:spacing w:after="0" w:line="130" w:lineRule="exact"/>
        <w:rPr>
          <w:rFonts w:ascii="Arial" w:cs="Arial" w:eastAsia="Arial" w:hAnsi="Arial"/>
          <w:sz w:val="18"/>
          <w:szCs w:val="18"/>
          <w:color w:val="auto"/>
        </w:rPr>
      </w:pPr>
    </w:p>
    <w:p>
      <w:pPr>
        <w:ind w:left="1060" w:right="160" w:hanging="424"/>
        <w:spacing w:after="0" w:line="342" w:lineRule="auto"/>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processes and relationships with third parties that can provide adequate, in both amount and quality, products and services to support clinical development and the market demand for our product candidates, if approved;</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if approved, as a viable treatment option;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30"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under such arrangements;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FDA or other foreign regulatory authorities to perform clinical and other studies in addition to those that we currently anticipate. Even if we are able to generate revenues from the sale of any approved products, we may not become profitable and may need to obtain additional funding to continue operations.</w:t>
      </w:r>
    </w:p>
    <w:p>
      <w:pPr>
        <w:spacing w:after="0" w:line="262" w:lineRule="exact"/>
        <w:rPr>
          <w:sz w:val="20"/>
          <w:szCs w:val="20"/>
          <w:color w:val="auto"/>
        </w:rPr>
      </w:pPr>
    </w:p>
    <w:p>
      <w:pPr>
        <w:ind w:left="640" w:right="20"/>
        <w:spacing w:after="0" w:line="342" w:lineRule="auto"/>
        <w:rPr>
          <w:sz w:val="20"/>
          <w:szCs w:val="20"/>
          <w:color w:val="auto"/>
        </w:rPr>
      </w:pPr>
      <w:r>
        <w:rPr>
          <w:rFonts w:ascii="Arial" w:cs="Arial" w:eastAsia="Arial" w:hAnsi="Arial"/>
          <w:sz w:val="16"/>
          <w:szCs w:val="16"/>
          <w:b w:val="1"/>
          <w:bCs w:val="1"/>
          <w:i w:val="1"/>
          <w:iCs w:val="1"/>
          <w:color w:val="auto"/>
        </w:rPr>
        <w:t>Even if this offering is successful, we will need additional funding, which may not be available on acceptable terms, or at all. Failure to obtain this necessary capital when needed may force us to delay, limit or terminate our product development efforts or other operations.</w:t>
      </w:r>
    </w:p>
    <w:p>
      <w:pPr>
        <w:spacing w:after="0" w:line="1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expect our expenses to increase in connection with our ongoing activities, particularly as we continue the research and development of, initiate further clinical trials of and seek marketing approval for, our product candidates and continue to enhance and optimize our vector technology and manufacturing processes. In addition, if we obtain marketing approval for any of our product candidates, we expect to incur significant expenses related to product sales, medical affairs, marketing, manufacturing and distribution. Furthermore, upon the closing of this offering, we expect to incur additional costs associated with operating as a public company. Accordingly, we will need to obtain substantial additional funding in connection with our continuing operations. If we are unable to raise capital when needed or on reasonable terms, we would be forced to delay, reduce or eliminate certain of our research and development programs.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24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060" w:right="20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laboratory testing, preclinical development and clinical trials for our other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future activities, including product sales, medical affairs, marketing, manufacturing and distribution, for any of our product candidates for which we receive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associated with our manufacturing process development and evaluation of third-party manufacturers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revenue, if any, received from commercial sale of our products, should any of our product candidates receive marketing approval;</w:t>
      </w:r>
    </w:p>
    <w:p>
      <w:pPr>
        <w:spacing w:after="0" w:line="142" w:lineRule="exact"/>
        <w:rPr>
          <w:rFonts w:ascii="Arial" w:cs="Arial" w:eastAsia="Arial" w:hAnsi="Arial"/>
          <w:sz w:val="17"/>
          <w:szCs w:val="17"/>
          <w:color w:val="auto"/>
        </w:rPr>
      </w:pPr>
    </w:p>
    <w:p>
      <w:pPr>
        <w:ind w:left="1060" w:right="220" w:hanging="42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terms of our current and any future license agreements and collaborations;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technologies and intellectual property.</w:t>
      </w:r>
    </w:p>
    <w:p>
      <w:pPr>
        <w:spacing w:after="0" w:line="225"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product revenues, if any, will be derived from or based on sales of products that may not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Raising additional capital may cause dilution to our existing stockholders, restrict our operations or cause us to relinquish valuable rights.</w:t>
      </w:r>
    </w:p>
    <w:p>
      <w:pPr>
        <w:spacing w:after="0" w:line="14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may seek additional capital through a combination of public and private equity offerings, debt financings, strategic partnerships and alliances and licensing arrangements. To the extent that we raise additional capital through the sale of equity, convertible debt securities or other equity-based derivative securities, your ownership interest will be diluted and the terms may include liquidation or other preferences that adversely affect your rights as a stockholder. Any additional indebtedness we incur would result in increased fixed payment obligations and could involve restrictive covenants, such as limitations on our ability to incur additional debt, limitations on our ability to acquire or license intellectual property rights and other operating restrictions that could adversely impact our ability to conduct our business. Furthermore, the issuance of additional securities, whether equity or debt, by us, or the possibility of such issuance, may cause the market price of our common stock to decline and existing stockholders may not agree with our financing plans or the terms of such financings. If we raise additional funds through strategic partnerships and alliances and licensing arrangements with third parties, we may have to relinquish valuable rights to our technologies, or our product candidates, or grant licenses on terms unfavorable to us. Adequate additional financing may not be available to us on acceptable terms, or at all.</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Our limited operating history may make it difficult for you to evaluate the success of our business to date and to assess our future viability.</w:t>
      </w:r>
    </w:p>
    <w:p>
      <w:pPr>
        <w:spacing w:after="0" w:line="15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a development-stage company founded in November 2015. Our operations to date have been limited to corporate organization, recruiting key personnel, business planning, raising capital, acquiring rights to our technology, identifying potential product candidates, undertaking preclinical studies and planning and supporting</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clinical trials of our product candidates and establishing research and development and manufacturing capabilities. Although we recently initiated our Phase 2 clinical trial for AVR-RD-01, we have not yet demonstrated the ability to complete clinical trials of our product candidates, obtain marketing approvals, manufacture products on a clinical or commercial scale or conduct sales and marketing activities necessary for successful commercialization. Consequently, any predictions you make about our future success or viability may not be as accurate as they could be if we had a longer operating history. In addition, as a new business, we may encounter unforeseen expenses, difficulties, complications, delays and other known and unknown factors.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Our lentiviral-based gene therapy product candidates are based on a novel technology, which makes it difficult to predict the time and cost of product candidate development and of subsequently obtaining regulatory approval.</w:t>
      </w:r>
    </w:p>
    <w:p>
      <w:pPr>
        <w:spacing w:after="0" w:line="62"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We have concentrated our research and development efforts on our lentiviral-based gene therapy approach, and our future success depends on our successful development of viable gene therapy product candidates. There can be no assurance that we will not experience problems or delays in developing new product candidates and that such problems or delays will not cause unanticipated costs, or that any such development problems can be solved. We may also experience delays in developing a sustainable, reproducible and scalable manufacturing process or transferring that process to commercial partners, which may prevent us from completing our clinical studies or commercializing our products on a timely or profitable basis, if at all. For example, the transition to LV2 or of our cell processing to an industrialized, automated closed system using all disposable supplies may not be successful or may experience unforeseen delays, which may cause shortages or delays in the supply of our products available for clinical trials and future commercial sales, if any. In addition, there is no assurance that products using our proprietary LV2 or manufactured using this automated system will achieve the same favorable preliminary results observed to date in the Phase 1 clinical trial of AVR-RD-01.</w:t>
      </w:r>
    </w:p>
    <w:p>
      <w:pPr>
        <w:spacing w:after="0" w:line="16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In addition, the clinical trial requirements of the FDA and other foreign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 To date, only a limited number of gene therapies have received marketing authorization from the FDA or foreign regulatory authorities. It is difficult to determine how long it will take or how much it will cost to obtain regulatory approvals for our product candidates in either the United States, Canada or other major markets or how long it will take to commercialize our product candidates, if any are approved. Approvals by foreign regulatory authorities may not be indicative of what the FDA may require for approval, and vice versa.</w:t>
      </w:r>
    </w:p>
    <w:p>
      <w:pPr>
        <w:spacing w:after="0" w:line="16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Regulatory requirements governing gene and cell therapy products have changed frequently and may continue to change in the future. The FDA has established the Office of Tissues and Advanced Therapies within its Center for Biologics Evaluation and Research, or CBER, to consolidate the review of gene therapy and related products, and has established the Cellular, Tissue and Gene Therapies Advisory Committee to advise the CBER in its review. Gene therapy clinical trials conducted at institutions that receive funding for recombinant DNA research from the United States National Institutes of Health, or NIH, also are potentially subject to review by the NIH Office of Science Policy’s Recombinant DNA Advisory Committee, or the RAC, in limited circumstances. Although the FDA decides whether individual gene therapy protocols may proceed, the RAC public review process, if undertaken, can delay the initiation of a clinical trial, even if the FDA has reviewed the trial design and details and authorized its initiation. Conversely, the FDA can put an investigational new drug application, or IND, on clinical hold even if the RAC has provided a favorable review or an exemption from in-depth, public review. If we were to engage an NIH-funded institution, to conduct a clinical trial, that institution’s institutional biosafety committee, or IBC, as well as its institutional review board, or IRB, would need to review the proposed clinical trial to assess the safety of the trial and may determine that RAC review is needed. In addition, adverse</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86" w:lineRule="auto"/>
        <w:rPr>
          <w:sz w:val="20"/>
          <w:szCs w:val="20"/>
          <w:color w:val="auto"/>
        </w:rPr>
      </w:pPr>
      <w:r>
        <w:rPr>
          <w:rFonts w:ascii="Arial" w:cs="Arial" w:eastAsia="Arial" w:hAnsi="Arial"/>
          <w:sz w:val="17"/>
          <w:szCs w:val="17"/>
          <w:color w:val="auto"/>
        </w:rPr>
        <w:t>developments in clinical trials of gene therapy products conducted by others may cause the FDA or other oversight bodies to change the requirements for approval of any of our product candidates. Similarly, foreign regulatory authorities may issue new guidelines concerning the development and marketing authorization for gene therapy medicinal products and require that we comply with these new guidelines.</w:t>
      </w:r>
    </w:p>
    <w:p>
      <w:pPr>
        <w:spacing w:after="0" w:line="166"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The FDA, NIH and the European Medicines Agency, or EMA, have each expressed interest in further regulating biotechnology, including gene therapy and genetic testing. For example, the EMA advocates a risk-based approach to the development of a gene therapy product.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w:t>
      </w:r>
    </w:p>
    <w:p>
      <w:pPr>
        <w:spacing w:after="0" w:line="18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These regulatory review committees and advisory groups and any new guidelines they promulgate may lengthen the regulatory review process, require us to perform additional studies, increase our development costs, lead to changes in regulatory positions and interpretations, delay or prevent approval and commercialization of these product candidates or lead to significant post-approval limitations or restrictions. As we advance our product candidates, we will be required to consult with these regulatory and advisory groups, and comply with applicable guidelines. If we fail to do so, we may be required to delay or discontinue development of certain of our product candidates. These additional processes may result in a review and approval process that is longer than we otherwise would have expected. Delay or failure to obtain, or unexpected costs in obtaining, the regulatory approval necessary to bring a potential product to market could decrease our ability to generate sufficient product revenue, and our business, financial condition, results of operations and prospects would be materially and adversely affected.</w:t>
      </w:r>
    </w:p>
    <w:p>
      <w:pPr>
        <w:spacing w:after="0" w:line="17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FDA recently announced that it is preparing to release a series of draft guidance regarding potential accelerated approval endpoints for certain gene therapy products and other clinical and manufacturing issues related to gene therapy products. We cannot be certain when such guidance will be issued or whether any such guidance will address accelerated approval endpoints or other clinical or manufacturing issues that will be relevant to or have an impact on our gene therapy candidates or the duration or expense of any applicable regulatory review processes.</w:t>
      </w:r>
    </w:p>
    <w:p>
      <w:pPr>
        <w:spacing w:after="0" w:line="280" w:lineRule="exact"/>
        <w:rPr>
          <w:sz w:val="20"/>
          <w:szCs w:val="20"/>
          <w:color w:val="auto"/>
        </w:rPr>
      </w:pPr>
    </w:p>
    <w:p>
      <w:pPr>
        <w:jc w:val="both"/>
        <w:ind w:left="640" w:right="80"/>
        <w:spacing w:after="0" w:line="264" w:lineRule="auto"/>
        <w:rPr>
          <w:sz w:val="20"/>
          <w:szCs w:val="20"/>
          <w:color w:val="auto"/>
        </w:rPr>
      </w:pPr>
      <w:r>
        <w:rPr>
          <w:rFonts w:ascii="Arial" w:cs="Arial" w:eastAsia="Arial" w:hAnsi="Arial"/>
          <w:sz w:val="18"/>
          <w:szCs w:val="18"/>
          <w:b w:val="1"/>
          <w:bCs w:val="1"/>
          <w:i w:val="1"/>
          <w:iCs w:val="1"/>
          <w:color w:val="auto"/>
        </w:rPr>
        <w:t>Our product candidates and the process for administering our product candidates may cause undesirable side effects or have other properties that could delay or prevent their regulatory approval, limit their commercial potential or result in significant negative consequences following any potential marketing approval.</w:t>
      </w:r>
    </w:p>
    <w:p>
      <w:pPr>
        <w:spacing w:after="0" w:line="73"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During the conduct of clinical trials, patients may experience changes in their health, including illnesses, injuries, discomforts or a fatal outcome. It is possible that as we test AVR-RD-01 or other product candidates in larger, longer and more extensive clinical programs, or as use of our product candidates becomes more widespread if they receive regulatory approval, illnesses, injuries, discomforts and other adverse events that were observed in earlier clinical trials, as well as conditions that did not occur or went undetected in previous clinical trials, will be reported by subjects. Gene therapies are also subject to the potential risk that occurrence of adverse events will be delayed following administration of the gene therapy due to persistent biological activity of the genetic material or other components of the vectors used to carry the genetic material. Many times, side effects are only detectable after investigational products are tested in larger scale, pivotal clinical trials or, in some cases, after they are made available to patients on a commercial scale after approval. If additional clinical experience indicates that AVR-RD-01 or any other product candidate has side effects or causes serious or life-threatening side effects, the development of the product candidate may fail or be delayed, or, if the product candidate has received regulatory approval, such approval may be revoked or limited.</w:t>
      </w:r>
    </w:p>
    <w:p>
      <w:pPr>
        <w:spacing w:after="0" w:line="17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There have been several significant adverse side effects in gene therapy treatments in the past, including reported cases of leukemia and death seen in other clinical trials. Gene therapy is still a relatively new approach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93" w:lineRule="auto"/>
        <w:rPr>
          <w:sz w:val="20"/>
          <w:szCs w:val="20"/>
          <w:color w:val="auto"/>
        </w:rPr>
      </w:pPr>
      <w:r>
        <w:rPr>
          <w:rFonts w:ascii="Arial" w:cs="Arial" w:eastAsia="Arial" w:hAnsi="Arial"/>
          <w:sz w:val="16"/>
          <w:szCs w:val="16"/>
          <w:color w:val="auto"/>
        </w:rPr>
        <w:t>to disease treatment and additional adverse side effects could develop. Possible adverse side effects that may occur with treatment with gene therapy products include an immunologic reaction early after administration that could substantially limit the effectiveness of the treatment or represent safety risks for patients. Another traditional safety concern for gene therapies using viral vectors has been the possibility of insertional mutagenesis by the vectors, leading to malignant transformation of transduced cells. While our lentiviral gene therapy approach is designed to avoid immunogenicity after administration, there can be no assurance that patients would not create antibodies that may impair treatment. If any of our gene therapy product candidates demonstrates adverse side effects, we may decide or be required to halt or delay clinical development of such product candidates.</w:t>
      </w:r>
    </w:p>
    <w:p>
      <w:pPr>
        <w:spacing w:after="0" w:line="16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addition to side effects caused by our product candidates, the conditioning, administration process or related procedures also can cause adverse side effects. A gene therapy patient is generally administered cytotoxic drugs to remove stem cells from the bone marrow to create sufficient space in the bone marrow for the modified stem cells to engraft and produce their progeny. This procedure compromises the patient’s immune system. While certain of our product candidates are designed to utilize outpatient, milder conditioning regimens that are intended to require only limited removal of a patient’s bone marrow cells, our conditioning regimens may not be successful or may nevertheless result in adverse side effects. For example, in the ongoing Phase 1 clinical trial of AVR-RD-01, several adverse events, including where white blood cell and platelet counts were suppressed following the conditioning process, were observed. If in the future any such adverse events caused by the conditioning process or related procedures continue at unacceptable rates or degrees of severity, the FDA or other foreign regulatory authorities could order us to cease development of, or deny approval of, AVR-RD-01 or our other product candidates for any or all targeted indications. Even if we are able to demonstrate that adverse events are not product-related, such occurrences could affect patient recruitment or the ability of enrolled patients to complete the clinical trial.</w:t>
      </w:r>
    </w:p>
    <w:p>
      <w:pPr>
        <w:spacing w:after="0" w:line="169"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Additionally, if any of our product candidates receives marketing approval, the FDA could require us to adopt a Risk Evaluation and Mitigation Strategy, or REMS, to ensure that the benefits outweigh its risks, which may include, among other things, a medication guide outlining the risks of the product for distribution to patients, a communication plan to health care practitioners, and restrictions on how or where the product can be distributed, dispensed or used. Furthermore, if we or others later identify undesirable side effects caused by AVR-RD-01 or our other product candidates, several potentially significant negative consequences could result, including:</w:t>
      </w:r>
    </w:p>
    <w:p>
      <w:pPr>
        <w:spacing w:after="0" w:line="94" w:lineRule="exact"/>
        <w:rPr>
          <w:sz w:val="20"/>
          <w:szCs w:val="20"/>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suspend or withdraw approvals of such a product candidate;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may be required to change the way a product candidate is distributed, dispensed, or administered or conduct additional clinical trials;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could significantly harm our business, prospects, financial condition and results of operations.</w:t>
      </w:r>
    </w:p>
    <w:p>
      <w:pPr>
        <w:spacing w:after="0" w:line="279" w:lineRule="exact"/>
        <w:rPr>
          <w:sz w:val="20"/>
          <w:szCs w:val="20"/>
          <w:color w:val="auto"/>
        </w:rPr>
      </w:pPr>
    </w:p>
    <w:p>
      <w:pPr>
        <w:ind w:left="640" w:right="220"/>
        <w:spacing w:after="0" w:line="312" w:lineRule="auto"/>
        <w:rPr>
          <w:sz w:val="20"/>
          <w:szCs w:val="20"/>
          <w:color w:val="auto"/>
        </w:rPr>
      </w:pPr>
      <w:r>
        <w:rPr>
          <w:rFonts w:ascii="Arial" w:cs="Arial" w:eastAsia="Arial" w:hAnsi="Arial"/>
          <w:sz w:val="16"/>
          <w:szCs w:val="16"/>
          <w:b w:val="1"/>
          <w:bCs w:val="1"/>
          <w:i w:val="1"/>
          <w:iCs w:val="1"/>
          <w:color w:val="auto"/>
        </w:rPr>
        <w:t>AVR-RD-01 is being investigated in an ongoing investigator-sponsored Phase 1 clinical trial and an ongoing company-sponsored Phase 2 clinical trial, and we have not commenced clinical trials for any of our other product candidates. We have never completed a pivotal clinical trial, and may be unable to do so for any product candidates we may develop, including AVR-RD-01.</w:t>
      </w:r>
    </w:p>
    <w:p>
      <w:pPr>
        <w:spacing w:after="0" w:line="39"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are at a very early stage of development for all of our product candidates including AVR-RD-01. As of June 11, 2018, our product candidate AVR-RD-01 has been administered to only two patients in an ongoing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57" w:lineRule="auto"/>
        <w:rPr>
          <w:sz w:val="20"/>
          <w:szCs w:val="20"/>
          <w:color w:val="auto"/>
        </w:rPr>
      </w:pPr>
      <w:r>
        <w:rPr>
          <w:rFonts w:ascii="Arial" w:cs="Arial" w:eastAsia="Arial" w:hAnsi="Arial"/>
          <w:sz w:val="18"/>
          <w:szCs w:val="18"/>
          <w:color w:val="auto"/>
        </w:rPr>
        <w:t>Phase 1 clinical trial and to one patient in our ongoing Phase 2 clinical trial. The ongoing Phase 1 and Phase 2 clinical trials for AVR-RD-01 must be completed, as well as potentially additional pivotal clinical trials in order to obtain FDA approval to market AVR-RD-01. Carrying out later-stage clinical trials is a complicated process. We only recently dosed the first patient in our company-sponsored Phase 2 clinical on June 7, 2018. We have limited experience in preparing, submitting and prosecuting regulatory filings, and have not previously submitted a biologics license application, or BLA, for any product candidate.</w:t>
      </w:r>
    </w:p>
    <w:p>
      <w:pPr>
        <w:spacing w:after="0" w:line="188" w:lineRule="exact"/>
        <w:rPr>
          <w:sz w:val="20"/>
          <w:szCs w:val="20"/>
          <w:color w:val="auto"/>
        </w:rPr>
      </w:pPr>
    </w:p>
    <w:p>
      <w:pPr>
        <w:ind w:left="200" w:right="200" w:firstLine="441"/>
        <w:spacing w:after="0" w:line="270" w:lineRule="auto"/>
        <w:rPr>
          <w:sz w:val="20"/>
          <w:szCs w:val="20"/>
          <w:color w:val="auto"/>
        </w:rPr>
      </w:pPr>
      <w:r>
        <w:rPr>
          <w:rFonts w:ascii="Arial" w:cs="Arial" w:eastAsia="Arial" w:hAnsi="Arial"/>
          <w:sz w:val="17"/>
          <w:szCs w:val="17"/>
          <w:color w:val="auto"/>
        </w:rPr>
        <w:t>In addition, we have not yet conducted clinical trials of any our product candidates in the United States, our interactions with the FDA are expected to be limited for the near future, and we cannot be certain how many additional clinical trials of AVR-RD-01 or any of our other product candidates will be required or how such trials should be designed. In order to commence a clinical trial in the United States, we are required to seek FDA acceptance of an IND for each of our product candidates. We cannot be sure any IND we submit to the FDA, or any similar clinical trial application we submit in other countries, will be accepted. We may also be required to conduct additional preclinical testing prior to filing an IND for any of our product candidates, and the results of any such testing may not be positive. Consequently, we may be unable to successfully and efficiently execute and complete necessary clinical trials in a way that leads to a BLA submission and approval of AVR-RD-01 or any of our other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commercializing AVR-RD-01.</w:t>
      </w:r>
    </w:p>
    <w:p>
      <w:pPr>
        <w:spacing w:after="0" w:line="17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ongoing Phase 1 clinical trial of AVR-RD-01 is an investigator-sponsored trial being conducted by University Health Network. In addition, the planned Phase 1/2 clinical trial of AVR-RD-04 will be conducted by our collaborators at the University of California, San Diego.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investigator-sponsored trials could be useful to inform our own clinical development efforts, there is no guarantee that we will be able to use the data from these trials to form the basis for regulatory approval of our product candidates.</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Success in preclinical studies or early clinical trials may not be indicative of results obtained in later trials.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Results from preclinical studies or early clinical trials are not necessarily predictive of future clinical trial results and are not necessarily indicative of final results. There is a high failure rate for gene therapy and biologic product candidates proceeding through clinical trials. 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approval. In addition, the design of a pivotal clinical trial can determine whether its results will support approval of a product and flaws in the design of a clinical trial may not become apparent until the clinical trial is well advanced. Our company has limited experience in designing and conducting clinical trials and we may be unable to design and execute a clinical trial to support regulatory approval. To date, we have not received definitive guidance from the FDA or</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other foreign regulatory bodies regarding the necessary endpoints for approval of any of our product candidates, including AVR-RD-01. There are no assurances that the FDA or other foreign regulatory bodies will find the efficacy endpoints we propose in future pivotal trials to be sufficiently validated and clinically meaningful, or that our product candidates will achieve the pre-specified endpoints in future pivotal trials to a degree of statistical significance. We also may experience regulatory delays or rejections as a result of many factors, including due to changes in regulatory policy during the period of our product candidate development. Our AVR-RD-02, AVR-RD-03 and AVR-RD-04 product candidates have not yet been tested in humans. Any of our other product candidates may fail to show the desired safety and efficacy in clinical development despite positive results in preclinical studies. Any such failure would cause us to abandon the product candidate.</w:t>
      </w:r>
    </w:p>
    <w:p>
      <w:pPr>
        <w:spacing w:after="0" w:line="286"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which could delay or prevent us from proceeding with clinical trials of our product candidates.</w:t>
      </w:r>
    </w:p>
    <w:p>
      <w:pPr>
        <w:spacing w:after="0" w:line="62"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our ability to recruit patients to participate as well as the completion of required follow-up periods. Patients may be unwilling to participate in our gene therapy clinical trials because of negative publicity from adverse events related to the biotechnology or gene therapy fields, competitive clinical trials for similar patient populations, clinical trials in product candidates employing our vectors, the existence of current treatments or for other reasons. In addition, the indications that we are currently targeting and may in the future target are rare diseases, which may limit the pool of patients that may be enrolled in our ongoing or planned clinical trials. The timeline for recruiting patients, conducting studies and obtaining regulatory approval of our product candidates may be delayed, which could result in increased costs, delays in advancing our product candidates, delays in testing the effectiveness of our product candidates or termination of the clinical trials altogether.</w:t>
      </w:r>
    </w:p>
    <w:p>
      <w:pPr>
        <w:spacing w:after="0" w:line="1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may not be able to identify, recruit and enroll a sufficient number of patients, or those with required or desired characteristics, to complete our clinical trials in a timely manner. For example, in 2017, the ongoing investigator-sponsored Phase 1 clinical trial of AVR-RD-01 encountered delays in the enrollment of patients due to delays in identifying patients for enrollment and the evaluation of information from screened potential trial participants. Patient enrollment and trial completion is affected by factors including the:</w:t>
      </w:r>
    </w:p>
    <w:p>
      <w:pPr>
        <w:spacing w:after="0" w:line="92"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size of the patient population and process for identifying subjects;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eligibility and exclusion criteria;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perceived risks and benefits of gene therapy-based approaches to treatment of diseases, including any required pretreatment conditioning regimens;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availability of genetic testing for potential patients;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subjects;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obtain and maintain subject consent;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of the trial;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ability to monitor subjects adequately during and after treatment.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Our current product candidates are being developed to treat rare conditions. We plan to seek initial marketing approvals in the United States, Europe and certain other major markets, including Japan. We may not be able to initiate or continue clinical trials, including our recently initiated Phase 2 clinical trial for AVR-RD-01 for which enrollment is ongoing, if we cannot enroll a sufficient number of eligible patients to participate in the clinical trials required by FDA or other foreign regulatory authorities. Our ability to successfully initiate, enroll and complete a clinical trial in any foreign country is subject to numerous risks unique to conducting business in foreign countries, including:</w:t>
      </w:r>
    </w:p>
    <w:p>
      <w:pPr>
        <w:spacing w:after="0" w:line="78"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in establishing or managing relationships with contract research organizations, or CROs, and physicians;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different standards for the conduct of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in some countries of established groups with sufficient regulatory expertise for review of gene therapy protocols;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inability to locate qualified local consultants, physicians and partners; and</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potential burden of complying with a variety of foreign laws, medical standards and regulatory requirements, including the regulation of pharmaceutical and biotechnology products and treatment.</w:t>
      </w:r>
    </w:p>
    <w:p>
      <w:pPr>
        <w:spacing w:after="0" w:line="170"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If we have difficulty enrolling a sufficient number of patients to conduct our clinical trials as planned, we may need to delay, limit or terminate ongoing or planned clinical trials, any of which would have an adverse effect on our business, financial condition, results of operations and prospects.</w:t>
      </w:r>
    </w:p>
    <w:p>
      <w:pPr>
        <w:spacing w:after="0" w:line="232"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We may encounter substantial delays in our clinical trials or we may fail to demonstrate safety and efficacy to the satisfaction of applicable regulatory authorities.</w:t>
      </w:r>
    </w:p>
    <w:p>
      <w:pPr>
        <w:spacing w:after="0" w:line="6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Clinical testing is expensive, time-consuming and uncertain as to outcome. We cannot guarantee that any clinical studies will be conducted as planned or completed on schedule, if at all. A failure of one or more clinical studies can occur at any stage of testing. Events that may prevent successful or timely completion of clinical development include:</w:t>
      </w:r>
    </w:p>
    <w:p>
      <w:pPr>
        <w:spacing w:after="0" w:line="77" w:lineRule="exact"/>
        <w:rPr>
          <w:sz w:val="20"/>
          <w:szCs w:val="20"/>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study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obtaining required IRB approval at each clinical study site;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an inspection of our clinical study operations or study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or GCP, or applicable regulatory guidelines in other countries;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testing, validation, manufacturing and delivery of our product candidates to the clinical sites;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having patients complete participation in a study or return for post-treatment follow-up;</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study sites or patients dropping out of a study;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occurrence of serious adverse events associated with the product candidate that are viewed to outweigh its potential benefits; or</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Any inability to successfully complete preclinical and clinical development could result in additional costs to us or impair our ability to generate revenues. In addition, if we make changes to our product candidates, we may need to conduct additional studies to bridge our modified product candidates to earlier versions, which could delay our clinical development plan or marketing approval for our product candidates. For example, while we are currently utilizing the LV1 version of the lentiviral vector in the ongoing Phase 1 and Phase 2 clinical trials of AVR-RD-01, we plan to transition our AVR-RD-01 lentiviral vectors to an LV2 version. While LV2 is intended to confer improvements in safety and efficiency in viral production, there is no guarantee that we can realize these intended benefits. In addition, the transition from LV1 to LV2 will likely require updates to our clinical trial applications and INDs with the relevant regulatory authorities, which may result in delay, suspension or termination of ongoing or future clinical trials pending our submission, and the agencies’ review, of such updates. Clinical study delays could also shorten any periods during which we may have the exclusive right to commercialize our product candidates or allow our competitors to bring products to market before we do, which could impair our ability to successfully commercialize our product candidates and may harm our business and results of operations.</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If the results of our clinical studies are inconclusive or if there are safety concerns or adverse events associated with our product candidates, we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w:t>
      </w:r>
    </w:p>
    <w:p>
      <w:pPr>
        <w:spacing w:after="0" w:line="116" w:lineRule="exact"/>
        <w:rPr>
          <w:sz w:val="20"/>
          <w:szCs w:val="20"/>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 if at all;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with labeling or a REMS that includes significant use or distribution restrictions or safety warnings;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changes with the way the product is administered;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be required to perform additional clinical studies to support approval or be subject to additional post-marketing testing requirements;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have regulatory authorities withdraw their approval of the product or impose restrictions on its distribution in the form of a REMS;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sued;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25"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and impair our ability to commercialize our products.</w:t>
      </w:r>
    </w:p>
    <w:p>
      <w:pPr>
        <w:spacing w:after="0" w:line="279" w:lineRule="exact"/>
        <w:rPr>
          <w:sz w:val="20"/>
          <w:szCs w:val="20"/>
          <w:color w:val="auto"/>
        </w:rPr>
      </w:pPr>
    </w:p>
    <w:p>
      <w:pPr>
        <w:ind w:left="640" w:right="760"/>
        <w:spacing w:after="0" w:line="308" w:lineRule="auto"/>
        <w:rPr>
          <w:sz w:val="20"/>
          <w:szCs w:val="20"/>
          <w:color w:val="auto"/>
        </w:rPr>
      </w:pPr>
      <w:r>
        <w:rPr>
          <w:rFonts w:ascii="Arial" w:cs="Arial" w:eastAsia="Arial" w:hAnsi="Arial"/>
          <w:sz w:val="17"/>
          <w:szCs w:val="17"/>
          <w:b w:val="1"/>
          <w:bCs w:val="1"/>
          <w:i w:val="1"/>
          <w:iCs w:val="1"/>
          <w:color w:val="auto"/>
        </w:rPr>
        <w:t>Even if we complete the necessary preclinical and clinical studies, we cannot predict when or if we will obtain regulatory approval to commercialize a product candidate and the approval may be for a more narrow indication than we seek.</w:t>
      </w:r>
    </w:p>
    <w:p>
      <w:pPr>
        <w:spacing w:after="0" w:line="3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cannot commercialize a product until the appropriate regulatory authorities have reviewed and approved the product candidate. Even if our product candidates demonstrate safety and efficacy in clinical studies, the regulatory agencies may not complete their review processes in a timely manner, or we may not be able to obtain regulatory approval. Additional delays may result if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studies and the review process. Regulatory agencies also may approve a treatment candidate for fewer or more limited indications than requested or may grant approval subject to the performance of post-marketing studies. In addition, regulatory agencies may not approve the labeling claims that are necessary or desirable for the successful commercialization of our product candidates. If we are unable to obtain necessary regulatory approvals, our business, prospects, financial condition and results of operations may suffer.</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80"/>
        <w:spacing w:after="0" w:line="279" w:lineRule="auto"/>
        <w:rPr>
          <w:sz w:val="20"/>
          <w:szCs w:val="20"/>
          <w:color w:val="auto"/>
        </w:rPr>
      </w:pPr>
      <w:r>
        <w:rPr>
          <w:rFonts w:ascii="Arial" w:cs="Arial" w:eastAsia="Arial" w:hAnsi="Arial"/>
          <w:sz w:val="17"/>
          <w:szCs w:val="17"/>
          <w:b w:val="1"/>
          <w:bCs w:val="1"/>
          <w:i w:val="1"/>
          <w:iCs w:val="1"/>
          <w:color w:val="auto"/>
        </w:rPr>
        <w:t>While we intend to seek designations for our product candidates with the FDA and comparable foreign regulatory authorities that are intended to confer benefits such as a faster development process or an accelerated regulatory pathway, there can be no assurance that we will successfully obtain such designations. In addition, even if one or more of our product candidates are granted such designations, we may not be able to realize the intended benefits of such designations.</w:t>
      </w:r>
    </w:p>
    <w:p>
      <w:pPr>
        <w:spacing w:after="0" w:line="63"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The FDA and comparable foreign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However, there can be no assurance that we will successfully obtain such designations for any of our product candidates. In addition, while such designations could expedite the development or approval process, they generally do not change the standards for approval. Even if we obtain such designations for one or more of our product candidates, there can be no assurance that we will realize their intended benefits.</w:t>
      </w:r>
    </w:p>
    <w:p>
      <w:pPr>
        <w:spacing w:after="0" w:line="16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For example, we may seek a Breakthrough Therapy Designation for some of our product candidates. A breakthrough therapy is defined as a therapy that is intended, alone or in combination with one or more other therapies,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For therapies that have been designated as breakthrough therapies, interaction and communication between the FDA and the sponsor of the trial can help to identify the most efficient path for clinical development while minimizing the number of patients placed in ineffective control regimens. Therapies designated as breakthrough therapies by the FDA are also eligible for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w:t>
      </w:r>
    </w:p>
    <w:p>
      <w:pPr>
        <w:spacing w:after="0" w:line="18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addition, we may seek Fast Track Designation for some of our product candidates. If a therapy is intended for the treatment of a serious or life-threatening condition and the therapy demonstrates the potential to address unmet medical needs for this condition, the therapy sponsor may apply for Fast Track Designation. The FDA has broad discretion whether or not to grant this designation, so even if we believe a particular product candidate is eligible for this designation, there can be no assurance that the FDA would decide to grant it. Even if we do receive Fast Track Designation, we may not experience a faster development process, review or approval compared to conventional FDA procedures, and receiving a Fast Track Designation does not provide assurance of ultimate FDA approval. In addition, the FDA may withdraw Fast Track Designation if it believes that the designation is no longer supported by data from our clinical development program.</w:t>
      </w:r>
    </w:p>
    <w:p>
      <w:pPr>
        <w:spacing w:after="0" w:line="178"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In addition, we may seek a regenerative medicine advanced therapy, or RMAT, designation for some of our product candidates. An RMAT is defined as cell therapies, therapeutic tissue engineering products, human cell and tissue products, and combination products using any such therapies or products. Gene therapies, including genetically modified cells that lead to a durable modification of cells or tissues may meet the definition of a regenerative medicine therapy. The RMAT program is intended to facilitate efficient development and expedite review of RMATs, which are intended to treat, modify, reverse, or cure a serious or life-threatening disease or condition. A new drug application or a BLA for an RMAT may be eligible for priority review or accelerated approval through (1) surrogate or intermediate endpoints reasonably likely to predict long-term clinical benefit or</w:t>
      </w:r>
    </w:p>
    <w:p>
      <w:pPr>
        <w:spacing w:after="0" w:line="5" w:lineRule="exact"/>
        <w:rPr>
          <w:sz w:val="20"/>
          <w:szCs w:val="20"/>
          <w:color w:val="auto"/>
        </w:rPr>
      </w:pPr>
    </w:p>
    <w:p>
      <w:pPr>
        <w:ind w:left="200" w:right="60" w:firstLine="4"/>
        <w:spacing w:after="0" w:line="261" w:lineRule="auto"/>
        <w:tabs>
          <w:tab w:leader="none" w:pos="4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reliance upon data obtained from a meaningful number of sites. Benefits of such designation also include early interactions with FDA to discuss any potential surrogate or intermediate endpoint to be used to support</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accelerated approval. A regenerative medicine therapy that is granted accelerated approval and is subject to post-approval requirements may fulfill such requirements through the submission of clinical evidence, clinical studies, patient registries, or other sources of real world evidence, such as electronic health records; the collection of larger confirmatory data sets; or post-approval monitoring of all patients treated with such therapy prior to its approval. RMAT designation is within the discretion of the FDA. Accordingly, even if we believe one of our product candidates meets the criteria for designation as a regenerative medicine advanced therapy, the FDA may disagree and instead determine not to make such designation. In any event, the receipt of RMAT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for RMAT designation, the FDA may later decide that the biological products no longer meet the conditions for qualification.</w:t>
      </w:r>
    </w:p>
    <w:p>
      <w:pPr>
        <w:spacing w:after="0" w:line="166"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Outside of the United States, we intend to develop AVR-RD-01 in Japan under the purview of the Japanese Pharmaceutical and Medical Device Agency, or PMDA. Pursuant to Japan’s regenerative medicine law, an expedited path to conditional approval may exist for regenerative medicine products that show sufficient safety evidence and signals of efficacy in a Phase 2 clinical trial. However, there can be no assurance that the results of our recently initiated Phase 2 clinical trial will demonstrate the safety evidence and efficacy signals required for such conditional approval. In addition, this conditional approval is time-limited, and there must be an agreement as to follow-up collection of information to confirm efficacy and safety, similar to a post-marketing commitment in the United States.</w:t>
      </w:r>
    </w:p>
    <w:p>
      <w:pPr>
        <w:spacing w:after="0" w:line="301" w:lineRule="exact"/>
        <w:rPr>
          <w:sz w:val="20"/>
          <w:szCs w:val="20"/>
          <w:color w:val="auto"/>
        </w:rPr>
      </w:pPr>
    </w:p>
    <w:p>
      <w:pPr>
        <w:ind w:left="640" w:right="140"/>
        <w:spacing w:after="0" w:line="342" w:lineRule="auto"/>
        <w:rPr>
          <w:sz w:val="20"/>
          <w:szCs w:val="20"/>
          <w:color w:val="auto"/>
        </w:rPr>
      </w:pPr>
      <w:r>
        <w:rPr>
          <w:rFonts w:ascii="Arial" w:cs="Arial" w:eastAsia="Arial" w:hAnsi="Arial"/>
          <w:sz w:val="16"/>
          <w:szCs w:val="16"/>
          <w:b w:val="1"/>
          <w:bCs w:val="1"/>
          <w:i w:val="1"/>
          <w:iCs w:val="1"/>
          <w:color w:val="auto"/>
        </w:rPr>
        <w:t>We may be unable to obtain orphan drug designation for our product candidates and, even if we obtain such designation, we may not be able to realize the benefits of such designation, including potential marketing exclusivity of our product candidates, if approved.</w:t>
      </w:r>
    </w:p>
    <w:p>
      <w:pPr>
        <w:spacing w:after="0" w:line="1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the European Union, EMA’s Committee for Orphan Medicinal Products grants orphan drug designation to promote the development of products that are intended for the diagnosis, prevention or treatment of a life-threatening or chronically debilitating condition affecting not more than 5 in 10,000 persons in the European Union. Additionally, orphan designation is granted for products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or biologic product.</w:t>
      </w:r>
    </w:p>
    <w:p>
      <w:pPr>
        <w:spacing w:after="0" w:line="178"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If we request orphan drug designation (or the foreign equivalent) for AVR-RD-01 or any of our other product candidates, there can be no assurances that the FDA or foreign regulatory authorities will grant any of our product candidates such designation. Additionally, the designation of any of our product candidates as an orphan product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 prior to our product candidates receiving exclusive marketing approval.</w:t>
      </w:r>
    </w:p>
    <w:p>
      <w:pPr>
        <w:spacing w:after="0" w:line="158"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the same drug treating the same indication for that marketing exclusivity period, except in limited circumstances. If another sponsor receives such approval before we do (regardless of our orphan drug</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designation), we will be precluded from receiving marketing approval for our product for the applicable exclusivity period. The applicable period is seven years in the United States and 10 years in the European Union. The exclusivity period in the European Union can be reduced to six years if a product no longer meets the criteria for orphan drug designation or if the product is sufficiently profitable so that market exclusivity is no longer justified. Orphan drug exclusivity may be revoked if any regulatory agency determines that the request for designation was materially defective or if the manufacturer is unable to assure sufficient quantity of the product to meet the needs of patients with the rare disease or condition.</w:t>
      </w:r>
    </w:p>
    <w:p>
      <w:pPr>
        <w:spacing w:after="0" w:line="17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drugs can be approved for the same condition in the United States. Even after an orphan drug is approved, the FDA may subsequently approve another drug for the same condition if the FDA concludes that the latter drug is not the same drug or is clinically superior in that it is shown to be safer, more effective or makes a major contribution to patient care. In the European Union, marketing authorization may be granted to a similar medicinal product for the same orphan indication if:</w:t>
      </w:r>
    </w:p>
    <w:p>
      <w:pPr>
        <w:spacing w:after="0" w:line="94" w:lineRule="exact"/>
        <w:rPr>
          <w:sz w:val="20"/>
          <w:szCs w:val="20"/>
          <w:color w:val="auto"/>
        </w:rPr>
      </w:pPr>
    </w:p>
    <w:p>
      <w:pPr>
        <w:ind w:left="1060" w:right="38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second applicant can establish in its application that its medicinal product, although similar to the orphan medicinal product already authorized, is safer, more effective or otherwise clinically superior;</w:t>
      </w:r>
    </w:p>
    <w:p>
      <w:pPr>
        <w:spacing w:after="0" w:line="75" w:lineRule="exact"/>
        <w:rPr>
          <w:rFonts w:ascii="Arial" w:cs="Arial" w:eastAsia="Arial" w:hAnsi="Arial"/>
          <w:sz w:val="18"/>
          <w:szCs w:val="18"/>
          <w:color w:val="auto"/>
        </w:rPr>
      </w:pPr>
    </w:p>
    <w:p>
      <w:pPr>
        <w:ind w:left="1060" w:right="74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consents to a second orphan medicinal product application; or</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 of the marketing authorization for the original orphan medicinal product cannot supply sufficient quantities of orphan medicinal product.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oversight.</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Even if we obtain any regulatory approval for our product candidates, they will be subject to ongoing regulatory requirements for manufacturing, labeling, packaging, storage, advertising, promotion, sampling, record-keeping and submission of safety and other post-market information. Any regulatory approvals that we receive for our product candidates also may be subject to a REMS, limitations on the approved indicated uses for which the product may be marketed or to the conditions of approval, or contain requirements for potentially costly post-marketing testing, including Phase 4 clinical trials, and surveillance to monitor the quality, safety and efficacy of the product. For example, the holder of an approved BLA is obligated to monitor and report adverse events and any failure of a product to meet the specifications in the BLA. FDA guidance advises that patients treated with some types of gene therapy undergo follow-up observations for potential adverse events for as long as 15 years. The holder of an approved BLA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9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current good manufacturing practices, or cGMP, requirements and adherence to commitments made in the BLA or foreign marketing application. If we, or a regulatory authority, discover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If we fail to comply with applicable regulatory requirements following approval of any of our product candidates, a regulatory authority may:</w:t>
      </w:r>
    </w:p>
    <w:p>
      <w:pPr>
        <w:spacing w:after="0" w:line="142"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a warning letter asserting that we are in violation of the law;</w:t>
      </w:r>
    </w:p>
    <w:p>
      <w:pPr>
        <w:spacing w:after="0" w:line="130" w:lineRule="exact"/>
        <w:rPr>
          <w:rFonts w:ascii="Arial" w:cs="Arial" w:eastAsia="Arial" w:hAnsi="Arial"/>
          <w:sz w:val="18"/>
          <w:szCs w:val="18"/>
          <w:color w:val="auto"/>
        </w:rPr>
      </w:pPr>
    </w:p>
    <w:p>
      <w:pPr>
        <w:ind w:left="5620" w:right="3680" w:hanging="4984"/>
        <w:spacing w:after="0" w:line="449" w:lineRule="auto"/>
        <w:tabs>
          <w:tab w:leader="none" w:pos="10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 23</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approve a pending BLA or comparable foreign marketing application (or any supplements thereto) submitted by us or our strategic partners;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permit the import or export of products;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refuse to allow us to enter into supply contracts, including government contracts.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adversely affect our business, financial condition, results of operations and prospects.</w:t>
      </w:r>
    </w:p>
    <w:p>
      <w:pPr>
        <w:spacing w:after="0" w:line="181"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287" w:lineRule="exact"/>
        <w:rPr>
          <w:sz w:val="20"/>
          <w:szCs w:val="20"/>
          <w:color w:val="auto"/>
        </w:rPr>
      </w:pPr>
    </w:p>
    <w:p>
      <w:pPr>
        <w:ind w:left="640" w:right="280"/>
        <w:spacing w:after="0" w:line="340" w:lineRule="auto"/>
        <w:rPr>
          <w:sz w:val="20"/>
          <w:szCs w:val="20"/>
          <w:color w:val="auto"/>
        </w:rPr>
      </w:pPr>
      <w:r>
        <w:rPr>
          <w:rFonts w:ascii="Arial" w:cs="Arial" w:eastAsia="Arial" w:hAnsi="Arial"/>
          <w:sz w:val="15"/>
          <w:szCs w:val="15"/>
          <w:b w:val="1"/>
          <w:bCs w:val="1"/>
          <w:i w:val="1"/>
          <w:iCs w:val="1"/>
          <w:color w:val="auto"/>
        </w:rPr>
        <w:t>We face significant competition in our industry and there can be no assurance that our product candidates, if approved, will achieve acceptance in the market over existing established therapies. In addition, our competitors may develop therapies that are more advanced or effective than ours, which may adversely affect our ability to successfully market or commercialize any of our product candidates.</w:t>
      </w:r>
    </w:p>
    <w:p>
      <w:pPr>
        <w:spacing w:after="0" w:line="2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operate in a highly competitive segment of the biopharmaceutical market. We face competition from many different sources, including larger pharmaceutical, specialty pharmaceutical and biotechnology companies, as well as from academic institutions, government agencies and private and public research institutions. Our product candidates, if successfully developed and approved, will compete with established therapies, some of which are being marketed by large and international companies. In addition, we expect to compete with new treatments that are under development or may be advanced into the clinic by our competitors. There are a variety of product candidates, including gene therapies, in development for the indications that we are targeting.</w:t>
      </w:r>
    </w:p>
    <w:p>
      <w:pPr>
        <w:spacing w:after="0" w:line="19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anticipate competing with the largest pharmaceutical companies in the world. For example, Sanofi and Shire market the enzyme replacement therapies, or ERTs, that represent the standard of care for Fabry patients. Recently, Amicus secured regulatory approval in Europe for its oral therapy for Fabry disease. For Gaucher disease, we expect to compete with existing enzyme replacement therapies marketed by Sanofi, Shire, Protalix and Pfizer, as well as oral therapies marketed by Actelion and Sanofi. Sanofi also markets an enzyme replacement therapy for Pompe disease. Cystinosis is currently treated by therapies marketed by Horizon Orphan, Mylan and Sigma Tau Pharmaceuticals. In addition, we may compete with other gene therapy companies in our industry such as bluebird bio and Spark Therapeutics.</w:t>
      </w:r>
    </w:p>
    <w:p>
      <w:pPr>
        <w:spacing w:after="0" w:line="178"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Many of our competitors have significantly greater financial, product candidate development, manufacturing and marketing resources than we do. Large pharmaceutical and biotechnology companies have extensive experience in clinical testing and obtaining regulatory approval for their products, and mergers and acquisitions within these industries may result in even more resources being concentrated among a smaller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7" w:lineRule="auto"/>
        <w:rPr>
          <w:sz w:val="20"/>
          <w:szCs w:val="20"/>
          <w:color w:val="auto"/>
        </w:rPr>
      </w:pPr>
      <w:r>
        <w:rPr>
          <w:rFonts w:ascii="Arial" w:cs="Arial" w:eastAsia="Arial" w:hAnsi="Arial"/>
          <w:sz w:val="16"/>
          <w:szCs w:val="16"/>
          <w:color w:val="auto"/>
        </w:rPr>
        <w:t>number of larger competitors. Established pharmaceutical companies may also invest heavily to accelerate discovery and development of novel therapeutics or to in-license novel therapeutics that could make the product candidates that we develop obsolete. Competition may increase further as a result of advances in the commercial applicability of technologies and greater availability of capital for investment in these industries. Our business would be materially and adversely affected if competitors develop and commercialize products that are safer, more effective, have fewer or less severe side effects, have broader market acceptance, are more convenient or are less expensive than any product candidate that we may develop.</w:t>
      </w:r>
    </w:p>
    <w:p>
      <w:pPr>
        <w:spacing w:after="0" w:line="158"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Even if we obtain regulatory approval of our product candidates,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w:t>
      </w:r>
    </w:p>
    <w:p>
      <w:pPr>
        <w:spacing w:after="0" w:line="262"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Our focus on developing our current product candidates may not yield any commercially viable products, and our failure to successfully identify and develop additional product candidates could impair our ability to grow.</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part of our growth strategy, we intend to identify, develop and market additional product candidates beyond our existing product candidates for Fabry disease, Gaucher disease, Pompe disease and cystinosis. We may spend several years completing our development of any particular current or future product candidates, and failure can occur at any stage. The product candidates to which we allocate our resources may not end up being successful. Because we have limited resources, we may forego or delay pursuit of opportunities with certain programs or product candidates or for indications that later prove to have greater commercial potential than AVR-RD-01 or our other product candidates. Our spending on current and future research and development programs may not yield any commercially viable product candidates. If we do not accurately evaluate the commercial potential for a particular product candidate, we may relinquish valuable rights to that product candidate through strategic collaborations, licensing or other arrangements in cases in which it would have been more advantageous for us to retain sole development and commercialization rights to such product candidate. If any of these events occur, we may be forced to abandon our development efforts with respect to a particular product candidate or fail to develop a potentially successful product candidate.</w:t>
      </w:r>
    </w:p>
    <w:p>
      <w:pPr>
        <w:spacing w:after="0" w:line="17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Because our internal research capabilities are limited, we may be dependent upon biotechnology companies, academic scientists and other researchers to sell or license product candidates, approved products or the underlying technology to us. The success of this strategy depends partly upon our ability to identify, select, discover and acquire promising product candidates and products.</w:t>
      </w:r>
    </w:p>
    <w:p>
      <w:pPr>
        <w:spacing w:after="0" w:line="181"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In addition, certain of our current or future product candidates may not demonstrate in patients any or all of the pharmacological benefits we believe they may possess or compare favorably to existing, approved therapies, such as ERT. We have not yet succeeded and may never succeed in demonstrating efficacy and safety of our product candidates or any future product candidates in clinical trials or in obtaining marketing approval thereafter. For example, although we have evaluated AVR-RD-02, AVR-RD-03 and AVR-RD-04 in preclinical studies and have evaluated AVR-RD-01 in an early-stage clinical trial, we have not yet advanced AVR-RD-02, AVR-RD-03 and AVR-RD-04 into clinical trials or AVR-RD-01 into Phase 2 clinical development, nor have we obtained regulatory approval to sell any product based on our therapeutic approaches. Accordingly, our focus on treating these diseases may not result in the discovery and development of commercially viable products.</w:t>
      </w:r>
    </w:p>
    <w:p>
      <w:pPr>
        <w:spacing w:after="0" w:line="178"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If we are unsuccessful in our development efforts, we may not be able to advance the development of our product candidates, commercialize products, raise capital, expand our business or continue our operations.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640" w:right="460"/>
        <w:spacing w:after="0" w:line="308" w:lineRule="auto"/>
        <w:rPr>
          <w:sz w:val="20"/>
          <w:szCs w:val="20"/>
          <w:color w:val="auto"/>
        </w:rPr>
      </w:pPr>
      <w:r>
        <w:rPr>
          <w:rFonts w:ascii="Arial" w:cs="Arial" w:eastAsia="Arial" w:hAnsi="Arial"/>
          <w:sz w:val="17"/>
          <w:szCs w:val="17"/>
          <w:b w:val="1"/>
          <w:bCs w:val="1"/>
          <w:i w:val="1"/>
          <w:iCs w:val="1"/>
          <w:color w:val="auto"/>
        </w:rPr>
        <w:t>We expect to rely on third parties to conduct some or all aspects of our vector production, product manufacturing, protocol development, research and preclinical and clinical testing, and these third parties may not perform satisfactorily.</w:t>
      </w:r>
    </w:p>
    <w:p>
      <w:pPr>
        <w:spacing w:after="0" w:line="3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do not expect to independently conduct all aspects of our vector production, product manufacturing, protocol development, research and preclinical and clinical testing. We currently rely, and expect to continue to rely, on third parties with respect to these items. For example, we are moving our cell processing to an automated, closed system with a single third party supplier.</w:t>
      </w:r>
    </w:p>
    <w:p>
      <w:pPr>
        <w:spacing w:after="0" w:line="181"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Any of these third parties may terminate their engagements with us at any time. If we need to enter into alternative arrangements, it could delay our product development activities. Our reliance on these third parties for research and development activities will reduce our control over these activities but will not relieve us of our responsibility to ensure compliance with all required regulations and study protocols. For example, for product candidates that we develop and commercialize on our own, we will remain responsible for ensuring that each of our preclinical and clinical studies are conducted in accordance with the study plan, protocols and regulatory requirements.</w:t>
      </w:r>
    </w:p>
    <w:p>
      <w:pPr>
        <w:spacing w:after="0" w:line="188" w:lineRule="exact"/>
        <w:rPr>
          <w:sz w:val="20"/>
          <w:szCs w:val="20"/>
          <w:color w:val="auto"/>
        </w:rPr>
      </w:pPr>
    </w:p>
    <w:p>
      <w:pPr>
        <w:jc w:val="both"/>
        <w:ind w:left="200" w:right="80" w:firstLine="441"/>
        <w:spacing w:after="0" w:line="297" w:lineRule="auto"/>
        <w:rPr>
          <w:sz w:val="20"/>
          <w:szCs w:val="20"/>
          <w:color w:val="auto"/>
        </w:rPr>
      </w:pPr>
      <w:r>
        <w:rPr>
          <w:rFonts w:ascii="Arial" w:cs="Arial" w:eastAsia="Arial" w:hAnsi="Arial"/>
          <w:sz w:val="16"/>
          <w:szCs w:val="16"/>
          <w:color w:val="auto"/>
        </w:rPr>
        <w:t>If our contract counterparties do not successfully carry out their contractual duties, meet expected deadlines or conduct our studies in accordance with regulatory requirements or our stated study plans and protocols, we will not be able to complete, or may be delayed in completing, the preclinical and clinical studies required to support approval of our product candidates or the FDA or other regulatory agencies may refuse to accept our clinical or preclinical data. For example, in 2017, the ongoing investigator-sponsored Phase 1 clinical trial of AVR-RD-01 encountered delays in the enrollment of patients due to delays in identifying patients for enrollment and the evaluation of information from screened potential trial participants.</w:t>
      </w:r>
    </w:p>
    <w:p>
      <w:pPr>
        <w:spacing w:after="0" w:line="158"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Reliance on third-party manufacturers entails risks to which we would not be subject if we manufactured the product candidates ourselves, including:</w:t>
      </w:r>
    </w:p>
    <w:p>
      <w:pPr>
        <w:spacing w:after="0" w:line="76" w:lineRule="exact"/>
        <w:rPr>
          <w:sz w:val="20"/>
          <w:szCs w:val="20"/>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control as a result of using third-party manufacturers for all aspects of manufacturing activities;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termination or nonrenewal of manufacturing agreements with third parties in a manner or at a time that is costly or damaging to us; and</w:t>
      </w:r>
    </w:p>
    <w:p>
      <w:pPr>
        <w:spacing w:after="0" w:line="142" w:lineRule="exact"/>
        <w:rPr>
          <w:rFonts w:ascii="Arial" w:cs="Arial" w:eastAsia="Arial" w:hAnsi="Arial"/>
          <w:sz w:val="17"/>
          <w:szCs w:val="17"/>
          <w:color w:val="auto"/>
        </w:rPr>
      </w:pPr>
    </w:p>
    <w:p>
      <w:pPr>
        <w:ind w:left="1060" w:right="400" w:hanging="424"/>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disruptions to the operations of our third-party manufacturers or suppliers caused by conditions unrelated to our business or operations, including the bankruptcy of the manufacturer or supplier.</w:t>
      </w:r>
    </w:p>
    <w:p>
      <w:pPr>
        <w:spacing w:after="0" w:line="170"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Any of these events could lead to delays of our preclinical and clinical studies or failure to obtain regulatory approval, or impact our ability to successfully commercialize future products. Some of these events could be the basis for FDA action, including injunction, recall, seizure or total or partial suspension of production.</w:t>
      </w:r>
    </w:p>
    <w:p>
      <w:pPr>
        <w:spacing w:after="0" w:line="289" w:lineRule="exact"/>
        <w:rPr>
          <w:sz w:val="20"/>
          <w:szCs w:val="20"/>
          <w:color w:val="auto"/>
        </w:rPr>
      </w:pPr>
    </w:p>
    <w:p>
      <w:pPr>
        <w:ind w:left="640" w:right="400"/>
        <w:spacing w:after="0" w:line="308" w:lineRule="auto"/>
        <w:rPr>
          <w:sz w:val="20"/>
          <w:szCs w:val="20"/>
          <w:color w:val="auto"/>
        </w:rPr>
      </w:pPr>
      <w:r>
        <w:rPr>
          <w:rFonts w:ascii="Arial" w:cs="Arial" w:eastAsia="Arial" w:hAnsi="Arial"/>
          <w:sz w:val="17"/>
          <w:szCs w:val="17"/>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pacing w:after="0" w:line="38"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We currently have relationships with a limited number of suppliers for the manufacturing of our viral vectors and product candidates. Each supplier may require licenses to manufacture such components if such processes are not owned by the supplier or in the public domain and we may be unable to transfer or sublicense the intellectual property rights we may have with respect to such activities.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good manufacturing practices, or 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on a timely basis and must adhere to the FDA’s good laboratory practices, or GLP, and GMP regulations enforced by the FDA through its facilities inspection program. Some of our contract manufacturers have not produced a commercially-approved product and have never been inspected by the FDA before. Our facilities and quality systems and the facilities and quality systems of some or all of our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do not pass a pre-approval plant inspection, FDA approval of the products will not be granted.</w:t>
      </w:r>
    </w:p>
    <w:p>
      <w:pPr>
        <w:spacing w:after="0" w:line="185"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193"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If we or any of our third-party manufacturers fail to maintain regulatory compliance, the FDA can impose regulatory sanctions including, among other things, refusal to approve a pending application for a new drug product or biologic product, or revocation of a pre-existing approval. As a result, our business, financial condition and results of operations may be materially harmed.</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These factors could cause the delay of clinical studies, regulatory submissions, required approvals or commercialization of our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preclinical and clinical studies may be delayed.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are dependent on a limited number of suppliers for some of our components and materials used in our product candidates.</w:t>
      </w:r>
    </w:p>
    <w:p>
      <w:pPr>
        <w:spacing w:after="0" w:line="129"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We currently depend on a limited number of suppliers for some of the components necessary for our product candidates. We cannot be sure that these suppliers will remain in business, or that they will not be purchased by one of our competitors or another company that is not interested in continuing to produce these materials for our intended purpose. Our use of a limited number of suppliers of raw materials, components and finished goods exposes us to several risks, including disruptions in supply, price increases, late deliveries and an inability to meet customer demand. There are, in general, relatively few alternative sources of supply for these components. These vendors may be unable or unwilling to meet our future demands for our clinical trials or commercial sale. Establishing additional or replacement suppliers for these components could take a substantial amount of time and it may be difficult to establish replacement suppliers who meet regulatory requirements. Any disruption in supply from any supplier or manufacturing location could lead to supply delays or interruptions which would damage our business, financial condition, results of operations and prospects.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If we are required to switch to a replacement supplier, the manufacture and delivery of our product candidates could be interrupted for an extended period, adversely affecting our business. Establishing additional or replacement suppliers may not be accomplished quickly. If we are able to find a replacement supplier, the replacement supplier would need to be qualified and may require additional regulatory authority approval, which could result in further delay. For example, the FDA could require additional supplemental data and clinical trial data if we rely upon a new supplier. While we seek to maintain adequate inventory of the components and materials used in our product candidates, any interruption or delay in the supply of components or materials, or our inability to obtain components or materials from alternate sources at acceptable prices in a timely manner, could impair our ability to conduct our clinical trials and, if our product candidates are approved, to meet the demand of our customers and cause them to cancel orders.</w:t>
      </w:r>
    </w:p>
    <w:p>
      <w:pPr>
        <w:spacing w:after="0" w:line="16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In addition, as part of the FDA’s approval of our product candidates, the FDA must review and approve the individual components of our production process, which includes the manufacturing processes and facilities of our suppliers. Our current suppliers have not undergone this process nor have they had any components included in any product approved by the FDA.</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reliance on these suppliers subjects us to a number of risks that could harm our reputation, business, and financial condition, including, among other things:</w:t>
      </w:r>
    </w:p>
    <w:p>
      <w:pPr>
        <w:spacing w:after="0" w:line="76" w:lineRule="exact"/>
        <w:rPr>
          <w:sz w:val="20"/>
          <w:szCs w:val="20"/>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interruption of supply resulting from modifications to or discontinuation of a supplier’s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product shipments resulting from uncorrected defects, reliability issues, or a supplier’s variation in a component;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lack of long-term supply arrangements for key components with our suppliers;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obtain adequate supply in a timely manner, or to obtain adequate supply on commercially reasonable terms;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and cost associated with locating and qualifying alternative suppliers for our components in a timely manner;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production delays related to the evaluation and testing of products from alternative suppliers, and corresponding regulatory qualifications;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delay in delivery due to our suppliers prioritizing other customer orders over ours;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 to our reputation caused by defective components produced by our suppliers;</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 based upon defects in components produced by our suppliers;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fluctuation in delivery by our suppliers due to changes in demand from us or their other customers.</w:t>
      </w:r>
    </w:p>
    <w:p>
      <w:pPr>
        <w:spacing w:after="0" w:line="22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If any of these risks materialize, costs could significantly increase and our ability to conduct our clinical trials and, if our product candidates are approved, to meet demand for our products could be impacted.</w:t>
      </w:r>
    </w:p>
    <w:p>
      <w:pPr>
        <w:spacing w:after="0" w:line="279"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6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Because we rely on third parties to manufacture our vectors and our product candidates, and because we collaborate with various organizations and academic institutions on the advancement of our gene therapy approach, we must,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8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although in some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 A competitor’s discovery of our trade secrets would impair our competitive position and have an adverse impact on our business.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distribution and marketing capabilities or enter into agreements with third parties to market and sell AVR-RD-01 and our other product candidates, we will be unable to generate any product revenue.</w:t>
      </w:r>
    </w:p>
    <w:p>
      <w:pPr>
        <w:spacing w:after="0" w:line="62"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We currently have no sales, distribution or marketing organization. To successfully commercialize any of our current or future product candidates, if approved, we will need to develop these capabilities, either on our own or with others. The establishment and development of our own commercial team or the establishment of a contract sales force to market any product candidate we may develop will be expensive and time-consuming and could delay any product launch. Moreover, we cannot be certain that we will be able to successfully develop this capability. We may enter into collaborations regarding any approved product candidates with other entities to utilize their established marketing and distribution capabilities, but we may be unable to enter into such agreements on favorable terms, if at all. If any future collaborators do not commit sufficient resources to commercialize our product candidates, or we are unable to develop the necessary capabilities on our own, we will be unable to generate sufficient product revenue to sustain our business. We compete with many companies that currently have extensive, experienced and well-funded sales, distribution and marketing operations to recruit, hire, train and retain marketing and sales personnel. We also face competition in our search for third parties to assist us with the sales and marketing efforts of our product candidates, if approved. Without an internal team or the support of a third-party to perform marketing and sales functions, we may be unable to compete successfully against these more established companies.</w:t>
      </w:r>
    </w:p>
    <w:p>
      <w:pPr>
        <w:spacing w:after="0" w:line="281"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our product candidates are smaller than we believe they are, our product revenues may be adversely affected and our business may suffer.</w:t>
      </w:r>
    </w:p>
    <w:p>
      <w:pPr>
        <w:spacing w:after="0" w:line="62" w:lineRule="exact"/>
        <w:rPr>
          <w:sz w:val="20"/>
          <w:szCs w:val="20"/>
          <w:color w:val="auto"/>
        </w:rPr>
      </w:pPr>
    </w:p>
    <w:p>
      <w:pPr>
        <w:ind w:left="200" w:right="240" w:firstLine="441"/>
        <w:spacing w:after="0" w:line="273" w:lineRule="auto"/>
        <w:rPr>
          <w:sz w:val="20"/>
          <w:szCs w:val="20"/>
          <w:color w:val="auto"/>
        </w:rPr>
      </w:pPr>
      <w:r>
        <w:rPr>
          <w:rFonts w:ascii="Arial" w:cs="Arial" w:eastAsia="Arial" w:hAnsi="Arial"/>
          <w:sz w:val="17"/>
          <w:szCs w:val="17"/>
          <w:color w:val="auto"/>
        </w:rPr>
        <w:t>We focus our research and product development on treatments for serious lysosomal storage diseases. Our understanding of both the number of people who have these diseases, as well as the subset of people with these diseases who have the potential to benefit from treatment with our product candidates, are based on estimates. These estimates may prove to be incorrect and new studies may reduce the estimated incidence or prevalence of these diseases. The number of patients in the United States and elsewhere may turn out to be lower than expected, may not be otherwise amenable to treatment with our products or patients may become increasingly difficult to identify and access, all of which would adversely affect our business, financial condition, results of operations and prospects.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6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Even if we obtain any regulatory approval for our product candidates, the commercial success of our product candidates will depend in part on the medical community, patients, and third-party payors accepting gene therapy products in general, and our product candidates in particular, as effective, safe and cost-effective. Any product that we bring to the market may not gain market acceptance by physicians, patients, third-party payors and others in the medical community. The degree of market acceptance of these product candidates, if approved for commercial sale, will depend on a number of factors, including:</w:t>
      </w:r>
    </w:p>
    <w:p>
      <w:pPr>
        <w:spacing w:after="0" w:line="94"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potential efficacy and potential advantages over alternative treatments;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prevalence and severity of any side effects, including any limitations or warnings contained in a product’s approved labeling;</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prevalence and severity of any side effects resulting from the conditioning regimen for the administration of our product candidates;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sufficient third-party insurance coverage or reimbursement.</w:t>
      </w:r>
    </w:p>
    <w:p>
      <w:pPr>
        <w:spacing w:after="0" w:line="225"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Even if a product candidate displays a favorable efficacy and safety profile in preclinical and clinical studies, market acceptance of the product, if approved for commercial sale, will not be known until after it is launched. Our efforts to educate the medical community and third-party payors on the benefits of our product candidates may require significant resources and may never be successful. Such efforts to educate the marketplace may require more resources than are required by the conventional technologies marketed by our competitors. If these products do not achieve an adequate level of acceptance, we may not generate significant product revenue and may not become profitable.</w:t>
      </w:r>
    </w:p>
    <w:p>
      <w:pPr>
        <w:spacing w:after="0" w:line="281" w:lineRule="exact"/>
        <w:rPr>
          <w:sz w:val="20"/>
          <w:szCs w:val="20"/>
          <w:color w:val="auto"/>
        </w:rPr>
      </w:pPr>
    </w:p>
    <w:p>
      <w:pPr>
        <w:ind w:left="640" w:right="340"/>
        <w:spacing w:after="0" w:line="277"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62"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currently plan to conduct clinical trials for our product candidates outside of the United States, including in Canada, Australia, Japan, Europe and Israel. 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92" w:lineRule="exact"/>
        <w:rPr>
          <w:sz w:val="20"/>
          <w:szCs w:val="20"/>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and biologics in foreign countries;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5620" w:right="2600" w:hanging="4984"/>
        <w:spacing w:after="0" w:line="449" w:lineRule="auto"/>
        <w:tabs>
          <w:tab w:leader="none" w:pos="106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 30</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4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jc w:val="both"/>
        <w:ind w:left="640" w:right="40"/>
        <w:spacing w:after="0" w:line="264"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Failure to obtain or maintain adequate coverage and reimbursement for any of our product candidates, if approved, could limit our ability to market those products and decrease our ability to generate revenue.</w:t>
      </w:r>
    </w:p>
    <w:p>
      <w:pPr>
        <w:spacing w:after="0" w:line="7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The availability and extent of reimbursement by governmental and private payors is essential for most patients to be able to afford expensive treatments, such as stem cell transplants. Sales of our product candidates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We may not be able to provide data sufficient to gain acceptance with respect to coverage and reimbursement. If reimbursement is not available, or is available only at limited levels, we may not be able to successfully commercialize our product candidates, if approved. Even if coverage is provided, the approved reimbursement amount may not be high enough to allow us to establish or maintain pricing sufficient to realize a sufficient return on our investment.</w:t>
      </w:r>
    </w:p>
    <w:p>
      <w:pPr>
        <w:spacing w:after="0" w:line="16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reimbursement for new medicines are typically made by the Centers for Medicare &amp; Medicaid Services, or CMS, an agency within the U.S. Department of Health and Human Services, as the CMS decides whether and to what extent a new medicine will be covered and reimbursed under Medicare. Private payors tend to follow the CMS to a substantial degree. It is difficult to predict what the CMS will decide with respect to reimbursement for fundamentally novel products such as ours, as there is no body of established practices and precedents for these new products.</w:t>
      </w:r>
    </w:p>
    <w:p>
      <w:pPr>
        <w:spacing w:after="0" w:line="19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and certain other major markets where we plan to commercialize may put pressure on the pricing and usage of our product candidates.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92"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Moreover, efforts by governmental and third-party payors, in the United States and abroad,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60"/>
          </w:cols>
          <w:pgMar w:left="24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Due to the novel nature of our technology and the potential for our product candidates to offer therapeutic benefit in a single administration, we face uncertainty related to pricing and reimbursement for these product candidates.</w:t>
      </w:r>
    </w:p>
    <w:p>
      <w:pPr>
        <w:spacing w:after="0" w:line="62"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Our target patient populations are relatively small, as a result of which the pricing and reimbursement of our product candidates, if approved, must be adequate to support commercial infrastructure. If we are unable to obtain adequate levels of reimbursement, our ability to successfully market and sell our product candidates will be adversely affected. The manner and level at which reimbursement is provided for services related to our product candidates (e.g., for administration of our product to patients) is also important. Inadequate reimbursement for such services may lead to physician resistance and adversely affect our ability to market or sell our product candidates, if approved.</w:t>
      </w:r>
    </w:p>
    <w:p>
      <w:pPr>
        <w:spacing w:after="0" w:line="281" w:lineRule="exact"/>
        <w:rPr>
          <w:sz w:val="20"/>
          <w:szCs w:val="20"/>
          <w:color w:val="auto"/>
        </w:rPr>
      </w:pPr>
    </w:p>
    <w:p>
      <w:pPr>
        <w:ind w:left="640" w:right="680"/>
        <w:spacing w:after="0" w:line="277" w:lineRule="auto"/>
        <w:rPr>
          <w:sz w:val="20"/>
          <w:szCs w:val="20"/>
          <w:color w:val="auto"/>
        </w:rPr>
      </w:pPr>
      <w:r>
        <w:rPr>
          <w:rFonts w:ascii="Arial" w:cs="Arial" w:eastAsia="Arial" w:hAnsi="Arial"/>
          <w:sz w:val="18"/>
          <w:szCs w:val="18"/>
          <w:b w:val="1"/>
          <w:bCs w:val="1"/>
          <w:i w:val="1"/>
          <w:iCs w:val="1"/>
          <w:color w:val="auto"/>
        </w:rPr>
        <w:t>Gene therapies are novel, complex and difficult to manufacture. We could experience production problems that result in delays in our development or commercialization programs or otherwise adversely affect our business.</w:t>
      </w:r>
    </w:p>
    <w:p>
      <w:pPr>
        <w:spacing w:after="0" w:line="62"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manufacturing process we use to produce our product candidates is complex, novel and has not been validated for commercial use. Several factors could cause production interruptions, including equipment malfunctions, facility contamination, raw material shortages or contamination, natural disasters, disruption in utility services, human error or disruptions in the operations of our suppliers.</w:t>
      </w:r>
    </w:p>
    <w:p>
      <w:pPr>
        <w:spacing w:after="0" w:line="181"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Our product candidates require processing steps that are more complex than those required for most chemical pharmaceuticals. Moreover, unlike chemical pharmaceuticals, the physical and chemical properties of a biologic such as ours generally cannot be fully characterized. As a result, assays of the finished product may not be sufficient to ensure that the product will perform in the intended manner. Accordingly, we and our manufacturing suppliers employ multiple steps to control the manufacturing process with the goal of ensuring that the product candidate is made strictly and consistently in compliance with the process. Problems with the manufacturing process, including even minor deviations from the intended process, could result in product defects or manufacturing failures that result in lot failures, product recalls, product liability claims or insufficient inventory. We may encounter problems achieving adequate quantities and quality of clinical-grade materials that meet FDA or other applicable regulatory standards or specifications with consistent and acceptable production yields and costs.</w:t>
      </w:r>
    </w:p>
    <w:p>
      <w:pPr>
        <w:spacing w:after="0" w:line="179"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addition, the FDA and other foreign regulatory authorities may require us to submit samples of any lot of any approved product together with the protocols showing the results of applicable tests at any time. Under some circumstances, the FDA or other foreign regulatory authorities may require that we not distribute a lot until the agency authorizes its release. Even slight deviations in the manufacturing process, including those affecting quality attributes and stability, may result in unacceptable changes in the product that could result in lot failures or product recalls. There is no assurance we will not experience lot failures in the future. Lot failures or product recalls could cause us to delay clinical trials, or, if approved, commercial product launches, which could be costly to us and otherwise harm our business, financial condition, results of operations and prospects.</w:t>
      </w:r>
    </w:p>
    <w:p>
      <w:pPr>
        <w:spacing w:after="0" w:line="273"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Healthcare legislative reform measures and constraints on national budget social security systems may have a material adverse effect on our business and results of operations.</w:t>
      </w:r>
    </w:p>
    <w:p>
      <w:pPr>
        <w:spacing w:after="0" w:line="6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Third-party payors, whether domestic or foreign, or governmental or private, are developing increasingly sophisticated methods of controlling healthcare costs. In both the United States and certain foreign jurisdictions, there have been a number of legislative and regulatory changes to the health care system that could impact our ability to sell our products profitably. In particular, in 2010, the Patient Protection and Affordable Care Act or ACA or PPACA, as amended by the Health Care and Education Reconciliation Act of 2010, or the ACA, was enacted, which, among other things, subjected biologic products to potential competition by lower-cost biosimilars, addressed a new methodology by which rebates owed by manufacturers under the Medicaid Drug</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3" w:lineRule="auto"/>
        <w:rPr>
          <w:sz w:val="20"/>
          <w:szCs w:val="20"/>
          <w:color w:val="auto"/>
        </w:rPr>
      </w:pPr>
      <w:r>
        <w:rPr>
          <w:rFonts w:ascii="Arial" w:cs="Arial" w:eastAsia="Arial" w:hAnsi="Arial"/>
          <w:sz w:val="16"/>
          <w:szCs w:val="16"/>
          <w:color w:val="auto"/>
        </w:rPr>
        <w:t>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 Some of the provisions of the ACA have yet to be fully implemented, while certain provisions have been subject to judicial and Congressional challenges.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w:t>
      </w:r>
    </w:p>
    <w:p>
      <w:pPr>
        <w:spacing w:after="0" w:line="6" w:lineRule="exact"/>
        <w:rPr>
          <w:sz w:val="20"/>
          <w:szCs w:val="20"/>
          <w:color w:val="auto"/>
        </w:rPr>
      </w:pPr>
    </w:p>
    <w:p>
      <w:pPr>
        <w:jc w:val="both"/>
        <w:ind w:left="200" w:right="100"/>
        <w:spacing w:after="0" w:line="255" w:lineRule="auto"/>
        <w:rPr>
          <w:sz w:val="20"/>
          <w:szCs w:val="20"/>
          <w:color w:val="auto"/>
        </w:rPr>
      </w:pPr>
      <w:r>
        <w:rPr>
          <w:rFonts w:ascii="Arial" w:cs="Arial" w:eastAsia="Arial" w:hAnsi="Arial"/>
          <w:sz w:val="18"/>
          <w:szCs w:val="18"/>
          <w:color w:val="auto"/>
        </w:rPr>
        <w:t>October 25, 2017. In addition, the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 Congress may consider other legislation to replace elements of the ACA.</w:t>
      </w:r>
    </w:p>
    <w:p>
      <w:pPr>
        <w:spacing w:after="0" w:line="190" w:lineRule="exact"/>
        <w:rPr>
          <w:sz w:val="20"/>
          <w:szCs w:val="20"/>
          <w:color w:val="auto"/>
        </w:rPr>
      </w:pPr>
    </w:p>
    <w:p>
      <w:pPr>
        <w:ind w:left="200" w:right="20" w:firstLine="441"/>
        <w:spacing w:after="0" w:line="267" w:lineRule="auto"/>
        <w:rPr>
          <w:sz w:val="20"/>
          <w:szCs w:val="20"/>
          <w:color w:val="auto"/>
        </w:rPr>
      </w:pPr>
      <w:r>
        <w:rPr>
          <w:rFonts w:ascii="Arial" w:cs="Arial" w:eastAsia="Arial" w:hAnsi="Arial"/>
          <w:sz w:val="17"/>
          <w:szCs w:val="17"/>
          <w:color w:val="auto"/>
        </w:rPr>
        <w:t>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exercise tax on non-exempt medical devices. Further, the Bipartisan Budget Act of 2018, or the BBA, among other things, amends the ACA, effective January 1, 2019, to reduce the coverage gap in most Medicare drug plans, commonly referred to as the “donut hole.” Congress also could consider subsequent legislation to replace elements of the ACA that are repealed. Thus, the full impact of the ACA, any law replacing elements of it, and the political uncertainty surrounding any repeal or replacement legislation on our business remains unclear. In addition, 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which went into effect in April 2013, and will remain in effect through 2027 unless additional Congressional action is taken. In January 2013, the American Taxpayer Relief Act of 2012, was signed into law, which, among other things, further reduced Medicare payments to several providers, including hospitals and cancer treatment centers, and increased the statute of limitations period for the government to recover overpayments to providers from three to five years.</w:t>
      </w:r>
    </w:p>
    <w:p>
      <w:pPr>
        <w:spacing w:after="0" w:line="193"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w:t>
      </w:r>
    </w:p>
    <w:p>
      <w:pPr>
        <w:spacing w:after="0" w:line="92"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demand for our drug product candidates, if we obtain regulatory approval;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Any denial in coverage or reduction in reimbursement from Medicare or other government programs may result in a similar denial or reduction in payments from private payors, which may adversely affect our future profitability.</w:t>
      </w:r>
    </w:p>
    <w:p>
      <w:pPr>
        <w:spacing w:after="0" w:line="279" w:lineRule="exact"/>
        <w:rPr>
          <w:sz w:val="20"/>
          <w:szCs w:val="20"/>
          <w:color w:val="auto"/>
        </w:rPr>
      </w:pPr>
    </w:p>
    <w:p>
      <w:pPr>
        <w:ind w:left="640" w:right="140"/>
        <w:spacing w:after="0" w:line="264" w:lineRule="auto"/>
        <w:rPr>
          <w:sz w:val="20"/>
          <w:szCs w:val="20"/>
          <w:color w:val="auto"/>
        </w:rPr>
      </w:pPr>
      <w:r>
        <w:rPr>
          <w:rFonts w:ascii="Arial" w:cs="Arial" w:eastAsia="Arial" w:hAnsi="Arial"/>
          <w:sz w:val="18"/>
          <w:szCs w:val="18"/>
          <w:b w:val="1"/>
          <w:bCs w:val="1"/>
          <w:i w:val="1"/>
          <w:iCs w:val="1"/>
          <w:color w:val="auto"/>
        </w:rPr>
        <w:t>Any contamination in our manufacturing process, shortages of materials or failure of any of our key suppliers to deliver necessary components could result in interruption in the supply of our product candidates and delays in our clinical development or commercialization schedules.</w:t>
      </w:r>
    </w:p>
    <w:p>
      <w:pPr>
        <w:spacing w:after="0" w:line="73"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Given the nature of biologics manufacturing, there is a risk of contamination in our manufacturing processes. Any contamination could materially adversely affect our ability to produce product candidates on schedule and could, therefore, harm our results of operations and cause reputational damage.</w:t>
      </w:r>
    </w:p>
    <w:p>
      <w:pPr>
        <w:spacing w:after="0" w:line="18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Some of the materials required in our manufacturing process are derived from biologic sources. Such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materially and adversely affect our development timelines and our business, financial condition, results of operations and prospects.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21" w:lineRule="exact"/>
        <w:rPr>
          <w:sz w:val="20"/>
          <w:szCs w:val="20"/>
          <w:color w:val="auto"/>
        </w:rPr>
      </w:pPr>
    </w:p>
    <w:p>
      <w:pPr>
        <w:ind w:left="640"/>
        <w:spacing w:after="0" w:line="340" w:lineRule="auto"/>
        <w:rPr>
          <w:sz w:val="20"/>
          <w:szCs w:val="20"/>
          <w:color w:val="auto"/>
        </w:rPr>
      </w:pPr>
      <w:r>
        <w:rPr>
          <w:rFonts w:ascii="Arial" w:cs="Arial" w:eastAsia="Arial" w:hAnsi="Arial"/>
          <w:sz w:val="15"/>
          <w:szCs w:val="15"/>
          <w:b w:val="1"/>
          <w:bCs w:val="1"/>
          <w:i w:val="1"/>
          <w:iCs w:val="1"/>
          <w:color w:val="auto"/>
        </w:rPr>
        <w:t>Our gene therapy approach utilizes lentiviral vectors derived from viruses, which may be perceived as unsafe or may result in unforeseen adverse events. Negative public opinion and increased regulatory scrutiny of gene therapy and genetic research may damage public perception of our product candidates or adversely affect our ability to conduct our business or obtain regulatory approvals for our product candidates.</w:t>
      </w:r>
    </w:p>
    <w:p>
      <w:pPr>
        <w:spacing w:after="0" w:line="23" w:lineRule="exact"/>
        <w:rPr>
          <w:sz w:val="20"/>
          <w:szCs w:val="20"/>
          <w:color w:val="auto"/>
        </w:rPr>
      </w:pPr>
    </w:p>
    <w:p>
      <w:pPr>
        <w:ind w:left="200" w:right="100" w:firstLine="441"/>
        <w:spacing w:after="0" w:line="287" w:lineRule="auto"/>
        <w:rPr>
          <w:sz w:val="20"/>
          <w:szCs w:val="20"/>
          <w:color w:val="auto"/>
        </w:rPr>
      </w:pPr>
      <w:r>
        <w:rPr>
          <w:rFonts w:ascii="Arial" w:cs="Arial" w:eastAsia="Arial" w:hAnsi="Arial"/>
          <w:sz w:val="16"/>
          <w:szCs w:val="16"/>
          <w:color w:val="auto"/>
        </w:rPr>
        <w:t>Gene therapy remains a novel technology, with only a limited number of gene therapy products approved to date.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For example, earlier gene therapy trials led to several well-publicized adverse events, including cases of leukemia and death seen in other trials using other vectors. Adverse events in our clinical studies, even if not ultimately attributable to our product candidates (such as the many adverse events that typically arise from the conditioning process), or adverse events in other lentiviral gene therapy trials, and the resulting publicity could result in increased governmental regulation, unfavorable public perception, potential regulatory delays in the testing or approval of our potential product candidates, stricter labeling requirements for those product candidates that are approved and a decrease in demand for any such product candidates.</w:t>
      </w:r>
    </w:p>
    <w:p>
      <w:pPr>
        <w:spacing w:after="0" w:line="281"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consultants and advisors and to attract, retain and motivate qualified personnel.</w:t>
      </w:r>
    </w:p>
    <w:p>
      <w:pPr>
        <w:spacing w:after="0" w:line="62"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We are highly dependent on principal members of our executive team and key employees, including our Chief Executive Officer, Chief Financial Officer, Head of Operations, Chief Science Officer, Chief Business Officer, and Chief Medical Officer, the loss of whose services may adversely impact the achievement of our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objectives. While we have entered into employment agreements with each of our executive officers, any of them could leave our employment at any time, as all of our employees are “at will” employees. We do not maintain “key person” insurance policies on the lives of these individuals or the lives of any of our other employees. The loss of the services of one or more of our current employees might impede the achievement of our research, development and commercialization objectives. Recruiting and retaining other qualified employees, consultants and advisors for our business, including scientific and technical personnel, will also be critical to our success. There is currently a shortage of skilled executives in our industry, which is likely to continue. As a result, competition for skilled personnel, including in gene therapy research and vector manufacturing,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trials may make it more challenging to recruit and retain qualified personnel. The inability to recruit or the loss of the services of any executive, key employee, consultant or advisor may impede the progress of our research, development and commercialization objectives.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We will need to expand our operations and we may experience difficulties in managing this growth, which could disrupt our operations.</w:t>
      </w:r>
    </w:p>
    <w:p>
      <w:pPr>
        <w:spacing w:after="0" w:line="14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 of June 1, 2018, we had 34 full-time employees. As we mature, we expect to expand our full-time employee base and to hire more consultants and contractors.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revenues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If we are unable to manage expected growth in the scale and complexity of our operations, our performance may suffer.</w:t>
      </w:r>
    </w:p>
    <w:p>
      <w:pPr>
        <w:spacing w:after="0" w:line="117"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commercialization of any of our product candidates that are approved for sale. Future growth would impose significant added responsibilities on members of management. It is likely that our management, finance, development personnel, systems and facilities currently in place may not be adequate to support this future growth. Our need to effectively manage our operations, growth and product candidates requires that we continue to develop more robust business processes and improve our systems and procedures in each of these areas and to attract and retain sufficient numbers of talented employees. We may be unable to successfully implement these tasks on a larger scale and, accordingly, may not achieve our research, development and growth goals.</w:t>
      </w:r>
    </w:p>
    <w:p>
      <w:pPr>
        <w:spacing w:after="0" w:line="30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consultants and commercial partners may engage in misconduct or other improper activities, including non-compliance with regulatory standards and requirements and insider trading.</w:t>
      </w:r>
    </w:p>
    <w:p>
      <w:pPr>
        <w:spacing w:after="0" w:line="62"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We are exposed to the risk of fraud or other misconduct by our employees, principal investigators, consultants and commercial partners. Misconduct by these parties could include intentional failures to comply with the regulations of the FDA or of other foreign regulatory authorities, provide accurate information to the FDA and other foreign regulatory authorities, comply with healthcare fraud and abuse laws and regulations in the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Such misconduct could also involve the improper use of information obtained in the course of clinical studies, which could result in regulatory sanctions and cause serious harm to our reputation. We have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86" w:lineRule="exact"/>
        <w:rPr>
          <w:sz w:val="20"/>
          <w:szCs w:val="20"/>
          <w:color w:val="auto"/>
        </w:rPr>
      </w:pPr>
    </w:p>
    <w:p>
      <w:pPr>
        <w:ind w:left="640" w:right="64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 The failure to comply with laws governing international business practices may result in substantial civil and criminal penalties and suspension or debarment from government contracting. The Securities and Exchange Commission, or SEC, also may suspend or bar issuers from trading securities on U.S. exchanges for violations of the United States Foreign Corrupt Practices Act’s accounting provisions.</w:t>
      </w:r>
    </w:p>
    <w:p>
      <w:pPr>
        <w:spacing w:after="0" w:line="277"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b w:val="1"/>
          <w:bCs w:val="1"/>
          <w:i w:val="1"/>
          <w:iCs w:val="1"/>
          <w:color w:val="auto"/>
        </w:rPr>
        <w:t>We may be subject, directly or indirectly, to federal and state healthcare fraud and abuse laws, false claims laws health information privacy and security laws, and other health care laws and regulations. If we are unable to comply, or have not fully complied, with such laws, we could face substantial penalties.</w:t>
      </w:r>
    </w:p>
    <w:p>
      <w:pPr>
        <w:spacing w:after="0" w:line="73"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will be directly, or indirectly through our prescribers, customers and purchasers, subject to various federal and state fraud and abuse laws and regulations, including, without limitation, the federal Health Care Program Anti-Kickback Statute, the federal civil and criminal False Claims Act and Physician Payments Sunshine Act and regulations. These laws will impact, among other things, our proposed sales, marketing and educational programs. In addition, we may be subject to patient privacy laws by both the federal government and the states in which we conduct our business. The laws that will affect our operations include, but are not limited to:</w:t>
      </w:r>
    </w:p>
    <w:p>
      <w:pPr>
        <w:spacing w:after="0" w:line="99" w:lineRule="exact"/>
        <w:rPr>
          <w:sz w:val="20"/>
          <w:szCs w:val="20"/>
          <w:color w:val="auto"/>
        </w:rPr>
      </w:pPr>
    </w:p>
    <w:p>
      <w:pPr>
        <w:ind w:left="1060" w:right="20" w:hanging="424"/>
        <w:spacing w:after="0" w:line="259"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to induce, or in return for, the purchase, lease, order, or recommendation of any good, facility, item or service for which payment may be made, in whole or in part, under a federal healthcare program, such as the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300"/>
        <w:spacing w:after="0" w:line="259" w:lineRule="auto"/>
        <w:rPr>
          <w:sz w:val="20"/>
          <w:szCs w:val="20"/>
          <w:color w:val="auto"/>
        </w:rPr>
      </w:pPr>
      <w:r>
        <w:rPr>
          <w:rFonts w:ascii="Arial" w:cs="Arial" w:eastAsia="Arial" w:hAnsi="Arial"/>
          <w:sz w:val="18"/>
          <w:szCs w:val="18"/>
          <w:color w:val="auto"/>
        </w:rPr>
        <w:t>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or federal civil money penalties;</w:t>
      </w:r>
    </w:p>
    <w:p>
      <w:pPr>
        <w:spacing w:after="0" w:line="92" w:lineRule="exact"/>
        <w:rPr>
          <w:sz w:val="20"/>
          <w:szCs w:val="20"/>
          <w:color w:val="auto"/>
        </w:rPr>
      </w:pPr>
    </w:p>
    <w:p>
      <w:pPr>
        <w:ind w:left="1060" w:right="160" w:hanging="424"/>
        <w:spacing w:after="0" w:line="255"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using or causing to be made or used, a false statement of record material to a false or fraudulent claim or obligation to pay or transmit money or property to the federal government; or knowingly concealing or knowingly and improperly avoiding or decreasing an obligation to pay money to the federal government;</w:t>
      </w:r>
    </w:p>
    <w:p>
      <w:pPr>
        <w:spacing w:after="0" w:line="98" w:lineRule="exact"/>
        <w:rPr>
          <w:rFonts w:ascii="Arial" w:cs="Arial" w:eastAsia="Arial" w:hAnsi="Arial"/>
          <w:sz w:val="18"/>
          <w:szCs w:val="18"/>
          <w:color w:val="auto"/>
        </w:rPr>
      </w:pPr>
    </w:p>
    <w:p>
      <w:pPr>
        <w:ind w:left="1060" w:right="160" w:hanging="424"/>
        <w:spacing w:after="0" w:line="259"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92" w:lineRule="exact"/>
        <w:rPr>
          <w:rFonts w:ascii="Arial" w:cs="Arial" w:eastAsia="Arial" w:hAnsi="Arial"/>
          <w:sz w:val="18"/>
          <w:szCs w:val="18"/>
          <w:color w:val="auto"/>
        </w:rPr>
      </w:pPr>
    </w:p>
    <w:p>
      <w:pPr>
        <w:ind w:left="1060" w:hanging="424"/>
        <w:spacing w:after="0" w:line="291" w:lineRule="auto"/>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a person from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2" w:lineRule="exact"/>
        <w:rPr>
          <w:rFonts w:ascii="Arial" w:cs="Arial" w:eastAsia="Arial" w:hAnsi="Arial"/>
          <w:sz w:val="16"/>
          <w:szCs w:val="16"/>
          <w:color w:val="auto"/>
        </w:rPr>
      </w:pPr>
    </w:p>
    <w:p>
      <w:pPr>
        <w:ind w:left="1060" w:right="140" w:hanging="424"/>
        <w:spacing w:after="0" w:line="302" w:lineRule="auto"/>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59" w:lineRule="exact"/>
        <w:rPr>
          <w:rFonts w:ascii="Arial" w:cs="Arial" w:eastAsia="Arial" w:hAnsi="Arial"/>
          <w:sz w:val="16"/>
          <w:szCs w:val="16"/>
          <w:color w:val="auto"/>
        </w:rPr>
      </w:pPr>
    </w:p>
    <w:p>
      <w:pPr>
        <w:ind w:left="1060" w:right="160" w:hanging="424"/>
        <w:spacing w:after="0" w:line="255"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federal transparency requirements under the Affordable Care Act,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98"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Additionally, we are subject to state and foreign equivalents of each of the healthcare laws described above, among others, some of which may be broader in scope and may apply regardless of the payer. Many U.S. states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1" w:lineRule="auto"/>
        <w:rPr>
          <w:sz w:val="20"/>
          <w:szCs w:val="20"/>
          <w:color w:val="auto"/>
        </w:rPr>
      </w:pPr>
      <w:r>
        <w:rPr>
          <w:rFonts w:ascii="Arial" w:cs="Arial" w:eastAsia="Arial" w:hAnsi="Arial"/>
          <w:sz w:val="17"/>
          <w:szCs w:val="17"/>
          <w:color w:val="auto"/>
        </w:rPr>
        <w:t>have adopted laws similar to the federal Anti-Kickback Statute, some of which apply to the referral of patients for healthcare services reimbursed by any source, not just governmental payers,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79"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Because of the breadth of these laws and the narrowness of the statutory exceptions and safe harbors available, it is possible that some of our business activities could be subject to challenge under one or more of such laws. If our operations are found to be in violation of any of the laws described above or any other government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66" w:lineRule="exact"/>
        <w:rPr>
          <w:sz w:val="20"/>
          <w:szCs w:val="20"/>
          <w:color w:val="auto"/>
        </w:rPr>
      </w:pPr>
    </w:p>
    <w:p>
      <w:pPr>
        <w:ind w:left="640" w:right="200"/>
        <w:spacing w:after="0" w:line="259" w:lineRule="auto"/>
        <w:rPr>
          <w:sz w:val="20"/>
          <w:szCs w:val="20"/>
          <w:color w:val="auto"/>
        </w:rPr>
      </w:pPr>
      <w:r>
        <w:rPr>
          <w:rFonts w:ascii="Arial" w:cs="Arial" w:eastAsia="Arial" w:hAnsi="Arial"/>
          <w:sz w:val="18"/>
          <w:szCs w:val="18"/>
          <w:b w:val="1"/>
          <w:bCs w:val="1"/>
          <w:i w:val="1"/>
          <w:iCs w:val="1"/>
          <w:color w:val="auto"/>
        </w:rPr>
        <w:t>We face potential product liability, and, if successful claims are brought against us, we may incur substantial liability and costs. If the use of our product candidates harms patients, or is perceived to harm patients even when such harm is unrelated to our product candidates, our regulatory approvals could be revoked or otherwise negatively impacted and we could be subject to costly and damaging product liability claims.</w:t>
      </w:r>
    </w:p>
    <w:p>
      <w:pPr>
        <w:spacing w:after="0" w:line="7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use of our product candidates in clinical studies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There is a risk that our product candidates may induce adverse events. If we cannot successfully defend against product liability claims, we could incur substantial liability and costs. In addition, regardless of merit or eventual outcome, product liability claims may result in:</w:t>
      </w:r>
    </w:p>
    <w:p>
      <w:pPr>
        <w:spacing w:after="0" w:line="94" w:lineRule="exact"/>
        <w:rPr>
          <w:sz w:val="20"/>
          <w:szCs w:val="20"/>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impairment of our business reputation;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withdrawal of clinical study participants;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due to related litigation;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distraction of management’s attention from our primary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decreased demand for our product candidates, if approved for commercial sale.</w:t>
      </w:r>
    </w:p>
    <w:p>
      <w:pPr>
        <w:spacing w:after="0" w:line="225"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carry product liability insurance of $5.0 million per occurrence and $5.0 million in the aggregate. We believe our product liability insurance coverage is sufficient in light of our current clinical programs; however, we may not be able to maintain insurance coverage at a reasonable cost or in sufficient amounts to protect us against losses due to liability. If and when we obtain marketing approval for product candidates, we intend to expand our insurance coverage to include the sale of commercial products; however, we may be unable to obtain product liability insurance on commercially reasonable terms or in adequate amounts. On occasion, large judgments have been awarded in class action lawsuits based on drugs or medical treatments that had unanticipated adverse effects. A successful product liability claim or series of claims brought against us could cause our stock price to decline and, if judgments exceed our insurance coverage, could adversely affect our results of operations and business.</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Patients with the diseases targeted by certain of our product candidates are often already in severe and advanced stages of disease and have both known and unknown significant pre-existing and potentially life- 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we do not believe that an adverse event is related to our products, the investigation into the circumstance may be time-consuming or inconclusive. These investigations may interrupt our sales efforts, delay our regulatory approval process in other countries,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290"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78"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 or liabilities, which could materially adversely affect our business, financial condition, results of operations and prospects.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The recent global financial crisis caused extreme volatility and disruptions in the capital and credit markets. A severe or prolonged economic downturn, such as the recent global financial crisis,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delays in payments for our services by third-party payors or our collaborators. Any of the foregoing could harm our business and we cannot anticipate all of the ways in which the current economic climate and financial market conditions could adversely impact our business, financial condition, results of operations and prospects.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 financial condition, results of operations and prospects.</w:t>
      </w:r>
    </w:p>
    <w:p>
      <w:pPr>
        <w:spacing w:after="0" w:line="300"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Despite our security measures, our internal computer systems and those of our current and any future collaborators and other contractors or consultants are vulnerable to damage from computer viruses, unauthorized access, natural disasters, terrorism, war and telecommunication and electrical failures. For example, in 2017 we were subjected to a cyberattack by a third party, which led to the theft of a portion of our funds. We implemented remedial measures promptly following this breach and do not believe that this breach had a material adverse effect on our business. However, if any cyberattack or data breach were to occur in the future and cause interruptions in our or our collaborators’, contractors’ or consultants’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On December 22, 2017, President Trump signed into law the TCJA that significantly reforms the Internal Revenue Code of 1986, as amended, or the Code. The TCJA, among other things, contains significant changes to corporate taxation, including the reduction of the corporate tax rate from a top marginal rate of 35% to a flat rate of 21%, the limitation of the tax deduction for interest expense to 30% of adjusted earnings (except for certain small businesses), the limitation of the deduction for net operating losses to 80% of current year taxable income and the elimination of net operating loss carrybacks and modification or repeal of many business deductions and credits (including the reduction of the business tax credit for certain clinical testing expenses incurred in the testing of certain drugs for rare diseases or conditions generally referred to as “orphan drugs”). We continue to examine the impact this tax reform legislation may have on our business. However, the effect of the TCJA on our business, whether adverse or favorable, is uncertain, and may not become evident for some period of time. We urge investors to consult with their legal and tax advisers regarding the implications of the TCJA on an investment in our common stock.</w:t>
      </w:r>
    </w:p>
    <w:p>
      <w:pPr>
        <w:spacing w:after="0" w:line="290" w:lineRule="exact"/>
        <w:rPr>
          <w:sz w:val="20"/>
          <w:szCs w:val="20"/>
          <w:color w:val="auto"/>
        </w:rPr>
      </w:pPr>
    </w:p>
    <w:p>
      <w:pPr>
        <w:ind w:left="640" w:right="740"/>
        <w:spacing w:after="0" w:line="277" w:lineRule="auto"/>
        <w:rPr>
          <w:sz w:val="20"/>
          <w:szCs w:val="20"/>
          <w:color w:val="auto"/>
        </w:rPr>
      </w:pPr>
      <w:r>
        <w:rPr>
          <w:rFonts w:ascii="Arial" w:cs="Arial" w:eastAsia="Arial" w:hAnsi="Arial"/>
          <w:sz w:val="18"/>
          <w:szCs w:val="18"/>
          <w:b w:val="1"/>
          <w:bCs w:val="1"/>
          <w:i w:val="1"/>
          <w:iCs w:val="1"/>
          <w:color w:val="auto"/>
        </w:rPr>
        <w:t>We might not be able to utilize a significant portion of our net operating loss carryforwards and research and development tax credit carryforwards.</w:t>
      </w:r>
    </w:p>
    <w:p>
      <w:pPr>
        <w:spacing w:after="0" w:line="62"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As of December 31, 2017, we had federal and state net operating loss carryforwards of $19.0 million and $18.9 million, respectively, and state research and development tax credit carryforwards of approximately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459" w:right="4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9" w:lineRule="auto"/>
        <w:rPr>
          <w:sz w:val="20"/>
          <w:szCs w:val="20"/>
          <w:color w:val="auto"/>
        </w:rPr>
      </w:pPr>
      <w:r>
        <w:rPr>
          <w:rFonts w:ascii="Arial" w:cs="Arial" w:eastAsia="Arial" w:hAnsi="Arial"/>
          <w:sz w:val="17"/>
          <w:szCs w:val="17"/>
          <w:color w:val="auto"/>
        </w:rPr>
        <w:t>$119,000. If not utilized, the net operating loss carryforwards and research and development credits will generally expire at various dates through 2037. These net operating loss and tax credit carryforwards could expire unused and be unavailable to offset future income tax liabilities.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may have experienced ownership changes in the past. We may also experience ownership changes in the future as a result of subsequent shifts in our stock ownership, including this offering, some of which may be outside of our control. If an ownership change occurred or occurs and our ability to use our historical net operating loss and tax credit carryforwards is materially limited, or if our research and development carryforwards are adjusted, it would harm our future operating results by effectively increasing our future tax obligations. The reduction of the corporate tax rate under the TCJA may cause a reduction in the economic benefit of our net operating loss carryforwards and other deferred tax assets available to us. Under the TCJA, net operating losses generated after December 31, 2017 will not be subject to expiration.</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Third-party claims of intellectual property infringement may prevent or delay our development and commercialization efforts.</w:t>
      </w:r>
    </w:p>
    <w:p>
      <w:pPr>
        <w:spacing w:after="0" w:line="1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Our commercial success depends in part on avoiding infringement of the patents and proprietary rights of third parties. There is a substantial amount of litigation, both within and outside the United States, involving patent and other intellectual property rights in the biotechnology and pharmaceutical industries, including patent infringement lawsuits, interferences, oppositions and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reexamination proceedings before the U.S. Patent and Trademark Office, or U.S. PTO, and corresponding foreign patent offices.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product candidates may be subject to claims of infringement of the patent rights of third parties.</w:t>
      </w:r>
    </w:p>
    <w:p>
      <w:pPr>
        <w:spacing w:after="0" w:line="18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Third parties may assert that we or our licensors are employing their proprietary technology without authorization. There may be third-party patents or patent applications with claims to materials, formulations, methods of manufacture or methods for treatment related to the use or manufacture of our product candidates. In particular, we are aware of issued patents in the United States that cover the lentiviral vectors used in the manufacture of our product candidates. While we believe that we have reasonable defenses against a claim of infringement, potentially including that certain of these patents are expected to expire prior to commercializing our product candidates, if approved, in the United States, there can be no assurance that we will prevail in any such action by the holder of these patents. In the event that the holder of these patents seeks to enforce its patent rights and our defenses against a claim of infringement are unsuccessful, we may not be able to commercialize our product candidates in the United States, if approved, without first obtaining a license to some or all of these patents, which may not be available on commercially reasonable terms or at all. In addition, the defense of any claim of infringement, even if successful, is time-consuming, expensive and diverts the attention of our management from our ongoing business operations.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Because patent applications can take many years to issue, there may be currently pending patent applications which may later result in issued patents that our product candidates may infringe or be alleged to infringe. In addition, third parties may obtain patents in the future and claim that use of our or our licensors’ technologies infringes upon these patents. If any third-party patents were held by a court of competent jurisdiction to cover the manufacturing process of any of our product candidates, any molecules formed during the manufacturing process or any final product itself, the holders of any such patents may be able to block our ability to commercialize such product candidate unless we obtained a license under the applicable patents, or until such patents expire.</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60"/>
          </w:cols>
          <w:pgMar w:left="240" w:top="459"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Similarly, if any third-party patents were held by a court of competent jurisdiction to cover aspects of our formulations, processes for manufacture or methods of use, including combination therapy, the holders of any such patents may be able to block our ability to develop and commercialize the applicable product candidate unless we obtained a license or until such patent expires. In either case, such a license may not be available on commercially reasonable terms or at all.</w:t>
      </w:r>
    </w:p>
    <w:p>
      <w:pPr>
        <w:spacing w:after="0" w:line="18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Even in the absence of a finding of infringement, we may choose to obtain a license, if such a license is available. A successful claim of patent or other intellectual property infringement against us could materially adversely affect our business, results of operations and financial condition.</w:t>
      </w:r>
    </w:p>
    <w:p>
      <w:pPr>
        <w:spacing w:after="0" w:line="275"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Our rights to develop and commercialize our product candidates are subject, in part, to the terms and conditions of licenses granted to us by others.</w:t>
      </w:r>
    </w:p>
    <w:p>
      <w:pPr>
        <w:spacing w:after="0" w:line="62"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We depend upon the intellectual property rights granted to us under licenses from third parties that are important or necessary to the development of our technology and products, including technology related to our manufacturing process and our gene therapy product candidates. In particular, we have in-licensed certain intellectual property rights and know-how from the University Health Network (relevant to AVR-RD-01 and our Fabry program) and affiliates of Lund University (relevant to AVR-RD-02 and our Gaucher program). In addition, we have in-licensed patents and patent applications from BioMarin Pharmaceutical Inc., or Biomarin (relevant to AVR-RD-03 and our Pompe program), and GenStem Therapeutics Inc., or GenStem (relevant to AVR-RD-04 and our cystinosis program), directed to compositions and methods related to the manufacture and use of AVR-RD-03 and AVR-RD-04, respectively. Any termination of these licenses could result in the loss of significant rights and could harm or prevent our ability to commercialize our product candidates.</w:t>
      </w:r>
    </w:p>
    <w:p>
      <w:pPr>
        <w:spacing w:after="0" w:line="179"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Each of our existing licenses are exclusive but are limited to particular fields, such as Fabry disease, Gaucher disease, Pompe disease, or cystinosis, and are subject to certain retained rights. Absent an amendment or additional agreement, we may not have the right to use intellectual property in-licensed for one of our programs for another program. In addition, licenses that we may enter into in the future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all of our licenses. Licenses to additional third-party technology that may be required for our development programs may not be available in the future or may not be available on commercially reasonable terms, or at all, which could have a material adverse effect on our business and financial condition.</w:t>
      </w:r>
    </w:p>
    <w:p>
      <w:pPr>
        <w:spacing w:after="0" w:line="19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some circumstances, we may not have the right to control the preparation, filing and prosecution of patent applications, or to maintain the patents, covering technology that we license from third parties. For example, pursuant to each of our intellectual property licenses with GenStem, BioMarin, and the rights holders associated with Lund University, our licensors retain control of such activities. Therefore, we cannot be certain that these patents and applications will be prosecuted, maintained and enforced in a manner consistent with the best interests of our business. If our licensors fail to maintain such patents, or lose rights to those patents or patent applications, the rights we have licensed may be reduced or eliminated and our right to develop and commercialize any of our products that are the subject of such licensed rights could be adversely affected.</w:t>
      </w:r>
    </w:p>
    <w:p>
      <w:pPr>
        <w:spacing w:after="0" w:line="178"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Our current license agreements impose, and we expect that future license agreements that we may enter into will impose, various obligations, including diligence and certain payment obligations. If we fail to satisfy our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obligations, the licensor may have the right to terminate the agreement. Disputes may arise between us and any of our licensors regarding intellectual property subject to such agreements and other issues. Such disputes over intellectual property that we have licensed or the terms of our license agreements may prevent or impair our ability to maintain our current arrangements on acceptable terms, or at all, or may impair the value of the arrangement to us. Any such dispute could have a material adverse effect on our business. If we cannot maintain a necessary license agreement or if the agreement is terminated, we may be unable to successfully develop and commercialize the affected product candidates.</w:t>
      </w:r>
    </w:p>
    <w:p>
      <w:pPr>
        <w:spacing w:after="0" w:line="266" w:lineRule="exact"/>
        <w:rPr>
          <w:sz w:val="20"/>
          <w:szCs w:val="20"/>
          <w:color w:val="auto"/>
        </w:rPr>
      </w:pPr>
    </w:p>
    <w:p>
      <w:pPr>
        <w:ind w:left="640" w:right="220"/>
        <w:spacing w:after="0" w:line="264" w:lineRule="auto"/>
        <w:rPr>
          <w:sz w:val="20"/>
          <w:szCs w:val="20"/>
          <w:color w:val="auto"/>
        </w:rPr>
      </w:pPr>
      <w:r>
        <w:rPr>
          <w:rFonts w:ascii="Arial" w:cs="Arial" w:eastAsia="Arial" w:hAnsi="Arial"/>
          <w:sz w:val="18"/>
          <w:szCs w:val="18"/>
          <w:b w:val="1"/>
          <w:bCs w:val="1"/>
          <w:i w:val="1"/>
          <w:iCs w:val="1"/>
          <w:color w:val="auto"/>
        </w:rPr>
        <w:t>If we are unable to obtain and maintain patent protection for our product candidates, or if the scope of the patent protection obtained is not sufficiently broad, our competitors could develop and commercialize products similar or identical to ours, and our ability to successfully commercialize our product candidates may be adversely affected.</w:t>
      </w:r>
    </w:p>
    <w:p>
      <w:pPr>
        <w:spacing w:after="0" w:line="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Our ability to compete effectively will depend, in part, on our ability to maintain the proprietary nature of our technology and manufacturing processes. We rely on manufacturing and other know-how, patents, trade secrets, trademarks, license agreements and contractual provisions to establish our intellectual property rights and protect our products. These legal means, however, afford only limited protection and may not adequately protect our rights. The failure to obtain, maintain, enforce or defend such intellectual property rights, for any reason, could allow third parties to make competing products or impact our ability to develop, manufacture and market our products, if approved, on a commercially viable basis, or at all, which could have a material adverse effect on our financial condition and results of operations.</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particular, we rely primarily on trade secrets, know-how and other unpatented technology, which are difficult to protect. Although we seek such protection in part by entering into confidentiality agreements with our vendors, employees, consultants and others who may have access to proprietary information, we cannot be certain that these agreements will not be breached, adequate remedies for any breach would be available or our trade secrets, know-how and other unpatented proprietary technology will not otherwise become known to or be independently developed by our competitors. If we are unsuccessful in protecting our intellectual property rights, sales of our products may suffer and our ability to generate revenue could be severely impacted.</w:t>
      </w:r>
    </w:p>
    <w:p>
      <w:pPr>
        <w:spacing w:after="0" w:line="193"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Our licensors and we have sought, and we intend to continue to seek to protect our proprietary position by filing patent applications in the United States and, in at least some cases, one or more countries outside the United States related to current and future product candidates that are important to our business. However, we cannot predict whether the patent applications we and our licensors are currently pursuing will issue as patents, whether the claims of any issued patents will provide us with a competitive advantage, or whether we will be able to successfully pursue patent applications in the future related to our current or future product candidates. We currently have no owned or inlicensed patents or patent applications covering AVR-RD-01 or AVR-RD-02, and the patent application that we in-licensed related to AVR-RD-04 is at a very early stage. Many of our product candidates are in-licensed from third parties. Accordingly, in some cases, the availability and scope of potential patent protection is limited based on prior decisions by our licensors or the inventors, such as decisions on when to file patent applications or whether to file patent applications at all.</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Filing, prosecuting and defending patents on product candidates in all countries throughout the world would be prohibitively expensive, and our intellectual property rights in some countries outside the United States could be less extensive than those in the United States. Although our license agreements grant us worldwide rights, and our currently in-licensed U.S. patent rights have certain corresponding foreign patents or patent applications, there can be no assurance that we will obtain or maintain such corresponding patents or patent applications with respect to any future license agreements. In addition, the laws of some foreign countries do not protect intellectual property rights to the same extent as federal and state laws in the United States even in jurisdictions where we and our licensors pursue patent protection. Consequently, we and our licensors may not be able to</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80"/>
          </w:cols>
          <w:pgMar w:left="24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prevent third parties from practicing our inventions in all countries outside the United States, even in jurisdictions where we and our licensors pursue patent protection, or from selling or importing products made using our inventions in and into the United States or other jurisdictions. Competitors may use our technologies in jurisdictions where we and our licensors have not pursued and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spacing w:after="0" w:line="193"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even if obtained,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90"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Issued patents covering our product candidates could be found invalid or unenforceable if challenged in court. We may not be able to protect our trade secrets in court.</w:t>
      </w:r>
    </w:p>
    <w:p>
      <w:pPr>
        <w:spacing w:after="0" w:line="62"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 xml:space="preserve">If one of our licensing partners or we initiate legal proceedings against a third-party to enforce a patent covering one of our product candidates, should such a patent issue, the defendant could counterclaim that the patent covering our product candidate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non-enablement. Grounds for an unenforceability assertion could be an allegation that someone connected with prosecution of the patent withheld information material to patentability from the United States Patent and Trademark Office, or USPTO, or made a misleading statement, during prosecution. Third parties also may raise similar claims before administrative bodies in the United States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Such proceedings could result in the revocation or cancellation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defendant were to prevail on a legal assertion of invalidity or unenforceability, we could lose at least part, and perhaps all, of the patent protection on one or more of our product candidates. Such a loss of patent protection could have a material adverse impact on our business.</w:t>
      </w:r>
    </w:p>
    <w:p>
      <w:pPr>
        <w:spacing w:after="0" w:line="17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and some courts inside and outside the United States are less willing or unwilling to protect trade secrets. We seek to protect our proprietary technology and processes, in part, by entering into confidentiality agreements with our employees, consultants, scientific advisors and contractors. We cannot guarantee that we have entered into such agreements with each party that may have or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262" w:lineRule="exact"/>
        <w:rPr>
          <w:sz w:val="20"/>
          <w:szCs w:val="20"/>
          <w:color w:val="auto"/>
        </w:rPr>
      </w:pPr>
    </w:p>
    <w:p>
      <w:pPr>
        <w:ind w:left="640" w:right="220"/>
        <w:spacing w:after="0" w:line="342" w:lineRule="auto"/>
        <w:rPr>
          <w:sz w:val="20"/>
          <w:szCs w:val="20"/>
          <w:color w:val="auto"/>
        </w:rPr>
      </w:pPr>
      <w:r>
        <w:rPr>
          <w:rFonts w:ascii="Arial" w:cs="Arial" w:eastAsia="Arial" w:hAnsi="Arial"/>
          <w:sz w:val="16"/>
          <w:szCs w:val="16"/>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16"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Certain of our employees, consultants or advisors are currently, or were previously,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Our licensors may face similar risks, which could have an adverse impact on intellectual property that is licensed to us.</w:t>
      </w:r>
    </w:p>
    <w:p>
      <w:pPr>
        <w:spacing w:after="0" w:line="167"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We may be subject to claims challenging the inventorship or ownership of the patents and other intellectual property that we own or license.</w:t>
      </w:r>
    </w:p>
    <w:p>
      <w:pPr>
        <w:spacing w:after="0" w:line="152"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ownership interest in the patents and intellectual property that we own or license or that we may own or license in the future.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licensors may face similar obstacles. We could be subject to ownership disputes arising, for example, from conflicting obligations of consultants or others who are involved in developing our product candidates. Litigation may be necessary to defend against any claims challenging inventorship or ownership. If we or our licensors fail in defending any such claims, we may have to pay monetary damages and may lose valuable intellectual property rights, such as exclusive ownership of, or right to use, intellectual property, which could adversely impact our business, results of operations and financial condition.</w:t>
      </w:r>
    </w:p>
    <w:p>
      <w:pPr>
        <w:spacing w:after="0" w:line="274" w:lineRule="exact"/>
        <w:rPr>
          <w:sz w:val="20"/>
          <w:szCs w:val="20"/>
          <w:color w:val="auto"/>
        </w:rPr>
      </w:pPr>
    </w:p>
    <w:p>
      <w:pPr>
        <w:ind w:left="640" w:right="140"/>
        <w:spacing w:after="0" w:line="312" w:lineRule="auto"/>
        <w:rPr>
          <w:sz w:val="20"/>
          <w:szCs w:val="20"/>
          <w:color w:val="auto"/>
        </w:rPr>
      </w:pPr>
      <w:r>
        <w:rPr>
          <w:rFonts w:ascii="Arial" w:cs="Arial" w:eastAsia="Arial" w:hAnsi="Arial"/>
          <w:sz w:val="16"/>
          <w:szCs w:val="16"/>
          <w:b w:val="1"/>
          <w:bCs w:val="1"/>
          <w:i w:val="1"/>
          <w:iCs w:val="1"/>
          <w:color w:val="auto"/>
        </w:rPr>
        <w:t>Some intellectual property which we have in-licensed may have been discovered through government funded programs and thus may be subject to federal regulations such as “marchin” rights, certain reporting requirements, and a preference for U.S. industry. Compliance with such regulations may limit our exclusive rights, and limit our ability to contract with nonU.S. manufacturers.</w:t>
      </w:r>
    </w:p>
    <w:p>
      <w:pPr>
        <w:spacing w:after="0" w:line="3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Some of the intellectual property rights we have licensed, including rights licensed to us by GenStem, may have been generated through the use of U.S. government and California state funding and may therefore be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00"/>
          </w:cols>
          <w:pgMar w:left="24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5" w:lineRule="auto"/>
        <w:rPr>
          <w:sz w:val="20"/>
          <w:szCs w:val="20"/>
          <w:color w:val="auto"/>
        </w:rPr>
      </w:pPr>
      <w:r>
        <w:rPr>
          <w:rFonts w:ascii="Arial" w:cs="Arial" w:eastAsia="Arial" w:hAnsi="Arial"/>
          <w:sz w:val="16"/>
          <w:szCs w:val="16"/>
          <w:color w:val="auto"/>
        </w:rPr>
        <w:t>subject to certain federal and state laws and regulations. As a result, the U.S. government may have certain rights to intellectual property embodied in our current or future product candidates pursuant to the Bayh-Dole Act of 1980, or Bayh-Dole Act.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With respect to state funding, specifically funding via the California Institute of Regenerative Medicine, or CIRM, the grantee has certain obligations and the state or CIRM has certain rights. For example, the grantee has an obligation to share intellectual property, including research results, generated by CIRM-funded research, for research use in California.</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 candidates.</w:t>
      </w:r>
    </w:p>
    <w:p>
      <w:pPr>
        <w:spacing w:after="0" w:line="14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Changes in either the patent laws or the interpretation of the patent laws in the United States could increase the uncertainties and costs surrounding the prosecution of patent applications and the enforcement or defense of issued patents. On September 16, 2011, the Leahy-Smith America Invents Act, or the Leahy-Smith Act, was signed into law. The Leahy-Smith Act includes several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on March 16, 2013. Accordingly, it is not clear what, if any, impact the Leahy-Smith Act will have on the operation of our business.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88"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The patent positions of companies engaged in the development and commercialization of biologics and pharmaceuticals are particularly uncertain. Two cases involving diagnostic method claims and “gene patents” have recently been decided by the Supreme Court of the United States, or Supreme Court. On March 20, 2012, the Supreme Court issued a decision in Mayo Collaborative Services v. Prometheus Laboratories, Inc., or</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Prometheus, a case involving patent claims directed to a process of measuring a metabolic product in a patient to optimize a drug dosage for the patient. According to the Supreme Court, the addition of well-understood, routine or conventional activity such as “administering” or “determining” steps was not enough to transform an otherwise patent-ineligible natural phenomenon into patent-eligible subject matter. On July 3, 2012, the USPTO issued a guidance memo to patent examiners indicating that process claims directed to a law of nature, a natural phenomenon or a naturally occurring relation or correlation that do not include additional elements or steps that integrate the natural principle into the claimed invention such that the natural principle is practically applied and the claim amounts to significantly more than the natural principle itself should be rejected as directed to not patent-eligible subject matter. On June 13, 2013, the Supreme Court issued its decision in Association for Molecular Pathology v. Myriad Genetics, Inc., or Myriad, a case involving patent claims held by Myriad Genetics, Inc. relating to the breast cancer susceptibility genes BRCA1 and BRCA2. Myriad held that an isolated segment of naturally occurring DNA, such as the DNA constituting the BRCA1 and BRCA2 genes, is not patent-eligible subject matter, but that complementary DNA, which is an artificial construct that may be created from RNA transcripts of genes, may be patent-eligible. On March 4, 2014, the USPTO issued a guidance memorandum to patent examiners entitled 2014 Procedure For Subject Matter Eligibility Analysis Of Claims Reciting Or Involving Laws Of Nature/Natural Principles, Natural Phenomena, And/Or Natural Products. These guidelines instruct USPTO examiners on the ramifications of the Prometheus and Myriad rulings and apply the Myriad ruling to natural products and principles including all naturally occurring nucleic acids.</w:t>
      </w:r>
    </w:p>
    <w:p>
      <w:pPr>
        <w:spacing w:after="0" w:line="18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Certain claims of our licensed patents and patent applications contain, and any future patents we may obtain may contain, claims that relate to specific recombinant DNA sequences that are naturally occurring at least in part and, therefore, could be the subject of future challenges made by third parties. In addition, the 2014 USPTO guidance could impact our ability to pursue similar patent claims in patent applications we may prosecute in the future.</w:t>
      </w:r>
    </w:p>
    <w:p>
      <w:pPr>
        <w:spacing w:after="0" w:line="18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We cannot assure you that our efforts to seek patent protection for our product candidates will not be negatively impacted by the decisions described above, rulings in other cases or changes in guidance or procedures issued by the USPTO. We cannot fully predict what impact the Supreme Court’s decisions in Prometheus and Myriad may have on the ability of life science companies to obtain or enforce patents relating to their products in the future. These decisions, the guidance issued by the USPTO and rulings in other cases or changes in USPTO guidance or procedures could have a material adverse effect on our existing patent rights and our ability to protect and enforce our intellectual property in the future.</w:t>
      </w:r>
    </w:p>
    <w:p>
      <w:pPr>
        <w:spacing w:after="0" w:line="15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Moreover, although the Supreme Court has held in Myriad that isolated segments of naturally occurring DNA are not patent-eligible subject matter, certain third parties could allege that activities that we may undertake infringe other gene-related patent claims, and we may deem it necessary to defend ourselves against these claims by asserting non-infringement and/or invalidity positions, or paying to obtain a license to these claims. In any of the foregoing or in other situations involving third-party intellectual property rights, if we are unsuccessful in defending against claims of patent infringement, we could be forced to pay damages or be subjected to an injunction that would prevent us from utilizing the patented subject matter. Such outcomes could harm our business, financial condition, results of operations or prospects.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If we do not obtain patent term extension and data exclusivity for our product candidates, our business may be materially harmed.</w:t>
      </w:r>
    </w:p>
    <w:p>
      <w:pPr>
        <w:spacing w:after="0" w:line="12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Depending upon the timing, duration and specifics of any FDA marketing approval of our product candidates, one or more U.S. patents that we license or may own or license in the future, if any, may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2" w:lineRule="auto"/>
        <w:rPr>
          <w:sz w:val="20"/>
          <w:szCs w:val="20"/>
          <w:color w:val="auto"/>
        </w:rPr>
      </w:pPr>
      <w:r>
        <w:rPr>
          <w:rFonts w:ascii="Arial" w:cs="Arial" w:eastAsia="Arial" w:hAnsi="Arial"/>
          <w:sz w:val="17"/>
          <w:szCs w:val="17"/>
          <w:color w:val="auto"/>
        </w:rPr>
        <w:t>for manufacturing it may be extended. A patent may only be extended once and only based on a single approved product.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revenue could be reduced, possibly materially. In addition, we do not control the efforts of our licensors to obtain a patent term extension, and there can be no assurance that they will pursue or obtain such extensions to the patents that we license from them.</w:t>
      </w:r>
    </w:p>
    <w:p>
      <w:pPr>
        <w:spacing w:after="0" w:line="286"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currently do not have trademarks or trademark applications with the USPTO for the mark “AVRO” and the AVROBIO logo. In the future, even if we apply for registration of these marks, there can be no assurance that such registration will be approved. Once registered,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Intellectual property rights and regulatory exclusivity rights do not necessarily address all potential threats.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6" w:lineRule="exact"/>
        <w:rPr>
          <w:sz w:val="20"/>
          <w:szCs w:val="20"/>
          <w:color w:val="auto"/>
        </w:rPr>
      </w:pPr>
    </w:p>
    <w:p>
      <w:pPr>
        <w:ind w:left="1060" w:right="32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make gene therapy products that are similar to our product candidates but that are not covered by the claims of the patents that we license or may own or license in the future;</w:t>
      </w:r>
    </w:p>
    <w:p>
      <w:pPr>
        <w:spacing w:after="0" w:line="75"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make the inventions covered by the issued patents or pending patent applications that we license or may own or license in the future;</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our license partners or current or future collaborators, might not have been the first to file patent applications covering certain of our or their inventions;</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it is possible that our pending licensed patent applications or those that we may own or license in the future will not lead to issued patents;</w:t>
      </w:r>
    </w:p>
    <w:p>
      <w:pPr>
        <w:spacing w:after="0" w:line="153" w:lineRule="exact"/>
        <w:rPr>
          <w:rFonts w:ascii="Arial" w:cs="Arial" w:eastAsia="Arial" w:hAnsi="Arial"/>
          <w:sz w:val="16"/>
          <w:szCs w:val="16"/>
          <w:color w:val="auto"/>
        </w:rPr>
      </w:pPr>
    </w:p>
    <w:p>
      <w:pPr>
        <w:ind w:left="1060" w:right="22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issued patents that we hold rights to or may hold rights to in the future may be held invalid or unenforceable, including as a result of legal challenges by our competitors;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one or more of our product candidates may never be protected by patents;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00"/>
          </w:cols>
          <w:pgMar w:left="24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60" w:hanging="424"/>
        <w:spacing w:after="0" w:line="308" w:lineRule="auto"/>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and</w:t>
      </w:r>
    </w:p>
    <w:p>
      <w:pPr>
        <w:spacing w:after="0" w:line="130" w:lineRule="exact"/>
        <w:rPr>
          <w:rFonts w:ascii="Arial" w:cs="Arial" w:eastAsia="Arial" w:hAnsi="Arial"/>
          <w:sz w:val="18"/>
          <w:szCs w:val="18"/>
          <w:color w:val="auto"/>
        </w:rPr>
      </w:pPr>
    </w:p>
    <w:p>
      <w:pPr>
        <w:ind w:left="1060" w:right="600" w:hanging="424"/>
        <w:spacing w:after="0" w:line="277" w:lineRule="auto"/>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choose not to file a patent application for certain trade secrets or know-how, and a third party may subsequently file a patent application or obtain a patent covering such intellectual property.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initial public offering price.</w:t>
      </w:r>
    </w:p>
    <w:p>
      <w:pPr>
        <w:spacing w:after="0" w:line="6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has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92" w:lineRule="exact"/>
        <w:rPr>
          <w:sz w:val="20"/>
          <w:szCs w:val="20"/>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results or delays in preclinical studies or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reports of adverse events in other gene therapy products or clinical studies of such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obtain additional funding;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successfully develop and commercialize our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maintain our existing strategic collaborations or enter into new collaborations;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laws or regulations applicable to future products;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introduction of new products, services or technologies by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meet or exceed financial projections we may provide to the public;</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by us to meet or exceed the financial projections of the investment community;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130"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In addition, companies trading in the stock market in general, and The Nasdaq Global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 active trading market for our common stock may not develop.</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for our common stock will be determined through negotiations with the underwriters. Although we intend to apply to have our common stock listed on The Nasdaq Global Market, an active trading market for our shares may never develop or be sustained following this offering. If an active market for our common stock does not develop or is not sustained, it may be difficult for you to sell shares you purchase in this offering without depressing the market price for the shares, or at all.</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279"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or our business. We do not have any control over these analysts. We do not currently have research coverage, and there can be no assurance that analysts will cover us, or provide favorable coverage. Securities or industry analysts may elect not to provide research coverage of our common stock after this offering, and such lack of research coverage may negatively impact the market price of our common stock. In the event we do have analyst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297"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62"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Our executive officers, directors, five percent stockholders and their affiliates beneficially own approximately 77.49% of our voting stock and, upon closing of this offering, that same group will beneficially own approximately 65.17% of our outstanding voting stock not accounting for any shares purchased in this offering by certain of our existing stockholders, including certain affiliates of our directors, who have indicated an interest in purchasing an aggregate of approximately $37.5 million of our common stock in this offering. As a result, if these stockholders were to act together, they would be able to control all matters submitted to our stockholders for approval, as well as our management and affair. For example, these stockholders, acting together, may be able to control elections of directors, amendments of our organizational documents, or approval</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of any merger, sale of assets, or other major corporate transaction. This may prevent or discourage unsolicited acquisition proposals or offers for our common stock that you may believe are in your best interest as one of our stockholders. Some of these persons or entities may have interests different than yours. For example, because many of these stockholders purchased their shares at prices substantially below the price at which shares are being sold in this offering and have held their shares for a longer period, they may be more interested in selling our company to an acquirer than other investors or they may want us to pursue strategies that deviate from the interests of other stockholders.</w:t>
      </w:r>
    </w:p>
    <w:p>
      <w:pPr>
        <w:spacing w:after="0" w:line="281"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62"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83" w:lineRule="exact"/>
        <w:rPr>
          <w:sz w:val="20"/>
          <w:szCs w:val="20"/>
          <w:color w:val="auto"/>
        </w:rPr>
      </w:pPr>
    </w:p>
    <w:p>
      <w:pPr>
        <w:ind w:left="1060" w:hanging="424"/>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not being required to comply with the auditor attestation requirements of Section 404 of the Sarbanes-Oxley Act, or Section 404;</w:t>
      </w:r>
    </w:p>
    <w:p>
      <w:pPr>
        <w:spacing w:after="0" w:line="142" w:lineRule="exact"/>
        <w:rPr>
          <w:rFonts w:ascii="Arial" w:cs="Arial" w:eastAsia="Arial" w:hAnsi="Arial"/>
          <w:sz w:val="17"/>
          <w:szCs w:val="17"/>
          <w:color w:val="auto"/>
        </w:rPr>
      </w:pPr>
    </w:p>
    <w:p>
      <w:pPr>
        <w:ind w:left="1060" w:right="340" w:hanging="424"/>
        <w:spacing w:after="0" w:line="264" w:lineRule="auto"/>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86" w:lineRule="exact"/>
        <w:rPr>
          <w:rFonts w:ascii="Arial" w:cs="Arial" w:eastAsia="Arial" w:hAnsi="Arial"/>
          <w:sz w:val="18"/>
          <w:szCs w:val="18"/>
          <w:color w:val="auto"/>
        </w:rPr>
      </w:pPr>
    </w:p>
    <w:p>
      <w:pPr>
        <w:ind w:left="1060" w:hanging="424"/>
        <w:spacing w:after="0" w:line="342" w:lineRule="auto"/>
        <w:tabs>
          <w:tab w:leader="none" w:pos="10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 exemption from the requirement to seek nonbinding advisory votes on executive compensation or golden parachute arrangements.</w:t>
      </w:r>
    </w:p>
    <w:p>
      <w:pPr>
        <w:spacing w:after="0" w:line="237" w:lineRule="exact"/>
        <w:rPr>
          <w:sz w:val="20"/>
          <w:szCs w:val="20"/>
          <w:color w:val="auto"/>
        </w:rPr>
      </w:pPr>
    </w:p>
    <w:p>
      <w:pPr>
        <w:jc w:val="both"/>
        <w:ind w:left="200" w:right="40" w:firstLine="441"/>
        <w:spacing w:after="0" w:line="302" w:lineRule="auto"/>
        <w:rPr>
          <w:sz w:val="20"/>
          <w:szCs w:val="20"/>
          <w:color w:val="auto"/>
        </w:rPr>
      </w:pPr>
      <w:r>
        <w:rPr>
          <w:rFonts w:ascii="Arial" w:cs="Arial" w:eastAsia="Arial" w:hAnsi="Arial"/>
          <w:sz w:val="16"/>
          <w:szCs w:val="16"/>
          <w:color w:val="auto"/>
        </w:rPr>
        <w:t>We may choose to take advantage of some, but not all, of the available exemptions. We have taken advantage of reduced reporting burdens in this prospectus.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more volatile.</w:t>
      </w:r>
    </w:p>
    <w:p>
      <w:pPr>
        <w:spacing w:after="0" w:line="154"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280"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As a public company, and particularly after we are no longer an EGC, we will incur significant legal, accounting and other expenses that we did not incur as a private company. In addition, the Sarbanes-Oxley Act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6" w:lineRule="auto"/>
        <w:rPr>
          <w:sz w:val="20"/>
          <w:szCs w:val="20"/>
          <w:color w:val="auto"/>
        </w:rPr>
      </w:pPr>
      <w:r>
        <w:rPr>
          <w:rFonts w:ascii="Arial" w:cs="Arial" w:eastAsia="Arial" w:hAnsi="Arial"/>
          <w:sz w:val="17"/>
          <w:szCs w:val="17"/>
          <w:color w:val="auto"/>
        </w:rPr>
        <w:t>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73"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EGC,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291" w:lineRule="exact"/>
        <w:rPr>
          <w:sz w:val="20"/>
          <w:szCs w:val="20"/>
          <w:color w:val="auto"/>
        </w:rPr>
      </w:pPr>
    </w:p>
    <w:p>
      <w:pPr>
        <w:jc w:val="both"/>
        <w:ind w:left="640" w:right="280"/>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73"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spacing w:after="0" w:line="178" w:lineRule="exact"/>
        <w:rPr>
          <w:sz w:val="20"/>
          <w:szCs w:val="20"/>
          <w:color w:val="auto"/>
        </w:rPr>
      </w:pPr>
    </w:p>
    <w:p>
      <w:pPr>
        <w:jc w:val="both"/>
        <w:ind w:left="200" w:firstLine="441"/>
        <w:spacing w:after="0" w:line="288" w:lineRule="auto"/>
        <w:rPr>
          <w:sz w:val="20"/>
          <w:szCs w:val="20"/>
          <w:color w:val="auto"/>
        </w:rPr>
      </w:pPr>
      <w:r>
        <w:rPr>
          <w:rFonts w:ascii="Arial" w:cs="Arial" w:eastAsia="Arial" w:hAnsi="Arial"/>
          <w:sz w:val="16"/>
          <w:szCs w:val="16"/>
          <w:color w:val="auto"/>
        </w:rPr>
        <w:t>We will be required to disclose changes made in our internal controls and procedures on a quarterly basis and our management will be required to assess the effectiveness of these controls annually. However, for as long as we are an EGC, our independent registered public accounting firm will not be required to attest to the effectiveness of our internal controls over financial reporting pursuant to Section 404. We could be an EGC for up to five years.</w:t>
      </w:r>
    </w:p>
    <w:p>
      <w:pPr>
        <w:ind w:left="200" w:right="280"/>
        <w:spacing w:after="0" w:line="255" w:lineRule="auto"/>
        <w:rPr>
          <w:sz w:val="20"/>
          <w:szCs w:val="20"/>
          <w:color w:val="auto"/>
        </w:rPr>
      </w:pPr>
      <w:r>
        <w:rPr>
          <w:rFonts w:ascii="Arial" w:cs="Arial" w:eastAsia="Arial" w:hAnsi="Arial"/>
          <w:sz w:val="18"/>
          <w:szCs w:val="18"/>
          <w:color w:val="auto"/>
        </w:rPr>
        <w:t>An independent assessment of the effectiveness of our internal controls over financial reporting could detect problems that our management’s assessment might not. Undetected material weaknesses in our internal controls over financial reporting could lead to financial statement restatements and require us to incur the expense of remediation.</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00"/>
        <w:spacing w:after="0" w:line="279" w:lineRule="auto"/>
        <w:rPr>
          <w:sz w:val="20"/>
          <w:szCs w:val="20"/>
          <w:color w:val="auto"/>
        </w:rPr>
      </w:pPr>
      <w:r>
        <w:rPr>
          <w:rFonts w:ascii="Arial" w:cs="Arial" w:eastAsia="Arial" w:hAnsi="Arial"/>
          <w:sz w:val="17"/>
          <w:szCs w:val="17"/>
          <w:b w:val="1"/>
          <w:bCs w:val="1"/>
          <w:i w:val="1"/>
          <w:iCs w:val="1"/>
          <w:color w:val="auto"/>
        </w:rPr>
        <w:t>We and our independent registered public accounting firm have identified material weaknesses in our internal control over financial reporting. If we are unable to remedy these material weaknesses, or if we fail to establish and maintain effective internal controls, we may be unable to produce timely and accurate financial statements, and we may conclude that our internal control over financial reporting is not effective, which could adversely impact our investors’ confidence and our stock price.</w:t>
      </w:r>
    </w:p>
    <w:p>
      <w:pPr>
        <w:spacing w:after="0" w:line="63"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In connection with the audit of our consolidated financial statements for the years ended December 31, 2016 and 2017, we and our independent registered public accounting firm identified material weaknesses in our internal control over financial reporting related to deficiencies in our controls over the financial statement close and cash disbursement processes. Specifically, there was a lack of controls over the identification and review of complex accounting issues involving significant judgment or estimates as well as the cutoff and classification of certain expenses between general and administrative and research and development. In addition, our internal controls related to the cash disbursements process were not adequately designed to identify unauthorized payment requests. Specifically, in 2017 we were subject to a cyberattack by a third party. This deficiency in our controls resulted in the theft of a portion of our funds.</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We are implementing measures designed to improve our internal control over financial reporting to remediate these material weaknesses, including formalizing our processes and internal control documentation and strengthening supervisory reviews by our financial management; hiring additional qualified accounting and finance personnel and engaging financial consultants to enable the implementation of internal control over financial reporting and segregating duties amongst accounting and finance personnel; and planning to implement certain accounting systems to automate manual processes, such as tracking and accounting for stock-based awards.</w:t>
      </w:r>
    </w:p>
    <w:p>
      <w:pPr>
        <w:spacing w:after="0" w:line="1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expect to incur additional costs to remediate these control deficiencies, though there can be no assurance that our efforts will be successful or avoid potential future material weaknesses. If we are unable to successfully remediate our existing or any future material weaknesses in our internal control over financial reporting, or if we identify any additional material weaknesses,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also could become subject to investigations by Nasdaq, the Securities and Exchange Commission, or SEC, or other regulatory authorities.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Upon completion of this offering, we will become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If you purchase our common stock in this offering, you will incur immediate and substantial dilution in the book value of your shares.</w:t>
      </w:r>
    </w:p>
    <w:p>
      <w:pPr>
        <w:spacing w:after="0" w:line="14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pro forma book value per share of our tangible assets after subtracting our liabilities. As a result,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60"/>
          </w:cols>
          <w:pgMar w:left="24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6" w:lineRule="auto"/>
        <w:rPr>
          <w:sz w:val="20"/>
          <w:szCs w:val="20"/>
          <w:color w:val="auto"/>
        </w:rPr>
      </w:pPr>
      <w:r>
        <w:rPr>
          <w:rFonts w:ascii="Arial" w:cs="Arial" w:eastAsia="Arial" w:hAnsi="Arial"/>
          <w:sz w:val="17"/>
          <w:szCs w:val="17"/>
          <w:color w:val="auto"/>
        </w:rPr>
        <w:t>investors purchasing shares of common stock in this offering will incur immediate dilution of $11.60 per share, based on the assumed initial public offering price of $17.00 per share, which is the midpoint of the price range set forth on the cover page of this prospectus, and our pro forma net tangible book value as of March 31, 2018. Further, based on these assumptions, investors purchasing shares of common stock in this offering will contribute approximately 46% of the total amount invested by stockholders since our inception, but will own only approximately 19.8% of the shares of common stock outstanding. For information on how the foregoing amounts were calculated, see “Dilution.”</w:t>
      </w:r>
    </w:p>
    <w:p>
      <w:pPr>
        <w:spacing w:after="0" w:line="281"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subject to certain restrictions described below. These sales, or the perception in the market that holders of a large number of shares intend to sell shares, could reduce the market price of our common stock. After this offering, we will have outstanding 22,313,687 shares of common stock based on the number of shares outstanding as of March 31, 2018 assuming the conversion of our preferred stock upon the closing of this offering, (or 22,975,487 shares if the underwriters exercise their option to purchase additional shares in full). This includes the 4,412,000 shares that we are selling in this offering (or 5,073,800 shares if the underwriters exercise their option to purchase additional shares in full), which may be resold in the public market immediately without restriction, unless purchased by our affiliates. The remaining 17,901,687 shares currently are restricted as a result of securities laws or lock-up agreements but will be able to be sold after the offering as described in the “Shares eligible for future sale” and “Underwriters” sections of this prospectus. Moreover, after this offering, holders of an aggregate of approximately 15.3 million shares of our common stock will have rights, subject to certain conditions, to require us to file registration statements covering their shares or to include their shares in registration statements that we may file for ourselves or other stockholders. In addition, 1,788,750 shares reserved for issuance upon the exercise of existing stock options outstanding as of March 31, 2018 under our current equity incentive plan will become eligible for sale in the public market in the future, subject to certain legal and contractual limitations. We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“Underwriters” section of this prospectus.</w:t>
      </w:r>
    </w:p>
    <w:p>
      <w:pPr>
        <w:spacing w:after="0" w:line="183"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In addition, Morgan Stanley &amp; Co. LLC and Cowen and Company, LLC may, in their sole discretion, release all or some portion of the shares subject to lock-up agreements at any time and for any reason.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17"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loan and security agreement with Silicon Valley Bank restricts our ability to pay any dividends or making any distributions on account of our capital stock. As a result, capital appreciation, if any, of our common stock will be your sole source of gain for the foreseeable future.</w:t>
      </w:r>
    </w:p>
    <w:p>
      <w:pPr>
        <w:spacing w:after="0" w:line="296" w:lineRule="exact"/>
        <w:rPr>
          <w:sz w:val="20"/>
          <w:szCs w:val="20"/>
          <w:color w:val="auto"/>
        </w:rPr>
      </w:pPr>
    </w:p>
    <w:p>
      <w:pPr>
        <w:ind w:left="640" w:right="240"/>
        <w:spacing w:after="0" w:line="264"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by-laws, as well as provisions of Delaware law, could make it more difficult for a third party to acquire us or increase the cost of acquiring us, even if doing so would benefit our stockholders or remove our current management.</w:t>
      </w:r>
    </w:p>
    <w:p>
      <w:pPr>
        <w:spacing w:after="0" w:line="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which will become effective upon the closing of this offering, include provisions that:</w:t>
      </w:r>
    </w:p>
    <w:p>
      <w:pPr>
        <w:spacing w:after="0" w:line="87" w:lineRule="exact"/>
        <w:rPr>
          <w:sz w:val="20"/>
          <w:szCs w:val="20"/>
          <w:color w:val="auto"/>
        </w:rPr>
      </w:pPr>
    </w:p>
    <w:p>
      <w:pPr>
        <w:ind w:left="1060" w:right="34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our chief executive officer or our president;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30"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require supermajority votes of the holders of our common stock to amend specified provisions of our amended and restated certificate of incorporation and amended and restated by-laws.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w:t>
      </w:r>
    </w:p>
    <w:p>
      <w:pPr>
        <w:spacing w:after="0" w:line="237"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24"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80"/>
          </w:cols>
          <w:pgMar w:left="24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spacing w:after="0" w:line="342" w:lineRule="auto"/>
        <w:rPr>
          <w:sz w:val="20"/>
          <w:szCs w:val="20"/>
          <w:color w:val="auto"/>
        </w:rPr>
      </w:pPr>
      <w:r>
        <w:rPr>
          <w:rFonts w:ascii="Arial" w:cs="Arial" w:eastAsia="Arial" w:hAnsi="Arial"/>
          <w:sz w:val="16"/>
          <w:szCs w:val="16"/>
          <w:b w:val="1"/>
          <w:bCs w:val="1"/>
          <w:i w:val="1"/>
          <w:iCs w:val="1"/>
          <w:color w:val="auto"/>
        </w:rPr>
        <w:t>Our amended and restated bylaws limit the exclusive forum for certain litigation that may be initiated by our stockholders, which could limit our stockholders’ ability to obtain a favorable judicial forum for disputes with us or our directors, officers or employees.</w:t>
      </w:r>
    </w:p>
    <w:p>
      <w:pPr>
        <w:spacing w:after="0" w:line="16"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Our amended and restated bylaws provide that the Court of Chancery of the State of Delaware is the exclusive forum for (i) any derivative action or proceeding brought on our behalf, (ii) any action asserting a claim of breach of or based on a fiduciary duty owed by any of our current or former directors, officers or other employee to us or our stockholders, (iii) any action asserting a claim against us or any of our current or former directors, officers, employees or stockholders arising pursuant to any provision of the Delaware General Corporation Law, our certificate of incorporation or bylaws or (iv) any action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an adverse effect on our business, financial condition or results of operations. In addition, our amended and restated bylaws contain a provision by virtue of which unless we consent in writing to the selection of an alternative forum, the United States District Court for the District of Massachusetts will be the exclusive forum for any complaint asserting a cause of action arising under the Securities Act. We have chosen the United States Court for the District of Massachusetts as the exclusive forum for such causes of action because our principal executive offices are located in Cambridge, Massachusetts. The U.S. District Court in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 In addition, some companies that have adopted similar federal district court forum selection provisions are currently subject to a suit in the Court of Chancery of the State of Delaware brought by stockholders who assert that the federal district court forum selection provision is not enforceable. We recognize that the federal district court forum selection clause may impose additional litigation costs on stockholders who assert the provision is not enforceable and may impose more general additional litigation costs in pursuing any such claims, particularly if the stockholders do not reside in or near the Commonwealth of Massachusetts. See “Description of Capital Stock—Choice of Forum.”</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00"/>
          </w:cols>
          <w:pgMar w:left="24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This prospectus, including the sections entitled “Prospectus Summary,” “Risk Factors,” “Management’s Discussion and Analysis of Financial Condition and Results of Operations” and “Business,”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in this prospectus include, but are not limited to, statements about:</w:t>
      </w:r>
    </w:p>
    <w:p>
      <w:pPr>
        <w:spacing w:after="0" w:line="83" w:lineRule="exact"/>
        <w:rPr>
          <w:sz w:val="20"/>
          <w:szCs w:val="20"/>
          <w:color w:val="auto"/>
        </w:rPr>
      </w:pPr>
    </w:p>
    <w:p>
      <w:pPr>
        <w:ind w:left="1060" w:right="40" w:hanging="424"/>
        <w:spacing w:after="0" w:line="264"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timing, scope or likelihood of regulatory filings and approvals;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develop and advance product candidates into, and successfully complete, clinical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130"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implementation of our business model and our strategic plans for our business, product candidates and technology, including our transition to LV2 and our use of a milder conditioning regimen;</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scalability and commercial viability of our manufacturing methods and processes, including our plans to move to a closed, automated system;</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rate and degree of market acceptance and clinical utility of our product candidates, in particular, and gene therapy, in general;</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establish or maintain collaborations or strategic relationships or obtain additional funding;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30"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scope of protection we and/or our licensors are able to establish and maintain for intellectual property rights covering our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60"/>
          </w:cols>
          <w:pgMar w:left="24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some cases, forward-looking statements can be identified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 actual results to differ materially from current expectations include, among other things, those listed under the section entitled “Risk Factors” and elsewhere in this prospectus.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prospectus and the documents that we reference in this prospectus and have filed with the Securities and Exchange Commission as exhibits to the registration statement, of which this prospectus is a part, completely and with the understanding that our actual future results may be materially different from any future results expressed or implied by these forward-looking statements.</w:t>
      </w:r>
    </w:p>
    <w:p>
      <w:pPr>
        <w:spacing w:after="0" w:line="169" w:lineRule="exact"/>
        <w:rPr>
          <w:sz w:val="20"/>
          <w:szCs w:val="20"/>
          <w:color w:val="auto"/>
        </w:rPr>
      </w:pPr>
    </w:p>
    <w:p>
      <w:pPr>
        <w:jc w:val="both"/>
        <w:ind w:left="200" w:right="40" w:firstLine="441"/>
        <w:spacing w:after="0" w:line="279" w:lineRule="auto"/>
        <w:rPr>
          <w:sz w:val="20"/>
          <w:szCs w:val="20"/>
          <w:color w:val="auto"/>
        </w:rPr>
      </w:pPr>
      <w:r>
        <w:rPr>
          <w:rFonts w:ascii="Arial" w:cs="Arial" w:eastAsia="Arial" w:hAnsi="Arial"/>
          <w:sz w:val="17"/>
          <w:szCs w:val="17"/>
          <w:color w:val="auto"/>
        </w:rPr>
        <w:t>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We estimate that the net proceeds from our issuance and sale of common stock in this offering will be approximately $67.5 million, or approximately $77.9 million if the underwriters exercise their over-allotment option in full, based upon the assumed initial public offering price of $17.00 per share, the midpoint of the price range set forth on the cover page of this prospectus, after deducting estimated underwriting discounts and commissions and estimated offering expenses payable by us.</w:t>
      </w:r>
    </w:p>
    <w:p>
      <w:pPr>
        <w:spacing w:after="0" w:line="18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$17.00 per share, the midpoint of the price range set forth on the cover page of this prospectus, would increase (decrease) the net proceeds to us from this offering by $4.1 million, assuming the number of shares offered by 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 (decrease) our net proceeds from this offering by $15.8 million, assuming no change in the assumed initial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6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currently estimate that we will use the net proceeds from this offering, together with our existing cash and cash equivalents of $57.9 million as of March 31, 2018, as follows:</w:t>
      </w:r>
    </w:p>
    <w:p>
      <w:pPr>
        <w:spacing w:after="0" w:line="76" w:lineRule="exact"/>
        <w:rPr>
          <w:sz w:val="20"/>
          <w:szCs w:val="20"/>
          <w:color w:val="auto"/>
        </w:rPr>
      </w:pPr>
    </w:p>
    <w:p>
      <w:pPr>
        <w:ind w:left="1060" w:right="22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$13.4 million to fund expenses to advance our lead product candidate, AVR-RD-01, for the treatment of Fabry disease into Phase 2 clinical trials and to support the ongoing investigator-sponsored Phase 1 clinical trial;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approximately $12.9 million to fund expenses to advance AVR-RD-02 for the treatment of Gaucher disease into Phase 1/2 clinical trials;</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$3.2 million to fund expenses to advance AVR-RD-03 for Pompe disease further into preclinical development;</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$5.4 million to fund expenses to advance AVR-RD-04 for the treatment of cystinosis, including to support the planned initial investigator-sponsored Phase 1/2 clinical trial;</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$28.0 million to fund expenses for our external and internal manufacturing and process development activities related to the advancement of our product candidates;</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approximately $32.6 million to fund research and development activities that relate to all of our clinical and preclinical activities, including the cost of research and development personnel; and</w:t>
      </w:r>
    </w:p>
    <w:p>
      <w:pPr>
        <w:spacing w:after="0" w:line="75"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remainder for planned general and administrative expenses, the costs of operating as a public company, working capital and other general corporate purposes.</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Based on our current plans, we believe our existing cash and cash equivalents, together with the net proceeds from this offering, will be sufficient to fund our operations into 2020.</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This expected use of the net proceeds from this offering represents our intentions based upon our current plans and business conditions. For example, we may use a portion of the net proceeds for the acquisition of businesses or technologies to continue to build our pipeline, our research and development capabilities and our intellectual property position, although we currently have no agreements, commitments or understandings with respect to any such transaction. We cannot predict with certainty all of the particular uses for the net proceeds to be received upon the completion of this offering or the amounts that we will actually spend on the uses set forth above. The amounts and timing of our actual expenditures may vary significantly depending on numerous factors, including the timing and plans for initiation of our planned clinical trials, the progress of our research and</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auto"/>
        </w:rPr>
        <w:t>development, the status of and results from non-clinical studies or clinical trials we may commence in the future, as well as any collaborations that we may enter into with third parties for our product candidates or strategic opportunities that become available to us, and any unforeseen cash needs.</w:t>
      </w:r>
    </w:p>
    <w:p>
      <w:pPr>
        <w:spacing w:after="0" w:line="124"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investors will be relying on the judgment of our management regarding the application of the net proceeds from this offering. The timing and amount of our actual expenditures will be based on many factors, including cash flows from operations and the anticipated growth of our business. Pending these uses, we plan to hold these net proceeds in non-interest bearing accounts, with the goal of capital preservation and liquidity so that such funds are readily available to fund our operations.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 In addition, under our loan and security agreement with Silicon Valley Bank, we are restricted from paying any dividends or making any distributions on account of our capital stock. Moreover, the terms of any future indebtedness that we may incur could restrict our ability to pay dividends. See “Management’s Discussion and Analysis of Financial Condition and Results of Operations—Liquidity and Capital Resources” for a description of the restrictions on our ability to pay dividends.</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80"/>
          </w:cols>
          <w:pgMar w:left="24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cash and cash equivalents and our capitalization as of March 31, 2018:</w:t>
      </w:r>
    </w:p>
    <w:p>
      <w:pPr>
        <w:spacing w:after="0" w:line="131" w:lineRule="exact"/>
        <w:rPr>
          <w:sz w:val="20"/>
          <w:szCs w:val="20"/>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basis to give effect to:</w:t>
      </w:r>
    </w:p>
    <w:p>
      <w:pPr>
        <w:spacing w:after="0" w:line="130" w:lineRule="exact"/>
        <w:rPr>
          <w:rFonts w:ascii="Arial" w:cs="Arial" w:eastAsia="Arial" w:hAnsi="Arial"/>
          <w:sz w:val="18"/>
          <w:szCs w:val="18"/>
          <w:color w:val="auto"/>
        </w:rPr>
      </w:pPr>
    </w:p>
    <w:p>
      <w:pPr>
        <w:ind w:left="1620" w:right="80" w:hanging="538"/>
        <w:spacing w:after="0" w:line="277" w:lineRule="auto"/>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conversion of all outstanding shares of preferred stock into an aggregate of 15,320,213 shares of common stock upon the closing of this offering;</w:t>
      </w:r>
    </w:p>
    <w:p>
      <w:pPr>
        <w:spacing w:after="0" w:line="75" w:lineRule="exact"/>
        <w:rPr>
          <w:rFonts w:ascii="Arial" w:cs="Arial" w:eastAsia="Arial" w:hAnsi="Arial"/>
          <w:sz w:val="18"/>
          <w:szCs w:val="18"/>
          <w:color w:val="auto"/>
        </w:rPr>
      </w:pPr>
    </w:p>
    <w:p>
      <w:pPr>
        <w:ind w:left="1620" w:hanging="538"/>
        <w:spacing w:after="0"/>
        <w:tabs>
          <w:tab w:leader="none" w:pos="1620" w:val="left"/>
        </w:tabs>
        <w:numPr>
          <w:ilvl w:val="1"/>
          <w:numId w:val="42"/>
        </w:numPr>
        <w:rPr>
          <w:rFonts w:ascii="Arial" w:cs="Arial" w:eastAsia="Arial" w:hAnsi="Arial"/>
          <w:sz w:val="16"/>
          <w:szCs w:val="16"/>
          <w:color w:val="auto"/>
        </w:rPr>
      </w:pPr>
      <w:r>
        <w:rPr>
          <w:rFonts w:ascii="Arial" w:cs="Arial" w:eastAsia="Arial" w:hAnsi="Arial"/>
          <w:sz w:val="16"/>
          <w:szCs w:val="16"/>
          <w:color w:val="auto"/>
        </w:rPr>
        <w:t>the conversion of our warrant to purchase preferred stock into a warrant to purchase common stock upon the closing of this offering;</w:t>
      </w:r>
    </w:p>
    <w:p>
      <w:pPr>
        <w:spacing w:after="0" w:line="153" w:lineRule="exact"/>
        <w:rPr>
          <w:rFonts w:ascii="Arial" w:cs="Arial" w:eastAsia="Arial" w:hAnsi="Arial"/>
          <w:sz w:val="16"/>
          <w:szCs w:val="16"/>
          <w:color w:val="auto"/>
        </w:rPr>
      </w:pPr>
    </w:p>
    <w:p>
      <w:pPr>
        <w:ind w:left="1620" w:hanging="538"/>
        <w:spacing w:after="0"/>
        <w:tabs>
          <w:tab w:leader="none" w:pos="16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upon the closing of this offering; and</w:t>
      </w:r>
    </w:p>
    <w:p>
      <w:pPr>
        <w:spacing w:after="0" w:line="130" w:lineRule="exact"/>
        <w:rPr>
          <w:rFonts w:ascii="Arial" w:cs="Arial" w:eastAsia="Arial" w:hAnsi="Arial"/>
          <w:sz w:val="18"/>
          <w:szCs w:val="18"/>
          <w:color w:val="auto"/>
        </w:rPr>
      </w:pPr>
    </w:p>
    <w:p>
      <w:pPr>
        <w:ind w:left="1060" w:right="40" w:hanging="424"/>
        <w:spacing w:after="0" w:line="254" w:lineRule="auto"/>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on a pro forma as adjusted basis giving effect to the pro forma adjustments set forth above and to give further effect (i) to our issuance and sale of 4,412,000 shares of common stock in this offering at the assumed initial public offering price of $17.00 per share, the midpoint of the price range set forth on the cover page of this prospectus, after deducting estimated underwriting discounts and commissions and estimated offering expenses payable by us, and (ii) the payment by us of an aggregate of $2.0 million to University Health Network pursuant to the Stock Purchase Agreement, dated as of January 27, 2016, between us and University Health Network, in connection with this offering. Additionally, for purposes of the pro forma as adjusted amounts shown below, the net proceeds to be received by us from the sale of common stock in this offering have been increased by approximately $55,000 to reflect the estimated offering expenses that had been paid by us as of March 31, 2018.</w:t>
      </w:r>
    </w:p>
    <w:p>
      <w:pPr>
        <w:spacing w:after="0" w:line="19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pro forma as adjusted information below is illustrative only, and our capitalization following the closing of this offering will be adjusted based on the actual initial public offering price and other terms of this offering determined at pricing. You should read the following table in conjunction with our consolidated financial statements and the related notes appearing elsewhere in this prospectus, and the sections of this prospectus titled “Use of Proceeds,” “Selected Consolidated Financial Data,” “Management’s Discussion and Analysis of Financial Condition and Results of Operations” and “Description of Share Capital.”</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As of March 31, 2018</w:t>
            </w: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8"/>
              </w:rPr>
              <w:t>Actual</w:t>
            </w:r>
          </w:p>
        </w:tc>
        <w:tc>
          <w:tcPr>
            <w:tcW w:w="1260" w:type="dxa"/>
            <w:vAlign w:val="bottom"/>
            <w:gridSpan w:val="4"/>
            <w:vMerge w:val="restart"/>
          </w:tcPr>
          <w:p>
            <w:pPr>
              <w:jc w:val="right"/>
              <w:ind w:right="240"/>
              <w:spacing w:after="0"/>
              <w:rPr>
                <w:sz w:val="20"/>
                <w:szCs w:val="20"/>
                <w:color w:val="auto"/>
              </w:rPr>
            </w:pPr>
            <w:r>
              <w:rPr>
                <w:rFonts w:ascii="Arial" w:cs="Arial" w:eastAsia="Arial" w:hAnsi="Arial"/>
                <w:sz w:val="14"/>
                <w:szCs w:val="14"/>
                <w:b w:val="1"/>
                <w:bCs w:val="1"/>
                <w:color w:val="auto"/>
              </w:rPr>
              <w:t>Pro Forma</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right"/>
              <w:ind w:right="32"/>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6"/>
          </w:tcPr>
          <w:p>
            <w:pPr>
              <w:jc w:val="center"/>
              <w:ind w:left="3"/>
              <w:spacing w:after="0" w:line="119" w:lineRule="exact"/>
              <w:rPr>
                <w:sz w:val="20"/>
                <w:szCs w:val="20"/>
                <w:color w:val="auto"/>
              </w:rPr>
            </w:pPr>
            <w:r>
              <w:rPr>
                <w:rFonts w:ascii="Arial" w:cs="Arial" w:eastAsia="Arial" w:hAnsi="Arial"/>
                <w:sz w:val="13"/>
                <w:szCs w:val="13"/>
                <w:b w:val="1"/>
                <w:bCs w:val="1"/>
                <w:color w:val="auto"/>
                <w:w w:val="95"/>
              </w:rPr>
              <w:t>(in thousands, except</w:t>
            </w: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40" w:type="dxa"/>
            <w:vAlign w:val="bottom"/>
            <w:gridSpan w:val="8"/>
          </w:tcPr>
          <w:p>
            <w:pPr>
              <w:jc w:val="center"/>
              <w:ind w:right="840"/>
              <w:spacing w:after="0"/>
              <w:rPr>
                <w:sz w:val="20"/>
                <w:szCs w:val="20"/>
                <w:color w:val="auto"/>
              </w:rPr>
            </w:pPr>
            <w:r>
              <w:rPr>
                <w:rFonts w:ascii="Arial" w:cs="Arial" w:eastAsia="Arial" w:hAnsi="Arial"/>
                <w:sz w:val="14"/>
                <w:szCs w:val="14"/>
                <w:b w:val="1"/>
                <w:bCs w:val="1"/>
                <w:color w:val="auto"/>
                <w:w w:val="91"/>
              </w:rPr>
              <w:t>share 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57,928</w:t>
            </w:r>
          </w:p>
        </w:tc>
        <w:tc>
          <w:tcPr>
            <w:tcW w:w="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57,928</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Warrant to purchase redeemable preferred stock</w:t>
            </w: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700" w:type="dxa"/>
            <w:vAlign w:val="bottom"/>
            <w:gridSpan w:val="2"/>
            <w:vMerge w:val="continue"/>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Redeemable convertible preferred stock (Series Seed, A and B), $0.0001 par value; 63,491,857 shares</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authorized, 63,303,154 shares issued and outstanding, actual; no shares authorized, issued or</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pro forma and pro forma as adjusted</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87,500</w:t>
            </w:r>
          </w:p>
        </w:tc>
        <w:tc>
          <w:tcPr>
            <w:tcW w:w="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Stockholders’ (deficit) equity:</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Preferred stock, $0.0001 par value, no share authorized, issued or outstanding, actual; 10,000,000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6"/>
              </w:rPr>
              <w:t>shares authorized and no shares issued or outstanding, pro forma and pro forma as adjusted</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ind w:left="340"/>
              <w:spacing w:after="0" w:line="201" w:lineRule="exact"/>
              <w:rPr>
                <w:sz w:val="20"/>
                <w:szCs w:val="20"/>
                <w:color w:val="auto"/>
              </w:rPr>
            </w:pPr>
            <w:r>
              <w:rPr>
                <w:rFonts w:ascii="Arial" w:cs="Arial" w:eastAsia="Arial" w:hAnsi="Arial"/>
                <w:sz w:val="18"/>
                <w:szCs w:val="18"/>
                <w:color w:val="auto"/>
                <w:w w:val="95"/>
              </w:rPr>
              <w:t>Common stock, $0.0001 par value; 82,000,000 shares authorized, 2,581,474 shares issued and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520"/>
              <w:spacing w:after="0"/>
              <w:rPr>
                <w:sz w:val="20"/>
                <w:szCs w:val="20"/>
                <w:color w:val="auto"/>
              </w:rPr>
            </w:pPr>
            <w:r>
              <w:rPr>
                <w:rFonts w:ascii="Arial" w:cs="Arial" w:eastAsia="Arial" w:hAnsi="Arial"/>
                <w:sz w:val="18"/>
                <w:szCs w:val="18"/>
                <w:color w:val="auto"/>
                <w:w w:val="92"/>
              </w:rPr>
              <w:t>2,335,926 shares outstanding, actual; 150,000,000 shares authorized, 17,901,687 shares issued</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520"/>
              <w:spacing w:after="0"/>
              <w:rPr>
                <w:sz w:val="20"/>
                <w:szCs w:val="20"/>
                <w:color w:val="auto"/>
              </w:rPr>
            </w:pPr>
            <w:r>
              <w:rPr>
                <w:rFonts w:ascii="Arial" w:cs="Arial" w:eastAsia="Arial" w:hAnsi="Arial"/>
                <w:sz w:val="18"/>
                <w:szCs w:val="18"/>
                <w:color w:val="auto"/>
                <w:w w:val="90"/>
              </w:rPr>
              <w:t>and 17,656,139 shares outstanding, pro forma; 150,000,000 shares authorized, 22,313,687 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520"/>
              <w:spacing w:after="0"/>
              <w:rPr>
                <w:sz w:val="20"/>
                <w:szCs w:val="20"/>
                <w:color w:val="auto"/>
              </w:rPr>
            </w:pPr>
            <w:r>
              <w:rPr>
                <w:rFonts w:ascii="Arial" w:cs="Arial" w:eastAsia="Arial" w:hAnsi="Arial"/>
                <w:sz w:val="18"/>
                <w:szCs w:val="18"/>
                <w:color w:val="auto"/>
              </w:rPr>
              <w:t>issued and 22,068,139 shares outstanding, pro forma as adjusted</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(33,620)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(33,620)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(34,662)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 equity</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(33,511)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0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54,036</w:t>
            </w: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jc w:val="right"/>
              <w:ind w:right="2010"/>
              <w:spacing w:after="0"/>
              <w:rPr>
                <w:sz w:val="20"/>
                <w:szCs w:val="20"/>
                <w:color w:val="auto"/>
              </w:rPr>
            </w:pPr>
            <w:r>
              <w:rPr>
                <w:rFonts w:ascii="Arial" w:cs="Arial" w:eastAsia="Arial" w:hAnsi="Arial"/>
                <w:sz w:val="18"/>
                <w:szCs w:val="18"/>
                <w:color w:val="auto"/>
              </w:rPr>
              <w:t>62</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7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right="100" w:hanging="436"/>
        <w:spacing w:after="0" w:line="270" w:lineRule="auto"/>
        <w:tabs>
          <w:tab w:leader="none" w:pos="6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Each $1.00 increase (decrease) in the assumed initial public offering price of $17.00 per share, the midpoint of the price range set forth on the cover page of this prospectus, would increase (decrease) the pro forma as adjusted amount of each of cash and cash equivalents and total stockholders’ equity by $4.1 million, assuming that the number of shares offered by us, as set forth on the cover page of this prospectus, remains the same and after deducting estimated underwriting discounts and commissions and estimated offering expenses payable by us. Each increase (decrease) of 1,000,000 shares in the number of shares offered by us, as set forth on the cover page of this prospectus, would increase (decrease) the pro forma as adjusted amount of each of cash and cash equivalents and total stockholders’ equity by $15.8 million, assuming no change in the assumed initial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81"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The number of shares of common stock outstanding in the table above does not include:</w:t>
      </w:r>
    </w:p>
    <w:p>
      <w:pPr>
        <w:spacing w:after="0" w:line="130" w:lineRule="exact"/>
        <w:rPr>
          <w:rFonts w:ascii="Arial" w:cs="Arial" w:eastAsia="Arial" w:hAnsi="Arial"/>
          <w:sz w:val="17"/>
          <w:szCs w:val="17"/>
          <w:color w:val="auto"/>
        </w:rPr>
      </w:pPr>
    </w:p>
    <w:p>
      <w:pPr>
        <w:ind w:left="1060" w:right="200" w:hanging="424"/>
        <w:spacing w:after="0" w:line="277"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1,788,750 shares of common stock issuable upon the exercise of stock options outstanding as of March 31, 2018, with a weighted average exercise price of $2.56 per share;</w:t>
      </w:r>
    </w:p>
    <w:p>
      <w:pPr>
        <w:spacing w:after="0" w:line="75" w:lineRule="exact"/>
        <w:rPr>
          <w:rFonts w:ascii="Arial" w:cs="Arial" w:eastAsia="Arial" w:hAnsi="Arial"/>
          <w:sz w:val="18"/>
          <w:szCs w:val="18"/>
          <w:color w:val="auto"/>
        </w:rPr>
      </w:pPr>
    </w:p>
    <w:p>
      <w:pPr>
        <w:ind w:left="1060" w:hanging="424"/>
        <w:spacing w:after="0" w:line="264"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6,850 shares of common stock issuable upon the exercise of a warrant to purchase preferred stock outstanding as of March 31, 2018 that will automatically become a warrant to purchase common stock upon the completion of this offering, with an exercise price of $3.2845 per share;</w:t>
      </w:r>
    </w:p>
    <w:p>
      <w:pPr>
        <w:spacing w:after="0" w:line="86" w:lineRule="exact"/>
        <w:rPr>
          <w:rFonts w:ascii="Arial" w:cs="Arial" w:eastAsia="Arial" w:hAnsi="Arial"/>
          <w:sz w:val="18"/>
          <w:szCs w:val="18"/>
          <w:color w:val="auto"/>
        </w:rPr>
      </w:pPr>
    </w:p>
    <w:p>
      <w:pPr>
        <w:ind w:left="1060" w:right="140" w:hanging="424"/>
        <w:spacing w:after="0" w:line="277"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 additional 58,472 shares of common stock reserved for issuance under our Amended and Restated 2015 Stock Option and Grant Plan as of March 31, 2018, which shares will no longer be reserved following this offering;</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 additional 616,300 shares of common stock that will be made available for future issuance under our 2018 Stock Option and Grant Plan upon the effectiveness of the registration statement of which this prospectus forms a part; and</w:t>
      </w:r>
    </w:p>
    <w:p>
      <w:pPr>
        <w:spacing w:after="0" w:line="75" w:lineRule="exact"/>
        <w:rPr>
          <w:rFonts w:ascii="Arial" w:cs="Arial" w:eastAsia="Arial" w:hAnsi="Arial"/>
          <w:sz w:val="18"/>
          <w:szCs w:val="18"/>
          <w:color w:val="auto"/>
        </w:rPr>
      </w:pPr>
    </w:p>
    <w:p>
      <w:pPr>
        <w:ind w:left="1060" w:right="360" w:hanging="424"/>
        <w:spacing w:after="0" w:line="277" w:lineRule="auto"/>
        <w:tabs>
          <w:tab w:leader="none" w:pos="10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 additional 223,200 shares of common stock that will be made available for future issuance under our 2018 Employee Stock Purchase Plan upon the effectiveness of the registration statement of which this prospectus forms a part.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common share immediately after this offering.</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Our historical net tangible book (deficit) as of March 31, 2018 was $33.5 million, or $(12.98) per share of common stock. Our historical net tangible book (deficit) is the amount of our total tangible assets less our total liabilities and the carrying value of redeemable convertible preferred stock, which is not included within stockholders’ (deficit). Historical net tangible book (deficit) per share represents historical net tangible book (deficit) divided by the 2,581,474 shares of our common stock outstanding as of March 31, 2018.</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pro forma net tangible book value as of March 31, 2018 was $54.0 million, or $3.02 per share of common stock. Pro forma net tangible book value represents the amount of our total tangible assets less our total liabilities, after giving effect to:</w:t>
      </w:r>
    </w:p>
    <w:p>
      <w:pPr>
        <w:spacing w:after="0" w:line="76" w:lineRule="exact"/>
        <w:rPr>
          <w:sz w:val="20"/>
          <w:szCs w:val="20"/>
          <w:color w:val="auto"/>
        </w:rPr>
      </w:pPr>
    </w:p>
    <w:p>
      <w:pPr>
        <w:ind w:left="1060" w:right="140" w:hanging="424"/>
        <w:spacing w:after="0" w:line="277" w:lineRule="auto"/>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conversion of all outstanding shares of redeemable convertible preferred stock into an aggregate of 15,320,213 shares of common stock upon the closing of this offering;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conversion of our warrant to purchase preferred stock into a warrant to purchase common stock upon the closing of this offering.</w:t>
      </w:r>
    </w:p>
    <w:p>
      <w:pPr>
        <w:spacing w:after="0" w:line="23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Pro forma net tangible book value per share represents our pro forma net tangible book value divided by the total number of shares of our common stock outstanding as of March 31, 2018, after giving effect to the pro forma adjustments described above.</w:t>
      </w:r>
    </w:p>
    <w:p>
      <w:pPr>
        <w:spacing w:after="0" w:line="170"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After giving further effect to (i) our issuance and sale of 4,412,000 shares of common stock in this offering at the assumed initial public offering price of $17.00 per share, the midpoint of the price range set forth on the cover page of this prospectus, after deducting estimated underwriting discounts and commissions and estimated offering expenses payable by us, and (ii) the payment by us of an aggregate of $2.0 million to University Health Network pursuant to the Stock Purchase Agreement, dated as of January 27, 2016, between us and University Health Network, in connection with this offering, our pro forma as adjusted net tangible book value as of March 31, 2018 would have been $120.5 million, or $5.40 per share. This represents an immediate increase in pro forma as adjusted net tangible book value per share of $2.38 to existing shareholders and immediate dilution in pro forma as adjusted net tangible book value per share of $11.60 to new investors purchasing common stock in this offering. Dilution per share to new investors is determined by subtracting pro forma as adjusted net tangible book value per share after this offering from the initial public offering price per share paid by new investors. The following table illustrates this dilution on a per share basis:</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Historical net tangible book value (deficit) per share as of March 31, 2018</w:t>
            </w:r>
          </w:p>
        </w:tc>
        <w:tc>
          <w:tcPr>
            <w:tcW w:w="1200" w:type="dxa"/>
            <w:vAlign w:val="bottom"/>
            <w:gridSpan w:val="3"/>
          </w:tcPr>
          <w:p>
            <w:pPr>
              <w:jc w:val="right"/>
              <w:ind w:right="380"/>
              <w:spacing w:after="0"/>
              <w:rPr>
                <w:sz w:val="20"/>
                <w:szCs w:val="20"/>
                <w:color w:val="auto"/>
              </w:rPr>
            </w:pPr>
            <w:r>
              <w:rPr>
                <w:rFonts w:ascii="Arial" w:cs="Arial" w:eastAsia="Arial" w:hAnsi="Arial"/>
                <w:sz w:val="18"/>
                <w:szCs w:val="18"/>
                <w:color w:val="auto"/>
              </w:rPr>
              <w:t>$(12.98)</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per share attributable to the pro forma adjustments described above</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 as of March 31, 2018</w:t>
            </w:r>
          </w:p>
        </w:tc>
        <w:tc>
          <w:tcPr>
            <w:tcW w:w="20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5"/>
              </w:rPr>
              <w:t>Increase in pro forma as adjusted net tangible book value per share attributable to new investors purchasing common</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stock in this offering</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w w:val="92"/>
              </w:rPr>
              <w:t>Dilution in pro forma as adjusted net tangible book value per share to new investors purchasing common stock in this offering</w:t>
            </w:r>
          </w:p>
        </w:tc>
        <w:tc>
          <w:tcPr>
            <w:tcW w:w="17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11.60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Each $1.00 increase (decrease) in the assumed initial public offering price of $17.00 per share, the midpoint of the price range set forth on the cover page of this prospectus, would increase (decrease) the pro forma as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adjusted net tangible book value per share after this offering by $0.18 and dilution per share to new investors purchasing shares in this offering by $0.82, assuming that the number of shares offered by us, as set forth on the cover page of this prospectus, remains the same and after deducting estimated underwriting discounts and commissions and estimated offering expenses payable by us. Each increase of 1,000,000 shares in the number of shares offered by us, as set forth on the cover page of this prospectus, would increase the pro forma as adjusted net tangible book value per share after this offering by $0.45 and decrease dilution per share to new investors purchasing shares in this offering by $0.45, assuming no change in the assumed initial public offering price per share and after deducting estimated underwriting discounts and commissions and estimated offering expenses payable by us. Each decrease of 1,000,000 shares in the number of shares offered by us, as set forth on the cover page of this prospectus, would decrease the pro forma as adjusted net tangible book value per share after this offering by $0.49 and increase dilution per share to new investors purchasing shares in this offering by $0.49, assuming no change in the assumed initial public offering price per share and after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18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If the underwriters exercise their over-allotment option in this offering in full, the pro forma as adjusted net tangible book value per share after this offering would be $5.70 per share, and the dilution in pro forma as adjusted net tangible book value per share to new investors purchasing common shares in this offering would be $11.30 per share, after deducting estimated underwriting discounts and commissions and estimated offering expenses payable by us.</w:t>
      </w:r>
    </w:p>
    <w:p>
      <w:pPr>
        <w:spacing w:after="0" w:line="18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The following table summarizes, on the pro forma as adjusted basis described above as of March 31, 2018, the total number of shares of common stock purchased from us, the total consideration paid or to be paid, and the average price per share paid or to be paid by existing shareholders and by new investors in this offering at the assumed initial public offering price of $17.00 per share, the midpoint of the price range set forth on the cover page of this prospectus, before deducting estimated underwriting discounts and commissions and estimated offering expenses payable by us:</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4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Shares Purchased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rPr>
              <w:t>Total Consideration</w:t>
            </w: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Borders>
              <w:top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w w:val="94"/>
              </w:rPr>
              <w:t>Number</w:t>
            </w:r>
          </w:p>
        </w:tc>
        <w:tc>
          <w:tcPr>
            <w:tcW w:w="5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Amount</w:t>
            </w:r>
          </w:p>
        </w:tc>
        <w:tc>
          <w:tcPr>
            <w:tcW w:w="12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Percentage</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48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040" w:type="dxa"/>
            <w:vAlign w:val="bottom"/>
            <w:vMerge w:val="continue"/>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17,901,687</w:t>
            </w:r>
          </w:p>
        </w:tc>
        <w:tc>
          <w:tcPr>
            <w:tcW w:w="50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80.2%</w:t>
            </w: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88,183,696</w:t>
            </w:r>
          </w:p>
        </w:tc>
        <w:tc>
          <w:tcPr>
            <w:tcW w:w="520" w:type="dxa"/>
            <w:vAlign w:val="bottom"/>
            <w:vMerge w:val="continue"/>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54.0%</w:t>
            </w: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New investors</w:t>
            </w:r>
          </w:p>
        </w:tc>
        <w:tc>
          <w:tcPr>
            <w:tcW w:w="14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4,412,000</w:t>
            </w:r>
          </w:p>
        </w:tc>
        <w:tc>
          <w:tcPr>
            <w:tcW w:w="5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75,004,000</w:t>
            </w:r>
          </w:p>
        </w:tc>
        <w:tc>
          <w:tcPr>
            <w:tcW w:w="5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w:t>
            </w:r>
          </w:p>
        </w:tc>
        <w:tc>
          <w:tcPr>
            <w:tcW w:w="40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22,313,687</w:t>
            </w:r>
          </w:p>
        </w:tc>
        <w:tc>
          <w:tcPr>
            <w:tcW w:w="1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163,187,696</w:t>
            </w:r>
          </w:p>
        </w:tc>
        <w:tc>
          <w:tcPr>
            <w:tcW w:w="16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Certain of our existing stockholders, including certain affiliates of our directors, have indicated an interest in purchasing an aggregate of approximately $37.5 million of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 The table and discussion above do not give effect to the potential purchases by such investors.</w:t>
      </w:r>
    </w:p>
    <w:p>
      <w:pPr>
        <w:spacing w:after="0" w:line="188"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A $1.00 increase (decrease) in the assumed initial public offering price of $17.00 per share, the midpoint of the price range set forth on the cover page of this prospectus, would increase (decrease) the total consideration paid by investors in this offering by approximately $4.4 million, assuming the number of shares offered by us, as set forth on the cover page of this prospectus, remains the same and before deducting estimated underwriting discounts and commissions and estimated offering expenses payable by us. Similarly, each increase (decrease) of 1,000,000 shares in the number of shares offered by us in this offering would increase (decrease) the total consideration paid by investors in this offering by approximately $17.0 million, assuming the assumed initial public offering price of $17.00 per share, the midpoint of the price range set forth on the cover page of this prospectus, remains the same, and before deducting estimated underwriting discounts and commissions and estimated offering expenses payable by us. This information is illustrative only and will depend on the actual initial public offering price and other terms of this offering determined at pricing.</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table above assumes no exercise of the underwriters’ over-allotment option in this offering. If the underwriters’ over-allotment option is exercised in full, the number of shares of common stock held by new investors purchasing common stock in this offering would be increased to 22.1% of the total number of shares of common stock outstanding after this offering, and the number of shares held by existing shareholders would be reduced to 77.9% of the total number of shares of common stock outstanding after this offering.</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tables and discussion above do not include:</w:t>
      </w:r>
    </w:p>
    <w:p>
      <w:pPr>
        <w:spacing w:after="0" w:line="131" w:lineRule="exact"/>
        <w:rPr>
          <w:sz w:val="20"/>
          <w:szCs w:val="20"/>
          <w:color w:val="auto"/>
        </w:rPr>
      </w:pPr>
    </w:p>
    <w:p>
      <w:pPr>
        <w:ind w:left="1060" w:right="200" w:hanging="424"/>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1,788,750 shares of common stock issuable upon the exercise of stock options outstanding as of March 31, 2018, with a weighted average exercise price of $2.56 per share;</w:t>
      </w:r>
    </w:p>
    <w:p>
      <w:pPr>
        <w:spacing w:after="0" w:line="75"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6,850 shares of common stock issuable upon the exercise of a warrant to purchase preferred stock outstanding as of March 31, 2018 that will automatically become a warrant to purchase common stock upon the completion of this offering, with an exercise price of $3.2845 per share;</w:t>
      </w:r>
    </w:p>
    <w:p>
      <w:pPr>
        <w:spacing w:after="0" w:line="86"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additional 58,472 shares of common stock reserved for issuance under our Amended and Restated 2015 Stock Option and Grant Plan as of March 31, 2018, which shares will no longer be reserved following this offering;</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additional 616,300 shares of common stock that will be made available for future issuance under our 2018 Stock Option and Grant Plan upon the effectiveness of the registration statement of which this prospectus forms a part; and</w:t>
      </w:r>
    </w:p>
    <w:p>
      <w:pPr>
        <w:spacing w:after="0" w:line="75" w:lineRule="exact"/>
        <w:rPr>
          <w:rFonts w:ascii="Arial" w:cs="Arial" w:eastAsia="Arial" w:hAnsi="Arial"/>
          <w:sz w:val="18"/>
          <w:szCs w:val="18"/>
          <w:color w:val="auto"/>
        </w:rPr>
      </w:pPr>
    </w:p>
    <w:p>
      <w:pPr>
        <w:ind w:left="1060" w:right="360" w:hanging="424"/>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additional 223,200 shares of common stock that will be made available for future issuance under our 2018 Employee Stock Purchase Plan upon the effectiveness of the registration statement of which this prospectus forms a part.</w:t>
      </w:r>
    </w:p>
    <w:p>
      <w:pPr>
        <w:spacing w:after="0" w:line="170" w:lineRule="exact"/>
        <w:rPr>
          <w:sz w:val="20"/>
          <w:szCs w:val="20"/>
          <w:color w:val="auto"/>
        </w:rPr>
      </w:pPr>
    </w:p>
    <w:p>
      <w:pPr>
        <w:ind w:left="200" w:right="300" w:firstLine="441"/>
        <w:spacing w:after="0" w:line="257" w:lineRule="auto"/>
        <w:rPr>
          <w:sz w:val="20"/>
          <w:szCs w:val="20"/>
          <w:color w:val="auto"/>
        </w:rPr>
      </w:pPr>
      <w:r>
        <w:rPr>
          <w:rFonts w:ascii="Arial" w:cs="Arial" w:eastAsia="Arial" w:hAnsi="Arial"/>
          <w:sz w:val="18"/>
          <w:szCs w:val="18"/>
          <w:color w:val="auto"/>
        </w:rPr>
        <w:t>To the extent that stock options or warrants are exercised, new stock options are issued under our equity incentive plans, or we issue additional shares of common stock in the future, there will be further dilution to investors participating in this offering.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selected consolidated statements of operations data for the years ended December 31, 2016 and 2017 and the selected consolidated balance sheet data as of December 31, 2016 and 2017 are derived from our audited financial statements included elsewhere in this prospectus. The consolidated statements of operations data for the three months ended March 31, 2017 and 2018 and the consolidated balance sheet data as of March 31, 2018 have been derived from our unaudited condensed consolidated financial statements included elsewhere in this prospectus and have been prepared on the same basis as the audited consolidated financial statements. In the opinion of management, the unaudited data reflects all adjustments, consisting only of normal recurring adjustments, necessary for a fair presentation of the financial information contained in those statements. Our historical results are not necessarily indicative of the results that may be expected in any future period. You should read the following selected financial data together with the information in the sections titled “Management’s Discussion and Analysis of Financial Condition and Results of Operations” and our financial statements and related notes included elsewhere in this prospectus.</w:t>
      </w:r>
    </w:p>
    <w:p>
      <w:pPr>
        <w:spacing w:after="0" w:line="18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2017</w:t>
            </w:r>
          </w:p>
        </w:tc>
        <w:tc>
          <w:tcPr>
            <w:tcW w:w="4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8"/>
          </w:tcPr>
          <w:p>
            <w:pPr>
              <w:jc w:val="right"/>
              <w:ind w:right="20"/>
              <w:spacing w:after="0" w:line="155" w:lineRule="exact"/>
              <w:rPr>
                <w:sz w:val="20"/>
                <w:szCs w:val="20"/>
                <w:color w:val="auto"/>
              </w:rPr>
            </w:pPr>
            <w:r>
              <w:rPr>
                <w:rFonts w:ascii="Arial" w:cs="Arial" w:eastAsia="Arial" w:hAnsi="Arial"/>
                <w:sz w:val="14"/>
                <w:szCs w:val="14"/>
                <w:b w:val="1"/>
                <w:bCs w:val="1"/>
                <w:color w:val="auto"/>
                <w:w w:val="91"/>
              </w:rPr>
              <w:t>(in thousands, except share and per share data)</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w:t>
            </w:r>
          </w:p>
        </w:tc>
        <w:tc>
          <w:tcPr>
            <w:tcW w:w="2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4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(4,625)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(18,386)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(2,044)</w:t>
            </w: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Total other expense, net</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(4,664)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(18,648)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(4,969)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w w:val="96"/>
              </w:rPr>
              <w:t>Net loss per share attributable to common stockholders—basic and diluted</w:t>
            </w:r>
            <w:r>
              <w:rPr>
                <w:rFonts w:ascii="Arial" w:cs="Arial" w:eastAsia="Arial" w:hAnsi="Arial"/>
                <w:sz w:val="15"/>
                <w:szCs w:val="15"/>
                <w:color w:val="auto"/>
                <w:w w:val="96"/>
              </w:rPr>
              <w:t>(1)</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common shares outstanding—basic and diluted</w:t>
            </w: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2,038,025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2,235,865</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2,181,715</w:t>
            </w: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2,324,790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3"/>
            <w:vMerge w:val="restart"/>
          </w:tcPr>
          <w:p>
            <w:pPr>
              <w:spacing w:after="0"/>
              <w:rPr>
                <w:sz w:val="20"/>
                <w:szCs w:val="20"/>
                <w:color w:val="auto"/>
              </w:rPr>
            </w:pPr>
            <w:r>
              <w:rPr>
                <w:rFonts w:ascii="Arial" w:cs="Arial" w:eastAsia="Arial" w:hAnsi="Arial"/>
                <w:sz w:val="18"/>
                <w:szCs w:val="18"/>
                <w:color w:val="auto"/>
                <w:w w:val="95"/>
              </w:rPr>
              <w:t>Pro forma net loss per share attributable to common stockholders—basic and</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0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gridSpan w:val="2"/>
          </w:tcPr>
          <w:p>
            <w:pPr>
              <w:ind w:left="160"/>
              <w:spacing w:after="0"/>
              <w:rPr>
                <w:sz w:val="20"/>
                <w:szCs w:val="20"/>
                <w:color w:val="auto"/>
              </w:rPr>
            </w:pPr>
            <w:r>
              <w:rPr>
                <w:rFonts w:ascii="Arial" w:cs="Arial" w:eastAsia="Arial" w:hAnsi="Arial"/>
                <w:sz w:val="18"/>
                <w:szCs w:val="18"/>
                <w:color w:val="auto"/>
              </w:rPr>
              <w:t>diluted</w:t>
            </w:r>
            <w:r>
              <w:rPr>
                <w:rFonts w:ascii="Arial" w:cs="Arial" w:eastAsia="Arial" w:hAnsi="Arial"/>
                <w:sz w:val="15"/>
                <w:szCs w:val="15"/>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(2.69)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Pro forma weighted-average common shares outstanding—basic and diluted</w:t>
            </w:r>
            <w:r>
              <w:rPr>
                <w:rFonts w:ascii="Arial" w:cs="Arial" w:eastAsia="Arial" w:hAnsi="Arial"/>
                <w:sz w:val="15"/>
                <w:szCs w:val="15"/>
                <w:color w:val="auto"/>
                <w:w w:val="93"/>
              </w:rPr>
              <w:t>(1)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6,922,173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16,187,901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4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40" w:right="340" w:hanging="436"/>
        <w:spacing w:after="0" w:line="312" w:lineRule="auto"/>
        <w:tabs>
          <w:tab w:leader="none" w:pos="6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See Notes 2 and 13 to our audited consolidated financial statements and Note 12 to our unaudited condensed consolidated financial statements appearing elsewhere in this prospectus for further details on the calculation of basic and diluted net loss per share attributable to common stockholders and on the calculation of pro forma basic and diluted net loss per share attributable to common stockholders.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60" w:type="dxa"/>
            <w:vAlign w:val="bottom"/>
            <w:gridSpan w:val="2"/>
            <w:vMerge w:val="restart"/>
          </w:tcPr>
          <w:p>
            <w:pPr>
              <w:jc w:val="right"/>
              <w:ind w:right="154"/>
              <w:spacing w:after="0"/>
              <w:rPr>
                <w:sz w:val="20"/>
                <w:szCs w:val="20"/>
                <w:color w:val="auto"/>
              </w:rPr>
            </w:pPr>
            <w:r>
              <w:rPr>
                <w:rFonts w:ascii="Arial" w:cs="Arial" w:eastAsia="Arial" w:hAnsi="Arial"/>
                <w:sz w:val="14"/>
                <w:szCs w:val="14"/>
                <w:b w:val="1"/>
                <w:bCs w:val="1"/>
                <w:color w:val="auto"/>
              </w:rPr>
              <w:t>As of December 31,</w:t>
            </w:r>
          </w:p>
        </w:tc>
        <w:tc>
          <w:tcPr>
            <w:tcW w:w="280" w:type="dxa"/>
            <w:vAlign w:val="bottom"/>
            <w:vMerge w:val="restart"/>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6"/>
                <w:szCs w:val="6"/>
                <w:color w:val="auto"/>
              </w:rPr>
            </w:pPr>
          </w:p>
        </w:tc>
        <w:tc>
          <w:tcPr>
            <w:tcW w:w="6240" w:type="dxa"/>
            <w:vAlign w:val="bottom"/>
          </w:tcPr>
          <w:p>
            <w:pPr>
              <w:spacing w:after="0"/>
              <w:rPr>
                <w:sz w:val="6"/>
                <w:szCs w:val="6"/>
                <w:color w:val="auto"/>
              </w:rPr>
            </w:pPr>
          </w:p>
        </w:tc>
        <w:tc>
          <w:tcPr>
            <w:tcW w:w="1940" w:type="dxa"/>
            <w:vAlign w:val="bottom"/>
          </w:tcPr>
          <w:p>
            <w:pPr>
              <w:spacing w:after="0"/>
              <w:rPr>
                <w:sz w:val="6"/>
                <w:szCs w:val="6"/>
                <w:color w:val="auto"/>
              </w:rPr>
            </w:pPr>
          </w:p>
        </w:tc>
        <w:tc>
          <w:tcPr>
            <w:tcW w:w="1660" w:type="dxa"/>
            <w:vAlign w:val="bottom"/>
            <w:tcBorders>
              <w:bottom w:val="single" w:sz="8" w:color="auto"/>
            </w:tcBorders>
            <w:gridSpan w:val="2"/>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90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240" w:type="dxa"/>
            <w:vAlign w:val="bottom"/>
          </w:tcPr>
          <w:p>
            <w:pPr>
              <w:spacing w:after="0"/>
              <w:rPr>
                <w:sz w:val="4"/>
                <w:szCs w:val="4"/>
                <w:color w:val="auto"/>
              </w:rPr>
            </w:pPr>
          </w:p>
        </w:tc>
        <w:tc>
          <w:tcPr>
            <w:tcW w:w="2720" w:type="dxa"/>
            <w:vAlign w:val="bottom"/>
            <w:gridSpan w:val="2"/>
            <w:vMerge w:val="restart"/>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8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720" w:type="dxa"/>
            <w:vAlign w:val="bottom"/>
            <w:gridSpan w:val="2"/>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center"/>
              <w:ind w:left="35"/>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720" w:type="dxa"/>
            <w:vAlign w:val="bottom"/>
            <w:gridSpan w:val="2"/>
          </w:tcPr>
          <w:p>
            <w:pPr>
              <w:jc w:val="right"/>
              <w:ind w:right="139"/>
              <w:spacing w:after="0"/>
              <w:rPr>
                <w:sz w:val="20"/>
                <w:szCs w:val="20"/>
                <w:color w:val="auto"/>
              </w:rPr>
            </w:pPr>
            <w:r>
              <w:rPr>
                <w:rFonts w:ascii="Arial" w:cs="Arial" w:eastAsia="Arial" w:hAnsi="Arial"/>
                <w:sz w:val="18"/>
                <w:szCs w:val="18"/>
                <w:color w:val="auto"/>
              </w:rPr>
              <w:t>$ 5,357</w:t>
            </w:r>
          </w:p>
        </w:tc>
        <w:tc>
          <w:tcPr>
            <w:tcW w:w="880" w:type="dxa"/>
            <w:vAlign w:val="bottom"/>
          </w:tcPr>
          <w:p>
            <w:pPr>
              <w:jc w:val="right"/>
              <w:spacing w:after="0"/>
              <w:rPr>
                <w:sz w:val="20"/>
                <w:szCs w:val="20"/>
                <w:color w:val="auto"/>
              </w:rPr>
            </w:pPr>
            <w:r>
              <w:rPr>
                <w:rFonts w:ascii="Arial" w:cs="Arial" w:eastAsia="Arial" w:hAnsi="Arial"/>
                <w:sz w:val="18"/>
                <w:szCs w:val="18"/>
                <w:color w:val="auto"/>
              </w:rPr>
              <w:t>$  5,963</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$ 57,928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27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4,485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3,683</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assets</w:t>
            </w:r>
          </w:p>
        </w:tc>
        <w:tc>
          <w:tcPr>
            <w:tcW w:w="2720" w:type="dxa"/>
            <w:vAlign w:val="bottom"/>
            <w:gridSpan w:val="2"/>
          </w:tcPr>
          <w:p>
            <w:pPr>
              <w:jc w:val="right"/>
              <w:ind w:right="139"/>
              <w:spacing w:after="0"/>
              <w:rPr>
                <w:sz w:val="20"/>
                <w:szCs w:val="20"/>
                <w:color w:val="auto"/>
              </w:rPr>
            </w:pPr>
            <w:r>
              <w:rPr>
                <w:rFonts w:ascii="Arial" w:cs="Arial" w:eastAsia="Arial" w:hAnsi="Arial"/>
                <w:sz w:val="18"/>
                <w:szCs w:val="18"/>
                <w:color w:val="auto"/>
              </w:rPr>
              <w:t>5,400</w:t>
            </w:r>
          </w:p>
        </w:tc>
        <w:tc>
          <w:tcPr>
            <w:tcW w:w="880" w:type="dxa"/>
            <w:vAlign w:val="bottom"/>
          </w:tcPr>
          <w:p>
            <w:pPr>
              <w:jc w:val="right"/>
              <w:spacing w:after="0"/>
              <w:rPr>
                <w:sz w:val="20"/>
                <w:szCs w:val="20"/>
                <w:color w:val="auto"/>
              </w:rPr>
            </w:pPr>
            <w:r>
              <w:rPr>
                <w:rFonts w:ascii="Arial" w:cs="Arial" w:eastAsia="Arial" w:hAnsi="Arial"/>
                <w:sz w:val="18"/>
                <w:szCs w:val="18"/>
                <w:color w:val="auto"/>
              </w:rPr>
              <w:t>7,022</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60,216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Warrant to purchase redeemable convertible preferred stock</w:t>
            </w:r>
          </w:p>
        </w:tc>
        <w:tc>
          <w:tcPr>
            <w:tcW w:w="19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Derivative liability</w:t>
            </w:r>
          </w:p>
        </w:tc>
        <w:tc>
          <w:tcPr>
            <w:tcW w:w="2720" w:type="dxa"/>
            <w:vAlign w:val="bottom"/>
            <w:gridSpan w:val="2"/>
          </w:tcPr>
          <w:p>
            <w:pPr>
              <w:jc w:val="right"/>
              <w:ind w:right="139"/>
              <w:spacing w:after="0"/>
              <w:rPr>
                <w:sz w:val="20"/>
                <w:szCs w:val="20"/>
                <w:color w:val="auto"/>
              </w:rPr>
            </w:pPr>
            <w:r>
              <w:rPr>
                <w:rFonts w:ascii="Arial" w:cs="Arial" w:eastAsia="Arial" w:hAnsi="Arial"/>
                <w:sz w:val="18"/>
                <w:szCs w:val="18"/>
                <w:color w:val="auto"/>
              </w:rPr>
              <w:t>88</w:t>
            </w:r>
          </w:p>
        </w:tc>
        <w:tc>
          <w:tcPr>
            <w:tcW w:w="880" w:type="dxa"/>
            <w:vAlign w:val="bottom"/>
          </w:tcPr>
          <w:p>
            <w:pPr>
              <w:jc w:val="right"/>
              <w:spacing w:after="0"/>
              <w:rPr>
                <w:sz w:val="20"/>
                <w:szCs w:val="20"/>
                <w:color w:val="auto"/>
              </w:rPr>
            </w:pPr>
            <w:r>
              <w:rPr>
                <w:rFonts w:ascii="Arial" w:cs="Arial" w:eastAsia="Arial" w:hAnsi="Arial"/>
                <w:sz w:val="18"/>
                <w:szCs w:val="18"/>
                <w:color w:val="auto"/>
              </w:rPr>
              <w:t>371</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27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9,000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26,500</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2720" w:type="dxa"/>
            <w:vAlign w:val="bottom"/>
            <w:gridSpan w:val="2"/>
          </w:tcPr>
          <w:p>
            <w:pPr>
              <w:jc w:val="right"/>
              <w:ind w:right="79"/>
              <w:spacing w:after="0"/>
              <w:rPr>
                <w:sz w:val="20"/>
                <w:szCs w:val="20"/>
                <w:color w:val="auto"/>
              </w:rPr>
            </w:pPr>
            <w:r>
              <w:rPr>
                <w:rFonts w:ascii="Arial" w:cs="Arial" w:eastAsia="Arial" w:hAnsi="Arial"/>
                <w:sz w:val="18"/>
                <w:szCs w:val="18"/>
                <w:color w:val="auto"/>
              </w:rPr>
              <w:t>(4,579)</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(23,135)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(33,511)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define working capital as current assets less current liabilities.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the related notes appearing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uncertainties and assumptions. You should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 xml:space="preserve">We are a Phase 2 clinical stage gene therapy company focused on developing potentially curative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has the potential to provide curative benefit in an outpatient setting for a range of diseases. Our initial focus is on a group of rare genetic diseases referred to as lysosomal storage diseases, which today are primarily managed with enzyme replacement therapies, or ERTs.</w:t>
      </w:r>
    </w:p>
    <w:p>
      <w:pPr>
        <w:spacing w:after="0" w:line="1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initially targeting rare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seek to develop promising gene therapy programs by applying our expertise in gene and cellular therapies and clinical and regulatory strategy and execution to efficiently bring these potentially curative therapies to patients. In our initial programs, we leverage years of extensive preclinical and early clinical research by leading researchers, as well as our internal research efforts, to advance potential therapies. We plan to identify and develop future product candidates through our own internal research efforts as well as through collaborations with leading academics.</w:t>
      </w:r>
    </w:p>
    <w:p>
      <w:pPr>
        <w:spacing w:after="0" w:line="154"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Since our inception in 2015,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potential commercialization. We do not have any products approved for sale and have not generated any revenue from product sales. To date, we have funded our operations with proceeds from the sales of preferred stock. Through March 31, 2018, we had received gross proceeds of $87.5 million from the sales of our preferred stock. Since our inception, we have incurred significant operating losses. Our ability to generate product revenue sufficient to achieve profitability will depend heavily on the successful development and eventual commercialization of one or more of our current or future product candidates and programs. Our net losses were $4.7 million and $18.6 million for the years ended December 31, 2016 and 2017, respectively, and</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00"/>
          </w:cols>
          <w:pgMar w:left="24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$8.2 million for the three months ended March 31, 2018. As of March 31, 2018 we had an accumulated deficit of $33.6 million. 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upon the closing of this offering, we expect to incur additional costs associated with operating as a public company, including significant legal, accounting, investor relations and other expenses that we did not incur as a private company.</w:t>
      </w:r>
    </w:p>
    <w:p>
      <w:pPr>
        <w:spacing w:after="0" w:line="18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As a result, we will need substantial additional funding to support our continuing operations and pursue our growth strategy. Until such time as we can generate significant revenue from product sales, if ever, we expect to finance our operations with proceeds from outside sources, with a majority of such proceeds to be derived from sales of equity, including the anticipated net proceeds from this offering. We also plan to pursue additional funding from outside sources, including our expansion of, or our entry into, new borrowing arrangements; research and development incentive payments from the Australian government; and our entry into potential future collaboration agreements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179"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we may be unable to continue our operations at planned levels and be forced to reduce or terminate our operations.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As of March 31, 2018, we had cash and cash equivalents of $57.9 million. We believe that the anticipated net proceeds from this offering, together with our existing cash and cash equivalents, will enable us to fund our operating expenses and capital expenditure requirements into 2020. We have based this estimate on assumptions that may prove to be wrong, and we could exhaust our available capital resources sooner than we expect. See “— Liquidity and Capital Resources.”</w:t>
      </w:r>
    </w:p>
    <w:p>
      <w:pPr>
        <w:spacing w:after="0" w:line="18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Without giving effect to the anticipated net proceeds from this offering, we expect that our existing cash and cash equivalents will be sufficient to fund our operating expenses and capital expenditure requirements until at least the middle of 2019. To finance our operations beyond that point, we will need to raise additional capital, which cannot be assured.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Our Consolidated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in the near future. If development efforts for our product candidates are successful and result in regulatory approval or additional license agreements with third parties, we may generate revenue in the future from product sales.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Research and development expenses consist primarily of costs incurred in connection with the discovery and development of our product candidates. We expense research and development costs as incurred. These expenses include:</w:t>
      </w:r>
    </w:p>
    <w:p>
      <w:pPr>
        <w:spacing w:after="0" w:line="76" w:lineRule="exact"/>
        <w:rPr>
          <w:sz w:val="20"/>
          <w:szCs w:val="20"/>
          <w:color w:val="auto"/>
        </w:rPr>
      </w:pPr>
    </w:p>
    <w:p>
      <w:pPr>
        <w:ind w:left="1060" w:hanging="424"/>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30" w:lineRule="exact"/>
        <w:rPr>
          <w:rFonts w:ascii="Arial" w:cs="Arial" w:eastAsia="Arial" w:hAnsi="Arial"/>
          <w:sz w:val="18"/>
          <w:szCs w:val="18"/>
          <w:color w:val="auto"/>
        </w:rPr>
      </w:pPr>
    </w:p>
    <w:p>
      <w:pPr>
        <w:ind w:left="1060" w:right="60" w:hanging="424"/>
        <w:spacing w:after="0" w:line="342" w:lineRule="auto"/>
        <w:tabs>
          <w:tab w:leader="none" w:pos="10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expenses incurred under agreements with contract research organizations, or CROs, contract manufacturing organizations, or CMOs, as well as investigative sites and consultants that conduct our clinical trials, preclinical studies and other scientific development services;</w:t>
      </w:r>
    </w:p>
    <w:p>
      <w:pPr>
        <w:spacing w:after="0" w:line="29" w:lineRule="exact"/>
        <w:rPr>
          <w:rFonts w:ascii="Arial" w:cs="Arial" w:eastAsia="Arial" w:hAnsi="Arial"/>
          <w:sz w:val="16"/>
          <w:szCs w:val="16"/>
          <w:color w:val="auto"/>
        </w:rPr>
      </w:pPr>
    </w:p>
    <w:p>
      <w:pPr>
        <w:ind w:left="1060" w:right="640" w:hanging="424"/>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manufacturing scale-up expenses and the cost of acquiring and manufacturing preclinical and clinical trial materials and commercial materials, including manufacturing validation batches;</w:t>
      </w:r>
    </w:p>
    <w:p>
      <w:pPr>
        <w:spacing w:after="0" w:line="75"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employee-related expenses, including salaries, related benefits, travel and stock-based compensation expense for employees engaged in research and development functions;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allocated facilities costs, depreciation and other expenses, which include rent and utilities.</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recognize external development costs based on an evaluation of the progress to completion of specific tasks using information provided to us by our service providers.</w:t>
      </w:r>
    </w:p>
    <w:p>
      <w:pPr>
        <w:spacing w:after="0" w:line="170"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Our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incurred under license agreements. We do not allocate employee costs or facility expenses, including depreciation or other indirect costs, to specific programs because these costs are deployed across multiple programs and, as such, are not separately classified. We use internal resources primarily to oversee the research and discovery as well as for managing our preclinical development, process development, manufacturing and clinical development activities. These employees work across multiple programs and, therefore, we do not track their costs by program.</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table below summarizes our research and development expenses incurred by program:</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93"/>
              </w:rPr>
              <w:t>Year Ended</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Three Months</w:t>
            </w: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4"/>
          </w:tcPr>
          <w:p>
            <w:pPr>
              <w:jc w:val="center"/>
              <w:ind w:right="12"/>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7"/>
              </w:rPr>
              <w:t>Ended March 31,</w:t>
            </w: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2016</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2017</w:t>
            </w:r>
          </w:p>
        </w:tc>
        <w:tc>
          <w:tcPr>
            <w:tcW w:w="8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ind w:right="1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Fabry</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Gaucher</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2,612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91</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AML</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Cystinosis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1,030</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Pompe</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2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1,723</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380" w:type="dxa"/>
            <w:vAlign w:val="bottom"/>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2,562</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research and development expenses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2,663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15,191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1,434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5,647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As a result, we expect that our research and development expenses will increase substantially over the next several years, particularly as we increase personnel costs, including stock-based compensation, contractor costs and facilities costs, as we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color w:val="auto"/>
        </w:rPr>
        <w:t>continue to advance the development of our product candidates. We also expect to incur additional expenses related to milestone and royalty payments payable to third parties with whom we have entered into license agreements to acquire the rights to our product candidates.</w:t>
      </w:r>
    </w:p>
    <w:p>
      <w:pPr>
        <w:spacing w:after="0" w:line="14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77" w:lineRule="exact"/>
        <w:rPr>
          <w:sz w:val="20"/>
          <w:szCs w:val="20"/>
          <w:color w:val="auto"/>
        </w:rPr>
      </w:pPr>
    </w:p>
    <w:p>
      <w:pPr>
        <w:ind w:left="1060" w:right="720" w:hanging="424"/>
        <w:spacing w:after="0" w:line="277"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scope, progress, outcome and costs of our preclinical development activities, clinical trials and other research and development activities;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IND-enabling studies;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successful patient enrollment in, and the initiation and completion of, clinical trials;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timing, receipt and terms of any marketing approvals from applicable regulatory authorities;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development and timely delivery of commercial-grade drug formulations that can be used in our clinical trials and for commercial launch;</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obtaining, maintaining, defending and enforcing patent claims and other intellectual property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launching commercial sales of our product candidates, if and when approved, whether alone or in collaboration with others;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 candidates following approval.</w:t>
      </w:r>
    </w:p>
    <w:p>
      <w:pPr>
        <w:spacing w:after="0" w:line="225"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may never succeed in achieving regulatory approval for any of our product candidates. We may obtain unexpected results from our clinical trials. We may elect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U.S. Food and Drug Administration, or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General and administrative expenses consist primarily of salaries, related benefits, travel and stock-based compensation expense for personnel in executive, finance and administrative functions. General and administrative expenses also include professional fees for legal, consulting, accounting and audit services.</w:t>
      </w:r>
    </w:p>
    <w:p>
      <w:pPr>
        <w:spacing w:after="0" w:line="181"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director and officer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insurance costs as well as investor and public relations expenses associated with being a public company. We anticipate the additional costs for these services will substantially increase our general and administrative expenses. Additionally, if and when we believe a regulatory approval of a product candidate appears likely, we anticipate an increase in payroll and expense as a result of our preparation for commercial operations, especially as it relates to the sales and marketing of our product candidate.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consists of income from bank deposits.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expense consists of foreign exchange gain or loss.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 in Fair Value of Preferred Stock Warrant Liability</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In connection with entering into our loan agreement, we agreed to issue a warrant to purchase shares of our preferred stock to the lender. We classify the warrant as a liability on our consolidated balance sheet and we are required to remeasure to fair value at each reporting date. We recognize changes in the fair value of the warrant liability as a component of other income (expense), net in our consolidated statements of operations and comprehensive loss. We will continue to recognize changes in the fair value of the warrant liability until the warrants are exercised, expire or qualify for equity classification.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Our stock purchase agreement with University Health Network, or UHN, provides for a payment to UHN upon completion of an initial public offering, or IPO, which includes this offering, if UHN’s fully-diluted percentage ownership of our company is reduced within a range of specified percentages. We classify the IPO dilution payment obligation as a liability on our consolidated balance sheet and we are required to remeasure to fair value at each reporting date. We recognize changes in the fair value of the derivative liability as a component of other income (expense), net in our consolidated statements of operations and comprehensive loss. We will continue to recognize changes in the fair value of the derivative liability until an IPO occurs.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Consolidated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Comparison of the Years Ended December 31, 2016 and 2017</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consolidated results of operations for the years ended December 31, 2016 and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7"/>
          </w:tcPr>
          <w:p>
            <w:pPr>
              <w:ind w:left="1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00" w:type="dxa"/>
            <w:vAlign w:val="bottom"/>
            <w:gridSpan w:val="7"/>
          </w:tcPr>
          <w:p>
            <w:pPr>
              <w:ind w:left="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80" w:type="dxa"/>
            <w:vAlign w:val="bottom"/>
            <w:tcBorders>
              <w:top w:val="single" w:sz="8" w:color="auto"/>
            </w:tcBorders>
            <w:gridSpan w:val="3"/>
          </w:tcPr>
          <w:p>
            <w:pPr>
              <w:jc w:val="right"/>
              <w:ind w:right="81"/>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5"/>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460" w:type="dxa"/>
            <w:vAlign w:val="bottom"/>
            <w:gridSpan w:val="4"/>
          </w:tcPr>
          <w:p>
            <w:pPr>
              <w:jc w:val="right"/>
              <w:spacing w:after="0"/>
              <w:rPr>
                <w:sz w:val="20"/>
                <w:szCs w:val="20"/>
                <w:color w:val="auto"/>
              </w:rPr>
            </w:pPr>
            <w:r>
              <w:rPr>
                <w:rFonts w:ascii="Arial" w:cs="Arial" w:eastAsia="Arial" w:hAnsi="Arial"/>
                <w:sz w:val="18"/>
                <w:szCs w:val="18"/>
                <w:color w:val="auto"/>
              </w:rPr>
              <w:t>$ 2,663</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$ 15,191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$ 12,528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880" w:type="dxa"/>
            <w:vAlign w:val="bottom"/>
          </w:tcPr>
          <w:p>
            <w:pPr>
              <w:spacing w:after="0"/>
              <w:rPr>
                <w:sz w:val="20"/>
                <w:szCs w:val="20"/>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4,625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18,386</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700" w:type="dxa"/>
            <w:vAlign w:val="bottom"/>
            <w:gridSpan w:val="5"/>
            <w:shd w:val="clear" w:color="auto" w:fill="CCEEFF"/>
          </w:tcPr>
          <w:p>
            <w:pPr>
              <w:jc w:val="right"/>
              <w:ind w:right="127"/>
              <w:spacing w:after="0"/>
              <w:rPr>
                <w:sz w:val="20"/>
                <w:szCs w:val="20"/>
                <w:color w:val="auto"/>
              </w:rPr>
            </w:pPr>
            <w:r>
              <w:rPr>
                <w:rFonts w:ascii="Arial" w:cs="Arial" w:eastAsia="Arial" w:hAnsi="Arial"/>
                <w:sz w:val="18"/>
                <w:szCs w:val="18"/>
                <w:color w:val="auto"/>
              </w:rPr>
              <w:t>(4,625)</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 income (expense):</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187"/>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2700" w:type="dxa"/>
            <w:vAlign w:val="bottom"/>
            <w:gridSpan w:val="5"/>
            <w:shd w:val="clear" w:color="auto" w:fill="CCEEFF"/>
          </w:tcPr>
          <w:p>
            <w:pPr>
              <w:jc w:val="right"/>
              <w:ind w:right="127"/>
              <w:spacing w:after="0"/>
              <w:rPr>
                <w:sz w:val="20"/>
                <w:szCs w:val="20"/>
                <w:color w:val="auto"/>
              </w:rPr>
            </w:pPr>
            <w:r>
              <w:rPr>
                <w:rFonts w:ascii="Arial" w:cs="Arial" w:eastAsia="Arial" w:hAnsi="Arial"/>
                <w:sz w:val="18"/>
                <w:szCs w:val="18"/>
                <w:color w:val="auto"/>
              </w:rPr>
              <w:t>(39)</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1880" w:type="dxa"/>
            <w:vAlign w:val="bottom"/>
          </w:tcPr>
          <w:p>
            <w:pPr>
              <w:spacing w:after="0"/>
              <w:rPr>
                <w:sz w:val="18"/>
                <w:szCs w:val="18"/>
                <w:color w:val="auto"/>
              </w:rPr>
            </w:pPr>
          </w:p>
        </w:tc>
        <w:tc>
          <w:tcPr>
            <w:tcW w:w="820" w:type="dxa"/>
            <w:vAlign w:val="bottom"/>
            <w:gridSpan w:val="4"/>
          </w:tcPr>
          <w:p>
            <w:pPr>
              <w:jc w:val="right"/>
              <w:ind w:right="127"/>
              <w:spacing w:after="0"/>
              <w:rPr>
                <w:sz w:val="20"/>
                <w:szCs w:val="20"/>
                <w:color w:val="auto"/>
              </w:rPr>
            </w:pPr>
            <w:r>
              <w:rPr>
                <w:rFonts w:ascii="Arial" w:cs="Arial" w:eastAsia="Arial" w:hAnsi="Arial"/>
                <w:sz w:val="18"/>
                <w:szCs w:val="18"/>
                <w:color w:val="auto"/>
              </w:rPr>
              <w:t>(6)</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18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127"/>
              <w:spacing w:after="0"/>
              <w:rPr>
                <w:sz w:val="20"/>
                <w:szCs w:val="20"/>
                <w:color w:val="auto"/>
              </w:rPr>
            </w:pPr>
            <w:r>
              <w:rPr>
                <w:rFonts w:ascii="Arial" w:cs="Arial" w:eastAsia="Arial" w:hAnsi="Arial"/>
                <w:sz w:val="18"/>
                <w:szCs w:val="18"/>
                <w:color w:val="auto"/>
              </w:rPr>
              <w:t>(39)</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23"/>
        </w:trPr>
        <w:tc>
          <w:tcPr>
            <w:tcW w:w="62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880" w:type="dxa"/>
            <w:vAlign w:val="bottom"/>
          </w:tcPr>
          <w:p>
            <w:pPr>
              <w:spacing w:after="0"/>
              <w:rPr>
                <w:sz w:val="19"/>
                <w:szCs w:val="19"/>
                <w:color w:val="auto"/>
              </w:rPr>
            </w:pPr>
          </w:p>
        </w:tc>
        <w:tc>
          <w:tcPr>
            <w:tcW w:w="5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(4,664</w:t>
            </w:r>
          </w:p>
        </w:tc>
        <w:tc>
          <w:tcPr>
            <w:tcW w:w="240" w:type="dxa"/>
            <w:vAlign w:val="bottom"/>
          </w:tcPr>
          <w:p>
            <w:pPr>
              <w:jc w:val="right"/>
              <w:ind w:right="127"/>
              <w:spacing w:after="0"/>
              <w:rPr>
                <w:sz w:val="20"/>
                <w:szCs w:val="20"/>
                <w:color w:val="auto"/>
              </w:rPr>
            </w:pPr>
            <w:r>
              <w:rPr>
                <w:rFonts w:ascii="Arial" w:cs="Arial" w:eastAsia="Arial" w:hAnsi="Arial"/>
                <w:sz w:val="8"/>
                <w:szCs w:val="8"/>
                <w:color w:val="auto"/>
                <w:w w:val="73"/>
              </w:rPr>
              <w:t>)</w:t>
            </w: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(18,648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1"/>
              </w:rPr>
              <w:t>$</w:t>
            </w:r>
            <w:r>
              <w:rPr>
                <w:rFonts w:ascii="Arial" w:cs="Arial" w:eastAsia="Arial" w:hAnsi="Arial"/>
                <w:sz w:val="18"/>
                <w:szCs w:val="18"/>
                <w:color w:val="auto"/>
                <w:w w:val="81"/>
              </w:rPr>
              <w:t>(13,984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vMerge w:val="restart"/>
          </w:tcPr>
          <w:p>
            <w:pPr>
              <w:ind w:left="420"/>
              <w:spacing w:after="0"/>
              <w:rPr>
                <w:sz w:val="20"/>
                <w:szCs w:val="20"/>
                <w:color w:val="auto"/>
              </w:rPr>
            </w:pPr>
            <w:r>
              <w:rPr>
                <w:rFonts w:ascii="Arial" w:cs="Arial" w:eastAsia="Arial" w:hAnsi="Arial"/>
                <w:sz w:val="18"/>
                <w:szCs w:val="18"/>
                <w:i w:val="1"/>
                <w:iCs w:val="1"/>
                <w:color w:val="auto"/>
              </w:rPr>
              <w:t>Research and Development Expenses</w:t>
            </w:r>
          </w:p>
        </w:tc>
        <w:tc>
          <w:tcPr>
            <w:tcW w:w="1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626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120" w:type="dxa"/>
            <w:vAlign w:val="bottom"/>
          </w:tcPr>
          <w:p>
            <w:pPr>
              <w:spacing w:after="0"/>
              <w:rPr>
                <w:sz w:val="14"/>
                <w:szCs w:val="14"/>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220" w:type="dxa"/>
            <w:vAlign w:val="bottom"/>
            <w:gridSpan w:val="3"/>
          </w:tcPr>
          <w:p>
            <w:pPr>
              <w:spacing w:after="0"/>
              <w:rPr>
                <w:sz w:val="12"/>
                <w:szCs w:val="12"/>
                <w:color w:val="auto"/>
              </w:rPr>
            </w:pPr>
          </w:p>
        </w:tc>
        <w:tc>
          <w:tcPr>
            <w:tcW w:w="4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8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Fabry</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rPr>
              <w:t>$  105</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$ 6,101</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$ 5,996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Gaucher</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AML</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rPr>
              <w:t>785</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Cystinosis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Pompe</w:t>
            </w: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1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ind w:left="340"/>
              <w:spacing w:after="0"/>
              <w:rPr>
                <w:sz w:val="20"/>
                <w:szCs w:val="20"/>
                <w:color w:val="auto"/>
              </w:rPr>
            </w:pPr>
            <w:r>
              <w:rPr>
                <w:rFonts w:ascii="Arial" w:cs="Arial" w:eastAsia="Arial" w:hAnsi="Arial"/>
                <w:sz w:val="18"/>
                <w:szCs w:val="18"/>
                <w:color w:val="auto"/>
              </w:rPr>
              <w:t>Personnel related (including stock-based compensation)</w:t>
            </w:r>
          </w:p>
        </w:tc>
        <w:tc>
          <w:tcPr>
            <w:tcW w:w="2700" w:type="dxa"/>
            <w:vAlign w:val="bottom"/>
            <w:gridSpan w:val="5"/>
          </w:tcPr>
          <w:p>
            <w:pPr>
              <w:jc w:val="right"/>
              <w:spacing w:after="0"/>
              <w:rPr>
                <w:sz w:val="20"/>
                <w:szCs w:val="20"/>
                <w:color w:val="auto"/>
              </w:rPr>
            </w:pPr>
            <w:r>
              <w:rPr>
                <w:rFonts w:ascii="Arial" w:cs="Arial" w:eastAsia="Arial" w:hAnsi="Arial"/>
                <w:sz w:val="18"/>
                <w:szCs w:val="18"/>
                <w:color w:val="auto"/>
              </w:rPr>
              <w:t>1,298</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3,203</w:t>
            </w:r>
          </w:p>
        </w:tc>
        <w:tc>
          <w:tcPr>
            <w:tcW w:w="2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7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tcPr>
          <w:p>
            <w:pPr>
              <w:ind w:left="700"/>
              <w:spacing w:after="0"/>
              <w:rPr>
                <w:sz w:val="20"/>
                <w:szCs w:val="20"/>
                <w:color w:val="auto"/>
              </w:rPr>
            </w:pPr>
            <w:r>
              <w:rPr>
                <w:rFonts w:ascii="Arial" w:cs="Arial" w:eastAsia="Arial" w:hAnsi="Arial"/>
                <w:sz w:val="18"/>
                <w:szCs w:val="18"/>
                <w:color w:val="auto"/>
              </w:rPr>
              <w:t>Total research and development expenses</w:t>
            </w:r>
          </w:p>
        </w:tc>
        <w:tc>
          <w:tcPr>
            <w:tcW w:w="22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2,663</w:t>
            </w:r>
          </w:p>
        </w:tc>
        <w:tc>
          <w:tcPr>
            <w:tcW w:w="380" w:type="dxa"/>
            <w:vAlign w:val="bottom"/>
            <w:gridSpan w:val="2"/>
          </w:tcPr>
          <w:p>
            <w:pPr>
              <w:spacing w:after="0"/>
              <w:rPr>
                <w:sz w:val="19"/>
                <w:szCs w:val="19"/>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15,191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12,528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76" w:lineRule="auto"/>
        <w:rPr>
          <w:sz w:val="20"/>
          <w:szCs w:val="20"/>
          <w:color w:val="auto"/>
        </w:rPr>
      </w:pPr>
      <w:r>
        <w:rPr>
          <w:rFonts w:ascii="Arial" w:cs="Arial" w:eastAsia="Arial" w:hAnsi="Arial"/>
          <w:sz w:val="17"/>
          <w:szCs w:val="17"/>
          <w:color w:val="auto"/>
        </w:rPr>
        <w:t>Research and development expenses were $2.7 million for the year ended December 31, 2016, compared to $15.2 million for the year ended December 31, 2017. The increase of $12.5 million was primarily due to increases of $6.0 million in direct costs for our Fabry program, $2.6 million in direct costs connected with our Gaucher program, $1.0 million in direct costs related to our Cystinosis program, $1.0 million in direct costs connected with our Pompe program, and $2.5 million in research and discovery and unallocated costs, all partially offset by a decrease of $0.6 million in direct costs for our AML program as we shifted our focus onto developing our other programs.</w:t>
      </w:r>
    </w:p>
    <w:p>
      <w:pPr>
        <w:spacing w:after="0" w:line="17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increase in direct costs for our Fabry program was primarily due to pre-clinical, clinical and process development cost of $3.1 million, as well as CMO, CRO and consulting fees of $2.5 million.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increase in direct costs for our Gaucher program was primarily due to pre-clinical and process development cost of $1.2 million, as well as CMO fees of $1.0 million.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Cystinosis program was primarily due to upfront license cost of $1.0 million paid to GenStem.</w:t>
      </w:r>
    </w:p>
    <w:p>
      <w:pPr>
        <w:spacing w:after="0" w:line="225"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increase in direct costs for our Pompe program was primarily due to upfront license cost of $0.5 million paid and $0.5 million payable to BioMarin.</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increase in research and discovery and unallocated costs was primarily due to an increase of $1.9 million in personnel-related costs, including stock-based compensation, as a result of hiring additional personnel in our research and development department and an increase of $0.6 million in unallocated consulting expenses and facility costs and rent expense. Personnel-related costs for the years ended December 31, 2016 and 2017 included stock-based compensation expense of less than $0.1 million.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General and administrative expenses were $2.0 million for the year ended December 31, 2016, compared to $3.2 million for the year ended December 31, 2017. The increase of $1.2 million was primarily due to increases of $0.4 million in personnel-related costs, including stock-based compensation, $0.3 million in consulting expense, $0.1 million in professional fees and $0.2 million in facility expense. The increase in personnel-related costs was due to the hiring of additional personnel in our general and administrative functions, including the hiring of our CFO in late 2017. Professional fees increased due to costs associated with the preparation of our financial statements as well as ongoing business operations. The increase in facility expense was primarily due to the addition of increased office space as a result of the continued growth of the employee headcount.</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income (expense), net was not significant during either of the years ended December 31, 2016 or 2017.</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Comparison of the Three Months Ended March 31, 2017 and 2018</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consolidated results of operations for the three months ended March 31, 2017 and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84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Ended March 31,</w:t>
            </w:r>
          </w:p>
        </w:tc>
        <w:tc>
          <w:tcPr>
            <w:tcW w:w="140" w:type="dxa"/>
            <w:vAlign w:val="bottom"/>
          </w:tcPr>
          <w:p>
            <w:pPr>
              <w:spacing w:after="0"/>
              <w:rPr>
                <w:sz w:val="14"/>
                <w:szCs w:val="14"/>
                <w:color w:val="auto"/>
              </w:rPr>
            </w:pP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700"/>
              <w:spacing w:after="0"/>
              <w:rPr>
                <w:sz w:val="20"/>
                <w:szCs w:val="20"/>
                <w:color w:val="auto"/>
              </w:rPr>
            </w:pPr>
            <w:r>
              <w:rPr>
                <w:rFonts w:ascii="Arial" w:cs="Arial" w:eastAsia="Arial" w:hAnsi="Arial"/>
                <w:sz w:val="18"/>
                <w:szCs w:val="18"/>
                <w:color w:val="auto"/>
              </w:rPr>
              <w:t>Research and development</w:t>
            </w:r>
          </w:p>
        </w:tc>
        <w:tc>
          <w:tcPr>
            <w:tcW w:w="4060" w:type="dxa"/>
            <w:vAlign w:val="bottom"/>
            <w:gridSpan w:val="2"/>
          </w:tcPr>
          <w:p>
            <w:pPr>
              <w:jc w:val="right"/>
              <w:spacing w:after="0"/>
              <w:rPr>
                <w:sz w:val="20"/>
                <w:szCs w:val="20"/>
                <w:color w:val="auto"/>
              </w:rPr>
            </w:pPr>
            <w:r>
              <w:rPr>
                <w:rFonts w:ascii="Arial" w:cs="Arial" w:eastAsia="Arial" w:hAnsi="Arial"/>
                <w:sz w:val="18"/>
                <w:szCs w:val="18"/>
                <w:color w:val="auto"/>
              </w:rPr>
              <w:t>$ 1,434</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$ 5,647</w:t>
            </w:r>
          </w:p>
        </w:tc>
        <w:tc>
          <w:tcPr>
            <w:tcW w:w="3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$ 4,213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60" w:type="dxa"/>
            <w:vAlign w:val="bottom"/>
          </w:tcPr>
          <w:p>
            <w:pPr>
              <w:ind w:left="1060"/>
              <w:spacing w:after="0"/>
              <w:rPr>
                <w:sz w:val="20"/>
                <w:szCs w:val="20"/>
                <w:color w:val="auto"/>
              </w:rPr>
            </w:pPr>
            <w:r>
              <w:rPr>
                <w:rFonts w:ascii="Arial" w:cs="Arial" w:eastAsia="Arial" w:hAnsi="Arial"/>
                <w:sz w:val="18"/>
                <w:szCs w:val="18"/>
                <w:color w:val="auto"/>
              </w:rPr>
              <w:t>Total operating expenses</w:t>
            </w:r>
          </w:p>
        </w:tc>
        <w:tc>
          <w:tcPr>
            <w:tcW w:w="350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(2,044)</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(7,788)</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income (expense):</w:t>
            </w:r>
          </w:p>
        </w:tc>
        <w:tc>
          <w:tcPr>
            <w:tcW w:w="3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35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(12)</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4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340"/>
              <w:spacing w:after="0"/>
              <w:rPr>
                <w:sz w:val="20"/>
                <w:szCs w:val="20"/>
                <w:color w:val="auto"/>
              </w:rPr>
            </w:pPr>
            <w:r>
              <w:rPr>
                <w:rFonts w:ascii="Arial" w:cs="Arial" w:eastAsia="Arial" w:hAnsi="Arial"/>
                <w:sz w:val="18"/>
                <w:szCs w:val="18"/>
                <w:color w:val="auto"/>
              </w:rPr>
              <w:t>Other expenses</w:t>
            </w:r>
          </w:p>
        </w:tc>
        <w:tc>
          <w:tcPr>
            <w:tcW w:w="35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3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(454)</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5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(2,077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(8,242</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(6,165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500" w:type="dxa"/>
            <w:vAlign w:val="bottom"/>
            <w:vMerge w:val="restart"/>
          </w:tcPr>
          <w:p>
            <w:pPr>
              <w:jc w:val="right"/>
              <w:ind w:right="2690"/>
              <w:spacing w:after="0"/>
              <w:rPr>
                <w:sz w:val="20"/>
                <w:szCs w:val="20"/>
                <w:color w:val="auto"/>
              </w:rPr>
            </w:pPr>
            <w:r>
              <w:rPr>
                <w:rFonts w:ascii="Arial" w:cs="Arial" w:eastAsia="Arial" w:hAnsi="Arial"/>
                <w:sz w:val="18"/>
                <w:szCs w:val="18"/>
                <w:color w:val="auto"/>
              </w:rPr>
              <w:t>75</w:t>
            </w: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3"/>
              </w:rPr>
              <w:t>Three Months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Ended March 31,</w:t>
            </w:r>
          </w:p>
        </w:tc>
        <w:tc>
          <w:tcPr>
            <w:tcW w:w="100" w:type="dxa"/>
            <w:vAlign w:val="bottom"/>
          </w:tcPr>
          <w:p>
            <w:pPr>
              <w:spacing w:after="0"/>
              <w:rPr>
                <w:sz w:val="14"/>
                <w:szCs w:val="14"/>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2017</w:t>
            </w:r>
          </w:p>
        </w:tc>
        <w:tc>
          <w:tcPr>
            <w:tcW w:w="8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ind w:left="2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Direct research and development expenses by program: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Fabry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387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$1,889</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Gaucher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AML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720" w:type="dxa"/>
            <w:vAlign w:val="bottom"/>
            <w:gridSpan w:val="3"/>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Cystinosis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Pompe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Unallocated research and development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Personnel related (including 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1,621</w:t>
            </w:r>
          </w:p>
        </w:tc>
        <w:tc>
          <w:tcPr>
            <w:tcW w:w="2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w:t>
            </w:r>
          </w:p>
        </w:tc>
        <w:tc>
          <w:tcPr>
            <w:tcW w:w="2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700"/>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1,434</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5,647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4,213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Research and development expenses were $1.4 million for the three months ended March 31, 2017, compared to $5.6 million for the three months ended March 31, 2018. The increase of $4.2 million was primarily due to increases of $1.5 million in direct costs for our Fabry program, $0.8 million in direct costs connected with our Gaucher program, $0.1 million in direct costs related to our Cystinosis program, $0.1 million in direct costs related to our Pompe program, and $1.6 million in research and discovery and unallocated costs, all partially offset by a decrease of $0.1 million in direct costs for our AML program as we shifted our focus onto developing our other programs.</w:t>
      </w:r>
    </w:p>
    <w:p>
      <w:pPr>
        <w:spacing w:after="0" w:line="173"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increase in direct costs for our Fabry program was primarily due to pre-clinical, clinical and process development cost of $1.1 million, as well as CMO, CRO and consulting fees of $0.4 million.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Gaucher program was primarily due to pre-clinical and process development cost of $0.8 million.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Cystinosis program was primarily due to consulting fees of $0.1 million.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increase in direct costs for our Pompe program was primarily due to development costs of $0.1 million.</w:t>
      </w:r>
    </w:p>
    <w:p>
      <w:pPr>
        <w:spacing w:after="0" w:line="225"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increase in research and discovery and unallocated costs was primarily due to an increase of $1.0 million in personnel-related costs, including stock-based compensation, as a result of hiring additional personnel in our research and development department and an increase of $0.8 million in unallocated consulting expenses and facility costs and rent expense.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General and administrative expenses were $0.6 million for the three months ended March 31, 2017, compared to $2.1 million for the three months ended March 31, 2018. The increase of $1.5 million was primarily due to increases of $0.6 million in personnel-related costs, including stock-based compensation, $0.6 million in consulting expense, $0.2 million in professional fees and $0.1 million in legal expense. The increase in personnel-related costs was due to the hiring of additional personnel in our general and administrative functions, including the hiring of our CFO in late 2017. Professional fees increased due to costs associated with the preparation of our consolidated financial statements as well as ongoing business operations.</w:t>
      </w: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240" w:top="459" w:right="4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Other income (expense), net was a loss of less than $0.1 million for the three months ended March 31, 2017, compared to a loss of $0.5 million for the three months ended March 31, 2018. The increase in other expense of $0.4 million was primarily due to increase of $0.6 million in change fair value of derivative liability, partially offset by a $0.2 million increase in interest income.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and negative cash flows from our operations. We have funded our operations to date primarily with proceeds from the sale of preferred stock. Through March 31, 2018, we had received gross cash proceeds of $87.5 million from sales of our preferred stock.</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Cash in excess of immediate requirements is invested primarily with a view to liquidity and capital preservation.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80" w:type="dxa"/>
            <w:vAlign w:val="bottom"/>
          </w:tcPr>
          <w:p>
            <w:pPr>
              <w:spacing w:after="0"/>
              <w:rPr>
                <w:sz w:val="14"/>
                <w:szCs w:val="14"/>
                <w:color w:val="auto"/>
              </w:rPr>
            </w:pPr>
          </w:p>
        </w:tc>
        <w:tc>
          <w:tcPr>
            <w:tcW w:w="16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680" w:type="dxa"/>
            <w:vAlign w:val="bottom"/>
            <w:gridSpan w:val="5"/>
          </w:tcPr>
          <w:p>
            <w:pPr>
              <w:ind w:left="46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jc w:val="right"/>
              <w:ind w:right="6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2"/>
              </w:rPr>
              <w:t>$(3,314)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(16,382)</w:t>
            </w:r>
          </w:p>
        </w:tc>
        <w:tc>
          <w:tcPr>
            <w:tcW w:w="9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$(2,011)</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(5,980)</w:t>
            </w: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(383)</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(55)</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(263)</w:t>
            </w: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3,487</w:t>
            </w: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58,208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60" w:type="dxa"/>
            <w:vAlign w:val="bottom"/>
          </w:tcPr>
          <w:p>
            <w:pPr>
              <w:ind w:left="340"/>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$ 5,357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$ 1,421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51,965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During the three months ended March 31, 2018, operating activities used $6.0 million of cash and cash equivalents, resulting from our net loss of $8.2 million, partially offset by non-cash charges of $0.9 million and net cash provided by changes in our operating assets and liabilities of $1.3 million. The net changes in our operating assets and liabilities was primarily due to increases in liabilities of $1.8 million due to ongoing research, development, and clinical trial efforts and partially offset by increases in assets of $0.5 million, including an increase due to a $0.2 million security deposit for a new lease that was executed in 2018.</w:t>
      </w:r>
    </w:p>
    <w:p>
      <w:pPr>
        <w:spacing w:after="0" w:line="18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During the three months ended March 31, 2017, operating activities used $2.0 million of cash and cash equivalents, resulting from our net loss of $2.1 million, primarily offset by non-cash charges of $0.2 million and net cash used by changes in our operating assets and liabilities of $0.1 million. Net cash used by changes in our operating assets and liabilities for the three months ended March 31, 2017 consisted primarily of a $0.1 million increase in prepaid expenses and other current assets.</w:t>
      </w:r>
    </w:p>
    <w:p>
      <w:pPr>
        <w:spacing w:after="0" w:line="187" w:lineRule="exact"/>
        <w:rPr>
          <w:sz w:val="20"/>
          <w:szCs w:val="20"/>
          <w:color w:val="auto"/>
        </w:rPr>
      </w:pPr>
    </w:p>
    <w:p>
      <w:pPr>
        <w:ind w:left="200" w:right="400" w:firstLine="441"/>
        <w:spacing w:after="0" w:line="291" w:lineRule="auto"/>
        <w:rPr>
          <w:sz w:val="20"/>
          <w:szCs w:val="20"/>
          <w:color w:val="auto"/>
        </w:rPr>
      </w:pPr>
      <w:r>
        <w:rPr>
          <w:rFonts w:ascii="Arial" w:cs="Arial" w:eastAsia="Arial" w:hAnsi="Arial"/>
          <w:sz w:val="16"/>
          <w:szCs w:val="16"/>
          <w:color w:val="auto"/>
        </w:rPr>
        <w:t>During the year ended December 31, 2017, operating activities used $16.4 million of cash and cash equivalents, resulting from our net loss of $18.6 million, partially offset by non-cash charges of $0.7 million and net cash provided by changes in our operating assets and liabilities of</w:t>
      </w:r>
    </w:p>
    <w:p>
      <w:pPr>
        <w:ind w:left="200"/>
        <w:spacing w:after="0"/>
        <w:rPr>
          <w:sz w:val="20"/>
          <w:szCs w:val="20"/>
          <w:color w:val="auto"/>
        </w:rPr>
      </w:pPr>
      <w:r>
        <w:rPr>
          <w:rFonts w:ascii="Arial" w:cs="Arial" w:eastAsia="Arial" w:hAnsi="Arial"/>
          <w:sz w:val="17"/>
          <w:szCs w:val="17"/>
          <w:color w:val="auto"/>
        </w:rPr>
        <w:t>$1.6 million. Net cash provided by changes in our operating assets and liabilities for the year ended December 31, 2017 consisted primarily of a</w:t>
      </w:r>
    </w:p>
    <w:p>
      <w:pPr>
        <w:spacing w:after="0" w:line="21" w:lineRule="exact"/>
        <w:rPr>
          <w:sz w:val="20"/>
          <w:szCs w:val="20"/>
          <w:color w:val="auto"/>
        </w:rPr>
      </w:pPr>
    </w:p>
    <w:p>
      <w:pPr>
        <w:jc w:val="both"/>
        <w:ind w:left="200" w:right="120"/>
        <w:spacing w:after="0" w:line="255" w:lineRule="auto"/>
        <w:rPr>
          <w:sz w:val="20"/>
          <w:szCs w:val="20"/>
          <w:color w:val="auto"/>
        </w:rPr>
      </w:pPr>
      <w:r>
        <w:rPr>
          <w:rFonts w:ascii="Arial" w:cs="Arial" w:eastAsia="Arial" w:hAnsi="Arial"/>
          <w:sz w:val="18"/>
          <w:szCs w:val="18"/>
          <w:color w:val="auto"/>
        </w:rPr>
        <w:t>$1.5 million increase in accrued expenses and other current liabilities, a $0.5 million increase in other long-term liability and a $0.2 million increase in accounts payable, partially offset by a $0.2 million increase in other assets and a $0.3 million increase in prepaid expenses and other current assets. The increases in accrued expenses and other</w:t>
      </w:r>
    </w:p>
    <w:p>
      <w:pPr>
        <w:spacing w:after="0" w:line="1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12" w:lineRule="auto"/>
        <w:rPr>
          <w:sz w:val="20"/>
          <w:szCs w:val="20"/>
          <w:color w:val="auto"/>
        </w:rPr>
      </w:pPr>
      <w:r>
        <w:rPr>
          <w:rFonts w:ascii="Arial" w:cs="Arial" w:eastAsia="Arial" w:hAnsi="Arial"/>
          <w:sz w:val="16"/>
          <w:szCs w:val="16"/>
          <w:color w:val="auto"/>
        </w:rPr>
        <w:t>current liabilities were primarily due to ongoing research, development, and clinical trial work, and an increase in the incentive bonus accrual as of December 31, 2017. The increase in prepaid expenses and other current assets was primarily due to a $0.1 million increase in prepaid development costs associated with our Gaucher program and a $0.1 million increase in prepaid rent upon commencement of two new leases during 2017.</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During the year ended December 31, 2016, operating activities used $3.3 million of cash and cash equivalents, resulting from our net loss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$4.7 million, primarily offset by non-cash charges of $0.6 million and net cash provided by changes in our operating assets and liabilities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$0.8 million. Net cash provided by changes in our operating assets and liabilities for the year ended December 31, 2016 consisted primarily of a</w:t>
      </w:r>
    </w:p>
    <w:p>
      <w:pPr>
        <w:spacing w:after="0" w:line="21" w:lineRule="exact"/>
        <w:rPr>
          <w:sz w:val="20"/>
          <w:szCs w:val="20"/>
          <w:color w:val="auto"/>
        </w:rPr>
      </w:pPr>
    </w:p>
    <w:p>
      <w:pPr>
        <w:jc w:val="both"/>
        <w:ind w:left="200" w:right="180"/>
        <w:spacing w:after="0" w:line="255" w:lineRule="auto"/>
        <w:rPr>
          <w:sz w:val="20"/>
          <w:szCs w:val="20"/>
          <w:color w:val="auto"/>
        </w:rPr>
      </w:pPr>
      <w:r>
        <w:rPr>
          <w:rFonts w:ascii="Arial" w:cs="Arial" w:eastAsia="Arial" w:hAnsi="Arial"/>
          <w:sz w:val="18"/>
          <w:szCs w:val="18"/>
          <w:color w:val="auto"/>
        </w:rPr>
        <w:t>$0.6 million increase in accrued expenses and other current liabilities and $0.2 million increase in accounts payable. The increase in accrued expenses and other current liabilities was due to an increase in professional fees and personnel costs associated with establishing our Cambridge, Massachusetts operations.</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During the three months ended March 31, 2018, we used $0.3 million of cash and cash equivalents in investing activities consisting of purchases of property and equipment. During the three months ended March 31, 2017, we used less than $0.1 million of cash and cash equivalents in purchases of property and equipment.</w:t>
      </w:r>
    </w:p>
    <w:p>
      <w:pPr>
        <w:spacing w:after="0" w:line="18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During the year ended December 31, 2017, we used $0.4 million of cash and cash equivalents in investing activities consisting of purchases of property and equipment. During the year ended December 31, 2016, we used an insignificant amount of cash and cash equivalents in investing activities consisting of payment of a leasing deposit.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During the three months ended March 31, 2018, net cash provided by financing activities was $58.2 million, primarily consisting of net cash proceeds from our issuance of Series B preferred stock in January 2018.</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During the three months ended March 31, 2017, net cash provided by financing activities was $3.5 million, consisting of net cash proceeds from our issuance of Series A preferred stock in March 2017.</w:t>
      </w:r>
    </w:p>
    <w:p>
      <w:pPr>
        <w:spacing w:after="0" w:line="170"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During the year ended December 31, 2017, net cash provided by financing activities was $17.4 million, primarily consisting of net cash proceeds of $17.4 million from our issuance of Series A preferred stock in March 2017 and October 2017.</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During the year ended December 31, 2016, net cash provided by financing activities was $8.7 million, primarily consisting of net cash proceeds of $1.4 million from our issuance of Series Seed preferred stock in January 2016 and net proceeds of $7.3 million from our issuance of Series A preferred stock in July 2016.</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Term Loan Agreement</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In June 2017, we entered into a Loan and Security Agreement, which we refer to as the Loan Agreement, with Silicon Valley Bank, or SVB, providing a senior secured non-revolving loan facility of up to an aggregate principal amount of $10.0 million, available for us to draw down in three tranches until October 31, 2018, subject to the satisfaction of certain milestones for each tranche. As of March 31, 2018, we had not drawn down from the facility and the $3.5 million first tranche was available.</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first tranche of $3.5 million was made available upon entry into the Loan Agreement as we satisfied the borrowing conditions at such</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time. The second tranche of $3.5 million will be made available after the funding of the first tranche amounts and upon confirmation by SVB that either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we have met certain clinical and developmental milestones, or we have subsequently obtained at least $7.5 million in cash proceeds from the sale</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of our equity securities from investors reasonably acceptable to SVB. The third tranche of $3.0 million will be made available after the funding of the first and second tranche amounts and upon confirmation by SVB that we have subsequently obtained at least an additional $6.5 million in cash proceeds from the sale of our equity securities to investors reasonably acceptable to SVB, and we have received a signed and enforceable term sheet from investors acceptable to SVB committing to provide financing on or before March 31, 2018 in an amount equal to at least 12 months of operating expenses. In January 2018, we received gross cash proceeds of $60.5 million from the sale of our Series B preferred stock.</w:t>
      </w:r>
    </w:p>
    <w:p>
      <w:pPr>
        <w:spacing w:after="0" w:line="173"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Any outstanding principal amounts under the Loan Agreement will accrue interest at a floating per annum rate equal to the greater of 1% and the “prime rate,” as published in the Wall Street Journal, minus 3%. 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w:t>
      </w:r>
    </w:p>
    <w:p>
      <w:pPr>
        <w:spacing w:after="0" w:line="188" w:lineRule="exact"/>
        <w:rPr>
          <w:sz w:val="20"/>
          <w:szCs w:val="20"/>
          <w:color w:val="auto"/>
        </w:rPr>
      </w:pPr>
    </w:p>
    <w:p>
      <w:pPr>
        <w:ind w:left="200" w:right="520" w:firstLine="441"/>
        <w:spacing w:after="0" w:line="308" w:lineRule="auto"/>
        <w:rPr>
          <w:sz w:val="20"/>
          <w:szCs w:val="20"/>
          <w:color w:val="auto"/>
        </w:rPr>
      </w:pPr>
      <w:r>
        <w:rPr>
          <w:rFonts w:ascii="Arial" w:cs="Arial" w:eastAsia="Arial" w:hAnsi="Arial"/>
          <w:sz w:val="17"/>
          <w:szCs w:val="17"/>
          <w:color w:val="auto"/>
        </w:rPr>
        <w:t>Pursuant to the Loan Agreement, we provided a first priority security interest in all existing and after-acquired assets, excluding intellectual property and certain other assets owned by us. The Loan Agreement contains a negative pledge on our intellectual property.</w:t>
      </w:r>
    </w:p>
    <w:p>
      <w:pPr>
        <w:spacing w:after="0" w:line="147" w:lineRule="exact"/>
        <w:rPr>
          <w:sz w:val="20"/>
          <w:szCs w:val="20"/>
          <w:color w:val="auto"/>
        </w:rPr>
      </w:pPr>
    </w:p>
    <w:p>
      <w:pPr>
        <w:ind w:left="200" w:right="360" w:firstLine="441"/>
        <w:spacing w:after="0" w:line="279" w:lineRule="auto"/>
        <w:rPr>
          <w:sz w:val="20"/>
          <w:szCs w:val="20"/>
          <w:color w:val="auto"/>
        </w:rPr>
      </w:pPr>
      <w:r>
        <w:rPr>
          <w:rFonts w:ascii="Arial" w:cs="Arial" w:eastAsia="Arial" w:hAnsi="Arial"/>
          <w:sz w:val="17"/>
          <w:szCs w:val="17"/>
          <w:color w:val="auto"/>
        </w:rPr>
        <w:t>In connection with the Loan Agreement, we issued a warrant to SVB to purchase shares of our Series A preferred stock at an exercise price of $0.7949 per share. This warrant is initially exercisable for 28,305 shares of Series A preferred stock. Up to an additional 160,397 shares of Series A preferred stock may become subject to this warrant, with the proportion of such additional shares equal to the percentage of the full $10.0 million aggregate principal amount under the Loan Agreement that we draw down thereunder.</w:t>
      </w:r>
    </w:p>
    <w:p>
      <w:pPr>
        <w:spacing w:after="0" w:line="17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The Loan Agreement allows us to voluntarily prepay all but not less than all the outstanding amounts thereunder. A scaling prepayment fee of 1% or 0.5% would be assessed if we prepay the amounts within the first anniversary of funding, or between the first and second anniversary of funding, respectively. No prepayment fee would be assessed if we prepay the amounts after the second anniversary of funding. A final payment fee of 6.75% multiplied by the original principal amount of each tranche drawn is due upon the earliest to occur of the maturity date of the Loan Agreement, the termination of the Loan Agreement, the acceleration of the Loan Agreement or repayment or prepayment of such borrowings.</w:t>
      </w:r>
    </w:p>
    <w:p>
      <w:pPr>
        <w:spacing w:after="0" w:line="173"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The Loan Agreement contains customary indemnification obligations and customary events of default, including, among other things, our failure to fulfill certain of our obligations under the Loan Agreement and the occurrence of a material adverse change in our business, operations or condition, a material impairment of the prospect of repayment of any portion of the loan, or a material impairment in the perfection or priority of the SVB’s lien in the collateral or in the value of such collateral. In the event of default by us under the Loan Agreement, SVB would be entitled to exercise its remedies thereunder, including the right to accelerate the debt, upon which we may be required to repay all amounts then outstanding under the Loan Agreement or SVB may take possession of the collateral securing the Loan Agreement.</w:t>
      </w:r>
    </w:p>
    <w:p>
      <w:pPr>
        <w:spacing w:after="0" w:line="178"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The Loan Agreement includes certain restrictions on, among other things, our ability to incur additional indebtedness, change the name or location of our business, merge with or acquire other entities, pay dividends or make other distributions to holders of our capital stock, make certain investments, engage in transactions with affiliates, create liens, open new deposit accounts, sell assets or pay subordinated debt.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left="200" w:firstLine="441"/>
        <w:spacing w:after="0" w:line="277"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the preclinical activities and clinical trials of our product candidates. In addition, upon the closing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offering, we expect to incur additional costs associated with operating as a public company. Our expenses will also increase as we:</w:t>
      </w:r>
    </w:p>
    <w:p>
      <w:pPr>
        <w:spacing w:after="0" w:line="131" w:lineRule="exact"/>
        <w:rPr>
          <w:sz w:val="20"/>
          <w:szCs w:val="20"/>
          <w:color w:val="auto"/>
        </w:rPr>
      </w:pPr>
    </w:p>
    <w:p>
      <w:pPr>
        <w:ind w:left="1060" w:right="50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 our development of our product candidates, including continuing enrollment in our recently initiated Phase 2 clinical trial for AVR-RD-01;</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initiate additional clinical trials and preclinical studies for our other product candidates;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seek to identify and develop or in-license or acquire additional product candidates and technologies;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seek to industrialize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 gene therapy approach into a robust, scalable and, if approved, commercially viable process;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seek marketing approvals for our product candidates that successfully complete clinical trials, if any;</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 candidates for which we may obtain marketing approval;</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commercial and scientific personnel;</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expand our infrastructure and facilities to accommodate our growing employee base, including adding equipment and physical infrastructure to support our research and development;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transition our organization to being a public company.</w:t>
      </w:r>
    </w:p>
    <w:p>
      <w:pPr>
        <w:spacing w:after="0" w:line="225"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believe that the anticipated net proceeds from this offering, together with our existing cash and cash equivalents, will enable us to fund our operating expenses and capital expenditure requirements into 2020. We have based these estimates on assumptions that may prove to be wrong, and we could utilize our available capital resources sooner than we expect. If we receive regulatory approval for AVR-RD-01 or our other product candidates, we expect to incur significant commercialization expenses related to product manufacturing, sales, marketing and distribution, depending on where we choose to commercialize.</w:t>
      </w:r>
    </w:p>
    <w:p>
      <w:pPr>
        <w:spacing w:after="0" w:line="188" w:lineRule="exact"/>
        <w:rPr>
          <w:sz w:val="20"/>
          <w:szCs w:val="20"/>
          <w:color w:val="auto"/>
        </w:rPr>
      </w:pPr>
    </w:p>
    <w:p>
      <w:pPr>
        <w:ind w:left="200" w:right="200" w:firstLine="441"/>
        <w:spacing w:after="0" w:line="289" w:lineRule="auto"/>
        <w:rPr>
          <w:sz w:val="20"/>
          <w:szCs w:val="20"/>
          <w:color w:val="auto"/>
        </w:rPr>
      </w:pPr>
      <w:r>
        <w:rPr>
          <w:rFonts w:ascii="Arial" w:cs="Arial" w:eastAsia="Arial" w:hAnsi="Arial"/>
          <w:sz w:val="16"/>
          <w:szCs w:val="16"/>
          <w:color w:val="auto"/>
        </w:rPr>
        <w:t>Until such time, if ever, that we can generate product revenue sufficient to achieve profitability, we expect to finance our cash needs through a combination of equity offerings, debt financings, collaboration agreements, government and other third-party funding, strategic alliances, licensing arrangements or marketing and distribution arrangements. Debt financing and preferred equity financing, if available, may involve agreements that include covenants limiting or restricting our ability to take specific actions, such as incurring additional debt, making capital expenditures or declaring dividends. If we raise additional funds through government and other third-party funding, collaboration agreements, strategic alliances, licensing arrangements or marketing and distribution arrangements,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2017 and the effects that such obligations are expected to have on our liquidity and cash flows in future periods: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4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460" w:type="dxa"/>
            <w:vAlign w:val="bottom"/>
          </w:tcPr>
          <w:p>
            <w:pPr>
              <w:spacing w:after="0"/>
              <w:rPr>
                <w:sz w:val="10"/>
                <w:szCs w:val="10"/>
                <w:color w:val="auto"/>
              </w:rPr>
            </w:pPr>
          </w:p>
        </w:tc>
        <w:tc>
          <w:tcPr>
            <w:tcW w:w="6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1 to 3</w:t>
            </w:r>
          </w:p>
        </w:tc>
        <w:tc>
          <w:tcPr>
            <w:tcW w:w="120" w:type="dxa"/>
            <w:vAlign w:val="bottom"/>
          </w:tcPr>
          <w:p>
            <w:pPr>
              <w:spacing w:after="0"/>
              <w:rPr>
                <w:sz w:val="10"/>
                <w:szCs w:val="10"/>
                <w:color w:val="auto"/>
              </w:rPr>
            </w:pPr>
          </w:p>
        </w:tc>
        <w:tc>
          <w:tcPr>
            <w:tcW w:w="360" w:type="dxa"/>
            <w:vAlign w:val="bottom"/>
          </w:tcPr>
          <w:p>
            <w:pPr>
              <w:ind w:left="20"/>
              <w:spacing w:after="0" w:line="119" w:lineRule="exact"/>
              <w:rPr>
                <w:sz w:val="20"/>
                <w:szCs w:val="20"/>
                <w:color w:val="auto"/>
              </w:rPr>
            </w:pPr>
            <w:r>
              <w:rPr>
                <w:rFonts w:ascii="Arial" w:cs="Arial" w:eastAsia="Arial" w:hAnsi="Arial"/>
                <w:sz w:val="13"/>
                <w:szCs w:val="13"/>
                <w:b w:val="1"/>
                <w:bCs w:val="1"/>
                <w:color w:val="auto"/>
                <w:w w:val="94"/>
              </w:rPr>
              <w:t>4 to 5</w:t>
            </w:r>
          </w:p>
        </w:tc>
        <w:tc>
          <w:tcPr>
            <w:tcW w:w="11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19"/>
              <w:spacing w:after="0"/>
              <w:rPr>
                <w:sz w:val="20"/>
                <w:szCs w:val="20"/>
                <w:color w:val="auto"/>
              </w:rPr>
            </w:pPr>
            <w:r>
              <w:rPr>
                <w:rFonts w:ascii="Arial" w:cs="Arial" w:eastAsia="Arial" w:hAnsi="Arial"/>
                <w:sz w:val="14"/>
                <w:szCs w:val="14"/>
                <w:b w:val="1"/>
                <w:bCs w:val="1"/>
                <w:color w:val="auto"/>
                <w:w w:val="90"/>
              </w:rPr>
              <w:t>1 Year</w:t>
            </w:r>
          </w:p>
        </w:tc>
        <w:tc>
          <w:tcPr>
            <w:tcW w:w="4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9"/>
              </w:rPr>
              <w:t>Years</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3420" w:type="dxa"/>
            <w:vAlign w:val="bottom"/>
            <w:gridSpan w:val="2"/>
            <w:shd w:val="clear" w:color="auto" w:fill="CCEEFF"/>
          </w:tcPr>
          <w:p>
            <w:pPr>
              <w:jc w:val="center"/>
              <w:ind w:left="283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1,641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682</w:t>
            </w:r>
          </w:p>
        </w:tc>
        <w:tc>
          <w:tcPr>
            <w:tcW w:w="3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Total</w:t>
            </w:r>
          </w:p>
        </w:tc>
        <w:tc>
          <w:tcPr>
            <w:tcW w:w="29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1,641</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682</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341</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920" w:type="dxa"/>
            <w:vAlign w:val="bottom"/>
            <w:vMerge w:val="restart"/>
          </w:tcPr>
          <w:p>
            <w:pPr>
              <w:jc w:val="right"/>
              <w:ind w:right="1010"/>
              <w:spacing w:after="0"/>
              <w:rPr>
                <w:sz w:val="20"/>
                <w:szCs w:val="20"/>
                <w:color w:val="auto"/>
              </w:rPr>
            </w:pPr>
            <w:r>
              <w:rPr>
                <w:rFonts w:ascii="Arial" w:cs="Arial" w:eastAsia="Arial" w:hAnsi="Arial"/>
                <w:sz w:val="18"/>
                <w:szCs w:val="18"/>
                <w:color w:val="auto"/>
              </w:rPr>
              <w:t>80</w:t>
            </w: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enter into contracts in the normal course of business with CROs, CMOs and other third parties for clinical trials, preclinical research studies and testing and manufacturing services. Payments due upon cancellation consist only of payments for services provided or expenses incurred, including noncancelable obligations of our service providers, up to the date of cancellation. These payments are not included in the preceding table as the amount and timing of such payments are not known.</w:t>
      </w:r>
    </w:p>
    <w:p>
      <w:pPr>
        <w:spacing w:after="0" w:line="18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Additionally, the table above excludes the payment that may be due to UHN upon the closing of the sale of shares of common stock in an IPO, which includes this offering. If UHN’s fully-diluted percentage ownership of our company is reduced within a range of specified percentages in an IPO, then we are obligated to pay UHN an amount up to $2.0 million. We have not included the UHN dilution payment in the preceding table as the amount, timing and likelihood of such payments are not known.</w:t>
      </w:r>
    </w:p>
    <w:p>
      <w:pPr>
        <w:spacing w:after="0" w:line="18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In addition, pursuant to our license agreements with UHN, BioMarin, GenStem and the Lund University rights holders, we are required to make certain milestone and royalty payments to our licensors. See “Business—License Agreements” for additional details regarding our payment obligations to these licensors.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The preparation of our consolidated financial statements and related disclosures requires us to make estimates and judgments that affect the reported amounts of assets, liabilities, revenue,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65"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While our significant accounting policies are described in more detail in Note 2 to our consolidated financial statements appearing elsewhere in this prospectus, we believe that the following accounting policies are those most critical to the judgments and estimates used in the preparation of our consolidated financial statements.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left="200" w:right="280" w:firstLine="441"/>
        <w:spacing w:after="0" w:line="271"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consolidated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84" w:lineRule="exact"/>
        <w:rPr>
          <w:sz w:val="20"/>
          <w:szCs w:val="20"/>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vendors, including central laboratories, in connection with preclinical development activities;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CROs and investigative sites in connection with preclinical and clinical studies;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CMOs in connection with drug substance and drug product formulation of preclinical and clinical trial materials.</w:t>
      </w:r>
    </w:p>
    <w:p>
      <w:pPr>
        <w:spacing w:after="0" w:line="22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base our expenses related to preclinical studies and clinical trials on our estimates of the services received and efforts expended pursuant to quotes and contracts with multiple research institutions and CROs that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measure stock options and other stock-based awards granted to employees and members of our board of directors for their services as directors based on the fair value on the date of the grant and recognize the corresponding compensation expense of those awards over the requisite service period, which is generally the vesting period of the respective award. We have only issued stock options with service-based vesting conditions and record the expense for these awards using the straight-line method.</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For stock-based awards granted to consultants and non-employees, we recognize compensation expense over the period during which services are rendered by such consultants and non-employees until completed. At the end of each financial reporting period prior to completion of the service, the fair value of these awards is remeasured using the then-current fair value of our common stock and updated assumption inputs in the Black-Scholes option-pricing model.</w:t>
      </w:r>
    </w:p>
    <w:p>
      <w:pPr>
        <w:spacing w:after="0" w:line="18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We estimate the fair value of each stock option grant using the Black-Scholes option-pricing model, which uses as inputs the estimated fair value of our common stock and assumptions we make for the volatility of our common stock, the expected term of our stock options, the risk-free interest rate for a period that approximates the expected term of our stock options and our expected dividend yield.</w:t>
      </w:r>
    </w:p>
    <w:p>
      <w:pPr>
        <w:spacing w:after="0" w:line="18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determined the assumptions for the Black-Scholes option-pricing model as discussed below. Each of these inputs is subjective and generally requires significant judgment to determine.</w:t>
      </w:r>
    </w:p>
    <w:p>
      <w:pPr>
        <w:spacing w:after="0" w:line="76" w:lineRule="exact"/>
        <w:rPr>
          <w:sz w:val="20"/>
          <w:szCs w:val="20"/>
          <w:color w:val="auto"/>
        </w:rPr>
      </w:pPr>
    </w:p>
    <w:p>
      <w:pPr>
        <w:ind w:left="1060" w:right="180" w:hanging="424"/>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Our Common Stock. </w:t>
      </w:r>
      <w:r>
        <w:rPr>
          <w:rFonts w:ascii="Arial" w:cs="Arial" w:eastAsia="Arial" w:hAnsi="Arial"/>
          <w:sz w:val="18"/>
          <w:szCs w:val="18"/>
          <w:color w:val="auto"/>
        </w:rPr>
        <w:t>Prior to this offering, our stock was not publicly traded, and therefore we estimated the fair value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as discussed in “Determination of the Fair Value of Common Stock” below.</w:t>
      </w:r>
    </w:p>
    <w:p>
      <w:pPr>
        <w:spacing w:after="0" w:line="75" w:lineRule="exact"/>
        <w:rPr>
          <w:rFonts w:ascii="Arial" w:cs="Arial" w:eastAsia="Arial" w:hAnsi="Arial"/>
          <w:sz w:val="18"/>
          <w:szCs w:val="18"/>
          <w:color w:val="auto"/>
        </w:rPr>
      </w:pPr>
    </w:p>
    <w:p>
      <w:pPr>
        <w:ind w:left="1060" w:right="220" w:hanging="424"/>
        <w:spacing w:after="0" w:line="264"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 The expected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granted has been determined using the simplified method, which uses the midpoint between the vesting date and the contractual term.</w:t>
      </w:r>
    </w:p>
    <w:p>
      <w:pPr>
        <w:spacing w:after="0" w:line="86" w:lineRule="exact"/>
        <w:rPr>
          <w:rFonts w:ascii="Arial" w:cs="Arial" w:eastAsia="Arial" w:hAnsi="Arial"/>
          <w:sz w:val="18"/>
          <w:szCs w:val="18"/>
          <w:color w:val="auto"/>
        </w:rPr>
      </w:pPr>
    </w:p>
    <w:p>
      <w:pPr>
        <w:ind w:left="1060" w:right="340" w:hanging="424"/>
        <w:spacing w:after="0" w:line="308"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Risk-Free Interest Rate. </w:t>
      </w:r>
      <w:r>
        <w:rPr>
          <w:rFonts w:ascii="Arial" w:cs="Arial" w:eastAsia="Arial" w:hAnsi="Arial"/>
          <w:sz w:val="17"/>
          <w:szCs w:val="17"/>
          <w:color w:val="auto"/>
        </w:rPr>
        <w:t>The risk-free interest rate is based on the U.S. Treasury yield curve in effect at the date of grant for zero-coupon</w:t>
      </w:r>
      <w:r>
        <w:rPr>
          <w:rFonts w:ascii="Arial" w:cs="Arial" w:eastAsia="Arial" w:hAnsi="Arial"/>
          <w:sz w:val="17"/>
          <w:szCs w:val="17"/>
          <w:i w:val="1"/>
          <w:iCs w:val="1"/>
          <w:color w:val="auto"/>
        </w:rPr>
        <w:t xml:space="preserve"> </w:t>
      </w:r>
      <w:r>
        <w:rPr>
          <w:rFonts w:ascii="Arial" w:cs="Arial" w:eastAsia="Arial" w:hAnsi="Arial"/>
          <w:sz w:val="17"/>
          <w:szCs w:val="17"/>
          <w:color w:val="auto"/>
        </w:rPr>
        <w:t>U.S. Treasury constant maturity notes with terms approximately equal to the stock-based award’s expected term.</w:t>
      </w:r>
    </w:p>
    <w:p>
      <w:pPr>
        <w:spacing w:after="0" w:line="51" w:lineRule="exact"/>
        <w:rPr>
          <w:rFonts w:ascii="Arial" w:cs="Arial" w:eastAsia="Arial" w:hAnsi="Arial"/>
          <w:sz w:val="17"/>
          <w:szCs w:val="17"/>
          <w:color w:val="auto"/>
        </w:rPr>
      </w:pPr>
    </w:p>
    <w:p>
      <w:pPr>
        <w:ind w:left="1060" w:right="140" w:hanging="424"/>
        <w:spacing w:after="0" w:line="264"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Because we do not have a trading history of our common stock, the expected volatility was derived from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stock volatilities of several public companies within our industry that we consider to be comparable to our business over a period equivalent to the expected term of the stock-based awards.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Dividend Rate. </w:t>
      </w:r>
      <w:r>
        <w:rPr>
          <w:rFonts w:ascii="Arial" w:cs="Arial" w:eastAsia="Arial" w:hAnsi="Arial"/>
          <w:sz w:val="16"/>
          <w:szCs w:val="16"/>
          <w:color w:val="auto"/>
        </w:rPr>
        <w:t>The expected dividend is zero as we have not paid and do not anticipate paying any dividends in the foreseeable future.</w:t>
      </w:r>
    </w:p>
    <w:p>
      <w:pPr>
        <w:spacing w:after="0" w:line="24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If any of the assumptions used in the Black-Scholes model change significantly, stock-based compensation for future awards may differ materially compared with the awards granted previously.</w:t>
      </w:r>
    </w:p>
    <w:p>
      <w:pPr>
        <w:spacing w:after="0" w:line="3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weighted-average fair values of options granted during the years ended December 31, 2016 and 2017 were $0.50 and $1.50, respectively. No options were granted during the three months ended March 31, 2017. The weighted-average fair value of options granted during the three months ended March 31, 2018 was $4.53. The weighted-average assumptions utilized to determine the fair value of options granted are presented in the following table:</w:t>
      </w:r>
    </w:p>
    <w:p>
      <w:pPr>
        <w:spacing w:after="0" w:line="20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8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Year Ended</w:t>
            </w:r>
          </w:p>
        </w:tc>
        <w:tc>
          <w:tcPr>
            <w:tcW w:w="2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Three Months</w:t>
            </w:r>
          </w:p>
        </w:tc>
      </w:tr>
      <w:tr>
        <w:trPr>
          <w:trHeight w:val="162"/>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8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Ended</w:t>
            </w:r>
          </w:p>
        </w:tc>
      </w:tr>
      <w:tr>
        <w:trPr>
          <w:trHeight w:val="142"/>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460" w:type="dxa"/>
            <w:vAlign w:val="bottom"/>
            <w:tcBorders>
              <w:top w:val="single" w:sz="8" w:color="auto"/>
            </w:tcBorders>
          </w:tcPr>
          <w:p>
            <w:pPr>
              <w:jc w:val="right"/>
              <w:ind w:right="18"/>
              <w:spacing w:after="0" w:line="142"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2"/>
                <w:szCs w:val="12"/>
                <w:color w:val="auto"/>
              </w:rPr>
            </w:pPr>
          </w:p>
        </w:tc>
        <w:tc>
          <w:tcPr>
            <w:tcW w:w="140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6"/>
              </w:rPr>
              <w:t>March 31, 2018</w:t>
            </w:r>
          </w:p>
        </w:tc>
      </w:tr>
      <w:tr>
        <w:trPr>
          <w:trHeight w:val="210"/>
        </w:trPr>
        <w:tc>
          <w:tcPr>
            <w:tcW w:w="20" w:type="dxa"/>
            <w:vAlign w:val="bottom"/>
          </w:tcPr>
          <w:p>
            <w:pPr>
              <w:spacing w:after="0"/>
              <w:rPr>
                <w:sz w:val="18"/>
                <w:szCs w:val="18"/>
                <w:color w:val="auto"/>
              </w:rPr>
            </w:pPr>
          </w:p>
        </w:tc>
        <w:tc>
          <w:tcPr>
            <w:tcW w:w="7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6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1.39%</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1.93%</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2.72%</w:t>
            </w: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86.00%</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84.54%</w:t>
            </w:r>
          </w:p>
        </w:tc>
        <w:tc>
          <w:tcPr>
            <w:tcW w:w="14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84.00%</w:t>
            </w:r>
          </w:p>
        </w:tc>
      </w:tr>
      <w:tr>
        <w:trPr>
          <w:trHeight w:val="230"/>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Stock-based Awards Granted</w:t>
      </w:r>
    </w:p>
    <w:p>
      <w:pPr>
        <w:spacing w:after="0" w:line="117"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The following table sets forth by grant date the number of shares subject to options granted since January 1, 2017, the per share exercise price of the options, the fair value of common stock per share on each grant date, and the per share estimated fair value of the options:</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60" w:type="dxa"/>
            <w:vAlign w:val="bottom"/>
            <w:gridSpan w:val="3"/>
          </w:tcPr>
          <w:p>
            <w:pPr>
              <w:ind w:left="640"/>
              <w:spacing w:after="0"/>
              <w:rPr>
                <w:sz w:val="20"/>
                <w:szCs w:val="20"/>
                <w:color w:val="auto"/>
              </w:rPr>
            </w:pPr>
            <w:r>
              <w:rPr>
                <w:rFonts w:ascii="Arial" w:cs="Arial" w:eastAsia="Arial" w:hAnsi="Arial"/>
                <w:sz w:val="14"/>
                <w:szCs w:val="14"/>
                <w:b w:val="1"/>
                <w:bCs w:val="1"/>
                <w:color w:val="auto"/>
                <w:w w:val="91"/>
              </w:rPr>
              <w:t>Per Share</w:t>
            </w:r>
          </w:p>
        </w:tc>
        <w:tc>
          <w:tcPr>
            <w:tcW w:w="620" w:type="dxa"/>
            <w:vAlign w:val="bottom"/>
          </w:tcPr>
          <w:p>
            <w:pPr>
              <w:spacing w:after="0"/>
              <w:rPr>
                <w:sz w:val="14"/>
                <w:szCs w:val="14"/>
                <w:color w:val="auto"/>
              </w:rPr>
            </w:pP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880" w:type="dxa"/>
            <w:vAlign w:val="bottom"/>
            <w:gridSpan w:val="2"/>
          </w:tcPr>
          <w:p>
            <w:pPr>
              <w:jc w:val="center"/>
              <w:ind w:left="2872"/>
              <w:spacing w:after="0" w:line="149" w:lineRule="exact"/>
              <w:rPr>
                <w:sz w:val="20"/>
                <w:szCs w:val="20"/>
                <w:color w:val="auto"/>
              </w:rPr>
            </w:pPr>
            <w:r>
              <w:rPr>
                <w:rFonts w:ascii="Arial" w:cs="Arial" w:eastAsia="Arial" w:hAnsi="Arial"/>
                <w:sz w:val="14"/>
                <w:szCs w:val="14"/>
                <w:b w:val="1"/>
                <w:bCs w:val="1"/>
                <w:color w:val="auto"/>
                <w:w w:val="90"/>
              </w:rPr>
              <w:t>Shares Subject</w:t>
            </w:r>
          </w:p>
        </w:tc>
        <w:tc>
          <w:tcPr>
            <w:tcW w:w="6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Exercise</w:t>
            </w:r>
          </w:p>
        </w:tc>
        <w:tc>
          <w:tcPr>
            <w:tcW w:w="1500" w:type="dxa"/>
            <w:vAlign w:val="bottom"/>
            <w:gridSpan w:val="4"/>
          </w:tcPr>
          <w:p>
            <w:pPr>
              <w:ind w:left="620"/>
              <w:spacing w:after="0" w:line="149" w:lineRule="exact"/>
              <w:rPr>
                <w:sz w:val="20"/>
                <w:szCs w:val="20"/>
                <w:color w:val="auto"/>
              </w:rPr>
            </w:pPr>
            <w:r>
              <w:rPr>
                <w:rFonts w:ascii="Arial" w:cs="Arial" w:eastAsia="Arial" w:hAnsi="Arial"/>
                <w:sz w:val="14"/>
                <w:szCs w:val="14"/>
                <w:b w:val="1"/>
                <w:bCs w:val="1"/>
                <w:color w:val="auto"/>
                <w:w w:val="99"/>
              </w:rPr>
              <w:t>per Common</w:t>
            </w:r>
          </w:p>
        </w:tc>
        <w:tc>
          <w:tcPr>
            <w:tcW w:w="0" w:type="dxa"/>
            <w:vAlign w:val="bottom"/>
          </w:tcPr>
          <w:p>
            <w:pPr>
              <w:spacing w:after="0"/>
              <w:rPr>
                <w:sz w:val="1"/>
                <w:szCs w:val="1"/>
                <w:color w:val="auto"/>
              </w:rPr>
            </w:pPr>
          </w:p>
        </w:tc>
      </w:tr>
      <w:tr>
        <w:trPr>
          <w:trHeight w:val="149"/>
        </w:trPr>
        <w:tc>
          <w:tcPr>
            <w:tcW w:w="4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29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 Options</w:t>
            </w:r>
          </w:p>
        </w:tc>
        <w:tc>
          <w:tcPr>
            <w:tcW w:w="64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Price of</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Share on</w:t>
            </w:r>
          </w:p>
        </w:tc>
        <w:tc>
          <w:tcPr>
            <w:tcW w:w="0" w:type="dxa"/>
            <w:vAlign w:val="bottom"/>
          </w:tcPr>
          <w:p>
            <w:pPr>
              <w:spacing w:after="0"/>
              <w:rPr>
                <w:sz w:val="1"/>
                <w:szCs w:val="1"/>
                <w:color w:val="auto"/>
              </w:rPr>
            </w:pPr>
          </w:p>
        </w:tc>
      </w:tr>
      <w:tr>
        <w:trPr>
          <w:trHeight w:val="191"/>
        </w:trPr>
        <w:tc>
          <w:tcPr>
            <w:tcW w:w="4400" w:type="dxa"/>
            <w:vAlign w:val="bottom"/>
            <w:gridSpan w:val="3"/>
            <w:vMerge w:val="continue"/>
          </w:tcPr>
          <w:p>
            <w:pPr>
              <w:spacing w:after="0"/>
              <w:rPr>
                <w:sz w:val="16"/>
                <w:szCs w:val="16"/>
                <w:color w:val="auto"/>
              </w:rPr>
            </w:pPr>
          </w:p>
        </w:tc>
        <w:tc>
          <w:tcPr>
            <w:tcW w:w="29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Granted</w:t>
            </w:r>
          </w:p>
        </w:tc>
        <w:tc>
          <w:tcPr>
            <w:tcW w:w="64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Options</w:t>
            </w:r>
          </w:p>
        </w:tc>
        <w:tc>
          <w:tcPr>
            <w:tcW w:w="620" w:type="dxa"/>
            <w:vAlign w:val="bottom"/>
          </w:tcPr>
          <w:p>
            <w:pPr>
              <w:spacing w:after="0"/>
              <w:rPr>
                <w:sz w:val="16"/>
                <w:szCs w:val="16"/>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5"/>
              </w:rPr>
              <w:t>June 13,</w:t>
            </w:r>
          </w:p>
        </w:tc>
        <w:tc>
          <w:tcPr>
            <w:tcW w:w="3700" w:type="dxa"/>
            <w:vAlign w:val="bottom"/>
            <w:tcBorders>
              <w:top w:val="single" w:sz="8" w:color="CCEEFF"/>
            </w:tcBorders>
            <w:shd w:val="clear" w:color="auto" w:fill="CCEEFF"/>
          </w:tcPr>
          <w:p>
            <w:pPr>
              <w:jc w:val="right"/>
              <w:ind w:right="3315"/>
              <w:spacing w:after="0" w:line="189" w:lineRule="exact"/>
              <w:rPr>
                <w:sz w:val="20"/>
                <w:szCs w:val="20"/>
                <w:color w:val="auto"/>
              </w:rPr>
            </w:pPr>
            <w:r>
              <w:rPr>
                <w:rFonts w:ascii="Arial" w:cs="Arial" w:eastAsia="Arial" w:hAnsi="Arial"/>
                <w:sz w:val="17"/>
                <w:szCs w:val="17"/>
                <w:color w:val="auto"/>
                <w:w w:val="73"/>
              </w:rPr>
              <w:t>2017</w:t>
            </w:r>
          </w:p>
        </w:tc>
        <w:tc>
          <w:tcPr>
            <w:tcW w:w="29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192,839</w:t>
            </w:r>
          </w:p>
        </w:tc>
        <w:tc>
          <w:tcPr>
            <w:tcW w:w="6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0.91</w:t>
            </w:r>
          </w:p>
        </w:tc>
        <w:tc>
          <w:tcPr>
            <w:tcW w:w="6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0.91</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June 26, 2017</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4,033</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0.91</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10, 2017</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8,524</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July 17, 2017</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12,178</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0.91</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28, 2017</w:t>
            </w:r>
            <w:r>
              <w:rPr>
                <w:rFonts w:ascii="Arial" w:cs="Arial" w:eastAsia="Arial" w:hAnsi="Arial"/>
                <w:sz w:val="15"/>
                <w:szCs w:val="15"/>
                <w:color w:val="auto"/>
              </w:rPr>
              <w:t>(1)</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158,318</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October 4, 2017</w:t>
            </w:r>
            <w:r>
              <w:rPr>
                <w:rFonts w:ascii="Arial" w:cs="Arial" w:eastAsia="Arial" w:hAnsi="Arial"/>
                <w:sz w:val="15"/>
                <w:szCs w:val="15"/>
                <w:color w:val="auto"/>
              </w:rPr>
              <w:t>(2)</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8,470</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0.91</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17, 2017</w:t>
            </w:r>
            <w:r>
              <w:rPr>
                <w:rFonts w:ascii="Arial" w:cs="Arial" w:eastAsia="Arial" w:hAnsi="Arial"/>
                <w:sz w:val="15"/>
                <w:szCs w:val="15"/>
                <w:color w:val="auto"/>
              </w:rPr>
              <w:t>(2)</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tcPr>
          <w:p>
            <w:pPr>
              <w:spacing w:after="0"/>
              <w:rPr>
                <w:sz w:val="20"/>
                <w:szCs w:val="20"/>
                <w:color w:val="auto"/>
              </w:rPr>
            </w:pPr>
            <w:r>
              <w:rPr>
                <w:rFonts w:ascii="Arial" w:cs="Arial" w:eastAsia="Arial" w:hAnsi="Arial"/>
                <w:sz w:val="18"/>
                <w:szCs w:val="18"/>
                <w:color w:val="auto"/>
              </w:rPr>
              <w:t>October 24, 2017</w:t>
            </w:r>
            <w:r>
              <w:rPr>
                <w:rFonts w:ascii="Arial" w:cs="Arial" w:eastAsia="Arial" w:hAnsi="Arial"/>
                <w:sz w:val="15"/>
                <w:szCs w:val="15"/>
                <w:color w:val="auto"/>
              </w:rPr>
              <w:t>(2)</w:t>
            </w:r>
          </w:p>
        </w:tc>
        <w:tc>
          <w:tcPr>
            <w:tcW w:w="3880" w:type="dxa"/>
            <w:vAlign w:val="bottom"/>
            <w:gridSpan w:val="2"/>
          </w:tcPr>
          <w:p>
            <w:pPr>
              <w:jc w:val="right"/>
              <w:spacing w:after="0"/>
              <w:rPr>
                <w:sz w:val="20"/>
                <w:szCs w:val="20"/>
                <w:color w:val="auto"/>
              </w:rPr>
            </w:pPr>
            <w:r>
              <w:rPr>
                <w:rFonts w:ascii="Arial" w:cs="Arial" w:eastAsia="Arial" w:hAnsi="Arial"/>
                <w:sz w:val="18"/>
                <w:szCs w:val="18"/>
                <w:color w:val="auto"/>
              </w:rPr>
              <w:t>48,740</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0.91</w:t>
            </w:r>
          </w:p>
        </w:tc>
        <w:tc>
          <w:tcPr>
            <w:tcW w:w="740" w:type="dxa"/>
            <w:vAlign w:val="bottom"/>
            <w:gridSpan w:val="2"/>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16, 2018</w:t>
            </w:r>
            <w:r>
              <w:rPr>
                <w:rFonts w:ascii="Arial" w:cs="Arial" w:eastAsia="Arial" w:hAnsi="Arial"/>
                <w:sz w:val="15"/>
                <w:szCs w:val="15"/>
                <w:color w:val="auto"/>
              </w:rPr>
              <w:t>(3)</w:t>
            </w:r>
          </w:p>
        </w:tc>
        <w:tc>
          <w:tcPr>
            <w:tcW w:w="3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753,789</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120" w:hanging="436"/>
        <w:spacing w:after="0" w:line="254"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the time of the option grants in August 2017, our board of directors determined that the fair value of our common stock of $0.91 per share calculated in the contemporaneous valuation as of March 31, 2017 reasonably reflected the per share fair value of one share of our common stock as of the grant date. However, as described below, the fair value of our common stock at this date was adjusted to $2.19 per share in connection with a retrospective fair value assessment for financial reporting purposes.</w:t>
      </w:r>
    </w:p>
    <w:p>
      <w:pPr>
        <w:spacing w:after="0" w:line="2" w:lineRule="exact"/>
        <w:rPr>
          <w:rFonts w:ascii="Arial" w:cs="Arial" w:eastAsia="Arial" w:hAnsi="Arial"/>
          <w:sz w:val="18"/>
          <w:szCs w:val="18"/>
          <w:color w:val="auto"/>
        </w:rPr>
      </w:pPr>
    </w:p>
    <w:p>
      <w:pPr>
        <w:ind w:left="640" w:right="60" w:hanging="436"/>
        <w:spacing w:after="0" w:line="265" w:lineRule="auto"/>
        <w:tabs>
          <w:tab w:leader="none" w:pos="6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At the time of the option grants in October 2017, our board of directors determined that the fair value of our common stock of $0.91 per share calculated in the contemporaneous valuation as of March 31, 2017 reasonably reflected the per share fair value of one share of our common stock as of the grant date. However, as described below, the fair value of our common stock at the date of these grants was adjusted to $4.09 per share in connection with a retrospective fair value assessment for financial reporting purposes.</w:t>
      </w:r>
    </w:p>
    <w:p>
      <w:pPr>
        <w:ind w:left="640" w:right="20" w:hanging="436"/>
        <w:spacing w:after="0" w:line="253" w:lineRule="auto"/>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the time of the option grants in March 2018, our board of directors determined that the fair value of our common stock of $5.00 per share calculated in the contemporaneous valuation as of January 31, 2018 reasonably reflected the per share fair value of one share of our common stock as of the grant date. However, in connection with the preparation of the Company’s unaudited condensed consolidated financial statements for the three months ended March 31, 2018, the fair value of our common stock at the date of these grants was adjusted to $6.03 per share as a result of a contemporaneous valuation performed as of March 31, 2018.</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Determination of the Fair Value of Common Stock</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As there has been no public market for our common stock to date, the estimated fair value of our common stock has been determined by our board of directors as of the date of each option grant, with input from management, considering third-party valuations of our common stock as well as our board of directors’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Once a public trading market for our common stock has been established following the closing of this offering, it will no longer be necessary for our board of directors to estimate the fair market value of our common stock in connection with our accounting for granted equity awards.</w:t>
      </w:r>
    </w:p>
    <w:p>
      <w:pPr>
        <w:spacing w:after="0" w:line="192"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For financial reporting purposes, we performed ordinary share valuations, with the assistance of a third-party specialist, at various dates, which resulted in valuations of our common stock of $0.41 per share as of January 31, 2016, $1.20 per share as of August 31, 2016, $0.91 per share as of March 31, 2017, $2.19 per share as of August 31, 2017, $4.09 per share as of October 31, 2017, $5.00 per share as of January 31, 2018, and $6.03 as of March 31, 2018. In conducting the valuations, our board of directors, with input from management, considered various objective and subjective factors to determine the fair value of our common stock as of each grant date, including:</w:t>
      </w:r>
    </w:p>
    <w:p>
      <w:pPr>
        <w:spacing w:after="0" w:line="78" w:lineRule="exact"/>
        <w:rPr>
          <w:sz w:val="20"/>
          <w:szCs w:val="20"/>
          <w:color w:val="auto"/>
        </w:rPr>
      </w:pPr>
    </w:p>
    <w:p>
      <w:pPr>
        <w:ind w:left="1060" w:right="20" w:hanging="424"/>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prices at which we sold preferred stock and the superior rights and preferences of the preferred stock relative to our common stock at the time of each grant;</w:t>
      </w:r>
    </w:p>
    <w:p>
      <w:pPr>
        <w:spacing w:after="0" w:line="75"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of preclinical studies and planned clinical trials for our product candidates;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biotechnology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 and our preferred stock;</w:t>
      </w:r>
    </w:p>
    <w:p>
      <w:pPr>
        <w:spacing w:after="0" w:line="130"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a sale of our company in light of prevailing market conditions;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stock-based compensation expense could be materially different.</w:t>
      </w:r>
    </w:p>
    <w:p>
      <w:pPr>
        <w:spacing w:after="0" w:line="18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dates of our valuations have not always coincided with the dates of our stock option grants. In determining the fair value of the shares underlying options set forth in the table above, we considered, among other things, the most recent contemporaneous valuations of our ordinary shares and our assessment of additional objective and subjective factors we believed were relevant as of the grant date. The additional factors considered when determining any changes in fair value between the most recent contemporaneous valuation and the grant dates included our stage of development and commercialization and our business strategy, our operating and financial performance and current business conditions.</w:t>
      </w:r>
    </w:p>
    <w:p>
      <w:pPr>
        <w:spacing w:after="0" w:line="9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Following the closing of this offering, the fair value of our common stock will be determined based on the quoted market price of our common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common stock valuations were prepared using the option-pricing method, or OPM, which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 The future value of the common stock is discounted back to the valuation date at an appropriate risk-adjusted discount rate and probability weighted to arrive at an indication of value for the common stock.</w:t>
      </w:r>
    </w:p>
    <w:p>
      <w:pPr>
        <w:spacing w:after="0" w:line="193"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Beginning with the August 23, 2017 valuation, we changed the methodology for allocating our equity value to our common stock to a hybrid method, which is a combination of a probability weighted expected return method, or PWERM and an OPM. We made this change as greater certainty developed regarding a possible liquidity event. The PWERM methodology relies on a forward-looking analysis to predict the possible future value of a company. Under this method, discrete future outcomes, such as an IPO, non-IPO scenarios, and a merger or sale are weighted based on our estimate of the probability of each scenario. In our application of the hybrid method, we considered an IPO scenario under the PWERM framework, and a non-IPO scenario modeled using an OPM to reflect the full distribution of possible non-IPO outcomes. The hybrid method is useful when certain discrete future outcomes can be predicted, but also accounts for uncertainty regarding the timing or likelihood of specific alternative exit events.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Determination of Initial Public Offering Price</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We and our underwriters determined the estimated price range set forth on the cover of this preliminary prospectus, which is $16.00 to $18.00 per share. In comparison, our estimate of the fair value of our common stock was $0.91 per share at June 13, 2017, June 26, 2017, July 10, 2017 and</w:t>
      </w:r>
    </w:p>
    <w:p>
      <w:pPr>
        <w:ind w:left="200"/>
        <w:spacing w:after="0" w:line="269" w:lineRule="auto"/>
        <w:rPr>
          <w:sz w:val="20"/>
          <w:szCs w:val="20"/>
          <w:color w:val="auto"/>
        </w:rPr>
      </w:pPr>
      <w:r>
        <w:rPr>
          <w:rFonts w:ascii="Arial" w:cs="Arial" w:eastAsia="Arial" w:hAnsi="Arial"/>
          <w:sz w:val="17"/>
          <w:szCs w:val="17"/>
          <w:color w:val="auto"/>
        </w:rPr>
        <w:t>July 17, 2017, which was determined by our board of directors with the assistance of a third-party valuation of our common stock as of March 31, 2017. Our estimate of the fair value of our common stock as of August 28, 2017 was retrospectively adjusted with the assistance of a third-party valuation of our common stock as of August 31, 2017. Our estimate of the fair value of our common stock as of October 4, 2017, October 17, 2017 and October 24, 2017 was retrospectively adjusted to $4.09 with the assistance of a third-party valuation of our common stock as of October 24, 2017. Our estimate of the fair value of our common stock was $5.00 at March 16, 2018, which was determined by our board of directors with the assistance of a third-party valuation of our common stock as of January 31, 2018, subsequently retrospectively adjusted to $6.03 with the assistance of a third-party valuation of our common stock as of March 31, 2018.</w:t>
      </w:r>
    </w:p>
    <w:p>
      <w:pPr>
        <w:spacing w:after="0" w:line="18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These valuations utilized the hybrid method described in “—Determination of the Fair Value of Common Stock.” The valuation for our June 13, 2017, June 26, 2017, July 10, 2017 and July 17, 2017 stock option grants did not consider an initial public offering, or IPO, scenario, and reflected a discount for lack of marketability of 36%. The valuation used for the retrospective fair value assessment of our August 28, 2017 option grants attributed a 10% probability to an IPO scenario and a 90% probability of a non-IPO scenario and reflected a discount for lack of marketability of 20% and 30% to the IPO and non-IPO scenario, respectively. The valuation used for the retrospective fair value assessment of our October 4, 2017, October 17, 2017 and October 24, 2017 option grants attributed a 15% probability to an IPO scenario and a 85% probability of a non-IPO scenario and reflected a discount for lack of marketability of 17% and 25% to the IPO and non-IPO scenario, respectively. The valuation used for the retrospective fair value assessment of our March 16, 2018 option grants attributed a 50% probability to an IPO scenario and a 50% probability of a non-IPO scenario and reflected a discount for lack of marketability of 12% and 25% to the IPO and non-IPO scenario, respectively. In addition to quantitative analysis from third-party valuations of our common stock, we also considered macro-economic and market conditions,</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80"/>
          </w:cols>
          <w:pgMar w:left="24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60"/>
        <w:spacing w:after="0" w:line="308" w:lineRule="auto"/>
        <w:rPr>
          <w:sz w:val="20"/>
          <w:szCs w:val="20"/>
          <w:color w:val="auto"/>
        </w:rPr>
      </w:pPr>
      <w:r>
        <w:rPr>
          <w:rFonts w:ascii="Arial" w:cs="Arial" w:eastAsia="Arial" w:hAnsi="Arial"/>
          <w:sz w:val="17"/>
          <w:szCs w:val="17"/>
          <w:color w:val="auto"/>
        </w:rPr>
        <w:t>including our subjective assessment of market conditions for initial public offerings of companies similarly situated to ours and our subjective assessment as to the likelihood of successfully executing an initial public offering in the coming months, among other factors.</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note that, as is typical in initial public offerings, the estimated price range for this offering was not derived using a formal determination of fair value, but was determined based upon discussions between us and the underwriters. Among the factors considered in setting the estimated range were prevailing market conditions, estimates of our business potential, progress in our research and development programs and developments in our business, the general condition of the securities market and the market prices of, and demand for, publicly-traded common stock of generally comparable companies.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of Derivative Liability</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fair value of the derivative liability recognized in connection with our stock purchase agreement with UHN was determined based on significant inputs not observable in the market, which represents a Level 3 measurement within the fair value hierarchy. The fair value of the derivative liability was determined using the PWERM, which considered as inputs the type and probability of occurrence of an IPO dilution event, the amount of the payment, the expected timing of an IPO dilution event and a risk-adjusted discount rate.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Valuation of Warrant Liability</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In connection with entering into a loan agreement, we agreed to issue a warrant to purchase shares of our Series A preferred stock to the lender. We classify the warrant as a liability on our consolidated balance sheet because the warrant represents a free-standing financial instrument that may require us to transfer assets upon exercise. The warrant liability was initially recorded at fair value upon the date of the warrant issuance and is subsequently remeasured to fair value at each reporting date. Changes in the fair value of the warrant liability are recognized as a component of other income (expense), net in the consolidated statements of operations and will continue to be recognized until the warrant is exercised, expires or qualifies for equity classification.</w:t>
      </w:r>
    </w:p>
    <w:p>
      <w:pPr>
        <w:spacing w:after="0" w:line="193" w:lineRule="exact"/>
        <w:rPr>
          <w:sz w:val="20"/>
          <w:szCs w:val="20"/>
          <w:color w:val="auto"/>
        </w:rPr>
      </w:pPr>
    </w:p>
    <w:p>
      <w:pPr>
        <w:ind w:left="200" w:right="200" w:firstLine="441"/>
        <w:spacing w:after="0" w:line="290" w:lineRule="auto"/>
        <w:rPr>
          <w:sz w:val="20"/>
          <w:szCs w:val="20"/>
          <w:color w:val="auto"/>
        </w:rPr>
      </w:pPr>
      <w:r>
        <w:rPr>
          <w:rFonts w:ascii="Arial" w:cs="Arial" w:eastAsia="Arial" w:hAnsi="Arial"/>
          <w:sz w:val="16"/>
          <w:szCs w:val="16"/>
          <w:color w:val="auto"/>
        </w:rPr>
        <w:t>We utilize the Black-Scholes option-pricing model, which incorporates assumptions and estimates, to value the warrant. We assess these assumptions and estimates on a quarterly basis as additional information impacting the assumptions is obtained. Estimates and assumptions impacting the fair value measurement include the fair value per share of the underlying equity instruments issuable upon exercise of the warrant, the remaining contractual term of the warrant, risk-free interest rate, expected dividend yield and expected volatility of the underlying preferred stock. We have historically been a private company and lack company-specific historical and implied volatility information of our stock. Therefore, we estimate expected stock volatility based on the historical volatility of publicly traded peer companies for a term equal to the remaining contractual term of the warrant. The risk-free interest rate is determined by reference to the U.S. Treasury yield curve for time periods approximately equal to the remaining contractual term of the warrant. We have estimated a 0% dividend yield based on the fact that we have never paid or declared dividends.</w:t>
      </w:r>
    </w:p>
    <w:p>
      <w:pPr>
        <w:spacing w:after="0" w:line="166"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Upon the closing of this offering, the preferred stock warrant will become exercisable for common stock instead of preferred stock, and the remeasured fair value of the warrant liability will be reclassified to additional paid-in capital.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jc w:val="both"/>
        <w:ind w:left="200" w:right="260" w:firstLine="441"/>
        <w:spacing w:after="0" w:line="286" w:lineRule="auto"/>
        <w:rPr>
          <w:sz w:val="20"/>
          <w:szCs w:val="20"/>
          <w:color w:val="auto"/>
        </w:rPr>
      </w:pPr>
      <w:r>
        <w:rPr>
          <w:rFonts w:ascii="Arial" w:cs="Arial" w:eastAsia="Arial" w:hAnsi="Arial"/>
          <w:sz w:val="17"/>
          <w:szCs w:val="17"/>
          <w:color w:val="auto"/>
        </w:rPr>
        <w:t>As of March 31, 2018, we had cash and cash equivalents of $57.9 million, which consisted of cash and money market funds. Interest income is sensitive to changes in the general level of interest rates; however, due to the nature of these investments, an immediate 10% change in interest rates would not have a material impact on our cash and cash equivalents, financial position or results of operations.</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24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are exposed to foreign exchange rate risk. Our headquarters are located in the United States, where the majority of our general and</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administrative expenses and research and development costs are incurred in U.S. dollars. A portion of our research and development costs are incurred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by our subsidiaries in Australia and Canada, whose functional currencies are the U.S. dollar but engage in transactions in Australian dollars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Canadian dollars, respectively. During each of the years ended December 31, 2016 and 2017, we recognized foreign currency transaction losses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$6,000 and $19,000, respectively. During each of the three months ended March 31, 2017 and 2018, we recognized foreign currency transaction losses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of $5,000 and $13,000, respectively. These losses primarily related to unrealized and realized foreign currency gains and losses as a result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transactions entered into by our Australian and Canadian subsidiaries in currencies other than the U.S. dollar. These foreign currency transaction gains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and losses were recorded in other expense, net in our consolidated statements of operations. We believe that a 10% change in the exchange rate between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U.S. dollar, Australian dollar and Canadian dollar would not have a material impact on our financial position or results of operations.</w:t>
      </w:r>
    </w:p>
    <w:p>
      <w:pPr>
        <w:spacing w:after="0" w:line="21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As we continue to grow our business, our results of operations and cash flows will be subject to fluctuations due to changes in foreign currency exchange rates, which could adversely impact our results of operations. To date, we have not entered into any foreign currency hedging contracts to mitigate our exposure to foreign currency exchange risk.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financial statements may not be comparable to companies that comply with public company effective dates. We may take advantage of these exemptions up until the last day of the fiscal year following the fifth anniversary of this offering or such earlier time that we are no longer an emerging growth company. We would cease to be an emerging growth company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Securities and Exchange Commission.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200" w:right="640" w:firstLine="441"/>
        <w:spacing w:after="0" w:line="308"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and results of operations is disclosed in Note 15 to our unaudited condensed consolidated financial statements appearing elsewhere in this prospectus.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 xml:space="preserve">We are a Phase 2 clinical stage gene therapy company focused on developing potentially curative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therapies to treat rare diseases following a single dose. Our gene therapies employ hematopoietic stem cells that are extracted from the patient and then modified with lentiviral vectors to insert a functional copy of the gene that is defective in the target disease. We believe that our approach has the potential to provide curative benefit in an outpatient setting for a range of diseases. Our initial focus is on a group of rare genetic diseases referred to as lysosomal storage diseases, which today are primarily managed with enzyme replacement therapies, or ERTs. These lysosomal storage diseases have well understood biologies, identified patient populations and represent large market opportunities with approximately $4.0 billion in worldwide net sales in 2017.</w:t>
      </w:r>
    </w:p>
    <w:p>
      <w:pPr>
        <w:spacing w:after="0" w:line="165"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initial pipeline is comprised of four lentiviral-based gene therapies, including AVR-RD-01 for the treatment of Fabry disease, AVR-RD-02 for the treatment of Gaucher disease, AVR-RD-03 for the treatment of Pompe disease and AVR-RD-04 for the treatment of cystinosis. AVR-RD-01 is currently being evaluated in an investigator-sponsored Phase 1 clinical trial and has demonstrated clinically significant increased enzyme activity to date, with plasma a-galactosidase A, or AGA, enzyme activity levels in both patients treated to date increasing above the range for males with classic Fabry disease, defined as less than 1 nmol/hr/ml. On June 7, 2018, we dosed the first patient in our company-sponsored Phase 2 clinical trial of AVR-RD-01. In addition, Phase 1/2 clinical trials for both AVR-RD-02 and AVR-RD-04 are being planned and we expect patients will be dosed in 2019.</w:t>
      </w:r>
    </w:p>
    <w:p>
      <w:pPr>
        <w:spacing w:after="0" w:line="165"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 xml:space="preserve">Lentiviral-based gene therapy has been observed to be well-tolerated in third parties’ ongoing clinical trials for rare diseases such as beta thalassemia, ALD and ADA-SCID. To date, over 200 patients have been treated with lentiviral-based gene therapies in third parties’ clinical trials. Historically, the use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therapies has been restricted primarily to the most acutely severe diseases where risks of the typical requirement for heavily ablating the patients’ bone marrow and thus significantly impairing these patients’ immune systems had an acceptable risk/benefit profile. The ablation procedure, also known as the conditioning regimen, is administered prior to the gene therapy. The more intensive the conditioning regimen, the greater the risk of toxicity and thus the need for more intensive in-patient monitoring and potential for lengthy hospitalization.</w:t>
      </w:r>
    </w:p>
    <w:p>
      <w:pPr>
        <w:spacing w:after="0" w:line="165"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Our goal is to broaden the applicability of lentiviral-based gene therapy by initially targeting diseases where we generally believe durable effects can be achieved following a milder conditioning regimen that allows for outpatient treatment. We believe our approach of choosing diseases where the conditioning regimen can be milder, thus improving patient tolerability, will extend the reach of our gene therapies to a broad range of diseases as first-line therapies.</w:t>
      </w:r>
    </w:p>
    <w:p>
      <w:pPr>
        <w:spacing w:after="0" w:line="18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initially targeting rare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 byproducts accumulate to toxic levels in the body’s cells and, in turn, disrupt the function of multiple tissues and organs. Fabry disease, Gaucher disease and Pompe disease are primarily managed by bi-weekly, multi-hour infusions with ERTs that seek to exogenously replace the missing enzyme. However, given the characteristics of most ERTs, they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182"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believe our gene therapies leverage the well understood mechanism of ERTs by transforming a patient’s own cells into a drug product that enables the patient to express functional enzyme or other protein and mirror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the biology seen in an otherwise healthy individual. We believe that a single dose of our gene therapies may provide meaningful life-long benefit to these patients and potentially cure these diseases while also providing significant health economic advantages.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programs leverage years of extensive preclinical and early clinical research by leading researchers, as well as our internal research efforts.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status of our initial lentiviral-based gene therapy programs is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160020</wp:posOffset>
            </wp:positionV>
            <wp:extent cx="5205730" cy="27012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20573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Our lead product candidate, AVR-RD-01 for the treatment of Fabry disease, is derived from hematopoietic stem cells to which the gene encoding AGA is added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process using a lentiviral vector. In an ongoing Phase 1 clinical trial of patients with Fabry disease, AVR-RD-01 has been well-tolerated and has led to the production of active AGA enzyme in the two patients treated to date. The first patient dosed in this trial continues to express plasma activity levels of AGA enzyme above the range for males with classic Fabry disease twelve months after receiving AVR-RD-01. Plasma AGA enzyme activity levels in the second patient also began increasing after receiving AVR-RD-01 and remained above the range for males with classic Fabry disease three months after treatment. In addition, we have initiated our company-sponsored Phase 2 clinical trial of AVR-RD-01 and recently dosed the first patient in this trial on June 7, 2018.</w:t>
      </w:r>
    </w:p>
    <w:p>
      <w:pPr>
        <w:spacing w:after="0" w:line="189"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Preclinical data for both our Gaucher and cystinosis programs have demonstrated positive results and we expect to begin dosing patients in Phase 1/2 clinical trials for both AVR-RD-02 (Gaucher) and AVR-RD-04 (cystinosis) in 2019. AVR-RD-03 for Pompe disease is currently in early preclinical development. We continue to seek opportunities to expand our approach to other rare and non-rare diseases. We plan to identify and develop future product candidates through our own internal research efforts as well as through collaborations with leading researchers worldwide.</w:t>
      </w:r>
    </w:p>
    <w:p>
      <w:pPr>
        <w:spacing w:after="0" w:line="15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developed a detailed plan for the more cost efficient and scalable manufacturing of our product candidates. We are establishing global manufacturing capabilities to support all aspects of the development and, if approved, the eventual commercialization of our gene therapies, from lentiviral vector production to cell processing. We are currently executing on our plans to move to a closed, automated manufacturing system, which we expect to complete by the end of 2019. We also utilize a cryopreservation process that we believe will allow for the global distribution and, if approved, commercialization of our gene therapies.</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60"/>
          </w:cols>
          <w:pgMar w:left="240" w:top="459"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Expertise</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We are led by biopharmaceutical experts with extensive experience in gene and cellular therapy and rare diseases. Our team has broad expertise in the clinical, regulatory and commercialization aspects of rare diseases as well as process development and manufacturing for cellular therapies. Members of our management team have held senior positions at Shire, Genzyme, Novartis, Lonza and other companies pursuing development, manufacturing and commercialization of gene and cellular therapies and therapies to treat rare diseases.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Our goal is to develop and commercialize potentially curative lentiviral-based gene therapies for patients and expand the use of this approach to treat a number of diseases. Key elements of our strategy to achieve our goal include:</w:t>
      </w:r>
    </w:p>
    <w:p>
      <w:pPr>
        <w:spacing w:after="0" w:line="76" w:lineRule="exact"/>
        <w:rPr>
          <w:sz w:val="20"/>
          <w:szCs w:val="20"/>
          <w:color w:val="auto"/>
        </w:rPr>
      </w:pPr>
    </w:p>
    <w:p>
      <w:pPr>
        <w:ind w:left="1060" w:hanging="424"/>
        <w:spacing w:after="0" w:line="270"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Rapidly Advance Our Initial Gene Therapies. </w:t>
      </w:r>
      <w:r>
        <w:rPr>
          <w:rFonts w:ascii="Arial" w:cs="Arial" w:eastAsia="Arial" w:hAnsi="Arial"/>
          <w:sz w:val="17"/>
          <w:szCs w:val="17"/>
          <w:color w:val="auto"/>
        </w:rPr>
        <w:t>We are developing a deep pipeline of four gene therapies to treat Fabry disease, Gaucher</w:t>
      </w:r>
      <w:r>
        <w:rPr>
          <w:rFonts w:ascii="Arial" w:cs="Arial" w:eastAsia="Arial" w:hAnsi="Arial"/>
          <w:sz w:val="17"/>
          <w:szCs w:val="17"/>
          <w:i w:val="1"/>
          <w:iCs w:val="1"/>
          <w:color w:val="auto"/>
        </w:rPr>
        <w:t xml:space="preserve"> </w:t>
      </w:r>
      <w:r>
        <w:rPr>
          <w:rFonts w:ascii="Arial" w:cs="Arial" w:eastAsia="Arial" w:hAnsi="Arial"/>
          <w:sz w:val="17"/>
          <w:szCs w:val="17"/>
          <w:color w:val="auto"/>
        </w:rPr>
        <w:t>disease, Pompe disease and cystinosis. We intend to rapidly advance these gene therapies into clinical trials and obtain initial efficacy data in patients from these development programs. AVR-RD-01 has been well tolerated and demonstrated clinically significant increased enzyme activity to date in an ongoing Phase 1 clinical trial. We recently initiated our company-sponsored Phase 2 clinical trial for AVR-RD-01 in Australia, and have received the requisite approval to commence enrollment in Canada. In addition, we expect enrollment in the United States and Japan to begin in 2019 following receipt of regulatory clearance. Phase 1/2 clinical trials of both AVR-RD-02 and AVR-RD-04 are being planned and we expect patients will be dosed in 2019. In addition, we intend to pursue pathways for accelerated review and approval of our product candidates by the FDA and international regulatory authorities through programs such as the Regenerative Medicine Advanced Therapies, or RMAT, program in the United States.</w:t>
      </w:r>
    </w:p>
    <w:p>
      <w:pPr>
        <w:spacing w:after="0" w:line="87" w:lineRule="exact"/>
        <w:rPr>
          <w:rFonts w:ascii="Arial" w:cs="Arial" w:eastAsia="Arial" w:hAnsi="Arial"/>
          <w:sz w:val="17"/>
          <w:szCs w:val="17"/>
          <w:color w:val="auto"/>
        </w:rPr>
      </w:pPr>
    </w:p>
    <w:p>
      <w:pPr>
        <w:ind w:left="1060" w:right="100" w:hanging="424"/>
        <w:spacing w:after="0" w:line="273"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i w:val="1"/>
          <w:iCs w:val="1"/>
          <w:color w:val="auto"/>
        </w:rPr>
        <w:t xml:space="preserve">Develop First-Line Gene Therapies for Lysosomal Storage Diseases. </w:t>
      </w:r>
      <w:r>
        <w:rPr>
          <w:rFonts w:ascii="Arial" w:cs="Arial" w:eastAsia="Arial" w:hAnsi="Arial"/>
          <w:sz w:val="17"/>
          <w:szCs w:val="17"/>
          <w:color w:val="auto"/>
        </w:rPr>
        <w:t>We are initially targeting lysosomal storage diseases and intend to</w:t>
      </w:r>
      <w:r>
        <w:rPr>
          <w:rFonts w:ascii="Arial" w:cs="Arial" w:eastAsia="Arial" w:hAnsi="Arial"/>
          <w:sz w:val="17"/>
          <w:szCs w:val="17"/>
          <w:i w:val="1"/>
          <w:iCs w:val="1"/>
          <w:color w:val="auto"/>
        </w:rPr>
        <w:t xml:space="preserve"> </w:t>
      </w:r>
      <w:r>
        <w:rPr>
          <w:rFonts w:ascii="Arial" w:cs="Arial" w:eastAsia="Arial" w:hAnsi="Arial"/>
          <w:sz w:val="17"/>
          <w:szCs w:val="17"/>
          <w:color w:val="auto"/>
        </w:rPr>
        <w:t>conduct clinical trials in both treatment-experienced and treatment-naïve patient groups in order to maximize the potential of our lentiviral-based gene therapies for patients. We are pioneering the use of a milder conditioning regimen, designed to be performed in an outpatient setting, as we believe this will enable us to pursue early intervention for the treatment of lysosomal storage diseases and expand into a wide range of diseases where lentiviral-based gene therapy has not been previously utilized. We will continue to leverage advancements in stem cell transplantation in order to improve patient tolerability of our lentiviral-based gene therapies.</w:t>
      </w:r>
    </w:p>
    <w:p>
      <w:pPr>
        <w:spacing w:after="0" w:line="83" w:lineRule="exact"/>
        <w:rPr>
          <w:rFonts w:ascii="Arial" w:cs="Arial" w:eastAsia="Arial" w:hAnsi="Arial"/>
          <w:sz w:val="17"/>
          <w:szCs w:val="17"/>
          <w:color w:val="auto"/>
        </w:rPr>
      </w:pPr>
    </w:p>
    <w:p>
      <w:pPr>
        <w:ind w:left="1060" w:right="60" w:hanging="424"/>
        <w:spacing w:after="0" w:line="259"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Globally Develop, Manufacture and Commercialize Our Gene Therapies. </w:t>
      </w:r>
      <w:r>
        <w:rPr>
          <w:rFonts w:ascii="Arial" w:cs="Arial" w:eastAsia="Arial" w:hAnsi="Arial"/>
          <w:sz w:val="18"/>
          <w:szCs w:val="18"/>
          <w:color w:val="auto"/>
        </w:rPr>
        <w:t>Lysosomal storage diseases afflict patients globally and we intend</w:t>
      </w:r>
      <w:r>
        <w:rPr>
          <w:rFonts w:ascii="Arial" w:cs="Arial" w:eastAsia="Arial" w:hAnsi="Arial"/>
          <w:sz w:val="18"/>
          <w:szCs w:val="18"/>
          <w:i w:val="1"/>
          <w:iCs w:val="1"/>
          <w:color w:val="auto"/>
        </w:rPr>
        <w:t xml:space="preserve"> </w:t>
      </w:r>
      <w:r>
        <w:rPr>
          <w:rFonts w:ascii="Arial" w:cs="Arial" w:eastAsia="Arial" w:hAnsi="Arial"/>
          <w:sz w:val="18"/>
          <w:szCs w:val="18"/>
          <w:color w:val="auto"/>
        </w:rPr>
        <w:t>to build global infrastructure in order to provide treatment to patients around the world. We currently intend to conduct clinical trials across multiple geographies, including the United States, Canada, Australia, Japan, Europe and Israel. We have established a global network of suppliers and contract manufacturing organizations, or CMOs.</w:t>
      </w:r>
    </w:p>
    <w:p>
      <w:pPr>
        <w:spacing w:after="0" w:line="92" w:lineRule="exact"/>
        <w:rPr>
          <w:rFonts w:ascii="Arial" w:cs="Arial" w:eastAsia="Arial" w:hAnsi="Arial"/>
          <w:sz w:val="18"/>
          <w:szCs w:val="18"/>
          <w:color w:val="auto"/>
        </w:rPr>
      </w:pPr>
    </w:p>
    <w:p>
      <w:pPr>
        <w:ind w:left="1060" w:right="60" w:hanging="424"/>
        <w:spacing w:after="0" w:line="302" w:lineRule="auto"/>
        <w:tabs>
          <w:tab w:leader="none" w:pos="1060" w:val="left"/>
        </w:tabs>
        <w:numPr>
          <w:ilvl w:val="0"/>
          <w:numId w:val="55"/>
        </w:numPr>
        <w:rPr>
          <w:rFonts w:ascii="Arial" w:cs="Arial" w:eastAsia="Arial" w:hAnsi="Arial"/>
          <w:sz w:val="16"/>
          <w:szCs w:val="16"/>
          <w:color w:val="auto"/>
        </w:rPr>
      </w:pPr>
      <w:r>
        <w:rPr>
          <w:rFonts w:ascii="Arial" w:cs="Arial" w:eastAsia="Arial" w:hAnsi="Arial"/>
          <w:sz w:val="16"/>
          <w:szCs w:val="16"/>
          <w:i w:val="1"/>
          <w:iCs w:val="1"/>
          <w:color w:val="auto"/>
        </w:rPr>
        <w:t xml:space="preserve">Industrialize Lentiviral-Based Gene Therapy. </w:t>
      </w:r>
      <w:r>
        <w:rPr>
          <w:rFonts w:ascii="Arial" w:cs="Arial" w:eastAsia="Arial" w:hAnsi="Arial"/>
          <w:sz w:val="16"/>
          <w:szCs w:val="16"/>
          <w:color w:val="auto"/>
        </w:rPr>
        <w:t>We are developing a manufacturing process that is both reproducible and scalable. We believe</w:t>
      </w:r>
      <w:r>
        <w:rPr>
          <w:rFonts w:ascii="Arial" w:cs="Arial" w:eastAsia="Arial" w:hAnsi="Arial"/>
          <w:sz w:val="16"/>
          <w:szCs w:val="16"/>
          <w:i w:val="1"/>
          <w:iCs w:val="1"/>
          <w:color w:val="auto"/>
        </w:rPr>
        <w:t xml:space="preserve"> </w:t>
      </w:r>
      <w:r>
        <w:rPr>
          <w:rFonts w:ascii="Arial" w:cs="Arial" w:eastAsia="Arial" w:hAnsi="Arial"/>
          <w:sz w:val="16"/>
          <w:szCs w:val="16"/>
          <w:color w:val="auto"/>
        </w:rPr>
        <w:t>our innovations in viral vector design, cellular manufacturing and other related processes are important steps towards advancing the field of lentiviral-based gene therapy and realizing its full potential to treat a number of diseases. We intend to leverage our core competencies to implement a closed, automated manufacturing system that will enable us to deliver our gene therapies to patients at an industrialized scale.</w:t>
      </w:r>
    </w:p>
    <w:p>
      <w:pPr>
        <w:spacing w:after="0" w:line="59" w:lineRule="exact"/>
        <w:rPr>
          <w:rFonts w:ascii="Arial" w:cs="Arial" w:eastAsia="Arial" w:hAnsi="Arial"/>
          <w:sz w:val="16"/>
          <w:szCs w:val="16"/>
          <w:color w:val="auto"/>
        </w:rPr>
      </w:pPr>
    </w:p>
    <w:p>
      <w:pPr>
        <w:ind w:left="1060" w:right="440" w:hanging="424"/>
        <w:spacing w:after="0" w:line="259"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Leverage Our Approach Beyond Our Initial Indications. </w:t>
      </w:r>
      <w:r>
        <w:rPr>
          <w:rFonts w:ascii="Arial" w:cs="Arial" w:eastAsia="Arial" w:hAnsi="Arial"/>
          <w:sz w:val="18"/>
          <w:szCs w:val="18"/>
          <w:color w:val="auto"/>
        </w:rPr>
        <w:t>We are initially developing gene therapies for the treatment of four different</w:t>
      </w:r>
      <w:r>
        <w:rPr>
          <w:rFonts w:ascii="Arial" w:cs="Arial" w:eastAsia="Arial" w:hAnsi="Arial"/>
          <w:sz w:val="18"/>
          <w:szCs w:val="18"/>
          <w:i w:val="1"/>
          <w:iCs w:val="1"/>
          <w:color w:val="auto"/>
        </w:rPr>
        <w:t xml:space="preserve"> </w:t>
      </w:r>
      <w:r>
        <w:rPr>
          <w:rFonts w:ascii="Arial" w:cs="Arial" w:eastAsia="Arial" w:hAnsi="Arial"/>
          <w:sz w:val="18"/>
          <w:szCs w:val="18"/>
          <w:color w:val="auto"/>
        </w:rPr>
        <w:t>lysosomal storage diseases and believe that we will gain significant learnings and technical insights from these programs. We intend to leverage our technology and insights to treat a number of rare and non-rare diseases where we believe our lentiviral approach has transformative potential.</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Approach</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 xml:space="preserve">We develop therapies utilizing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lentiviral-based gene therapy approach to transform a patient’s own cells into a drug product. Our gene therapies employ lentiviral vectors that are designed to result in stable integration of the desired genes in the chromosomes of the stem cells such that they are permanently maintained in the cell and can be reproduced as the cell divides. We focus on delivering our lentiviral-based gene therapies to hematopoietic stem cells, which are primitive stem cells that develop into all types of blood cells, including white blood cells, red blood cells and platelets. To accomplish this, we extract a patient’s hematopoietic stem cells and modify them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to add a new, functional copy of the gene that is defective in the target disease. We then infuse the modified cells back into the patient. Our gene therapies are designed to be administered to the patient as a one-time therapy in an outpatient setting following a milder outpatient conditioning regimen.</w:t>
      </w:r>
    </w:p>
    <w:p>
      <w:pPr>
        <w:spacing w:after="0" w:line="17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 xml:space="preserve">We are initially focused on employing our approach to treat and potentially cure lysosomal storage diseases. These diseases have well understood biologies, identified patient populations and represent large markets with approximately $4.0 billion in worldwide net sales in 2017. We are industrializing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therapy approach into a robust, scalable and, if approved, commercially viable process that will allow us to deliver our potentially curative therapies to patients with these and other serious monogenic disorders.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Advantages of Our Lentiviral-Based Gene Therapy Approach</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lentiviral-based gene therapy provides numerous advantages, including:</w:t>
      </w:r>
    </w:p>
    <w:p>
      <w:pPr>
        <w:spacing w:after="0" w:line="131" w:lineRule="exact"/>
        <w:rPr>
          <w:sz w:val="20"/>
          <w:szCs w:val="20"/>
          <w:color w:val="auto"/>
        </w:rPr>
      </w:pPr>
    </w:p>
    <w:p>
      <w:pPr>
        <w:ind w:left="1060" w:right="80" w:hanging="424"/>
        <w:spacing w:after="0" w:line="342" w:lineRule="auto"/>
        <w:tabs>
          <w:tab w:leader="none" w:pos="106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Durable Benefit. </w:t>
      </w:r>
      <w:r>
        <w:rPr>
          <w:rFonts w:ascii="Arial" w:cs="Arial" w:eastAsia="Arial" w:hAnsi="Arial"/>
          <w:sz w:val="16"/>
          <w:szCs w:val="16"/>
          <w:color w:val="auto"/>
        </w:rPr>
        <w:t>Lentiviral vectors have the potential to provide life-long benefits with a single dose. Lentiviral vectors can integrate stably</w:t>
      </w:r>
      <w:r>
        <w:rPr>
          <w:rFonts w:ascii="Arial" w:cs="Arial" w:eastAsia="Arial" w:hAnsi="Arial"/>
          <w:sz w:val="16"/>
          <w:szCs w:val="16"/>
          <w:i w:val="1"/>
          <w:iCs w:val="1"/>
          <w:color w:val="auto"/>
        </w:rPr>
        <w:t xml:space="preserve"> </w:t>
      </w:r>
      <w:r>
        <w:rPr>
          <w:rFonts w:ascii="Arial" w:cs="Arial" w:eastAsia="Arial" w:hAnsi="Arial"/>
          <w:sz w:val="16"/>
          <w:szCs w:val="16"/>
          <w:color w:val="auto"/>
        </w:rPr>
        <w:t>into the genes of hematopoietic stem cells and, when these cells replicate, they pass the integrated genes on to their progeny cells.</w:t>
      </w:r>
    </w:p>
    <w:p>
      <w:pPr>
        <w:spacing w:after="0" w:line="29" w:lineRule="exact"/>
        <w:rPr>
          <w:rFonts w:ascii="Arial" w:cs="Arial" w:eastAsia="Arial" w:hAnsi="Arial"/>
          <w:sz w:val="16"/>
          <w:szCs w:val="16"/>
          <w:color w:val="auto"/>
        </w:rPr>
      </w:pPr>
    </w:p>
    <w:p>
      <w:pPr>
        <w:ind w:left="1060" w:right="32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Systemic Therapeutic Effect. </w:t>
      </w:r>
      <w:r>
        <w:rPr>
          <w:rFonts w:ascii="Arial" w:cs="Arial" w:eastAsia="Arial" w:hAnsi="Arial"/>
          <w:sz w:val="18"/>
          <w:szCs w:val="18"/>
          <w:color w:val="auto"/>
        </w:rPr>
        <w:t>Progeny cells circulate systemically and therefore have the ability to provide therapeutic benefit to affected</w:t>
      </w:r>
      <w:r>
        <w:rPr>
          <w:rFonts w:ascii="Arial" w:cs="Arial" w:eastAsia="Arial" w:hAnsi="Arial"/>
          <w:sz w:val="18"/>
          <w:szCs w:val="18"/>
          <w:i w:val="1"/>
          <w:iCs w:val="1"/>
          <w:color w:val="auto"/>
        </w:rPr>
        <w:t xml:space="preserve"> </w:t>
      </w:r>
      <w:r>
        <w:rPr>
          <w:rFonts w:ascii="Arial" w:cs="Arial" w:eastAsia="Arial" w:hAnsi="Arial"/>
          <w:sz w:val="18"/>
          <w:szCs w:val="18"/>
          <w:color w:val="auto"/>
        </w:rPr>
        <w:t>tissues and organs throughout the body.</w:t>
      </w:r>
    </w:p>
    <w:p>
      <w:pPr>
        <w:spacing w:after="0" w:line="75"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History of Safety. </w:t>
      </w:r>
      <w:r>
        <w:rPr>
          <w:rFonts w:ascii="Arial" w:cs="Arial" w:eastAsia="Arial" w:hAnsi="Arial"/>
          <w:sz w:val="18"/>
          <w:szCs w:val="18"/>
          <w:color w:val="auto"/>
        </w:rPr>
        <w:t>Over the past 10 years, no instances of insertional mutagenesis or leukemogenesis from lentiviral vectors have been</w:t>
      </w:r>
      <w:r>
        <w:rPr>
          <w:rFonts w:ascii="Arial" w:cs="Arial" w:eastAsia="Arial" w:hAnsi="Arial"/>
          <w:sz w:val="18"/>
          <w:szCs w:val="18"/>
          <w:i w:val="1"/>
          <w:iCs w:val="1"/>
          <w:color w:val="auto"/>
        </w:rPr>
        <w:t xml:space="preserve"> </w:t>
      </w:r>
      <w:r>
        <w:rPr>
          <w:rFonts w:ascii="Arial" w:cs="Arial" w:eastAsia="Arial" w:hAnsi="Arial"/>
          <w:sz w:val="18"/>
          <w:szCs w:val="18"/>
          <w:color w:val="auto"/>
        </w:rPr>
        <w:t>observed in clinical trials in which over 200 total patients have been treated.</w:t>
      </w:r>
    </w:p>
    <w:p>
      <w:pPr>
        <w:spacing w:after="0" w:line="75"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Broad Patient Applicability. </w:t>
      </w:r>
      <w:r>
        <w:rPr>
          <w:rFonts w:ascii="Arial" w:cs="Arial" w:eastAsia="Arial" w:hAnsi="Arial"/>
          <w:sz w:val="18"/>
          <w:szCs w:val="18"/>
          <w:color w:val="auto"/>
        </w:rPr>
        <w:t>Lentiviral-based gene therapies have been used to deliver treatments to patients of all ages, including children,</w:t>
      </w:r>
      <w:r>
        <w:rPr>
          <w:rFonts w:ascii="Arial" w:cs="Arial" w:eastAsia="Arial" w:hAnsi="Arial"/>
          <w:sz w:val="18"/>
          <w:szCs w:val="18"/>
          <w:i w:val="1"/>
          <w:iCs w:val="1"/>
          <w:color w:val="auto"/>
        </w:rPr>
        <w:t xml:space="preserve"> </w:t>
      </w:r>
      <w:r>
        <w:rPr>
          <w:rFonts w:ascii="Arial" w:cs="Arial" w:eastAsia="Arial" w:hAnsi="Arial"/>
          <w:sz w:val="18"/>
          <w:szCs w:val="18"/>
          <w:color w:val="auto"/>
        </w:rPr>
        <w:t>and to patients who may be ineligible for other types of gene therapy due to the presence of preexisting antibodies that fight against viral vectors.</w:t>
      </w:r>
    </w:p>
    <w:p>
      <w:pPr>
        <w:spacing w:after="0" w:line="86"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Larger and Varied Payloads. </w:t>
      </w:r>
      <w:r>
        <w:rPr>
          <w:rFonts w:ascii="Arial" w:cs="Arial" w:eastAsia="Arial" w:hAnsi="Arial"/>
          <w:sz w:val="18"/>
          <w:szCs w:val="18"/>
          <w:color w:val="auto"/>
        </w:rPr>
        <w:t>In contrast to other viral vectors, lentiviruses have the capacity to carry larger gene sequences, which allow</w:t>
      </w:r>
      <w:r>
        <w:rPr>
          <w:rFonts w:ascii="Arial" w:cs="Arial" w:eastAsia="Arial" w:hAnsi="Arial"/>
          <w:sz w:val="18"/>
          <w:szCs w:val="18"/>
          <w:i w:val="1"/>
          <w:iCs w:val="1"/>
          <w:color w:val="auto"/>
        </w:rPr>
        <w:t xml:space="preserve"> </w:t>
      </w:r>
      <w:r>
        <w:rPr>
          <w:rFonts w:ascii="Arial" w:cs="Arial" w:eastAsia="Arial" w:hAnsi="Arial"/>
          <w:sz w:val="18"/>
          <w:szCs w:val="18"/>
          <w:color w:val="auto"/>
        </w:rPr>
        <w:t>them to potentially address a large variety of indications.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Strategic Selection of Our Initial Indications</w:t>
      </w:r>
    </w:p>
    <w:p>
      <w:pPr>
        <w:spacing w:after="0" w:line="117"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There are approximately 50 identified lysosomal storage diseases, which are characterized by an abnormal toxic build-up of by-products in the body’s cells. We are initially targeting Fabry disease, Gaucher disease, Pompe disease and cystinsois. Each of these diseases affects a meaningful number of patients, has a suboptimal standard of care and, we believe, is appropriate for lentiviral-based gene therapy. We believe our approach addresses the shortcomings of existing therapies where patients’ disease continues to progress despite chronic dosing and that our approach has the potential to cure these diseases.</w:t>
      </w:r>
    </w:p>
    <w:p>
      <w:pPr>
        <w:spacing w:after="0" w:line="18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Clinical proof of concept already exists for allogeneic bone marrow transplant in some lysosomal storage diseases, supporting the notion that transplantation of cells that produce normal enzyme can have clinical impact on disease. Experience with allogeneic bone marrow transplant in patients with Gaucher disease provides evidence to support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approach. Additionally, in cystinosis, transplant of human bone marrow and hematopoietic stem cells into a mouse model demonstrates proof of concept efficacy for transplant. Our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gene therapy approach allows patients to be their own cell donor, eliminating the need to find a matched bone marrow donor, while reducing the risk of complications related to more intensive conditioning regimens and short-term immunosuppressants utilized in allogeneic cell transplant.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24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Expanding the Utility of Lentiviral-Based Gene Therapy with Outpatient Conditioning</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A core part of our approach is to expand the use of lentiviral-based gene therapy to treat numerous diseases. We believe that we will be able to demonstrate durable effects in our targeted diseases with a milder conditioning regimen which has the potential for reduced short- and long-term toxicities. This, in turn, will make lentiviral-based gene therapy a therapeutic option for less acutely severe diseases or diseases with approved therapies in which large unmet medical needs remain.</w:t>
      </w:r>
    </w:p>
    <w:p>
      <w:pPr>
        <w:spacing w:after="0" w:line="18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 xml:space="preserve">Prior to the reintroduction of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modified stem cells, a conditioning regimen is generally required to remove cells from the bone marrow. These conditioning regimens create sufficient space in the bone marrow for the modified hematopoietic stem cells to engraft and produce their progeny cells. Ablation requires the use of cytotoxic drugs that can compromise the patient’s immune system. The degree of immune system compromise increases with the degree of cell removal, so the need for ablation has historically required a risk/benefit assessment to balance the risks of immune system compromise with potential therapeutic benefit in the targeted disease.</w:t>
      </w:r>
    </w:p>
    <w:p>
      <w:pPr>
        <w:spacing w:after="0" w:line="18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 xml:space="preserve">Lentiviral-based gene therapy has been observed to be well-tolerated in third parties’ ongoing clinical trials for diseases such as beta thalassemia, ALD and ADA-SCID. Lentiviral vectors also serve as the tool for gene transfer for CAR-T therapies in cancer. Within gene therapy, the use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therapies has been restricted primarily to the most acutely severe diseases where risks of the typical requirement for heavily ablating the patients’ bone marrow and thus significantly impairing these patients’ immune systems had an acceptable risk/benefit profile. The ablation procedure, also known as the conditioning regimen, is administered prior to the gene therapy. The more intensive the conditioning regimen, the greater the risk of toxicity and thus the need for more intensive in-patient monitoring and potential for lengthy hospitalization.</w:t>
      </w:r>
    </w:p>
    <w:p>
      <w:pPr>
        <w:spacing w:after="0" w:line="16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 xml:space="preserve">In contrast to other diseases with pathophysiologies where gene therapy requires aggressive conditioning regimens, we believe we can generally achieve sufficient cell engraftment in the lysosomal storage diseases on which we are focused by utilizing a milder conditioning regimen. We believe this approach will lead to less immunosuppression and therefore potentially necessitate only an outpatient conditioning regimen. This outpatient regimen has the potential to improve patient tolerability and extend the reach of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lentiviral-based gene therapy into a number of diseases.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Enhancing Our Gene Therapies and Industrializing Our Manufacturing Capabilities</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Key to our strategy is to continuously improve our technology and production processes and to leverage these improvements across our gene therapies.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Next Generation Vector Technology</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utilize our core expertise in the development and optimization of lentiviral vectors to continuously improve the vectors used in our gene therapies. We have made and expect to continue to make enhancements to our lentiviral vectors to improve efficacy, efficiency and safety. Our goal is to employ vectors that are state of the art and that can be produced in a cost-effective and scalable manner.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 xml:space="preserve">As one example from early, small-scale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the figures below show the improved efficacy of our optimized proprietary four-plasmid-produced lentiviral vector, or LV2, over the three-plasmid-produced lentiviral vector, or LV1, for Fabry disease and Gaucher disease, as measured by increases in both vector copy number, or VCN, and enzyme activity. VCN refers to the average number of copies of the lentiviral-vector inserted gene that are integrated into the genome of a cell, and multiplicity of infection refers to a measure of the number of infectious viral particles added to an </w:t>
      </w:r>
      <w:r>
        <w:rPr>
          <w:rFonts w:ascii="Arial" w:cs="Arial" w:eastAsia="Arial" w:hAnsi="Arial"/>
          <w:sz w:val="16"/>
          <w:szCs w:val="16"/>
          <w:i w:val="1"/>
          <w:iCs w:val="1"/>
          <w:color w:val="auto"/>
        </w:rPr>
        <w:t xml:space="preserve">in-vitro </w:t>
      </w:r>
      <w:r>
        <w:rPr>
          <w:rFonts w:ascii="Arial" w:cs="Arial" w:eastAsia="Arial" w:hAnsi="Arial"/>
          <w:sz w:val="16"/>
          <w:szCs w:val="16"/>
          <w:color w:val="auto"/>
        </w:rPr>
        <w:t>cell culture in relation to the total number of cells in the culture. As shown in the figures below, increasing the number of infectious viral particles</w:t>
      </w:r>
      <w:r>
        <w:rPr>
          <w:rFonts w:ascii="Arial" w:cs="Arial" w:eastAsia="Arial" w:hAnsi="Arial"/>
          <w:sz w:val="16"/>
          <w:szCs w:val="16"/>
          <w:i w:val="1"/>
          <w:iCs w:val="1"/>
          <w:color w:val="auto"/>
        </w:rPr>
        <w:t xml:space="preserve"> </w:t>
      </w:r>
      <w:r>
        <w:rPr>
          <w:rFonts w:ascii="Arial" w:cs="Arial" w:eastAsia="Arial" w:hAnsi="Arial"/>
          <w:sz w:val="16"/>
          <w:szCs w:val="16"/>
          <w:color w:val="auto"/>
        </w:rPr>
        <w:t>in a cell culture in order to transduce a constant number of cells results in increases in VCN and enzyme activity levels.</w:t>
      </w:r>
    </w:p>
    <w:p>
      <w:pPr>
        <w:spacing w:after="0" w:line="37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 xml:space="preserve">Increased Enzyme Activity and VCN </w:t>
      </w:r>
      <w:r>
        <w:rPr>
          <w:rFonts w:ascii="Arial" w:cs="Arial" w:eastAsia="Arial" w:hAnsi="Arial"/>
          <w:sz w:val="18"/>
          <w:szCs w:val="18"/>
          <w:b w:val="1"/>
          <w:bCs w:val="1"/>
          <w:i w:val="1"/>
          <w:iCs w:val="1"/>
          <w:color w:val="auto"/>
        </w:rPr>
        <w:t>in vitro</w:t>
      </w:r>
      <w:r>
        <w:rPr>
          <w:rFonts w:ascii="Arial" w:cs="Arial" w:eastAsia="Arial" w:hAnsi="Arial"/>
          <w:sz w:val="18"/>
          <w:szCs w:val="18"/>
          <w:b w:val="1"/>
          <w:bCs w:val="1"/>
          <w:color w:val="auto"/>
        </w:rPr>
        <w:t xml:space="preserve"> with LV2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171450</wp:posOffset>
            </wp:positionV>
            <wp:extent cx="5196840" cy="17926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9684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Development of Industrialized Manufacturing Processes</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are establishing global manufacturing relationships that will provide us with drug product manufacturing capabilities to support all aspects of the development and eventual commercialization of our gene therapies. We have key manufacturing partnerships in place for the production of plasmids and vectors used in our gene therapies.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Automated, Closed Manufacturing System</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Our team has significant experience in cell processing and commercial-scale cellular therapy manufacturing. We have developed and are implementing a detailed plan for the more cost efficient and scalable manufacturing of our gene therapies. In contrast to a number of other gene therapy companies that have not developed their commercial scale plans from the outset, we are currently executing on our plans to move to a closed suspension bioreactor system for vector production as well as a closed, automated system for manufacturing our gene therapy product. We currently have a CMO partner for the production of our cellular drug product in Australia and we have established two CMO partners in the United States who are currently preparing for production with CGMP-readiness in process for AVR-RD-01 and AVR-RD-02. We also plan to establish a CMO partner in Europe.</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Advantages of Cryopreservation</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Our drug product is cryopreserved. In production of our gene therapy for the ongoing Phase 1 clinical trial for AVR-RD-01, greater than 75% cell viability was observed after thaw. Cryopreserved drug product allows for multiple benefits for patients and across the supply chain, including extensive safety testing of the drug product prior to patient administration, convenient patient/clinic scheduling and overall flexibility of supply chain logistics.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80"/>
          </w:cols>
          <w:pgMar w:left="24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Advantages of Our Approach over Existing Therapies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believe our gene therapy solutions offer several potential advantages over existing therapies for lysosomal storage diseases, including:</w:t>
      </w:r>
    </w:p>
    <w:p>
      <w:pPr>
        <w:spacing w:after="0" w:line="142" w:lineRule="exact"/>
        <w:rPr>
          <w:sz w:val="20"/>
          <w:szCs w:val="20"/>
          <w:color w:val="auto"/>
        </w:rPr>
      </w:pPr>
    </w:p>
    <w:p>
      <w:pPr>
        <w:ind w:left="1060" w:hanging="424"/>
        <w:spacing w:after="0" w:line="293"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Curative Impact that can Halt or Reverse Disease Progression. </w:t>
      </w:r>
      <w:r>
        <w:rPr>
          <w:rFonts w:ascii="Arial" w:cs="Arial" w:eastAsia="Arial" w:hAnsi="Arial"/>
          <w:sz w:val="16"/>
          <w:szCs w:val="16"/>
          <w:color w:val="auto"/>
        </w:rPr>
        <w:t>Existing ERTs for Fabry, Gaucher and Pompe and oral therapies for</w:t>
      </w:r>
      <w:r>
        <w:rPr>
          <w:rFonts w:ascii="Arial" w:cs="Arial" w:eastAsia="Arial" w:hAnsi="Arial"/>
          <w:sz w:val="16"/>
          <w:szCs w:val="16"/>
          <w:i w:val="1"/>
          <w:iCs w:val="1"/>
          <w:color w:val="auto"/>
        </w:rPr>
        <w:t xml:space="preserve"> </w:t>
      </w:r>
      <w:r>
        <w:rPr>
          <w:rFonts w:ascii="Arial" w:cs="Arial" w:eastAsia="Arial" w:hAnsi="Arial"/>
          <w:sz w:val="16"/>
          <w:szCs w:val="16"/>
          <w:color w:val="auto"/>
        </w:rPr>
        <w:t>cystinosis provide some therapeutic benefit to patients. However, because of their suboptimal pharmacokinetics, these ERTs only temporarily increase plasma enzyme levels and the therapies for cystinosis require multiple doses throughout the day. In contrast, our lentiviral-based gene therapies are designed to cause the body to constantly produce the functional enzyme or other protein. This can potentially halt pathological damage and, depending on the targeted indication and organ system, may even reverse disease progression. Our lentiviral-based gene therapies may provide potentially curative treatment to patients. This concept is illustrated in the graphs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130810</wp:posOffset>
            </wp:positionV>
            <wp:extent cx="4999990" cy="22726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9999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60" w:right="140" w:hanging="424"/>
        <w:spacing w:after="0" w:line="259"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 xml:space="preserve">Durable, Single-Dose Treatment. </w:t>
      </w:r>
      <w:r>
        <w:rPr>
          <w:rFonts w:ascii="Arial" w:cs="Arial" w:eastAsia="Arial" w:hAnsi="Arial"/>
          <w:sz w:val="18"/>
          <w:szCs w:val="18"/>
          <w:color w:val="auto"/>
        </w:rPr>
        <w:t>Our gene therapies offer the potential for a single dose to replace life-long, bi-weekly infusions or daily</w:t>
      </w:r>
      <w:r>
        <w:rPr>
          <w:rFonts w:ascii="Arial" w:cs="Arial" w:eastAsia="Arial" w:hAnsi="Arial"/>
          <w:sz w:val="18"/>
          <w:szCs w:val="18"/>
          <w:i w:val="1"/>
          <w:iCs w:val="1"/>
          <w:color w:val="auto"/>
        </w:rPr>
        <w:t xml:space="preserve"> </w:t>
      </w:r>
      <w:r>
        <w:rPr>
          <w:rFonts w:ascii="Arial" w:cs="Arial" w:eastAsia="Arial" w:hAnsi="Arial"/>
          <w:sz w:val="18"/>
          <w:szCs w:val="18"/>
          <w:color w:val="auto"/>
        </w:rPr>
        <w:t>oral therapies that are often accompanied by numerous side effects and impact patients’ quality of life. Our gene therapies are designed to transform the patient’s own cells into a drug product that enables the continuous delivery of functional enzyme or other protein throughout the body after a single dose.</w:t>
      </w:r>
    </w:p>
    <w:p>
      <w:pPr>
        <w:spacing w:after="0" w:line="92" w:lineRule="exact"/>
        <w:rPr>
          <w:rFonts w:ascii="Arial" w:cs="Arial" w:eastAsia="Arial" w:hAnsi="Arial"/>
          <w:sz w:val="18"/>
          <w:szCs w:val="18"/>
          <w:color w:val="auto"/>
        </w:rPr>
      </w:pPr>
    </w:p>
    <w:p>
      <w:pPr>
        <w:ind w:left="1060" w:right="20" w:hanging="424"/>
        <w:spacing w:after="0" w:line="312"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 xml:space="preserve">Reduced Treatment Cost Over a Patient’s Lifetime. </w:t>
      </w:r>
      <w:r>
        <w:rPr>
          <w:rFonts w:ascii="Arial" w:cs="Arial" w:eastAsia="Arial" w:hAnsi="Arial"/>
          <w:sz w:val="16"/>
          <w:szCs w:val="16"/>
          <w:color w:val="auto"/>
        </w:rPr>
        <w:t>Existing ERTs and oral therapies can cost millions of dollars over a patient’s lifetime</w:t>
      </w:r>
      <w:r>
        <w:rPr>
          <w:rFonts w:ascii="Arial" w:cs="Arial" w:eastAsia="Arial" w:hAnsi="Arial"/>
          <w:sz w:val="16"/>
          <w:szCs w:val="16"/>
          <w:i w:val="1"/>
          <w:iCs w:val="1"/>
          <w:color w:val="auto"/>
        </w:rPr>
        <w:t xml:space="preserve"> </w:t>
      </w:r>
      <w:r>
        <w:rPr>
          <w:rFonts w:ascii="Arial" w:cs="Arial" w:eastAsia="Arial" w:hAnsi="Arial"/>
          <w:sz w:val="16"/>
          <w:szCs w:val="16"/>
          <w:color w:val="auto"/>
        </w:rPr>
        <w:t>because these therapies require frequent doses of expensive treatments to manage symptoms. Our single-dose gene therapies are designed to replace the costly chronic intravenous and oral therapies that are the current standard of care for patients with lysosomal storage diseases.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80"/>
          </w:cols>
          <w:pgMar w:left="240" w:top="459"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Our initial gene therapies are AVR-RD-01 for the treatment of Fabry disease, AVR-RD-02 for the treatment of Gaucher disease, AVR-RD-03 for the treatment of Pompe disease and AVR-RD-04 for the treatment of cystinosis. AVR-RD-01 is currently being evaluated in an investigator-sponsored Phase 1 clinical trial and a company-sponsored Phase 2 clinical trial, which we initiated on June 7, 2018. In addition, Phase 1/2 clinical trials for both AVR-RD-02 and AVR-RD-04 are being planned and we expect patients will be dosed in 2019. The status of our initial lentiviral-based gene therapy programs is reflected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146050</wp:posOffset>
            </wp:positionV>
            <wp:extent cx="5205730" cy="2701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205730" cy="270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AVR-RD-01, Our Gene Therapy for Fabry Disease</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are developing AVR-RD-01 for the treatment of Fabry disease. We manufacture AVR-RD-01 from stem cells that are first extracted from the patient, modified to add the gene that encodes for AGA, and then infused into the patient. AVR-RD-01 is currently being investigated in an investigator-sponsored Phase 1 clinical trial, in which it has been well tolerated and demonstrated increased enzyme activity to-date. On June 7, 2018, we dosed the first patient in our company-sponsored Phase 2 clinical trial.</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Fabry disease is a rare lysosomal storage disease associated with significant morbidity and early mortality. It is caused by a gene defect that causes a deficiency of AGA, which breaks down a particular type of fat in the body’s cells known as globotriaosylceramide, or Gb3. As Gb3 and other related substrates increase in patients with Fabry disease, Gb3 becomes toxic to the patient’s cells. Gb3 and other glycosphingolipids accumulate and result in damage to the kidneys, heart and brain. Accumulation of Gb3 in tissues such as the heart and the vascular system can lead to life threatening vascular blockages and thus stroke and heart attacks. In addition, high levels of Gb3 substrate accumulation in the kidney can cause kidney failure. Gb3 can also accumulate in other tissues, such as the nervous system where it leads to debilitating pain. Due to end-stage renal disease and other life-threatening complications associated with Fabry disease, the average life expectancy in affected males is approximately 58 years of age.</w:t>
      </w:r>
    </w:p>
    <w:p>
      <w:pPr>
        <w:spacing w:after="0" w:line="16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Most patients with Fabry disease begin experiencing chronic pain in childhood but are often not diagnosed with Fabry disease until their twenties, due to a broad variation in patient symptoms. Over 1,000 gene mutations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308" w:lineRule="auto"/>
        <w:rPr>
          <w:sz w:val="20"/>
          <w:szCs w:val="20"/>
          <w:color w:val="auto"/>
        </w:rPr>
      </w:pPr>
      <w:r>
        <w:rPr>
          <w:rFonts w:ascii="Arial" w:cs="Arial" w:eastAsia="Arial" w:hAnsi="Arial"/>
          <w:sz w:val="17"/>
          <w:szCs w:val="17"/>
          <w:color w:val="auto"/>
        </w:rPr>
        <w:t>associated with Fabry disease have been identified. It is estimated that Fabry disease is diagnosed in approximately one in 40,000 males and one in 118,000 females in the United States, but studies have suggested that a larger number of patients may be undiagnosed.</w:t>
      </w:r>
    </w:p>
    <w:p>
      <w:pPr>
        <w:spacing w:after="0" w:line="14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Fabry disease is an X-linked disorder, with the responsible gene located on the X chromosome. Because males have only one X chromosome, an abnormal copy of the gene that causes Fabry disease is sufficient to cause the disease. However, unlike other X-linked disorders, where female carriers of an abnormal gene are usually unaffected, Fabry disease also often causes significant morbidity in females who inherit one abnormal copy and one normal copy of the gene associated with the disease.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Fabry disease is primarily treated with periodic infusions of ERT consisting of AGA enzyme over the patient’s lifetime. The most commonly prescribed ERTs for Fabry disease are Fabrazyme, marketed by Sanofi Genzyme, and Replagal, marketed by Shire. In 2017, Fabrazyme and Replagal generated worldwide net sales of over $880 million and $470 million, respectively. The annual average cost to the healthcare system per patient prescribed Fabrazyme in the United States is approximately $320,000. In addition, because ERTs are not curative and only slow, but do not halt, the progression of disease, patients deteriorate and the healthcare system incurs significant costs associated with recurring medical interventions.</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Although ERT provides therapeutic benefit and can reduce Gb3 substrate levels and extend a patient’s life expectancy, ERT requires chronic infusions throughout the patient’s life. Patients prescribed ERT generally receive an infusion every other week. However, because of their suboptimal pharmacokinetics, ERTs only temporarily increase plasma enzyme levels. As a result, patients with Fabry disease prescribed ERT continue to have disease progression, including ongoing decline in renal function, potentially including renal failure, cardiovascular disease and ongoing debilitating pain including periods of severe pain crisis. Physicians report that patients have recurrence of symptoms as the therapeutic effect of ERT wanes between bi-weekly treatments.</w:t>
      </w:r>
    </w:p>
    <w:p>
      <w:pPr>
        <w:spacing w:after="0" w:line="193"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Alternatives to ERT for patients with Fabry disease are limited. Galafold (migalastat), an oral therapy marketed by Amicus, was approved by the European Medicines Agency, or EMA, in May 2016, and Amicus has also submitted a new drug application, or NDA, for migalastat to the FDA. Amicus reports that only 35% to 50% of the gene mutations associated with Fabry disease are amenable to migalastat.</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 xml:space="preserve">We are developing AVR-RD-01 to halt disease progression and potentially cure patients with Fabry disease with a single dose of the patient’s own hematopoietic stem cells modified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procedure. AVR-RD-01 is a lentiviral-based gene therapy that contains a codon-optimized human gene and is designed to maximize the likelihood of sustained AGA production by hematopoietic stem cells and their progeny.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AVR-RD-01 offers a promising treatment for Fabry disease for the following reasons:</w:t>
      </w:r>
    </w:p>
    <w:p>
      <w:pPr>
        <w:spacing w:after="0" w:line="131" w:lineRule="exact"/>
        <w:rPr>
          <w:sz w:val="20"/>
          <w:szCs w:val="20"/>
          <w:color w:val="auto"/>
        </w:rPr>
      </w:pPr>
    </w:p>
    <w:p>
      <w:pPr>
        <w:ind w:left="1060" w:right="14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One-Time Delivery. </w:t>
      </w:r>
      <w:r>
        <w:rPr>
          <w:rFonts w:ascii="Arial" w:cs="Arial" w:eastAsia="Arial" w:hAnsi="Arial"/>
          <w:sz w:val="18"/>
          <w:szCs w:val="18"/>
          <w:color w:val="auto"/>
        </w:rPr>
        <w:t>Lentiviral-based gene therapy provides the potential to transform a patient’s own cells into a drug product that enables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continuous delivery of active enzyme throughout the body after a single dose.</w:t>
      </w:r>
    </w:p>
    <w:p>
      <w:pPr>
        <w:spacing w:after="0" w:line="75"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Proven Biology. </w:t>
      </w:r>
      <w:r>
        <w:rPr>
          <w:rFonts w:ascii="Arial" w:cs="Arial" w:eastAsia="Arial" w:hAnsi="Arial"/>
          <w:sz w:val="18"/>
          <w:szCs w:val="18"/>
          <w:color w:val="auto"/>
        </w:rPr>
        <w:t>Years of observations of patients prescribed ERT indicate that even partial plasma AGA activity is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outcomes. Increased AGA enzyme is able to reduce Gb3 levels in multiple cells and tissues supporting the ability of AGA in the plasma to enter lysosomes and degrade Gb3 in a process referred to as cross correction.</w:t>
      </w:r>
    </w:p>
    <w:p>
      <w:pPr>
        <w:spacing w:after="0" w:line="86"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Wide Therapeutic Window. </w:t>
      </w:r>
      <w:r>
        <w:rPr>
          <w:rFonts w:ascii="Arial" w:cs="Arial" w:eastAsia="Arial" w:hAnsi="Arial"/>
          <w:sz w:val="18"/>
          <w:szCs w:val="18"/>
          <w:color w:val="auto"/>
        </w:rPr>
        <w:t>We believe that even partial enzyme activity, if continuous, has the potential to provide long-term therapeutic</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A wide range of levels of plasma AGA activity has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80"/>
          </w:cols>
          <w:pgMar w:left="24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60"/>
        <w:spacing w:after="0" w:line="277" w:lineRule="auto"/>
        <w:rPr>
          <w:sz w:val="20"/>
          <w:szCs w:val="20"/>
          <w:color w:val="auto"/>
        </w:rPr>
      </w:pPr>
      <w:r>
        <w:rPr>
          <w:rFonts w:ascii="Arial" w:cs="Arial" w:eastAsia="Arial" w:hAnsi="Arial"/>
          <w:sz w:val="18"/>
          <w:szCs w:val="18"/>
          <w:color w:val="auto"/>
        </w:rPr>
        <w:t>been demonstrated to be both safe and effective in preclinical studies, reducing the need for precise regulation of enzyme expression levels and reinforcing that overexpression of AGA is not associated with increased safety risks.</w:t>
      </w:r>
    </w:p>
    <w:p>
      <w:pPr>
        <w:spacing w:after="0" w:line="76" w:lineRule="exact"/>
        <w:rPr>
          <w:sz w:val="20"/>
          <w:szCs w:val="20"/>
          <w:color w:val="auto"/>
        </w:rPr>
      </w:pPr>
    </w:p>
    <w:p>
      <w:pPr>
        <w:ind w:left="1060" w:right="380" w:hanging="424"/>
        <w:spacing w:after="0" w:line="277" w:lineRule="auto"/>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Mutation Independent. </w:t>
      </w:r>
      <w:r>
        <w:rPr>
          <w:rFonts w:ascii="Arial" w:cs="Arial" w:eastAsia="Arial" w:hAnsi="Arial"/>
          <w:sz w:val="18"/>
          <w:szCs w:val="18"/>
          <w:color w:val="auto"/>
        </w:rPr>
        <w:t>AVR-RD-01 is designed to increase plasma AGA levels in a patient’s cells, regardless of which of the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1,000 specific mutations underlie the patient’s disease.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Ongoing Multicenter Clinical Trial</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an ongoing Phase 1 clinical trial of AVR-RD-01 being conducted by the University Health Network, or UHN, at three centers in Canada, up to six patients with Fabry disease who have been treated with ERT for at least six months are expected to be enrolled. In this clinical trial, ERT for these patients is suspended one month prior to receiving AVR-RD-01 and ERT is then resumed one month after the AVR-RD-01 treatment and continued at bi-weekly intervals.</w:t>
      </w:r>
    </w:p>
    <w:p>
      <w:pPr>
        <w:spacing w:after="0" w:line="18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primary goal for this clinical trial is to assess the safety and toxicity of AVR-RD-01 as measured by the frequency of clinically notable abnormal vital signs and laboratory values and the frequency of treatment-related adverse events. The safety of our out-patient conditioning regimen is also being assessed in this clinical trial.</w:t>
      </w:r>
    </w:p>
    <w:p>
      <w:pPr>
        <w:spacing w:after="0" w:line="181"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A secondary objective for this clinical trial is to obtain preliminary efficacy signals of AVR-RD-01 therapy as assessed by AGA enzyme activity. Plasma AGA enzyme activity derived from administration of ERT decreases rapidly after administration with no residual plasma activity remaining approximately one day after treatment. To evaluate the ability of AVR-RD-01 to increase enzyme activity, we assess the level of AGA activity in a patient immediately prior to the administration of the patient’s next dose of ERT, when limited or no plasma AGA activity would be expected.</w:t>
      </w:r>
    </w:p>
    <w:p>
      <w:pPr>
        <w:spacing w:after="0" w:line="154"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first two patients in this clinical trial have been dosed and the treatment was well tolerated. In these patients, both of whom are male, the level of plasma AGA enzyme activity began to rise within days of receiving AVR-RD-01, from nearly undetectable levels before treatment to levels above the range for males with classic Fabry disease, defined as less than 1 nmol/hr/ml.</w:t>
      </w:r>
    </w:p>
    <w:p>
      <w:pPr>
        <w:spacing w:after="0" w:line="181"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As of twelve months after receiving AVR-RD-01, the first patient’s plasma AGA enzyme activity levels continued to be above the range for males with classic Fabry disease. AGA enzyme activity levels in the second patient remained above the range for males with classic Fabry disease as of three months after treatment. We believe these preliminary results support the potential of AVR-RD-01 to drive active enzyme production for long durations.</w:t>
      </w: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Plasma AGA Activity (nmol/hr/ml) Following Treatment with AVR-RD-01</w:t>
      </w:r>
    </w:p>
    <w:p>
      <w:pPr>
        <w:spacing w:after="0" w:line="251" w:lineRule="exact"/>
        <w:rPr>
          <w:sz w:val="20"/>
          <w:szCs w:val="20"/>
          <w:color w:val="auto"/>
        </w:rPr>
      </w:pPr>
    </w:p>
    <w:tbl>
      <w:tblPr>
        <w:tblLayout w:type="fixed"/>
        <w:tblInd w:w="230" w:type="dxa"/>
        <w:tblCellMar>
          <w:top w:w="0" w:type="dxa"/>
          <w:left w:w="0" w:type="dxa"/>
          <w:bottom w:w="0" w:type="dxa"/>
          <w:right w:w="0" w:type="dxa"/>
        </w:tblCellMar>
      </w:tblPr>
      <w:tr>
        <w:trPr>
          <w:trHeight w:val="139"/>
        </w:trPr>
        <w:tc>
          <w:tcPr>
            <w:tcW w:w="2520" w:type="dxa"/>
            <w:vAlign w:val="bottom"/>
            <w:tcBorders>
              <w:top w:val="single" w:sz="8" w:color="auto"/>
              <w:left w:val="single" w:sz="8" w:color="auto"/>
              <w:right w:val="single" w:sz="8" w:color="auto"/>
            </w:tcBorders>
          </w:tcPr>
          <w:p>
            <w:pPr>
              <w:spacing w:after="0"/>
              <w:rPr>
                <w:sz w:val="12"/>
                <w:szCs w:val="12"/>
                <w:color w:val="auto"/>
              </w:rPr>
            </w:pPr>
          </w:p>
        </w:tc>
        <w:tc>
          <w:tcPr>
            <w:tcW w:w="3440" w:type="dxa"/>
            <w:vAlign w:val="bottom"/>
            <w:tcBorders>
              <w:top w:val="single" w:sz="8" w:color="auto"/>
              <w:right w:val="single" w:sz="8" w:color="auto"/>
            </w:tcBorders>
          </w:tcPr>
          <w:p>
            <w:pPr>
              <w:jc w:val="center"/>
              <w:ind w:left="1597"/>
              <w:spacing w:after="0" w:line="139" w:lineRule="exact"/>
              <w:rPr>
                <w:sz w:val="20"/>
                <w:szCs w:val="20"/>
                <w:color w:val="auto"/>
              </w:rPr>
            </w:pPr>
            <w:r>
              <w:rPr>
                <w:rFonts w:ascii="Arial" w:cs="Arial" w:eastAsia="Arial" w:hAnsi="Arial"/>
                <w:sz w:val="14"/>
                <w:szCs w:val="14"/>
                <w:b w:val="1"/>
                <w:bCs w:val="1"/>
                <w:color w:val="auto"/>
                <w:w w:val="96"/>
              </w:rPr>
              <w:t>Day 0</w:t>
            </w:r>
          </w:p>
        </w:tc>
        <w:tc>
          <w:tcPr>
            <w:tcW w:w="2480" w:type="dxa"/>
            <w:vAlign w:val="bottom"/>
            <w:tcBorders>
              <w:top w:val="single" w:sz="8" w:color="auto"/>
              <w:right w:val="single" w:sz="8" w:color="auto"/>
            </w:tcBorders>
          </w:tcPr>
          <w:p>
            <w:pPr>
              <w:jc w:val="right"/>
              <w:ind w:right="96"/>
              <w:spacing w:after="0" w:line="139" w:lineRule="exact"/>
              <w:rPr>
                <w:sz w:val="20"/>
                <w:szCs w:val="20"/>
                <w:color w:val="auto"/>
              </w:rPr>
            </w:pPr>
            <w:r>
              <w:rPr>
                <w:rFonts w:ascii="Arial" w:cs="Arial" w:eastAsia="Arial" w:hAnsi="Arial"/>
                <w:sz w:val="14"/>
                <w:szCs w:val="14"/>
                <w:b w:val="1"/>
                <w:bCs w:val="1"/>
                <w:color w:val="auto"/>
              </w:rPr>
              <w:t>3 Months</w:t>
            </w:r>
          </w:p>
        </w:tc>
        <w:tc>
          <w:tcPr>
            <w:tcW w:w="2600" w:type="dxa"/>
            <w:vAlign w:val="bottom"/>
            <w:tcBorders>
              <w:top w:val="single" w:sz="8" w:color="auto"/>
              <w:right w:val="single" w:sz="8" w:color="auto"/>
            </w:tcBorders>
          </w:tcPr>
          <w:p>
            <w:pPr>
              <w:ind w:left="1720"/>
              <w:spacing w:after="0" w:line="139" w:lineRule="exact"/>
              <w:rPr>
                <w:sz w:val="20"/>
                <w:szCs w:val="20"/>
                <w:color w:val="auto"/>
              </w:rPr>
            </w:pPr>
            <w:r>
              <w:rPr>
                <w:rFonts w:ascii="Arial" w:cs="Arial" w:eastAsia="Arial" w:hAnsi="Arial"/>
                <w:sz w:val="14"/>
                <w:szCs w:val="14"/>
                <w:b w:val="1"/>
                <w:bCs w:val="1"/>
                <w:color w:val="auto"/>
              </w:rPr>
              <w:t>12 Months</w:t>
            </w:r>
          </w:p>
        </w:tc>
      </w:tr>
      <w:tr>
        <w:trPr>
          <w:trHeight w:val="185"/>
        </w:trPr>
        <w:tc>
          <w:tcPr>
            <w:tcW w:w="2520" w:type="dxa"/>
            <w:vAlign w:val="bottom"/>
            <w:tcBorders>
              <w:left w:val="single" w:sz="8" w:color="auto"/>
              <w:bottom w:val="single" w:sz="8" w:color="auto"/>
              <w:right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(Infusion of AVR-RD-01)</w:t>
            </w:r>
          </w:p>
        </w:tc>
        <w:tc>
          <w:tcPr>
            <w:tcW w:w="2480" w:type="dxa"/>
            <w:vAlign w:val="bottom"/>
            <w:tcBorders>
              <w:bottom w:val="single" w:sz="8" w:color="auto"/>
              <w:right w:val="single" w:sz="8" w:color="auto"/>
            </w:tcBorders>
          </w:tcPr>
          <w:p>
            <w:pPr>
              <w:spacing w:after="0"/>
              <w:rPr>
                <w:sz w:val="16"/>
                <w:szCs w:val="16"/>
                <w:color w:val="auto"/>
              </w:rPr>
            </w:pPr>
          </w:p>
        </w:tc>
        <w:tc>
          <w:tcPr>
            <w:tcW w:w="2600" w:type="dxa"/>
            <w:vAlign w:val="bottom"/>
            <w:tcBorders>
              <w:bottom w:val="single" w:sz="8" w:color="auto"/>
              <w:right w:val="single" w:sz="8" w:color="auto"/>
            </w:tcBorders>
          </w:tcPr>
          <w:p>
            <w:pPr>
              <w:spacing w:after="0"/>
              <w:rPr>
                <w:sz w:val="16"/>
                <w:szCs w:val="16"/>
                <w:color w:val="auto"/>
              </w:rPr>
            </w:pPr>
          </w:p>
        </w:tc>
      </w:tr>
      <w:tr>
        <w:trPr>
          <w:trHeight w:val="210"/>
        </w:trPr>
        <w:tc>
          <w:tcPr>
            <w:tcW w:w="252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Patient 1</w:t>
            </w:r>
          </w:p>
        </w:tc>
        <w:tc>
          <w:tcPr>
            <w:tcW w:w="3440" w:type="dxa"/>
            <w:vAlign w:val="bottom"/>
            <w:tcBorders>
              <w:bottom w:val="single" w:sz="8" w:color="auto"/>
              <w:right w:val="single" w:sz="8" w:color="auto"/>
            </w:tcBorders>
            <w:shd w:val="clear" w:color="auto" w:fill="CCEEFF"/>
          </w:tcPr>
          <w:p>
            <w:pPr>
              <w:jc w:val="center"/>
              <w:ind w:left="1597"/>
              <w:spacing w:after="0"/>
              <w:rPr>
                <w:sz w:val="20"/>
                <w:szCs w:val="20"/>
                <w:color w:val="auto"/>
              </w:rPr>
            </w:pPr>
            <w:r>
              <w:rPr>
                <w:rFonts w:ascii="Arial" w:cs="Arial" w:eastAsia="Arial" w:hAnsi="Arial"/>
                <w:sz w:val="18"/>
                <w:szCs w:val="18"/>
                <w:color w:val="auto"/>
                <w:w w:val="95"/>
              </w:rPr>
              <w:t>0.1</w:t>
            </w:r>
          </w:p>
        </w:tc>
        <w:tc>
          <w:tcPr>
            <w:tcW w:w="2480" w:type="dxa"/>
            <w:vAlign w:val="bottom"/>
            <w:tcBorders>
              <w:bottom w:val="single" w:sz="8" w:color="auto"/>
              <w:right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rPr>
              <w:t>5.8</w:t>
            </w:r>
          </w:p>
        </w:tc>
        <w:tc>
          <w:tcPr>
            <w:tcW w:w="2600" w:type="dxa"/>
            <w:vAlign w:val="bottom"/>
            <w:tcBorders>
              <w:bottom w:val="single" w:sz="8" w:color="auto"/>
              <w:right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rPr>
              <w:t>5.8</w:t>
            </w:r>
          </w:p>
        </w:tc>
      </w:tr>
      <w:tr>
        <w:trPr>
          <w:trHeight w:val="210"/>
        </w:trPr>
        <w:tc>
          <w:tcPr>
            <w:tcW w:w="252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Patient 2</w:t>
            </w:r>
          </w:p>
        </w:tc>
        <w:tc>
          <w:tcPr>
            <w:tcW w:w="3440" w:type="dxa"/>
            <w:vAlign w:val="bottom"/>
            <w:tcBorders>
              <w:bottom w:val="single" w:sz="8" w:color="auto"/>
              <w:right w:val="single" w:sz="8" w:color="auto"/>
            </w:tcBorders>
          </w:tcPr>
          <w:p>
            <w:pPr>
              <w:jc w:val="center"/>
              <w:ind w:left="1597"/>
              <w:spacing w:after="0"/>
              <w:rPr>
                <w:sz w:val="20"/>
                <w:szCs w:val="20"/>
                <w:color w:val="auto"/>
              </w:rPr>
            </w:pPr>
            <w:r>
              <w:rPr>
                <w:rFonts w:ascii="Arial" w:cs="Arial" w:eastAsia="Arial" w:hAnsi="Arial"/>
                <w:sz w:val="18"/>
                <w:szCs w:val="18"/>
                <w:color w:val="auto"/>
                <w:w w:val="95"/>
              </w:rPr>
              <w:t>0.2</w:t>
            </w:r>
          </w:p>
        </w:tc>
        <w:tc>
          <w:tcPr>
            <w:tcW w:w="2480" w:type="dxa"/>
            <w:vAlign w:val="bottom"/>
            <w:tcBorders>
              <w:bottom w:val="single" w:sz="8" w:color="auto"/>
              <w:right w:val="single" w:sz="8" w:color="auto"/>
            </w:tcBorders>
          </w:tcPr>
          <w:p>
            <w:pPr>
              <w:jc w:val="right"/>
              <w:ind w:right="236"/>
              <w:spacing w:after="0"/>
              <w:rPr>
                <w:sz w:val="20"/>
                <w:szCs w:val="20"/>
                <w:color w:val="auto"/>
              </w:rPr>
            </w:pPr>
            <w:r>
              <w:rPr>
                <w:rFonts w:ascii="Arial" w:cs="Arial" w:eastAsia="Arial" w:hAnsi="Arial"/>
                <w:sz w:val="18"/>
                <w:szCs w:val="18"/>
                <w:color w:val="auto"/>
              </w:rPr>
              <w:t>7.6</w:t>
            </w:r>
          </w:p>
        </w:tc>
        <w:tc>
          <w:tcPr>
            <w:tcW w:w="2600" w:type="dxa"/>
            <w:vAlign w:val="bottom"/>
            <w:tcBorders>
              <w:bottom w:val="single" w:sz="8" w:color="auto"/>
              <w:right w:val="single" w:sz="8" w:color="auto"/>
            </w:tcBorders>
          </w:tcPr>
          <w:p>
            <w:pPr>
              <w:jc w:val="center"/>
              <w:ind w:left="1536"/>
              <w:spacing w:after="0"/>
              <w:rPr>
                <w:sz w:val="20"/>
                <w:szCs w:val="20"/>
                <w:color w:val="auto"/>
              </w:rPr>
            </w:pPr>
            <w:r>
              <w:rPr>
                <w:rFonts w:ascii="Arial" w:cs="Arial" w:eastAsia="Arial" w:hAnsi="Arial"/>
                <w:sz w:val="18"/>
                <w:szCs w:val="18"/>
                <w:color w:val="auto"/>
                <w:w w:val="99"/>
              </w:rPr>
              <w:t>N/A</w:t>
            </w:r>
          </w:p>
        </w:tc>
      </w:tr>
      <w:tr>
        <w:trPr>
          <w:trHeight w:val="358"/>
        </w:trPr>
        <w:tc>
          <w:tcPr>
            <w:tcW w:w="2520" w:type="dxa"/>
            <w:vAlign w:val="bottom"/>
          </w:tcPr>
          <w:p>
            <w:pPr>
              <w:spacing w:after="0"/>
              <w:rPr>
                <w:sz w:val="24"/>
                <w:szCs w:val="24"/>
                <w:color w:val="auto"/>
              </w:rPr>
            </w:pPr>
          </w:p>
        </w:tc>
        <w:tc>
          <w:tcPr>
            <w:tcW w:w="3440" w:type="dxa"/>
            <w:vAlign w:val="bottom"/>
          </w:tcPr>
          <w:p>
            <w:pPr>
              <w:jc w:val="right"/>
              <w:ind w:right="297"/>
              <w:spacing w:after="0"/>
              <w:rPr>
                <w:sz w:val="20"/>
                <w:szCs w:val="20"/>
                <w:color w:val="auto"/>
              </w:rPr>
            </w:pPr>
            <w:r>
              <w:rPr>
                <w:rFonts w:ascii="Arial" w:cs="Arial" w:eastAsia="Arial" w:hAnsi="Arial"/>
                <w:sz w:val="18"/>
                <w:szCs w:val="18"/>
                <w:color w:val="auto"/>
              </w:rPr>
              <w:t>97</w:t>
            </w:r>
          </w:p>
        </w:tc>
        <w:tc>
          <w:tcPr>
            <w:tcW w:w="2480" w:type="dxa"/>
            <w:vAlign w:val="bottom"/>
          </w:tcPr>
          <w:p>
            <w:pPr>
              <w:spacing w:after="0"/>
              <w:rPr>
                <w:sz w:val="24"/>
                <w:szCs w:val="24"/>
                <w:color w:val="auto"/>
              </w:rPr>
            </w:pPr>
          </w:p>
        </w:tc>
        <w:tc>
          <w:tcPr>
            <w:tcW w:w="26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below graph illustrates the levels of plasma AGA activity following AVR-RD-01 treatment in the two patients over various points in time.</w:t>
      </w:r>
    </w:p>
    <w:p>
      <w:pPr>
        <w:spacing w:after="0" w:line="200" w:lineRule="exact"/>
        <w:rPr>
          <w:sz w:val="20"/>
          <w:szCs w:val="20"/>
          <w:color w:val="auto"/>
        </w:rPr>
      </w:pPr>
    </w:p>
    <w:p>
      <w:pPr>
        <w:spacing w:after="0" w:line="24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Expression of Functional Plasma 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172085</wp:posOffset>
            </wp:positionV>
            <wp:extent cx="5076825" cy="1783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076825" cy="1783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VCN refers to the average number of copies of the lentiviral-vector inserted gene that are integrated into the genome of a cell. It is typically expressed as an average VCN for a cell population.</w:t>
      </w:r>
    </w:p>
    <w:p>
      <w:pPr>
        <w:spacing w:after="0" w:line="170"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 xml:space="preserve">We believe the trends in average VCN observed for both AVR-RD-01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nucleated blood cells in the ongoing Phase 1 clinical trial are consistent with the trends observed in a 2017 published study on hematopoietic stem cell gene therapy for ALD in the </w:t>
      </w:r>
      <w:r>
        <w:rPr>
          <w:rFonts w:ascii="Arial" w:cs="Arial" w:eastAsia="Arial" w:hAnsi="Arial"/>
          <w:sz w:val="18"/>
          <w:szCs w:val="18"/>
          <w:i w:val="1"/>
          <w:iCs w:val="1"/>
          <w:color w:val="auto"/>
        </w:rPr>
        <w:t>New England 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Medicine</w:t>
      </w:r>
      <w:r>
        <w:rPr>
          <w:rFonts w:ascii="Arial" w:cs="Arial" w:eastAsia="Arial" w:hAnsi="Arial"/>
          <w:sz w:val="18"/>
          <w:szCs w:val="18"/>
          <w:color w:val="auto"/>
        </w:rPr>
        <w:t>. The table below reflects average VCN data observed for the first two patients in the ongoing Phase 1 clinical trial. Importantly, these VCNs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sufficient to generate plasma AGA enzyme activity in these two patients that was continuously above the range for males with classic Fabry disease.</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Average VCN in Patients Dosed with AVR-RD-01 in the Ongoing Phase 1 Clinical Trial</w:t>
      </w:r>
    </w:p>
    <w:p>
      <w:pPr>
        <w:spacing w:after="0" w:line="251" w:lineRule="exact"/>
        <w:rPr>
          <w:sz w:val="20"/>
          <w:szCs w:val="20"/>
          <w:color w:val="auto"/>
        </w:rPr>
      </w:pPr>
    </w:p>
    <w:tbl>
      <w:tblPr>
        <w:tblLayout w:type="fixed"/>
        <w:tblInd w:w="230" w:type="dxa"/>
        <w:tblCellMar>
          <w:top w:w="0" w:type="dxa"/>
          <w:left w:w="0" w:type="dxa"/>
          <w:bottom w:w="0" w:type="dxa"/>
          <w:right w:w="0" w:type="dxa"/>
        </w:tblCellMar>
      </w:tblPr>
      <w:tr>
        <w:trPr>
          <w:trHeight w:val="162"/>
        </w:trPr>
        <w:tc>
          <w:tcPr>
            <w:tcW w:w="360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3680" w:type="dxa"/>
            <w:vAlign w:val="bottom"/>
            <w:tcBorders>
              <w:top w:val="single" w:sz="8" w:color="auto"/>
              <w:bottom w:val="single" w:sz="8" w:color="auto"/>
              <w:right w:val="single" w:sz="8" w:color="auto"/>
            </w:tcBorders>
          </w:tcPr>
          <w:p>
            <w:pPr>
              <w:jc w:val="center"/>
              <w:ind w:left="3012"/>
              <w:spacing w:after="0"/>
              <w:rPr>
                <w:sz w:val="20"/>
                <w:szCs w:val="20"/>
                <w:color w:val="auto"/>
              </w:rPr>
            </w:pPr>
            <w:r>
              <w:rPr>
                <w:rFonts w:ascii="Arial" w:cs="Arial" w:eastAsia="Arial" w:hAnsi="Arial"/>
                <w:sz w:val="14"/>
                <w:szCs w:val="14"/>
                <w:b w:val="1"/>
                <w:bCs w:val="1"/>
                <w:color w:val="auto"/>
                <w:w w:val="92"/>
              </w:rPr>
              <w:t>Patient 1</w:t>
            </w:r>
          </w:p>
        </w:tc>
        <w:tc>
          <w:tcPr>
            <w:tcW w:w="3760" w:type="dxa"/>
            <w:vAlign w:val="bottom"/>
            <w:tcBorders>
              <w:top w:val="single" w:sz="8" w:color="auto"/>
              <w:bottom w:val="single" w:sz="8" w:color="auto"/>
              <w:right w:val="single" w:sz="8" w:color="auto"/>
            </w:tcBorders>
          </w:tcPr>
          <w:p>
            <w:pPr>
              <w:ind w:left="3140"/>
              <w:spacing w:after="0"/>
              <w:rPr>
                <w:sz w:val="20"/>
                <w:szCs w:val="20"/>
                <w:color w:val="auto"/>
              </w:rPr>
            </w:pPr>
            <w:r>
              <w:rPr>
                <w:rFonts w:ascii="Arial" w:cs="Arial" w:eastAsia="Arial" w:hAnsi="Arial"/>
                <w:sz w:val="14"/>
                <w:szCs w:val="14"/>
                <w:b w:val="1"/>
                <w:bCs w:val="1"/>
                <w:color w:val="auto"/>
                <w:w w:val="99"/>
              </w:rPr>
              <w:t>Patient 2</w:t>
            </w:r>
          </w:p>
        </w:tc>
      </w:tr>
      <w:tr>
        <w:trPr>
          <w:trHeight w:val="210"/>
        </w:trPr>
        <w:tc>
          <w:tcPr>
            <w:tcW w:w="36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Drug Product VCN (day 4)</w:t>
            </w:r>
          </w:p>
        </w:tc>
        <w:tc>
          <w:tcPr>
            <w:tcW w:w="3680" w:type="dxa"/>
            <w:vAlign w:val="bottom"/>
            <w:tcBorders>
              <w:bottom w:val="single" w:sz="8" w:color="auto"/>
              <w:right w:val="single" w:sz="8" w:color="auto"/>
            </w:tcBorders>
            <w:shd w:val="clear" w:color="auto" w:fill="CCEEFF"/>
          </w:tcPr>
          <w:p>
            <w:pPr>
              <w:jc w:val="center"/>
              <w:ind w:left="2992"/>
              <w:spacing w:after="0"/>
              <w:rPr>
                <w:sz w:val="20"/>
                <w:szCs w:val="20"/>
                <w:color w:val="auto"/>
              </w:rPr>
            </w:pPr>
            <w:r>
              <w:rPr>
                <w:rFonts w:ascii="Arial" w:cs="Arial" w:eastAsia="Arial" w:hAnsi="Arial"/>
                <w:sz w:val="18"/>
                <w:szCs w:val="18"/>
                <w:color w:val="auto"/>
                <w:w w:val="91"/>
              </w:rPr>
              <w:t>0.68</w:t>
            </w:r>
          </w:p>
        </w:tc>
        <w:tc>
          <w:tcPr>
            <w:tcW w:w="3760" w:type="dxa"/>
            <w:vAlign w:val="bottom"/>
            <w:tcBorders>
              <w:bottom w:val="single" w:sz="8" w:color="auto"/>
              <w:right w:val="single" w:sz="8" w:color="auto"/>
            </w:tcBorders>
            <w:shd w:val="clear" w:color="auto" w:fill="CCEEFF"/>
          </w:tcPr>
          <w:p>
            <w:pPr>
              <w:jc w:val="center"/>
              <w:ind w:left="2992"/>
              <w:spacing w:after="0"/>
              <w:rPr>
                <w:sz w:val="20"/>
                <w:szCs w:val="20"/>
                <w:color w:val="auto"/>
              </w:rPr>
            </w:pPr>
            <w:r>
              <w:rPr>
                <w:rFonts w:ascii="Arial" w:cs="Arial" w:eastAsia="Arial" w:hAnsi="Arial"/>
                <w:sz w:val="18"/>
                <w:szCs w:val="18"/>
                <w:color w:val="auto"/>
                <w:w w:val="91"/>
              </w:rPr>
              <w:t>1.43</w:t>
            </w:r>
          </w:p>
        </w:tc>
      </w:tr>
      <w:tr>
        <w:trPr>
          <w:trHeight w:val="210"/>
        </w:trPr>
        <w:tc>
          <w:tcPr>
            <w:tcW w:w="36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1 month VCN</w:t>
            </w:r>
          </w:p>
        </w:tc>
        <w:tc>
          <w:tcPr>
            <w:tcW w:w="3680" w:type="dxa"/>
            <w:vAlign w:val="bottom"/>
            <w:tcBorders>
              <w:bottom w:val="single" w:sz="8" w:color="auto"/>
              <w:right w:val="single" w:sz="8" w:color="auto"/>
            </w:tcBorders>
          </w:tcPr>
          <w:p>
            <w:pPr>
              <w:jc w:val="center"/>
              <w:ind w:left="2992"/>
              <w:spacing w:after="0"/>
              <w:rPr>
                <w:sz w:val="20"/>
                <w:szCs w:val="20"/>
                <w:color w:val="auto"/>
              </w:rPr>
            </w:pPr>
            <w:r>
              <w:rPr>
                <w:rFonts w:ascii="Arial" w:cs="Arial" w:eastAsia="Arial" w:hAnsi="Arial"/>
                <w:sz w:val="18"/>
                <w:szCs w:val="18"/>
                <w:color w:val="auto"/>
                <w:w w:val="91"/>
              </w:rPr>
              <w:t>0.42</w:t>
            </w:r>
          </w:p>
        </w:tc>
        <w:tc>
          <w:tcPr>
            <w:tcW w:w="3760" w:type="dxa"/>
            <w:vAlign w:val="bottom"/>
            <w:tcBorders>
              <w:bottom w:val="single" w:sz="8" w:color="auto"/>
              <w:right w:val="single" w:sz="8" w:color="auto"/>
            </w:tcBorders>
          </w:tcPr>
          <w:p>
            <w:pPr>
              <w:jc w:val="center"/>
              <w:ind w:left="2992"/>
              <w:spacing w:after="0"/>
              <w:rPr>
                <w:sz w:val="20"/>
                <w:szCs w:val="20"/>
                <w:color w:val="auto"/>
              </w:rPr>
            </w:pPr>
            <w:r>
              <w:rPr>
                <w:rFonts w:ascii="Arial" w:cs="Arial" w:eastAsia="Arial" w:hAnsi="Arial"/>
                <w:sz w:val="18"/>
                <w:szCs w:val="18"/>
                <w:color w:val="auto"/>
                <w:w w:val="91"/>
              </w:rPr>
              <w:t>0.79</w:t>
            </w:r>
          </w:p>
        </w:tc>
      </w:tr>
      <w:tr>
        <w:trPr>
          <w:trHeight w:val="210"/>
        </w:trPr>
        <w:tc>
          <w:tcPr>
            <w:tcW w:w="36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3 month VCN</w:t>
            </w:r>
          </w:p>
        </w:tc>
        <w:tc>
          <w:tcPr>
            <w:tcW w:w="3680" w:type="dxa"/>
            <w:vAlign w:val="bottom"/>
            <w:tcBorders>
              <w:bottom w:val="single" w:sz="8" w:color="auto"/>
              <w:right w:val="single" w:sz="8" w:color="auto"/>
            </w:tcBorders>
            <w:shd w:val="clear" w:color="auto" w:fill="CCEEFF"/>
          </w:tcPr>
          <w:p>
            <w:pPr>
              <w:jc w:val="center"/>
              <w:ind w:left="2992"/>
              <w:spacing w:after="0"/>
              <w:rPr>
                <w:sz w:val="20"/>
                <w:szCs w:val="20"/>
                <w:color w:val="auto"/>
              </w:rPr>
            </w:pPr>
            <w:r>
              <w:rPr>
                <w:rFonts w:ascii="Arial" w:cs="Arial" w:eastAsia="Arial" w:hAnsi="Arial"/>
                <w:sz w:val="18"/>
                <w:szCs w:val="18"/>
                <w:color w:val="auto"/>
                <w:w w:val="91"/>
              </w:rPr>
              <w:t>0.55</w:t>
            </w:r>
          </w:p>
        </w:tc>
        <w:tc>
          <w:tcPr>
            <w:tcW w:w="3760" w:type="dxa"/>
            <w:vAlign w:val="bottom"/>
            <w:tcBorders>
              <w:bottom w:val="single" w:sz="8" w:color="auto"/>
              <w:right w:val="single" w:sz="8" w:color="auto"/>
            </w:tcBorders>
            <w:shd w:val="clear" w:color="auto" w:fill="CCEEFF"/>
          </w:tcPr>
          <w:p>
            <w:pPr>
              <w:jc w:val="center"/>
              <w:ind w:left="3012"/>
              <w:spacing w:after="0"/>
              <w:rPr>
                <w:sz w:val="20"/>
                <w:szCs w:val="20"/>
                <w:color w:val="auto"/>
              </w:rPr>
            </w:pPr>
            <w:r>
              <w:rPr>
                <w:rFonts w:ascii="Arial" w:cs="Arial" w:eastAsia="Arial" w:hAnsi="Arial"/>
                <w:sz w:val="18"/>
                <w:szCs w:val="18"/>
                <w:color w:val="auto"/>
                <w:w w:val="87"/>
              </w:rPr>
              <w:t>1.1</w:t>
            </w:r>
          </w:p>
        </w:tc>
      </w:tr>
      <w:tr>
        <w:trPr>
          <w:trHeight w:val="210"/>
        </w:trPr>
        <w:tc>
          <w:tcPr>
            <w:tcW w:w="36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6 month VCN</w:t>
            </w:r>
          </w:p>
        </w:tc>
        <w:tc>
          <w:tcPr>
            <w:tcW w:w="3680" w:type="dxa"/>
            <w:vAlign w:val="bottom"/>
            <w:tcBorders>
              <w:bottom w:val="single" w:sz="8" w:color="auto"/>
              <w:right w:val="single" w:sz="8" w:color="auto"/>
            </w:tcBorders>
          </w:tcPr>
          <w:p>
            <w:pPr>
              <w:jc w:val="center"/>
              <w:ind w:left="2992"/>
              <w:spacing w:after="0"/>
              <w:rPr>
                <w:sz w:val="20"/>
                <w:szCs w:val="20"/>
                <w:color w:val="auto"/>
              </w:rPr>
            </w:pPr>
            <w:r>
              <w:rPr>
                <w:rFonts w:ascii="Arial" w:cs="Arial" w:eastAsia="Arial" w:hAnsi="Arial"/>
                <w:sz w:val="18"/>
                <w:szCs w:val="18"/>
                <w:color w:val="auto"/>
                <w:w w:val="91"/>
              </w:rPr>
              <w:t>0.35</w:t>
            </w:r>
          </w:p>
        </w:tc>
        <w:tc>
          <w:tcPr>
            <w:tcW w:w="3760" w:type="dxa"/>
            <w:vAlign w:val="bottom"/>
            <w:tcBorders>
              <w:bottom w:val="single" w:sz="8" w:color="auto"/>
              <w:right w:val="single" w:sz="8" w:color="auto"/>
            </w:tcBorders>
          </w:tcPr>
          <w:p>
            <w:pPr>
              <w:ind w:left="3360"/>
              <w:spacing w:after="0"/>
              <w:rPr>
                <w:sz w:val="20"/>
                <w:szCs w:val="20"/>
                <w:color w:val="auto"/>
              </w:rPr>
            </w:pPr>
            <w:r>
              <w:rPr>
                <w:rFonts w:ascii="Arial" w:cs="Arial" w:eastAsia="Arial" w:hAnsi="Arial"/>
                <w:sz w:val="18"/>
                <w:szCs w:val="18"/>
                <w:color w:val="auto"/>
              </w:rPr>
              <w:t>n/a</w:t>
            </w:r>
          </w:p>
        </w:tc>
      </w:tr>
      <w:tr>
        <w:trPr>
          <w:trHeight w:val="210"/>
        </w:trPr>
        <w:tc>
          <w:tcPr>
            <w:tcW w:w="36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9 month VCN</w:t>
            </w:r>
          </w:p>
        </w:tc>
        <w:tc>
          <w:tcPr>
            <w:tcW w:w="3680" w:type="dxa"/>
            <w:vAlign w:val="bottom"/>
            <w:tcBorders>
              <w:bottom w:val="single" w:sz="8" w:color="auto"/>
              <w:right w:val="single" w:sz="8" w:color="auto"/>
            </w:tcBorders>
            <w:shd w:val="clear" w:color="auto" w:fill="CCEEFF"/>
          </w:tcPr>
          <w:p>
            <w:pPr>
              <w:jc w:val="center"/>
              <w:ind w:left="2992"/>
              <w:spacing w:after="0"/>
              <w:rPr>
                <w:sz w:val="20"/>
                <w:szCs w:val="20"/>
                <w:color w:val="auto"/>
              </w:rPr>
            </w:pPr>
            <w:r>
              <w:rPr>
                <w:rFonts w:ascii="Arial" w:cs="Arial" w:eastAsia="Arial" w:hAnsi="Arial"/>
                <w:sz w:val="18"/>
                <w:szCs w:val="18"/>
                <w:color w:val="auto"/>
                <w:w w:val="91"/>
              </w:rPr>
              <w:t>0.26</w:t>
            </w:r>
          </w:p>
        </w:tc>
        <w:tc>
          <w:tcPr>
            <w:tcW w:w="3760" w:type="dxa"/>
            <w:vAlign w:val="bottom"/>
            <w:tcBorders>
              <w:bottom w:val="single" w:sz="8" w:color="auto"/>
              <w:right w:val="single" w:sz="8" w:color="auto"/>
            </w:tcBorders>
            <w:shd w:val="clear" w:color="auto" w:fill="CCEEFF"/>
          </w:tcPr>
          <w:p>
            <w:pPr>
              <w:ind w:left="3360"/>
              <w:spacing w:after="0"/>
              <w:rPr>
                <w:sz w:val="20"/>
                <w:szCs w:val="20"/>
                <w:color w:val="auto"/>
              </w:rPr>
            </w:pPr>
            <w:r>
              <w:rPr>
                <w:rFonts w:ascii="Arial" w:cs="Arial" w:eastAsia="Arial" w:hAnsi="Arial"/>
                <w:sz w:val="18"/>
                <w:szCs w:val="18"/>
                <w:color w:val="auto"/>
              </w:rPr>
              <w:t>n/a</w:t>
            </w:r>
          </w:p>
        </w:tc>
      </w:tr>
      <w:tr>
        <w:trPr>
          <w:trHeight w:val="210"/>
        </w:trPr>
        <w:tc>
          <w:tcPr>
            <w:tcW w:w="36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12 month VCN</w:t>
            </w:r>
          </w:p>
        </w:tc>
        <w:tc>
          <w:tcPr>
            <w:tcW w:w="3680" w:type="dxa"/>
            <w:vAlign w:val="bottom"/>
            <w:tcBorders>
              <w:bottom w:val="single" w:sz="8" w:color="auto"/>
              <w:right w:val="single" w:sz="8" w:color="auto"/>
            </w:tcBorders>
          </w:tcPr>
          <w:p>
            <w:pPr>
              <w:jc w:val="center"/>
              <w:ind w:left="2992"/>
              <w:spacing w:after="0"/>
              <w:rPr>
                <w:sz w:val="20"/>
                <w:szCs w:val="20"/>
                <w:color w:val="auto"/>
              </w:rPr>
            </w:pPr>
            <w:r>
              <w:rPr>
                <w:rFonts w:ascii="Arial" w:cs="Arial" w:eastAsia="Arial" w:hAnsi="Arial"/>
                <w:sz w:val="18"/>
                <w:szCs w:val="18"/>
                <w:color w:val="auto"/>
                <w:w w:val="91"/>
              </w:rPr>
              <w:t>0.16</w:t>
            </w:r>
          </w:p>
        </w:tc>
        <w:tc>
          <w:tcPr>
            <w:tcW w:w="3760" w:type="dxa"/>
            <w:vAlign w:val="bottom"/>
            <w:tcBorders>
              <w:bottom w:val="single" w:sz="8" w:color="auto"/>
              <w:right w:val="single" w:sz="8" w:color="auto"/>
            </w:tcBorders>
          </w:tcPr>
          <w:p>
            <w:pPr>
              <w:ind w:left="3360"/>
              <w:spacing w:after="0"/>
              <w:rPr>
                <w:sz w:val="20"/>
                <w:szCs w:val="20"/>
                <w:color w:val="auto"/>
              </w:rPr>
            </w:pPr>
            <w:r>
              <w:rPr>
                <w:rFonts w:ascii="Arial" w:cs="Arial" w:eastAsia="Arial" w:hAnsi="Arial"/>
                <w:sz w:val="18"/>
                <w:szCs w:val="18"/>
                <w:color w:val="auto"/>
              </w:rPr>
              <w:t>n/a</w:t>
            </w:r>
          </w:p>
        </w:tc>
      </w:tr>
      <w:tr>
        <w:trPr>
          <w:trHeight w:val="210"/>
        </w:trPr>
        <w:tc>
          <w:tcPr>
            <w:tcW w:w="3600" w:type="dxa"/>
            <w:vAlign w:val="bottom"/>
            <w:tcBorders>
              <w:left w:val="single" w:sz="8" w:color="auto"/>
              <w:bottom w:val="single" w:sz="8" w:color="auto"/>
              <w:right w:val="single" w:sz="8" w:color="auto"/>
            </w:tcBorders>
            <w:shd w:val="clear" w:color="auto" w:fill="CCEEFF"/>
          </w:tcPr>
          <w:p>
            <w:pPr>
              <w:ind w:left="140"/>
              <w:spacing w:after="0"/>
              <w:rPr>
                <w:sz w:val="20"/>
                <w:szCs w:val="20"/>
                <w:color w:val="auto"/>
              </w:rPr>
            </w:pPr>
            <w:r>
              <w:rPr>
                <w:rFonts w:ascii="Arial" w:cs="Arial" w:eastAsia="Arial" w:hAnsi="Arial"/>
                <w:sz w:val="18"/>
                <w:szCs w:val="18"/>
                <w:b w:val="1"/>
                <w:bCs w:val="1"/>
                <w:color w:val="auto"/>
              </w:rPr>
              <w:t>14 month VCN</w:t>
            </w:r>
          </w:p>
        </w:tc>
        <w:tc>
          <w:tcPr>
            <w:tcW w:w="3680" w:type="dxa"/>
            <w:vAlign w:val="bottom"/>
            <w:tcBorders>
              <w:bottom w:val="single" w:sz="8" w:color="auto"/>
              <w:right w:val="single" w:sz="8" w:color="auto"/>
            </w:tcBorders>
            <w:shd w:val="clear" w:color="auto" w:fill="CCEEFF"/>
          </w:tcPr>
          <w:p>
            <w:pPr>
              <w:jc w:val="center"/>
              <w:ind w:left="2992"/>
              <w:spacing w:after="0"/>
              <w:rPr>
                <w:sz w:val="20"/>
                <w:szCs w:val="20"/>
                <w:color w:val="auto"/>
              </w:rPr>
            </w:pPr>
            <w:r>
              <w:rPr>
                <w:rFonts w:ascii="Arial" w:cs="Arial" w:eastAsia="Arial" w:hAnsi="Arial"/>
                <w:sz w:val="18"/>
                <w:szCs w:val="18"/>
                <w:color w:val="auto"/>
                <w:w w:val="91"/>
              </w:rPr>
              <w:t>0.12</w:t>
            </w:r>
          </w:p>
        </w:tc>
        <w:tc>
          <w:tcPr>
            <w:tcW w:w="3760" w:type="dxa"/>
            <w:vAlign w:val="bottom"/>
            <w:tcBorders>
              <w:bottom w:val="single" w:sz="8" w:color="auto"/>
              <w:right w:val="single" w:sz="8" w:color="auto"/>
            </w:tcBorders>
            <w:shd w:val="clear" w:color="auto" w:fill="CCEEFF"/>
          </w:tcPr>
          <w:p>
            <w:pPr>
              <w:ind w:left="3360"/>
              <w:spacing w:after="0"/>
              <w:rPr>
                <w:sz w:val="20"/>
                <w:szCs w:val="20"/>
                <w:color w:val="auto"/>
              </w:rPr>
            </w:pPr>
            <w:r>
              <w:rPr>
                <w:rFonts w:ascii="Arial" w:cs="Arial" w:eastAsia="Arial" w:hAnsi="Arial"/>
                <w:sz w:val="18"/>
                <w:szCs w:val="18"/>
                <w:color w:val="auto"/>
              </w:rPr>
              <w:t>n/a</w:t>
            </w:r>
          </w:p>
        </w:tc>
      </w:tr>
    </w:tbl>
    <w:p>
      <w:pPr>
        <w:spacing w:after="0" w:line="202"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Preliminary results from this clinical trial also indicate the presence of lentiviral-vector inserted sequences in the blood and bone marrow of the first patient, which is a signal for successful transduction of the cells. An analysis of the bone marrow from the first patient in this clinical trial measured at 14 months following treatment with AVR-RD-01 suggests engraftment through this period. Because patients in this trial are also receiving ERT, it is not possible to assess the ability of the functional AGA produced by AVR-RD-01 to drive the reduction of substrates, including Gb3 levels, or reduce symptoms of the disease. Altogether, the results observed to date suggest that AVR-RD-01 is capable of delivering and integrating the gene coding for AGA into the human genome and subsequently enabling expression of active AGA enzyme in patients with Fabry disease.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Safety</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Preliminary safety data from the first two enrolled patients indicate AVR-RD-01 was generally well-tolerated. As of April 26, 2018, there were 47 adverse events reported, 40 of which were assessed by the investigator as being possibly, probably or definitely related to protocol treatment or procedures (which includes apheresis, stem cell transplant procedure, blood draws, insertion of central catheters, drugs used for mobilization of stem cells and/or conditioning, and the drug product). Only one event, the development of a left thigh mass, was originally reported as a serious adverse event but has now been considered by the study investigator as not serious and has resolved in the patient. In addition, investigators observed a suppression of white blood cell counts and thrombocytopenia in both patients which is an expected outcome based on the conditioning regimen. These decreases were transient and not associated with any negative long-term impact on the patients. Because this clinical trial is ongoing, safety data are preliminary and subject to change. Subsequent to April 26, 2018, we have not been notified by the investigators in this clinical trial of any suspected unexpected serious adverse events. In addition, an independent data monitoring committee has reviewed the one-month post-treatment data of each patient treated with AVR-RD-01 and has approved continuing to enroll patients in this clinical trial.</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Phase 2 Multinational Clinical Trial</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June 7, 2018, we dosed the first patient in our open label, multinational Phase 2 clinical trial of AVR-RD-01 in 2018. Enrollment in our</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Phase 2 clinical trial is ongoing, and we expect to enroll eight to 12 treatment-naïve males, 16 years and older, with classic Fabry disease. Our objectives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this trial are to assess safety and efficacy as measured by multiple indicators, such as Gb3 levels in various tissues, kidney and cardiac function,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gastrointestinal symptoms, and pain and quality of life scores. All enrolled patients will receive a single treatment with AVR-RD-01 and will be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followed for 48 weeks to measure safety and efficacy. The first patient dosed in this clinical trial was at an Australian site. Regulatory authorities in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Canada have reviewed our trial application and have allowed the trial to proceed. In addition, we plan to submit applications to allow commencement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clinical trials in the United States to the FDA and in Japan to the Pharmaceuticals and Medical Devices Agency, or PMDA, following meetings with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each of these respective regulatory authorities.</w:t>
      </w:r>
    </w:p>
    <w:p>
      <w:pPr>
        <w:spacing w:after="0" w:line="21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 xml:space="preserve">During our Phase 2 clinical trial, we plan to transition the lentiviral vector from LV1 to our optimized proprietary LV2, which we believe will further improve the efficacy and further enhance the safety of our lentiviral-based gene therapy. Because this proposed transition only impacts the </w:t>
      </w:r>
      <w:r>
        <w:rPr>
          <w:rFonts w:ascii="Arial" w:cs="Arial" w:eastAsia="Arial" w:hAnsi="Arial"/>
          <w:sz w:val="18"/>
          <w:szCs w:val="18"/>
          <w:i w:val="1"/>
          <w:iCs w:val="1"/>
          <w:color w:val="auto"/>
        </w:rPr>
        <w:t>ex</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cell transduction process, and not the actual AGA enzyme that is produced by the transduced cells, or drug product, we believe this transition will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be supported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comparability studies.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AVR-RD-01 has been evaluated in multiple mouse models. Key observations from these preclinical studies serve as the foundation for our lentiviral-based gene therapy approach:</w:t>
      </w:r>
    </w:p>
    <w:p>
      <w:pPr>
        <w:spacing w:after="0" w:line="76" w:lineRule="exact"/>
        <w:rPr>
          <w:sz w:val="20"/>
          <w:szCs w:val="20"/>
          <w:color w:val="auto"/>
        </w:rPr>
      </w:pPr>
    </w:p>
    <w:p>
      <w:pPr>
        <w:ind w:left="1060" w:right="24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AGA cross correction occurs by which AGA in plasma was taken up into cells confirming that efficacy of AGA is not limited only to the cells that receive the gene therapy.</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Lentiviral-based gene therapy targeting stem cells in mouse models of Fabry disease led to an elevated and sustained level of AGA enzyme activity in plasma.</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Increased Enzyme Activity in Fabry Mouse Model After Receiving AVR-RD-01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172085</wp:posOffset>
            </wp:positionV>
            <wp:extent cx="2615565" cy="18694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15565" cy="186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a direct test of the ability of AVR-RD-01 to correct deficiencies in plasma AGA enzyme activity, a mouse model was created using a mouse strain in which the gene for AGA was inactivated. Human stem cells were extracted from patients with Fabry disease and the gene for AGA was added using a lentiviral vector to create AVR-RD-01. AVR-RD-01 was then introduced to the mice. Twelve weeks following administration, the levels of Gb3 in both the spleen and liver were reduced to a statistically significant extent compared to mice that received unmodified cells from patients with Fabry disease. The FDA utilizes reported statistical measures when evaluating the results of a clinical trial, including statistical significance as measured by p-value as an evidentiary standard of efficacy, to evaluate the reported evidence of a product candidate’s safety and efficacy. If not otherwise specified, we used a conventional 5% or lower p-value (p &lt; 0.05) to define statistical significance for the data presented in this prospectus. Levels in other tissues such as the heart and kidney also showed downward trends in Gb3. This study demonstrated that:</w:t>
      </w:r>
    </w:p>
    <w:p>
      <w:pPr>
        <w:spacing w:after="0" w:line="84" w:lineRule="exact"/>
        <w:rPr>
          <w:sz w:val="20"/>
          <w:szCs w:val="20"/>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lentiviral vector could efficiently transform human stem cells into a gene therapy.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AVR-RD-01 could engraft and replicate to produce progeny cells containing the AGA gene.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AGA gene was expressed and functionally active post-treatment.</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Cross correction of AGA produced by cells containing the functional AGA gene caused reductions in Gb3 in various tissues in the mouse model.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Significant Reduction in Gb3 Levels in Multiple Tissues in a NOD/SCID/Fabry Mouse Model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After Receiving AVR-RD-01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160020</wp:posOffset>
            </wp:positionV>
            <wp:extent cx="2718435" cy="21012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718435" cy="2101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0" w:right="240" w:firstLine="441"/>
        <w:spacing w:after="0" w:line="264" w:lineRule="auto"/>
        <w:rPr>
          <w:sz w:val="20"/>
          <w:szCs w:val="20"/>
          <w:color w:val="auto"/>
        </w:rPr>
      </w:pPr>
      <w:r>
        <w:rPr>
          <w:rFonts w:ascii="Arial" w:cs="Arial" w:eastAsia="Arial" w:hAnsi="Arial"/>
          <w:sz w:val="18"/>
          <w:szCs w:val="18"/>
          <w:color w:val="auto"/>
        </w:rPr>
        <w:t>In addition, in a peer reviewed publication, overexpression of functional AGA with levels as high as 3,000 times the normal range in the mouse model over an 18 month period was not linked to toxicity or adverse effects as determined by long-term animal studies, implying a wide therapeutic window.</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AVR-RD-02, Our Gene Therapy for Gaucher Disease</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are developing AVR-RD-02 for the treatment of Type 1 Gaucher disease. We will manufacture AVR-RD-02 from hematopoietic stem cells that are first extracted from the patient, modified to add the gene that encodes for glucocerebrosidase, or GCase, and then infused into the patient. We plan to initiate a Phase 1/2 clinical trial for AVR-RD-02 in patients with Type 1 Gaucher disease and expect to dose the first patient in this clinical trial in 2019 following our filing of a Clinical Trial Application, or CTA, in Canada.</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Gaucher disease is a rare, autosomal recessive, lysosomal storage disease caused by a hereditary deficiency of functional GCase, an enzyme responsible for degrading glucocerebroside, a cell membrane building block, into glucose and lipids within lysosomes of cells. In patients with Gaucher disease, the recycling of glucocerebroside from the breakdown of old red and white blood cells is inhibited, leading to its accumulation in macrophages. These abnormal macrophages, known as Gaucher cells, accumulate in multiple organs, particularly the liver, spleen and bone marrow.</w:t>
      </w:r>
    </w:p>
    <w:p>
      <w:pPr>
        <w:spacing w:after="0" w:line="154"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Gaucher disease is one of the most common lysosomal storage diseases. It is diagnosed in approximately one in 44,000 births worldwide and is more prevalent in certain ethnic groups, such as people of Ashkenazi Jewish heritage. Approximately 90% of patients suffering from Gaucher disease in western countries have Type 1 Gaucher disease, which manifests as multiple morbidities including enlargement of the spleen and liver, low red blood cells, or anemia, low platelet count, or thrombocytopenia, and bone abnormalities including bone pain, fractures and arthritis. Bruising, risk of bleeding and fatigue are common due to the thrombocytopenia and anemia. Type 1 Gaucher disease does not have manifestations of central nervous system symptoms.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Type 1 Gaucher disease is currently treated with bi-weekly infusions of ERT consisting of recombinant GCase over a patient’s lifetime. The most commonly prescribed ERTs for Gaucher disease are Cerezyme, marketed by Sanofi Genzyme, and VPRIV, marketed by Shire.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Although long-term ERT for Gaucher disease results in some therapeutic benefit, ERTs leave patients with significant unmet needs. Twenty-five percent of patients with Gaucher disease continue to experience physical limitations following two years of ERT, and a clinically significant percentage of patients continue to experience bone pain, thrombocytopenia and enlargement of spleen following ten years of ERT. In a published study of ERT therapy for Gaucher disease, six target goals were evaluated, including parameters for hemoglobin and platelet levels, spleen and liver volumes, and general bone pain and severe disabling bone pain known as bone crisis. Following at least four years of ERT in this study, approximately 60% of patients failed to achieve at least one of these target goals. In addition, up to 15% of patients with Gaucher disease develop antibodies that limit the efficacy of the ERT.</w:t>
      </w:r>
    </w:p>
    <w:p>
      <w:pPr>
        <w:spacing w:after="0" w:line="189"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In addition to ERTs, the FDA has approved several oral therapies for the treatment of Gaucher disease, including Zavesca (miglustat) marketed by Actelion and Cerdelga (eliglustat) marketed by Sanofi Genzyme. We believe these oral therapies also provide suboptimal treatment. Zavesca is approved as a second line therapy and is associated with significant toxicities, including diarrhea, weight loss and tremors. Cerdelga is not approved for use in children, has highly variable metabolism due to patient-to-patient genetic variations and is highly susceptible to interactions with other drugs.</w:t>
      </w:r>
    </w:p>
    <w:p>
      <w:pPr>
        <w:spacing w:after="0" w:line="154"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Both ERTs and oral therapies for Gaucher impose significant costs on the healthcare system. In the United States, the annual average cost to the healthcare system per patient prescribed Cerezyme or VPRIV is between approximately $325,000 and $400,000. The annual average cost to the healthcare system per patient prescribed Cerdelga is approximately $250,000. In 2017, Genzyme’s Cerezyme and Cerdelga together generated worldwide net sales of over $1.0 billion and Shire’s VPRIV generated worldwide net sales of approximately $350 million.</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 xml:space="preserve">We are developing AVR-RD-02 to potentially cure patients with Gaucher disease with a single dose of the patient’s own hematopoietic stem cells modified in an </w:t>
      </w:r>
      <w:r>
        <w:rPr>
          <w:rFonts w:ascii="Arial" w:cs="Arial" w:eastAsia="Arial" w:hAnsi="Arial"/>
          <w:sz w:val="17"/>
          <w:szCs w:val="17"/>
          <w:i w:val="1"/>
          <w:iCs w:val="1"/>
          <w:color w:val="auto"/>
        </w:rPr>
        <w:t>ex vivo</w:t>
      </w:r>
      <w:r>
        <w:rPr>
          <w:rFonts w:ascii="Arial" w:cs="Arial" w:eastAsia="Arial" w:hAnsi="Arial"/>
          <w:sz w:val="17"/>
          <w:szCs w:val="17"/>
          <w:color w:val="auto"/>
        </w:rPr>
        <w:t xml:space="preserve"> procedure. AVR-RD-02 is a lentiviral-based gene therapy that contains a codon-optimized human gene and is designed to maximize the likelihood of sustained GCase production in hematopoietic stem cells and their progeny.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Upcoming Clinical Trial</w:t>
      </w:r>
    </w:p>
    <w:p>
      <w:pPr>
        <w:spacing w:after="0" w:line="117" w:lineRule="exact"/>
        <w:rPr>
          <w:sz w:val="20"/>
          <w:szCs w:val="20"/>
          <w:color w:val="auto"/>
        </w:rPr>
      </w:pPr>
    </w:p>
    <w:p>
      <w:pPr>
        <w:ind w:left="200" w:right="180" w:firstLine="441"/>
        <w:spacing w:after="0" w:line="272" w:lineRule="auto"/>
        <w:rPr>
          <w:sz w:val="20"/>
          <w:szCs w:val="20"/>
          <w:color w:val="auto"/>
        </w:rPr>
      </w:pPr>
      <w:r>
        <w:rPr>
          <w:rFonts w:ascii="Arial" w:cs="Arial" w:eastAsia="Arial" w:hAnsi="Arial"/>
          <w:sz w:val="17"/>
          <w:szCs w:val="17"/>
          <w:color w:val="auto"/>
        </w:rPr>
        <w:t>We plan to initiate a Phase 1/2 clinical trial of AVR-RD-02 in patients with Type 1 Gaucher disease and to begin dosing patients in this clinical trial in 2019. We plan to file a CTA in Canada for this trial in the second half of 2018. Our initial clinical trial will be an adaptive trial that will include both treatment-naïve patients and patients that are currently stable on ERT. We intend to enroll 8 to 16 patients, between the ages of 16 and 35, with Type 1 Gaucher disease. Patients currently prescribed ERT will cease treatment throughout the clinical trial. All enrolled patients will receive a single treatment with AVR-RD-02 and will be followed for 52 weeks to measure safety and efficacy. Our efficacy endpoints for this clinical trial will include measures of clinical efficacy, such as liver and spleen volumes, hemoglobin, platelet counts, bone pain and bone density measures along with other blood markers used in Gaucher disease.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 xml:space="preserve">AVR-RD-02 is based on extensive preclinical work from our collaborators at Lund University and leverages findings published in 2015 in </w:t>
      </w:r>
      <w:r>
        <w:rPr>
          <w:rFonts w:ascii="Arial" w:cs="Arial" w:eastAsia="Arial" w:hAnsi="Arial"/>
          <w:sz w:val="18"/>
          <w:szCs w:val="18"/>
          <w:i w:val="1"/>
          <w:iCs w:val="1"/>
          <w:color w:val="auto"/>
        </w:rPr>
        <w:t xml:space="preserve">Molecular Therapy </w:t>
      </w:r>
      <w:r>
        <w:rPr>
          <w:rFonts w:ascii="Arial" w:cs="Arial" w:eastAsia="Arial" w:hAnsi="Arial"/>
          <w:sz w:val="18"/>
          <w:szCs w:val="18"/>
          <w:color w:val="auto"/>
        </w:rPr>
        <w:t>which concluded that, in a Gaucher disease mouse model, a lentiviral-based gene therapy containing the gene for GCase could</w:t>
      </w:r>
      <w:r>
        <w:rPr>
          <w:rFonts w:ascii="Arial" w:cs="Arial" w:eastAsia="Arial" w:hAnsi="Arial"/>
          <w:sz w:val="18"/>
          <w:szCs w:val="18"/>
          <w:i w:val="1"/>
          <w:iCs w:val="1"/>
          <w:color w:val="auto"/>
        </w:rPr>
        <w:t xml:space="preserve"> </w:t>
      </w:r>
      <w:r>
        <w:rPr>
          <w:rFonts w:ascii="Arial" w:cs="Arial" w:eastAsia="Arial" w:hAnsi="Arial"/>
          <w:sz w:val="18"/>
          <w:szCs w:val="18"/>
          <w:color w:val="auto"/>
        </w:rPr>
        <w:t>prevent the development and reverse clinically relevant signs of the disease.</w:t>
      </w:r>
    </w:p>
    <w:p>
      <w:pPr>
        <w:spacing w:after="0" w:line="181"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In preclinical studies, a mouse model of Gaucher disease exhibited increased glucocerebroside levels in the clinically-relevant tissues, the bone marrow, spleen and liver, and mimicked many of the same symptoms seen in patients such as an enlarged spleen. These preclinical studies assessed glucocerebroside levels, Gaucher cell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infiltration, and spleen volume in the mouse model over 20 weeks following treatment with AVR-RD-02. When mice with established disease were treated with AVR-RD-02, glucocerebroside levels decreased and symptoms such as an enlarged spleen were reversed within 20 weeks. Over this period, increased enzyme levels were observed in the bone marrow, spleen and liver in the mouse model. In addition, the mice that were treated with AVR-RD-02 prior to manifesting symptoms did not develop symptoms of the disease. These data support the potential efficacy of AVR-RD-02 to prevent, as well as reverse, symptoms in patients with Gaucher disease.</w:t>
      </w:r>
    </w:p>
    <w:p>
      <w:pPr>
        <w:spacing w:after="0" w:line="40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AVR-RD-02 Leads to a Significant Reduction in Glucocerebroside Levels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Across Multiple Clinically-relevant Tissues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160020</wp:posOffset>
            </wp:positionV>
            <wp:extent cx="3730625" cy="23755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730625" cy="237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color w:val="auto"/>
        </w:rPr>
        <w:t xml:space="preserve">Ex Vivo </w:t>
      </w:r>
      <w:r>
        <w:rPr>
          <w:rFonts w:ascii="Arial" w:cs="Arial" w:eastAsia="Arial" w:hAnsi="Arial"/>
          <w:sz w:val="18"/>
          <w:szCs w:val="18"/>
          <w:b w:val="1"/>
          <w:bCs w:val="1"/>
          <w:color w:val="auto"/>
        </w:rPr>
        <w:t>Lentiviral-based Gene Therapy Leads to a Significant Reduction in</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Spleen Volume in a Mouse Model of Gaucher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160020</wp:posOffset>
            </wp:positionV>
            <wp:extent cx="3730625" cy="21094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730625" cy="2109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60"/>
          </w:cols>
          <w:pgMar w:left="240" w:top="459"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AVR-RD-03, Our Gene Therapy for Pompe Disease</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are developing AVR-RD-03 for the treatment of Pompe disease. We will manufacture AVR-RD-03 from hematopoietic stem cells that are first extracted from the patient, modified to add the gene that encodes for acid alpha glucosidase A, or GAA, attached to a peptide sequence known as a glycosylation-independent lysosomal targeting, or GILT, tag and then infused into the patient. AVR-RD-03 will incorporate a GILT tag because the GILT tag has been found to increase the uptake of GAA into cells, especially in muscle cells by a multiple of 25, which is a particularly important target tissue for patients with Pompe disease.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Pompe disease is a rare, autosomal recessive lysosomal storage disease caused by a mutation in the gene that encodes for GAA that results in the buildup of glycogen, a complex sugar, in the body’s cells. The accumulation of glycogen in certain organs and tissues, especially muscles, impairs normal tissue and organ function. Patients with Pompe disease experience serious muscle related problems, including progressive muscle weakness, especially in the legs and trunk, and the muscles that control breathing. As the disorder progresses, breathing problems can lead to respiratory failure.</w:t>
      </w:r>
    </w:p>
    <w:p>
      <w:pPr>
        <w:spacing w:after="0" w:line="154"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overall diagnosed incidence of Pompe disease is estimated to be approximately one in 58,000 people although frequency and disease progression varies with age of onset, ethnicity and geography. Overall diagnosed incidence of Pompe disease is projected to increase to one in 22,000 people as it is increasingly included in newborn screening panels.</w:t>
      </w:r>
    </w:p>
    <w:p>
      <w:pPr>
        <w:spacing w:after="0" w:line="18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severity of Pompe disease symptoms and rate of progression is highly variable and correlated with age of symptom onset and the degree of enzyme deficiency. Infantile or early onset disease, the most severe form of Pompe disease, accounts for approximately 25% of all affected patients. Those with early-onset disease are usually diagnosed in the first few months of life. Left untreated, these patients can die due to heart failure, respiratory distress or malnutrition resulting from feeding difficulties within the first year of life. Patients with late-onset disease typically have higher enzyme levels and usually have symptoms such as reduced mobility and respiratory problems. Late-onset patients experience progressive difficulty walking and respiratory decline. While life expectancy can vary, Pompe disease is a life-limiting disease that can result in death due to complications from respiratory failure.</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Pompe disease is currently treated with ERT delivered by bi-weekly intravenous infusion. The only approved therapy for Pompe disease is Lumizyme (known as Myozyme outside of the United States), marketed by Sanofi Genzyme, which generated worldwide net sales of over $950 million in 2017. The annual average cost to the healthcare system per patient prescribed Lumizyme in the United States is approximately $500,000.</w:t>
      </w:r>
    </w:p>
    <w:p>
      <w:pPr>
        <w:spacing w:after="0" w:line="14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Though patients treated with ERT for Pompe disease have improved survival and respiratory function, ERT is not curative, and patients in long-term observational studies continue to have increased risk of heart failure and have residual muscle weakness including difficulties swallowing with risk of aspiration. One challenge with ERT treatment for Pompe disease is that a standard dose requires approximately twenty-fold more enzyme compared to standard doses for Fabry or Gaucher diseases. Large doses of Lumizyme that are delivered systemically in order to achieve potentially therapeutic levels in the target tissues result in approximately 90% of patients developing antibodies against the therapy. These antibody responses may impact both the efficacy and safety of Lumizyme. The FDA approval of Lumizyme carries a black box warning related to the risk of severe allergic and immune mediated reactions, including life-threatening anaphylaxis.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are in early preclinical development of AVR-RD-03 to potentially cure patients with late-onset Pompe disease. We are developing AVR-RD-03 to be a gene therapy product containing a codon-optimized human gene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80"/>
          </w:cols>
          <w:pgMar w:left="24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for GAA attached to a GILT tag designed to increase uptake of GAA in muscle cells. AVR-RD-03 will target patients with late onset Pompe disease, which represent the majority of patients with this disease.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Published preclinical results from a mouse model of Pompe disease support the potential of lentiviral-based gene expression of GAA to prevent some of the symptoms of GAA deficiency. These results also demonstrated the need to further increase the uptake of GAA into muscle cells to treat patients, which is a known challenge for ERTs and leads to the use of large quantities of enzyme to attempt to deliver effective treatment levels.</w:t>
      </w:r>
    </w:p>
    <w:p>
      <w:pPr>
        <w:spacing w:after="0" w:line="14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these published preclinical results from a mouse model of Pompe disease, treatment utilizing a lentiviral vector encoding GAA led to increased levels of active enzyme across multiple organs and tissues, including clinically relevant tissues such as heart and diaphragm. This enzyme activity was correlated with reductions in glycogen storage in these tissues. While reduction in left ventricular mass and normalization of heart rate were observed in the mouse models seven to eight months following treatment with this lentiviral-based gene expression of GAA, only lesser improvements in other muscles, such as skeletal muscle strength, were observed.</w:t>
      </w:r>
    </w:p>
    <w:p>
      <w:pPr>
        <w:spacing w:after="0" w:line="188" w:lineRule="exact"/>
        <w:rPr>
          <w:sz w:val="20"/>
          <w:szCs w:val="20"/>
          <w:color w:val="auto"/>
        </w:rPr>
      </w:pPr>
    </w:p>
    <w:p>
      <w:pPr>
        <w:jc w:val="both"/>
        <w:ind w:left="200" w:right="220" w:firstLine="441"/>
        <w:spacing w:after="0" w:line="259" w:lineRule="auto"/>
        <w:rPr>
          <w:sz w:val="20"/>
          <w:szCs w:val="20"/>
          <w:color w:val="auto"/>
        </w:rPr>
      </w:pPr>
      <w:r>
        <w:rPr>
          <w:rFonts w:ascii="Arial" w:cs="Arial" w:eastAsia="Arial" w:hAnsi="Arial"/>
          <w:sz w:val="18"/>
          <w:szCs w:val="18"/>
          <w:color w:val="auto"/>
        </w:rPr>
        <w:t>We believe we can use a GILT tag to address the known challenges of skeletal muscle uptake in patients with Pompe disease. Attachment of a GILT tag to a particular protein can increase the effective uptake of the protein into target tissues. We are designing AVR-RD-03 to use a GILT tag to facilitate GAA uptake into cells and thereby reduce the therapeutically required amount of GAA produced by a patient’s cells following gene therapy treatment.</w:t>
      </w:r>
    </w:p>
    <w:p>
      <w:pPr>
        <w:spacing w:after="0" w:line="187" w:lineRule="exact"/>
        <w:rPr>
          <w:sz w:val="20"/>
          <w:szCs w:val="20"/>
          <w:color w:val="auto"/>
        </w:rPr>
      </w:pPr>
    </w:p>
    <w:p>
      <w:pPr>
        <w:jc w:val="both"/>
        <w:ind w:left="200" w:right="40" w:firstLine="441"/>
        <w:spacing w:after="0" w:line="286" w:lineRule="auto"/>
        <w:rPr>
          <w:sz w:val="20"/>
          <w:szCs w:val="20"/>
          <w:color w:val="auto"/>
        </w:rPr>
      </w:pPr>
      <w:r>
        <w:rPr>
          <w:rFonts w:ascii="Arial" w:cs="Arial" w:eastAsia="Arial" w:hAnsi="Arial"/>
          <w:sz w:val="17"/>
          <w:szCs w:val="17"/>
          <w:color w:val="auto"/>
        </w:rPr>
        <w:t>In mouse models of Pompe, administration of recombinant GAA with the GILT tag demonstrated significant reduction in glycogen in cardiac and skeletal muscles as compared to the administration of recombinant GAA alone. We licensed GILT tag technology from BioMarin and are incorporating a GILT tag into our lentiviral vector with the goal of the patient producing GILT-tagged GAA following treatment with AVR-RD-03.</w:t>
      </w: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GILT-tag Version of Recombinant Human (rh)GAA Impact on Levels of Stored Glycogen Compared to</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non GILT-tagged Recombinant Human (rh)GAA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1205865</wp:posOffset>
            </wp:positionH>
            <wp:positionV relativeFrom="paragraph">
              <wp:posOffset>160020</wp:posOffset>
            </wp:positionV>
            <wp:extent cx="4853940" cy="22980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853940"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AVR-RD-04, Our Gene Therapy for Cystinosis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are developing AVR-RD-04 for the treatment of patients with cystinosis. We will manufacture AVR-RD-04 from hematopoietic stem cells that are first extracted from the patient, modified to add the gene that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80"/>
          </w:cols>
          <w:pgMar w:left="24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encodes for cystinosin, and then infused into the patient. In a planned academic sponsored Phase 1/2 clinical trial, we expect the first patient will be dosed in 2019.</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Disease Overview</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Cystinosis is a rare, genetic, autosomal recessive, lysosomal storage disease caused by the accumulation of the amino acid cystine that is produced in the lysosomes of cells as the result of protein degradation. Cystine is normally transported through the lysosomal membrane to the cytosol where it is reutilized after its transformation to cysteine. In cystinosis, cystine accumulates inside the lysosomes because of a defect in the gene that encodes cystinosin, a protein that transports cystine across the lysosomal membrane. Cystine is poorly soluble and forms crystals as its concentration increases. These crystals build up and cause complications in many organs and tissues. The kidneys and eyes are especially vulnerable to damage, and the muscles, thyroid, pancreas and testes may also be affected.</w:t>
      </w:r>
    </w:p>
    <w:p>
      <w:pPr>
        <w:spacing w:after="0" w:line="19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The most severe form of cystinosis begins in infancy, causing poor growth and a particular type of kidney damage in which certain molecules, such as glucose, amino acids, phosphate, and bicarbonate, that should be reabsorbed into the bloodstream are instead eliminated in the urine. These renal problems ultimately lead to impaired growth and may result in soft, bowed bones, especially in the legs. By the time the patient is approximately two years old, cystine crystals may be present in the cornea, and the buildup of these crystals in the eye causes pain and an increased sensitivity to light. Untreated children with cystinosis may experience complete kidney failure by the age of ten. Other signs and symptoms that may occur in untreated patients, especially after adolescence, include muscle deterioration, blindness, inability to swallow, diabetes, thyroid and nervous system problems. More than 90% of untreated patients require a kidney transplant before the age of 20. It is estimated that cystinosis disease is diagnosed in approximately one in 170,000 people.</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Limitations of Current Therapies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Cystinosis is currently treated with two oral formulations of cysteamine that enter the lysosome and stimulate the breakdown of cystine into products that do not require the cystinosin protein to be transported. Oral treatment can delay the development of kidney failure by six to ten years if it is started at a very early age, however it cannot prevent kidney failure or the development of other complications, such as the formation of cystine crystals in the cornea. The approved oral therapies for cystinosis are Procysbi (delayed release cysteamine bitartrate), marketed by Horizon Orphan and Cystagon (cysteamine bitartrate) marketed by Mylan. The annual average cost to the healthcare system per patient prescribed Procysbi in the United States is between approximately $625,000 and $750,000.</w:t>
      </w:r>
    </w:p>
    <w:p>
      <w:pPr>
        <w:spacing w:after="0" w:line="178"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Procysbi and Cystagon must be taken orally every 12 or six hours, respectively, leading to significant pill burden and compliance challenges. Because cysteamine works by directly binding to cystine, rather than through a typical small molecule that inhibits an enzyme or receptor, a substantial quantity is required. For adults, this can mean taking at least 12 capsules twice a day, every day. Oral therapy with cysteamine is associated with a high degree of noncompliance due to the frequency with which it must be dosed and the accompanying nausea, as well as the acrid sulfur smell that it produces in the breath and body. It has been estimated that only one third of patients are able to adhere to the strict dosing schedule. Studies have shown that adherence diminishes over time in adolescents and adults despite disease impact. Further, oral cysteamine treatment has no effect on ocular cystine crystals deposits, thus requiring patients to be treated with topical cysteamine eye drops which must be applied each hour the patient is awake.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 xml:space="preserve">We are developing AVR-RD-04 to potentially cure patients with cystinosis with a single dose of the patient’s own hematopoietic stem cells modified in an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procedure. AVR-RD-04 is a lentiviral-based gene therapy containing a human gene for cystinosin designed to maximize the likelihood of sustained cystinosin production in hematopoietic stem cells and their progeny.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Upcoming Clinical Trial</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a planned Phase 1/2 clinical trial of AVR-RD-04 that will be conducted by our collaborators at the University of California, San Diego, six patients with cystinosis who are currently being treated with cysteamine will be enrolled. Cystine levels in tissues such as white blood cells and skin will be followed in these patients as well as cystine crystal counts in the eye. Clinical parameters such as kidney function, muscle strength, bone density, and endocrine function will also be followed with the intent of identifying appropriate parameters to inform future clinical development. We expect that patients enrolled in this trial will undergo a more extensive conditioning regimen instead of the milder conditioning regimen we use for our other target indications. Our collaborators plan to submit an investigational new drug application, or IND, in the U.S. prior to commencing this planned clinical trial.</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Preclinical Data</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In order to mimic the human disease, the mouse model for cystinosis has the gene for cystinosin disrupted, resulting in the inability of the cystinosin protein to transport cystine out of the lysosomes. This ultimately results in the accumulation of cystine in all tissues similar to that seen in patients with cystinosis. The ability of mouse stem cells modified with a lentiviral vector containing the gene for human cystinosin to treat cystinosis was then tested in the affected mice.</w:t>
      </w:r>
    </w:p>
    <w:p>
      <w:pPr>
        <w:spacing w:after="0" w:line="187" w:lineRule="exact"/>
        <w:rPr>
          <w:sz w:val="20"/>
          <w:szCs w:val="20"/>
          <w:color w:val="auto"/>
        </w:rPr>
      </w:pPr>
    </w:p>
    <w:p>
      <w:pPr>
        <w:jc w:val="both"/>
        <w:ind w:left="200" w:right="260" w:firstLine="441"/>
        <w:spacing w:after="0" w:line="286" w:lineRule="auto"/>
        <w:rPr>
          <w:sz w:val="20"/>
          <w:szCs w:val="20"/>
          <w:color w:val="auto"/>
        </w:rPr>
      </w:pPr>
      <w:r>
        <w:rPr>
          <w:rFonts w:ascii="Arial" w:cs="Arial" w:eastAsia="Arial" w:hAnsi="Arial"/>
          <w:sz w:val="17"/>
          <w:szCs w:val="17"/>
          <w:color w:val="auto"/>
        </w:rPr>
        <w:t>Introduction of AVR-RD-04 into the diseased mice was observed to significantly lower cystine levels in tissues such as the liver, spleen and, in male mice, the kidney. These lower levels persisted until the end of the experiment at eight months. AVR-RD-04 treatment was also associated with potentially improved kidney function in male mice, thus addressing an essential clinical need in patients with cystinosis.</w:t>
      </w:r>
    </w:p>
    <w:p>
      <w:pPr>
        <w:spacing w:after="0" w:line="378"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AVR-RD-04 Leads to Lower Cystine Levels in Multiple Tissues in a Mouse Model of Cystinosis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172085</wp:posOffset>
            </wp:positionV>
            <wp:extent cx="3164205" cy="19297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16420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a separate experiment in this cystinosis mouse model, lentiviral-marked hematopoietic stem cell transplant using normal mouse stem cells led to the reduction of cystine crystals in the cornea, a clinically significant tissue in patients with cystinsosis. In this cystinosis mouse model, affected mice develop eye disease similar to humans, including crystal deposits in the cornea, central corneal opacification, loss of corneal cellular architecture and eventually a scarred, shrunken eye with no function. Published results from this study demonstrate that abundant hematopoetic stem cell-derived macrophages migrated into the cornea and provided functional cystinosin-bearing lysosomes to the corneal cells. The images below reflect the elimination of cystine crystals in the cornea of the mice following engraftment of the modified allogeneic stem cells. As the level of allogeneic stem cell engraftment increased, greater elimination of the cystine crystals was observed. This indicates that stem cells can migrate to the cornea and cross-correct corneal cells. This result demonstrates that it is possible to correct for the defective cystinosin gene in the eye indirectly through expression of the gene in hematopoietic cells.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Transplantation of Allogeneic Hematopoietic Stem Cells Results in Reduction of</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Cystine Crystals in Corneas of Cystinosis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160020</wp:posOffset>
            </wp:positionV>
            <wp:extent cx="4965700" cy="16554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65700" cy="1655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Industrializing Our Gene Therapies Through Our Outsourced Manufacture and Supply Network</w:t>
      </w:r>
    </w:p>
    <w:p>
      <w:pPr>
        <w:spacing w:after="0" w:line="117"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Our team has leveraged their broad expertise in the manufacturing of gene and cellular therapies to build a global network of CMO partners for the development and manufacture of drug products and outsourced suppliers for the supply of vectors and plasmids. We believe that our third-party CMO partners and suppliers have capacity to accommodate current and future clinical trials and we are continuing to build a global network that will have capacity to generate sufficient quantities to meet our expected commercial needs.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To optimize production of our gene therapies, we are moving our cell processing to an automated, closed system using all disposable supplies. We believe this industrialized manufacturing process will enable a repeatable approach through which we can design and manufacture commercially viable lentiviral gene therapies to potentially treat a large variety of genetic disorders. We expect that our automation of the manufacturing processes will further increase our CMO partners’ manufacturing capacity.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Producing a Patient’s Gene Therapy</w:t>
      </w:r>
    </w:p>
    <w:p>
      <w:pPr>
        <w:spacing w:after="0" w:line="117"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We start the process to produce a patient’s gene therapy with the mobilization of a patient’s stem cells from the bone marrow to the blood stream and isolate them using a standard procedure used in stem cell transplants. We then treat these cells with a lentiviral vector to insert a functional copy of the gene that is defective in the target disease in a 48-hour process. We preserve patients’ modified cells at a very low temperature, using cryopreservation to maintain the cellular material in optimal condition until it is thawed prior to being infused into the patient. The cryopreservation allows us to conduct a number of tests to validate the modified cells prior to introducing them into the patient.</w:t>
      </w:r>
    </w:p>
    <w:p>
      <w:pPr>
        <w:spacing w:after="0" w:line="173"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color w:val="auto"/>
        </w:rPr>
        <w:t>Prior to infusion of the gene therapy-modified cells into the patient, the patients undergo a conditioning regimen to remove some of the patient’s unmodified cells from the bone marrow to create sufficient space for the modified hematopoietic stem cells to engraft and produce their progeny. The conditioning regimen used in our approach for AVR-RD-01, AVR-RD-02 and AVR-RD-03 is planned to be completed in an outpatient setting.</w:t>
      </w:r>
    </w:p>
    <w:p>
      <w:pPr>
        <w:spacing w:after="0" w:line="14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After the conditioning regimen is complete, the genetically-modified stem cells are infused into the patient by intravenous administration in an outpatient setting. After infusion, these cells engraft into the bone marrow, replicate and differentiate into various types of blood cells that will distribute throughout the body. These widely distributed cells lead to sustained expression of the desired therapeutic enzyme or other protein. The sustained expression of the functional enzyme or protein is a direct substitute for the protein currently delivered by ERTs, which require periodic infusions.</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80"/>
          </w:cols>
          <w:pgMar w:left="24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 and Other Barriers to Entry</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proprietary nature of, or protection for, our gene therapy technology, our product candidates, our production methods and supply chain are an important part of our strategy to develop and commercialize novel therapies. To maximize the commercial opportunity for our gene therapies, if approved, we and our partners have been building and continue to build barriers to entry by our competitors, including:</w:t>
      </w:r>
    </w:p>
    <w:p>
      <w:pPr>
        <w:spacing w:after="0" w:line="71" w:lineRule="exact"/>
        <w:rPr>
          <w:sz w:val="20"/>
          <w:szCs w:val="20"/>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in-license and develop know-how, including data, relating to certain of our product candidates.</w:t>
      </w:r>
    </w:p>
    <w:p>
      <w:pPr>
        <w:spacing w:after="0" w:line="130" w:lineRule="exact"/>
        <w:rPr>
          <w:rFonts w:ascii="Arial" w:cs="Arial" w:eastAsia="Arial" w:hAnsi="Arial"/>
          <w:sz w:val="18"/>
          <w:szCs w:val="18"/>
          <w:color w:val="auto"/>
        </w:rPr>
      </w:pPr>
    </w:p>
    <w:p>
      <w:pPr>
        <w:ind w:left="1060" w:right="40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rely on trade secret protection to protect aspects of our business that are not amenable to, or that we do not consider appropriate for, patent protection.</w:t>
      </w:r>
    </w:p>
    <w:p>
      <w:pPr>
        <w:spacing w:after="0" w:line="75" w:lineRule="exact"/>
        <w:rPr>
          <w:rFonts w:ascii="Arial" w:cs="Arial" w:eastAsia="Arial" w:hAnsi="Arial"/>
          <w:sz w:val="18"/>
          <w:szCs w:val="18"/>
          <w:color w:val="auto"/>
        </w:rPr>
      </w:pPr>
    </w:p>
    <w:p>
      <w:pPr>
        <w:jc w:val="both"/>
        <w:ind w:left="1060" w:right="200" w:hanging="424"/>
        <w:spacing w:after="0" w:line="312" w:lineRule="auto"/>
        <w:tabs>
          <w:tab w:leader="none" w:pos="106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Our management team has significant experience in cell processing and commercial-scale cellular therapy manufacturing. Leveraging this experience, we are building our global network of suppliers and CMO partners which combines their expertise in vector manufacturing, a closed, automated manufacturing system, production of current good manufacturing practices, or CGMP, materials and cryopreservation.</w:t>
      </w:r>
    </w:p>
    <w:p>
      <w:pPr>
        <w:spacing w:after="0" w:line="52" w:lineRule="exact"/>
        <w:rPr>
          <w:rFonts w:ascii="Arial" w:cs="Arial" w:eastAsia="Arial" w:hAnsi="Arial"/>
          <w:sz w:val="16"/>
          <w:szCs w:val="16"/>
          <w:color w:val="auto"/>
        </w:rPr>
      </w:pPr>
    </w:p>
    <w:p>
      <w:pPr>
        <w:ind w:left="1060" w:hanging="424"/>
        <w:spacing w:after="0" w:line="286" w:lineRule="auto"/>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Our gene therapies are designed to potentially provide a curative benefit. If our gene therapies are approved before any other potentially curative treatments, we believe the benefits of our approach and the resulting first mover advantage may provide meaningful disincentive for companies seeking to develop potentially curative therapies that may compete with our own. See “—Competition.”</w:t>
      </w:r>
    </w:p>
    <w:p>
      <w:pPr>
        <w:spacing w:after="0" w:line="70" w:lineRule="exact"/>
        <w:rPr>
          <w:rFonts w:ascii="Arial" w:cs="Arial" w:eastAsia="Arial" w:hAnsi="Arial"/>
          <w:sz w:val="17"/>
          <w:szCs w:val="17"/>
          <w:color w:val="auto"/>
        </w:rPr>
      </w:pPr>
    </w:p>
    <w:p>
      <w:pPr>
        <w:ind w:left="1060" w:right="180" w:hanging="424"/>
        <w:spacing w:after="0" w:line="259"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are developing therapies to treat rare diseases and expect to pursue orphan drug designation in the United States and similar protection outside of the United States. These and other regulatory exclusivities, if granted or applicable, can prevent competitors, during the exclusivity period, from obtaining regulatory approval of the same drug or biological product for the same indication. See “—Government Regulation.”</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We currently in-license, and we expect to file our own, patents and patent applications relating to certain of our product candidates.</w:t>
      </w:r>
    </w:p>
    <w:p>
      <w:pPr>
        <w:spacing w:after="0" w:line="237"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We have in-licensed patents and patent applications from BioMarin Pharmaceutical Inc., and GenStem Therapeutics, Inc., directed to compositions and methods related to the manufacture and use of certain of our gene therapies. In addition, we have in-licensed certain intellectual property rights and know-how from the University Health Network and affiliates of Lund University. For example, we have in-licensed know-how and data related to AVR-RD-01, including certain information about the vector and its use, from University Health Network, and we have in-licensed know-how and data related to AVR-RD-02, including certain information about the vector and its use, from certain professors affiliated with Lund University. Each of our licenses are limited to particular fields, such as Fabry disease, Gaucher disease, Pompe disease, or cystinosis, and are subject to certain retained rights. We do not control the prosecution and maintenance of all of our in-licensed patents and patent applications, and our rights to enforce the patents are limited in certain ways. For additional detail regarding the risks associated with our license agreements see “Risk Factors—Risks Related to Intellectual Property.”</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31, 2018, our in-licensed patent portfolio relating to certain of our gene therapies included the following:</w:t>
      </w:r>
    </w:p>
    <w:p>
      <w:pPr>
        <w:spacing w:after="0" w:line="131" w:lineRule="exact"/>
        <w:rPr>
          <w:sz w:val="20"/>
          <w:szCs w:val="20"/>
          <w:color w:val="auto"/>
        </w:rPr>
      </w:pPr>
    </w:p>
    <w:p>
      <w:pPr>
        <w:ind w:left="1060" w:right="20" w:hanging="424"/>
        <w:spacing w:after="0" w:line="279" w:lineRule="auto"/>
        <w:tabs>
          <w:tab w:leader="none" w:pos="1060" w:val="left"/>
        </w:tabs>
        <w:numPr>
          <w:ilvl w:val="0"/>
          <w:numId w:val="64"/>
        </w:numPr>
        <w:rPr>
          <w:rFonts w:ascii="Arial" w:cs="Arial" w:eastAsia="Arial" w:hAnsi="Arial"/>
          <w:sz w:val="17"/>
          <w:szCs w:val="17"/>
          <w:color w:val="auto"/>
        </w:rPr>
      </w:pPr>
      <w:r>
        <w:rPr>
          <w:rFonts w:ascii="Arial" w:cs="Arial" w:eastAsia="Arial" w:hAnsi="Arial"/>
          <w:sz w:val="17"/>
          <w:szCs w:val="17"/>
          <w:i w:val="1"/>
          <w:iCs w:val="1"/>
          <w:color w:val="auto"/>
        </w:rPr>
        <w:t>AVR-RD-03</w:t>
      </w:r>
      <w:r>
        <w:rPr>
          <w:rFonts w:ascii="Arial" w:cs="Arial" w:eastAsia="Arial" w:hAnsi="Arial"/>
          <w:sz w:val="17"/>
          <w:szCs w:val="17"/>
          <w:color w:val="auto"/>
        </w:rPr>
        <w:t>: two United States (U.S.) patents, projected to expire in 2022 and 2023, and one U.S. patent application, which if granted,</w:t>
      </w:r>
      <w:r>
        <w:rPr>
          <w:rFonts w:ascii="Arial" w:cs="Arial" w:eastAsia="Arial" w:hAnsi="Arial"/>
          <w:sz w:val="17"/>
          <w:szCs w:val="17"/>
          <w:i w:val="1"/>
          <w:iCs w:val="1"/>
          <w:color w:val="auto"/>
        </w:rPr>
        <w:t xml:space="preserve"> </w:t>
      </w:r>
      <w:r>
        <w:rPr>
          <w:rFonts w:ascii="Arial" w:cs="Arial" w:eastAsia="Arial" w:hAnsi="Arial"/>
          <w:sz w:val="17"/>
          <w:szCs w:val="17"/>
          <w:color w:val="auto"/>
        </w:rPr>
        <w:t>would be projected to expire in 2029, as well as corresponding patents and patent applications in certain foreign jurisdictions, as they pertain to compositions and methods for promoting lysosomal uptake of acid alpha-glucosidase and the treatment of Pompe disease. These patents and patent applications are licensed to us by BioMarin and relate to the GILT tag; and</w:t>
      </w:r>
    </w:p>
    <w:p>
      <w:pPr>
        <w:spacing w:after="0" w:line="76" w:lineRule="exact"/>
        <w:rPr>
          <w:rFonts w:ascii="Arial" w:cs="Arial" w:eastAsia="Arial" w:hAnsi="Arial"/>
          <w:sz w:val="17"/>
          <w:szCs w:val="17"/>
          <w:color w:val="auto"/>
        </w:rPr>
      </w:pPr>
    </w:p>
    <w:p>
      <w:pPr>
        <w:ind w:left="1060" w:right="120" w:hanging="424"/>
        <w:spacing w:after="0" w:line="277" w:lineRule="auto"/>
        <w:tabs>
          <w:tab w:leader="none" w:pos="10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AVR-RD-04</w:t>
      </w:r>
      <w:r>
        <w:rPr>
          <w:rFonts w:ascii="Arial" w:cs="Arial" w:eastAsia="Arial" w:hAnsi="Arial"/>
          <w:sz w:val="18"/>
          <w:szCs w:val="18"/>
          <w:color w:val="auto"/>
        </w:rPr>
        <w:t>: one international patent (PCT) application, which, if pursued and granted in the United States, would be projected to expire in</w:t>
      </w:r>
      <w:r>
        <w:rPr>
          <w:rFonts w:ascii="Arial" w:cs="Arial" w:eastAsia="Arial" w:hAnsi="Arial"/>
          <w:sz w:val="18"/>
          <w:szCs w:val="18"/>
          <w:i w:val="1"/>
          <w:iCs w:val="1"/>
          <w:color w:val="auto"/>
        </w:rPr>
        <w:t xml:space="preserve"> </w:t>
      </w:r>
      <w:r>
        <w:rPr>
          <w:rFonts w:ascii="Arial" w:cs="Arial" w:eastAsia="Arial" w:hAnsi="Arial"/>
          <w:sz w:val="18"/>
          <w:szCs w:val="18"/>
          <w:color w:val="auto"/>
        </w:rPr>
        <w:t>2038, containing claims directed to hematopoietic stem cells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40"/>
        <w:spacing w:after="0" w:line="277" w:lineRule="auto"/>
        <w:rPr>
          <w:sz w:val="20"/>
          <w:szCs w:val="20"/>
          <w:color w:val="auto"/>
        </w:rPr>
      </w:pPr>
      <w:r>
        <w:rPr>
          <w:rFonts w:ascii="Arial" w:cs="Arial" w:eastAsia="Arial" w:hAnsi="Arial"/>
          <w:sz w:val="18"/>
          <w:szCs w:val="18"/>
          <w:color w:val="auto"/>
        </w:rPr>
        <w:t>expressing cystinosin and methods of using the same for the treatment of cystinosis. This patent application is licensed to us by GenStem Therapeutics, and GenStem obtained its rights from the University of California, San Diego.</w:t>
      </w:r>
    </w:p>
    <w:p>
      <w:pPr>
        <w:spacing w:after="0" w:line="170"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term of any given patent depends upon the legal term of patents in the countries in which they are obtained. In most countries in which we file, the patent term is 20 years from the date of filing the application, subject to the timely payment of maintenance fees, among other considerations. In the United States, a patent’s term may be lengthened by patent term adjustment, which compensates a patentee for administrative delays by the USPTO in granting a patent, or may be shortened if a patent is terminally disclaimed over an earlier-filed commonly owned patent. In addition, in certain instances, a patent term can be extended to recapture a portion of the term effectively lost as a result of FDA regulatory review period. However, the restoration period cannot be longer than five years and the total patent term including the restoration period must not exceed 14 years following FDA approval. In certain foreign jurisdictions similar extensions as compensation for regulatory delays are also available. The actual protection afforded by a patent varies on a claim by claim and country by country basis for each applicable product and depends upon many factors, including the type of patent, the scope of its coverage, the availability of regulatory related extensions, the availability of legal remedies in a particular country and the validity and enforceability of the patent. Currently, we do not own or license patents or patent applications related to our AVR-RD-01 or AVR-RD-02 product candidates. We rely, in some circumstances, on trade secrets and unpatented know-how that is either owned by or licensed to us to protect our technology. We seek to protect our proprietary technology and processes, in part, by entering into confidentiality agreements with our employees, consultants, scientific advisors and contractors.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Exclusive License Agreement with University Health Network</w:t>
      </w:r>
    </w:p>
    <w:p>
      <w:pPr>
        <w:spacing w:after="0" w:line="11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In November 2016, we entered into a license agreement with University Health Network, or UHN, pursuant to which UHN granted us an exclusive worldwide license under certain intellectual property rights and a non-exclusive worldwide license under certain know-how, including certain rights to data, in each case subject to certain retained rights, to develop, commercialize and sell products for use in the treatment of Fabry disease. Intellectual property licensed to us under this agreement relates to our Fabry program. In addition, for three years following the execution of the agreement, UHN granted us an exclusive option to obtain an exclusive license under certain improvements to the licensed intellectual property rights as well as an exclusive option to negotiate a license under certain other improvements. Under the terms of the agreement, we are required to meet certain performance milestones within specified timeframes. UHN may terminate the agreement if we fail to meet these performance milestones despite using commercially reasonable efforts and we are unable to reach agreement with UHN on revised timeframes.</w:t>
      </w:r>
    </w:p>
    <w:p>
      <w:pPr>
        <w:spacing w:after="0" w:line="166"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As consideration for the licenses, we paid to UHN a one-time upfront fee in the amount of C$75,000 and are obligated to pay an additional annual fee until the first sale of a licensed product in certain markets. We are also required to make payments to UHN in connection with the achievement of certain development and regulatory milestones, in an aggregate amount of C$2.45 million, as well as royalties on a country-by-country basis of a low to mid-single digit percentages on annual sales of licensed products and a lower single digit royalty in certain circumstances. Additionally, we will pay a low double digit percentage of all sublicensing revenue. Our royalty obligation expires on a licensed product-by-licensed product and country-by-country basis upon the latest to occur of the expiration or termination of the last valid claim under the licensed patent rights in such country (if and when any such patent rights come into existence under the license agreement in the future), the tenth anniversary of the first commercial sale of such licensed product in such country and the expiration of any applicable regulatory exclusivity in such country.</w:t>
      </w:r>
    </w:p>
    <w:p>
      <w:pPr>
        <w:spacing w:after="0" w:line="166"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 addition, under this agreement we made a philanthropic commitment to donate funds to organizations for the benefit of the Canadian Fabry community in an amount equal to a low double digit percentage of our royalty payments and regulatory milestone payments, up to a maximum amount of C$500,000 in any calendar year.</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Unless terminated earlier, this exclusive license agreement with UHN will expire upon the expiration of our royalty obligation for all licensed products. Either we or UHN may terminate the license agreement if the other party commits a material breach and fails to cure such breach within a certain period of time. UHN may terminate this agreement if we enter into bankruptcy or insolvency. We may terminate this agreement for any reason upon notice to UHN.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License Agreement with Lund University Rights Holders</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January 2017, we entered into an exclusive license agreement with Dr. Stefan Karlsson and Maria Dahl, affiliates of Lund University, pursuant to which Drs. Karlsson and Dahl, and certain other relevant rights holders that may have an interest in intellectual property generated under a research project we are funding with Lund University, granted to us an exclusive worldwide license, subject to certain retained rights, under certain intellectual property rights to develop, commercialize and sell products in any and all uses relevant to Gaucher disease. Intellectual property licensed to us under this agreement relates to our Gaucher program.</w:t>
      </w:r>
    </w:p>
    <w:p>
      <w:pPr>
        <w:spacing w:after="0" w:line="18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consideration for the license, we are required to make payments in connection with the achievement of certain milestones up to an aggregate of $550,000.</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Our license agreement with the rights holders expires on the latest of (i) the twentieth anniversary of the end of a certain research project we are funding pursuant to an agreement with Lund University, (ii) the expiration of the term of any patent filed on the licensed rights that covers a licensed product, (iii) the expiration of any applicable marketing exclusivity right and (iv) such time that neither we nor any of our sublicensees or partners or contractors are commercializing a licensed product. Either we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License Agreement with BioMarin Pharmaceutical Inc.</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In August 2017, we entered into a license agreement with BioMarin Pharmaceutical Inc., or BioMarin, pursuant to which BioMarin granted us an exclusive worldwide license under certain intellectual property rights related to GILT tags owned or controlled by BioMarin to develop, commercialize and sell Retroviridae-based gene therapy products for use in the treatment of Pompe disease. Under the terms of the agreement, we must use commercially reasonable efforts to develop and commercialize one or more licensed products in the United States and certain European countries. In addition, we are required to initiate an IND-enabling pharmacology/toxicology study of a licensed product within a specified period of time.</w:t>
      </w:r>
    </w:p>
    <w:p>
      <w:pPr>
        <w:spacing w:after="0" w:line="15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As consideration for the license, we paid an initial license fee in the amount of $500,000 and issued 233,765 shares of our Series B preferred stock to BioMarin at the time of our Series B financing. We are also obligated to make payments to BioMarin upon achievement of certain milestones up to an aggregate of $13 million and pay to BioMarin a low single digit royalty percentage on net sales of licensed products covered by patent rights in a relevant country. Our royalty obligation expires on a licensed product-by-licensed product and country-by-country basis upon the latest to occur of the expiration or termination of the last valid claim under the licensed patent rights in such country, which is currently projected to occur in 2029, the tenth anniversary of the first commercial sale of such licensed product in such country and the expiration of any applicable regulatory exclusivity in such country.</w:t>
      </w:r>
    </w:p>
    <w:p>
      <w:pPr>
        <w:spacing w:after="0" w:line="189"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Unless terminated earlier, our license agreement with BioMarin will expire upon the expiration of our royalty obligation for all licensed products throughout the world. Either we or BioMarin may terminate the license agreement if the other party commits a material breach and fails to cure such breach within a certain period of time. BioMarin may also terminate the agreement in the event of any challenge or opposition to the licensed patent rights or related actions brought by us or our affiliates or sublicensees, or if we, our affiliates or sublicensees knowingly assist a third party in challenging or otherwise opposing the licensed patent rights, except as required under a court order or subpoena. In addition, BioMarin may terminate the agreement upon our bankruptcy or insolvency. We may terminate the agreement for any reason upon notice to BioMarin.</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24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License Agreement with GenStem Therapeutics Inc.</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In October 2017, we entered into a license agreement with GenStem Therapeutics, Inc., or GenStem, pursuant to which GenStem granted us an exclusive worldwide license, subject to certain retained rights, under certain intellectual property rights owned or controlled by GenStem related to our cystinosis program, including certain rights licensed to GenStem from the University of California, San Diego, to develop, commercialize and sell products for use in the treatment of cystinosis. Under the terms of the agreement, we must use commercially reasonable efforts to develop and commercialize one or more licensed products in the United States and in at least one country from other specified markets. We also agreed to comply with certain access requirements consistent with the California Institute for Regenerative Medicine regulations and to manufacture certain licensed products substantially in the United States.</w:t>
      </w:r>
    </w:p>
    <w:p>
      <w:pPr>
        <w:spacing w:after="0" w:line="189"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As consideration for the license, we paid an initial license fee in the amount of $1 million and are required to make payments upon completion of certain development milestones up to an aggregate of $16 million. Additionally, we will pay to GenStem a tiered mid to high-single digit royalty percentage on annual net sales of licensed products as well as a low double-digit percentage of sublicense income received from certain third party sublicensees. Our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 is currently projected to occur in 2038, whichever is later.</w:t>
      </w:r>
    </w:p>
    <w:p>
      <w:pPr>
        <w:spacing w:after="0" w:line="17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Unless terminated earlier, our license agreement with GenStem will terminate upon the expiration of our royalty obligation for all licensed products throughout the world. Either we or GenStem may terminate the license agreement if the other party commits a material breach and fails to cure such breach within a certain period of time. In addition, we may terminate the agreement for any reason upon notice to GenStem.</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industry is highly competitive and subject to rapid and significant technological change. Our potential competitors include larger pharmaceutical, specialty pharmaceutical and biotechnology companies, as well as academic institutions, government agencies and private and public research institutions. Key competitive factors affecting the commercial success of our gene therapies are likely to be efficacy, safety and tolerability profile, reliability, convenience, price and reimbursement.</w:t>
      </w:r>
    </w:p>
    <w:p>
      <w:pPr>
        <w:spacing w:after="0" w:line="18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market for treatment of lysosomal storage diseases is especially large and competitive. The gene therapies we are currently developing, if approved, will face competition.</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Mergers and acquisitions in the pharmaceutical and biotechnology industries may result in even more resources being concentrated among a small number of our competitors. Accordingly, our competitors may be more successful than we may be in obtaining FDA approval for drugs and achieving widespread market acceptance. Our competitors’ products may be more effective, or more effectively marketed and sold, than any product we may commercialize and may render our gene therapies obsolete or non-competitive before we can recover the expenses of developing and commercializing any of our gene therapies. Our competitors may also obtain FDA or other regulatory approval for their products more rapidly than we may obtain approval for ours. We anticipate that we will face intense and increasing competition as new drugs enter the market and advanced technologies become available. Finally, the development of new treatment methods for the diseases we are targeting could render our gene therapies non-competitive or obsolete. See “Risk Factors—Risks related to the discovery and development of our product candidates—We face significant competition and our competitors may achieve regulatory approval before us or develop therapies that are more advanced or effective than ours, which may adversely affect our ability to successfully market or commercialize any of our product candidates,” and elsewhere in this prospectus for more information regarding competitors and competitive products.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240" w:top="459"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the United States, biological products, including gene therapy products, are subject to regulation under the Federal Food, Drug, and Cosmetic Act, or FD&amp;C Act, and the Public Health Service Act, or PHS Act, and other federal, state, local and foreign statutes and regulations. Both the FD&amp;C Act and the PHS Act and their corresponding regulations govern, among other things, the testing, manufacturing, safety, efficacy, labeling, packaging, storage, record keeping, distribution, reporting, advertising and other promotional practices involving biological products. Each clinical study protocol for a gene therapy product must be reviewed by the FDA and, in some instances, the National Institute of Health, or NIH, through its Recombinant DNA Advisory Committee, or RAC. FDA approval must be obtained before the marketing of biological products.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spacing w:after="0" w:line="179"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Within the FDA, the Center for Biologics Evaluation and Research, or CBER regulates gene therapy products. The CBER works closely with the NIH and its RAC, which makes recommendations to the NIH on gene therapy issues and engages in a public discussion of scientific, safety, ethical and societal issues related to proposed and ongoing gene therapy protocols. The FDA and the NIH have published guidance documents with respect to the development and submission of gene therapy protocols. The FDA also has published guidance documents related to, among other things, gene therapy products in general, their preclinical assessment, observing subjects involved in gene therapy studies for delayed adverse events, potency testing, and chemistry, manufacturing and control information in INDs for gene therapies.</w:t>
      </w:r>
    </w:p>
    <w:p>
      <w:pPr>
        <w:spacing w:after="0" w:line="178"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Ethical, social and legal concerns about gene therapy, genetic testing and genetic research could result in additional regulations restricting or prohibiting the processes we may use. Federal and state agencies, congressional committees and foreign governments have expressed interest in further regulating biotechnology. More restrictive regulations or claims that our products are unsafe or pose a hazard could prevent us from commercializing any products. New government requirements may be established that could delay or prevent regulatory approval of our product candidates under development. It is impossible to predict whether legislative changes will be enacted, regulations, policies or guidance changed, or interpretations by agencies or courts changed, or what the impact of such changes, if any, may be.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Biological Products Development Process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process required by the FDA before a biological product may be marketed in the United States generally involves the following:</w:t>
      </w:r>
    </w:p>
    <w:p>
      <w:pPr>
        <w:spacing w:after="0" w:line="131" w:lineRule="exact"/>
        <w:rPr>
          <w:sz w:val="20"/>
          <w:szCs w:val="20"/>
          <w:color w:val="auto"/>
        </w:rPr>
      </w:pPr>
    </w:p>
    <w:p>
      <w:pPr>
        <w:ind w:left="1060" w:right="140" w:hanging="424"/>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completion of nonclinical laboratory tests and animal studies according to good laboratory practices, or GLPs, and applicable requirements for the humane use of laboratory animals or other applicable regulations;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studies may begin;</w:t>
      </w:r>
    </w:p>
    <w:p>
      <w:pPr>
        <w:spacing w:after="0" w:line="130"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study site before each study may be initiated;</w:t>
      </w:r>
    </w:p>
    <w:p>
      <w:pPr>
        <w:spacing w:after="0" w:line="75" w:lineRule="exact"/>
        <w:rPr>
          <w:rFonts w:ascii="Arial" w:cs="Arial" w:eastAsia="Arial" w:hAnsi="Arial"/>
          <w:sz w:val="18"/>
          <w:szCs w:val="18"/>
          <w:color w:val="auto"/>
        </w:rPr>
      </w:pPr>
    </w:p>
    <w:p>
      <w:pPr>
        <w:ind w:left="1060" w:right="240" w:hanging="424"/>
        <w:spacing w:after="0" w:line="264"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according to the FDA’s regulations commonly referred to as good clinical practices, or GCPs, and any additional requirements for the protection of human research subjects and their health information, to establish the safety and efficacy of the proposed biological product for its intended use;</w:t>
      </w:r>
    </w:p>
    <w:p>
      <w:pPr>
        <w:spacing w:after="0" w:line="86"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submission to the FDA of a Biologics License Application, or BLA, for marketing approval that includes substantive evidence of safety, purity, and potency from results of nonclinical testing and clinical studies;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20" w:hanging="424"/>
        <w:spacing w:after="0" w:line="259"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satisfactory completion of an FDA inspection of the manufacturing facility or facilities where the biological product is produced to assess compliance with current good manufacturing practices, or CGMPs, to assure that the facilities, methods and controls are adequate to preserve the biological product’s identity, strength, quality and purity and, if applicable, the FDA’s current good tissue practices, or GTPs, for the use of human cellular and tissue products;</w:t>
      </w:r>
    </w:p>
    <w:p>
      <w:pPr>
        <w:spacing w:after="0" w:line="92"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BLA;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payment of user fees for FDA review of the BLA (unless a fee waiver applies);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FDA review and approval, or licensure, of the BLA.</w:t>
      </w:r>
    </w:p>
    <w:p>
      <w:pPr>
        <w:spacing w:after="0" w:line="22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Before testing any biological product candidate, including a gene therapy product, in humans, the product candidate enters the preclinical testing stage. Preclinical tests, also referred to as nonclinical studies, include laboratory evaluations of product chemistry, toxicity and formulation, as well as animal studies to assess the potential safety and activity of the product candidate. The conduct of the preclinical tests must comply with federal regulations and requirements including GLPs.</w:t>
      </w:r>
    </w:p>
    <w:p>
      <w:pPr>
        <w:spacing w:after="0" w:line="187" w:lineRule="exact"/>
        <w:rPr>
          <w:sz w:val="20"/>
          <w:szCs w:val="20"/>
          <w:color w:val="auto"/>
        </w:rPr>
      </w:pPr>
    </w:p>
    <w:p>
      <w:pPr>
        <w:jc w:val="both"/>
        <w:ind w:left="200" w:right="460" w:firstLine="441"/>
        <w:spacing w:after="0" w:line="288" w:lineRule="auto"/>
        <w:rPr>
          <w:sz w:val="20"/>
          <w:szCs w:val="20"/>
          <w:color w:val="auto"/>
        </w:rPr>
      </w:pPr>
      <w:r>
        <w:rPr>
          <w:rFonts w:ascii="Arial" w:cs="Arial" w:eastAsia="Arial" w:hAnsi="Arial"/>
          <w:sz w:val="16"/>
          <w:szCs w:val="16"/>
          <w:color w:val="auto"/>
        </w:rPr>
        <w:t>Where a gene therapy study is conducted at, or sponsored by, institutions receiving NIH funding for recombinant DNA research, prior to the submission of an IND to the FDA, a protocol and related documentation is submitted to and the study is registered with the NIH Office of Science Policy, or OSP, pursuant to the NIH Guidelines for Research Involving Recombinant or Synthetic Nucleic Acid Molecules, or NIH Guidelines.</w:t>
      </w:r>
    </w:p>
    <w:p>
      <w:pPr>
        <w:ind w:left="200"/>
        <w:spacing w:after="0" w:line="271" w:lineRule="auto"/>
        <w:rPr>
          <w:sz w:val="20"/>
          <w:szCs w:val="20"/>
          <w:color w:val="auto"/>
        </w:rPr>
      </w:pPr>
      <w:r>
        <w:rPr>
          <w:rFonts w:ascii="Arial" w:cs="Arial" w:eastAsia="Arial" w:hAnsi="Arial"/>
          <w:sz w:val="17"/>
          <w:szCs w:val="17"/>
          <w:color w:val="auto"/>
        </w:rPr>
        <w:t>Compliance with the NIH Guidelines is mandatory for investigators at institutions receiving NIH funds for research involving recombinant DNA; however, many companies and other institutions not otherwise subject to the NIH Guidelines voluntarily follow them. The NIH is responsible for convening the RAC, a federal advisory committee that discusses protocols that raise novel or particularly important scientific, safety or ethical considerations, at one of its quarterly public meetings. The OSP will notify the FDA of the RAC’s decision regarding the necessity for full public review of a gene therapy protocol. RAC proceedings and reports are posted to the OSP web site and may be accessed by the public.</w:t>
      </w:r>
    </w:p>
    <w:p>
      <w:pPr>
        <w:spacing w:after="0" w:line="179" w:lineRule="exact"/>
        <w:rPr>
          <w:sz w:val="20"/>
          <w:szCs w:val="20"/>
          <w:color w:val="auto"/>
        </w:rPr>
      </w:pPr>
    </w:p>
    <w:p>
      <w:pPr>
        <w:ind w:left="200" w:right="80" w:firstLine="441"/>
        <w:spacing w:after="0" w:line="287" w:lineRule="auto"/>
        <w:rPr>
          <w:sz w:val="20"/>
          <w:szCs w:val="20"/>
          <w:color w:val="auto"/>
        </w:rPr>
      </w:pPr>
      <w:r>
        <w:rPr>
          <w:rFonts w:ascii="Arial" w:cs="Arial" w:eastAsia="Arial" w:hAnsi="Arial"/>
          <w:sz w:val="16"/>
          <w:szCs w:val="16"/>
          <w:color w:val="auto"/>
        </w:rPr>
        <w:t>The clinical study sponsor must submit the results of the preclinical tests, together with manufacturing information, analytical data, any available clinical data or literature and a proposed clinical protocol, to the FDA as part of the IND. Some preclinical testing may continue even after the IND is submitted. An IND is a request for authorization from the FDA to ship an unapproved, investigational product in interstate commerce and to administer it to humans, and must become effective before clinical trials may begin. The IND automatically becomes effective 30 days after receipt by the FDA, unless the FDA places the clinical study on a clinical hold within that 30-day time period. In such a case, the IND sponsor and the FDA must resolve any outstanding concerns before the clinical study can begin. With gene therapy protocols, if the FDA allows the IND to proceed, but the RAC decides that full public review of the protocol is warranted, the FDA will request at the completion of its IND review that sponsors delay initiation of the protocol until after completion of the RAC review process. The FDA also may impose clinical holds on a biological product candidate at any time before or during clinical studies due to safety concerns or non-compliance. If the FDA imposes a clinical hold, studies may not recommence without FDA authorization and then only under terms authorized by the FDA. Accordingly, we cannot be sure that submission of an IND will result in the FDA allowing clinical studies to begin, or that, once begun, issues will not arise that suspend or terminate such studies.</w:t>
      </w:r>
    </w:p>
    <w:p>
      <w:pPr>
        <w:spacing w:after="0" w:line="173"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Clinical studies involve the administration of the biological product candidate to healthy volunteers or patients under the supervision of qualified investigators, generally physicians not employed by or under the study sponsor’s control. Clinical studies are conducted under protocols detailing, among other things, the objectives of the clinical study, dosing procedures, subject selection and exclusion criteria, and the parameters to be used to monitor subject safety, including stopping rules that assure a clinical study will be stopped if certain adverse events should occur. Each protocol and any amendments to the protocol must be submitted to the FDA as part of</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24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90" w:lineRule="auto"/>
        <w:rPr>
          <w:sz w:val="20"/>
          <w:szCs w:val="20"/>
          <w:color w:val="auto"/>
        </w:rPr>
      </w:pPr>
      <w:r>
        <w:rPr>
          <w:rFonts w:ascii="Arial" w:cs="Arial" w:eastAsia="Arial" w:hAnsi="Arial"/>
          <w:sz w:val="16"/>
          <w:szCs w:val="16"/>
          <w:color w:val="auto"/>
        </w:rPr>
        <w:t>the IND. Clinical studies must be conducted and monitored in accordance with the FDA’s regulations comprising the GCP requirements, including the requirement that all research subjects provide informed consent. Further, each clinical study must be reviewed and approved by an IRB at or servicing each institution at which the clinical study will be conducted. An IRB is charged with protecting the welfare and rights of study participants and considers such items as whether the risks to individuals participating in the clinical studies are minimized and are reasonable in relation to anticipated benefits. The IRB also approves the form and content of the informed consent that must be signed by each clinical study subject or his or her legal representative and must monitor the clinical study until completed. Clinical research involving recombinant DNA that is subject to NIH guidelines also must be reviewed by an institutional biosafety committee, or IBC, a local institutional committee that reviews and oversees basic and clinical research conducted at that institution. The IBC assesses the safety of the research and identifies any potential risk to public health or the environment.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Clinical studies typically are conducted in three sequential phases that may overlap or be combined:</w:t>
      </w:r>
    </w:p>
    <w:p>
      <w:pPr>
        <w:spacing w:after="0" w:line="131" w:lineRule="exact"/>
        <w:rPr>
          <w:sz w:val="20"/>
          <w:szCs w:val="20"/>
          <w:color w:val="auto"/>
        </w:rPr>
      </w:pPr>
    </w:p>
    <w:p>
      <w:pPr>
        <w:ind w:left="1060" w:right="60" w:hanging="424"/>
        <w:spacing w:after="0" w:line="264"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Phase 1</w:t>
      </w:r>
      <w:r>
        <w:rPr>
          <w:rFonts w:ascii="Arial" w:cs="Arial" w:eastAsia="Arial" w:hAnsi="Arial"/>
          <w:sz w:val="18"/>
          <w:szCs w:val="18"/>
          <w:color w:val="auto"/>
        </w:rPr>
        <w:t>. The biological product is initially introduced into healthy human subjects and tested for safety. In the case of some products for</w:t>
      </w:r>
      <w:r>
        <w:rPr>
          <w:rFonts w:ascii="Arial" w:cs="Arial" w:eastAsia="Arial" w:hAnsi="Arial"/>
          <w:sz w:val="18"/>
          <w:szCs w:val="18"/>
          <w:i w:val="1"/>
          <w:iCs w:val="1"/>
          <w:color w:val="auto"/>
        </w:rPr>
        <w:t xml:space="preserve"> </w:t>
      </w:r>
      <w:r>
        <w:rPr>
          <w:rFonts w:ascii="Arial" w:cs="Arial" w:eastAsia="Arial" w:hAnsi="Arial"/>
          <w:sz w:val="18"/>
          <w:szCs w:val="18"/>
          <w:color w:val="auto"/>
        </w:rPr>
        <w:t>severe or life-threatening diseases, especially when the product may be too inherently toxic to ethically administer to healthy volunteers, the initial human testing is often conducted in patients.</w:t>
      </w:r>
    </w:p>
    <w:p>
      <w:pPr>
        <w:spacing w:after="0" w:line="86" w:lineRule="exact"/>
        <w:rPr>
          <w:rFonts w:ascii="Arial" w:cs="Arial" w:eastAsia="Arial" w:hAnsi="Arial"/>
          <w:sz w:val="18"/>
          <w:szCs w:val="18"/>
          <w:color w:val="auto"/>
        </w:rPr>
      </w:pPr>
    </w:p>
    <w:p>
      <w:pPr>
        <w:ind w:left="1060" w:right="520" w:hanging="424"/>
        <w:spacing w:after="0" w:line="264"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Phase 2</w:t>
      </w:r>
      <w:r>
        <w:rPr>
          <w:rFonts w:ascii="Arial" w:cs="Arial" w:eastAsia="Arial" w:hAnsi="Arial"/>
          <w:sz w:val="18"/>
          <w:szCs w:val="18"/>
          <w:color w:val="auto"/>
        </w:rPr>
        <w:t>. The biological product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86"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 Clinical studies are undertaken to further evaluate dosage, clinical efficacy, potency, and safety in an expanded patient population</w:t>
      </w:r>
      <w:r>
        <w:rPr>
          <w:rFonts w:ascii="Arial" w:cs="Arial" w:eastAsia="Arial" w:hAnsi="Arial"/>
          <w:sz w:val="18"/>
          <w:szCs w:val="18"/>
          <w:i w:val="1"/>
          <w:iCs w:val="1"/>
          <w:color w:val="auto"/>
        </w:rPr>
        <w:t xml:space="preserve"> </w:t>
      </w:r>
      <w:r>
        <w:rPr>
          <w:rFonts w:ascii="Arial" w:cs="Arial" w:eastAsia="Arial" w:hAnsi="Arial"/>
          <w:sz w:val="18"/>
          <w:szCs w:val="18"/>
          <w:color w:val="auto"/>
        </w:rPr>
        <w:t>at geographically dispersed clinical study sites. These clinical studies are intended to establish the overall risk/benefit ratio of the product and provide an adequate basis for approval and product labeling.</w:t>
      </w:r>
    </w:p>
    <w:p>
      <w:pPr>
        <w:spacing w:after="0" w:line="181" w:lineRule="exact"/>
        <w:rPr>
          <w:sz w:val="20"/>
          <w:szCs w:val="20"/>
          <w:color w:val="auto"/>
        </w:rPr>
      </w:pPr>
    </w:p>
    <w:p>
      <w:pPr>
        <w:ind w:left="200" w:right="440"/>
        <w:spacing w:after="0" w:line="257" w:lineRule="auto"/>
        <w:rPr>
          <w:sz w:val="20"/>
          <w:szCs w:val="20"/>
          <w:color w:val="auto"/>
        </w:rPr>
      </w:pPr>
      <w:r>
        <w:rPr>
          <w:rFonts w:ascii="Arial" w:cs="Arial" w:eastAsia="Arial" w:hAnsi="Arial"/>
          <w:sz w:val="18"/>
          <w:szCs w:val="18"/>
          <w:color w:val="auto"/>
        </w:rPr>
        <w:t>Post-approval clinical studies, sometimes referred to as Phase 4 clinical studies, may be conducted after initial marketing approval. These clinical studies are used to gain additional experience from the treatment of patients in the intended therapeutic indication, particularly for long-term safety follow-up. The FDA recommends that sponsors observe subjects for potential gene therapy-related delayed adverse events for a 15-year period, including a minimum of five years of annual examinations followed by ten years of annual queries, either in person or by questionnaire, of study subjects.</w:t>
      </w:r>
    </w:p>
    <w:p>
      <w:pPr>
        <w:spacing w:after="0" w:line="188"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During all phases of clinical development, regulatory agencies require extensive monitoring and auditing of all clinical activities, clinical data, and clinical study investigators. Annual progress reports detailing the results of the clinical studies must be submitted to the FDA. Written IND safety reports must be promptly submitted to the FDA, the NIH and the investigators for serious and unexpected adverse events, any findings from other studies, tests in laboratory animals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studies may not be completed successfully within any specified period, if at all. The FDA or the sponsor, acting on its own or based on a recommendation from the sponsor’s data safety monitoring board may suspend a clinical study at any time on various grounds, including a finding that the research subjects or patients are being exposed to an unacceptable health risk. Similarly, an IRB can suspend or terminate approval of a clinical study at its institution if the clinical study is not being conducted in accordance with the IRB’s requirements or if the biological product has been associated with unexpected serious harm to patients.</w:t>
      </w:r>
    </w:p>
    <w:p>
      <w:pPr>
        <w:spacing w:after="0" w:line="180"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Human gene therapy products are a new category of therapeutics. Because this is a relatively new and expanding area of novel therapeutic interventions, there can be no assurance as to the length of the study period,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9" w:lineRule="auto"/>
        <w:rPr>
          <w:sz w:val="20"/>
          <w:szCs w:val="20"/>
          <w:color w:val="auto"/>
        </w:rPr>
      </w:pPr>
      <w:r>
        <w:rPr>
          <w:rFonts w:ascii="Arial" w:cs="Arial" w:eastAsia="Arial" w:hAnsi="Arial"/>
          <w:sz w:val="18"/>
          <w:szCs w:val="18"/>
          <w:color w:val="auto"/>
        </w:rPr>
        <w:t>the number of patients the FDA will require to be enrolled in the studies in order to establish the safety, efficacy, purity and potency of human gene therapy products, or that the data generated in these studies will be acceptable to the FDA to support marketing approval. The NIH has a publicly accessible database, the Genetic Modification Clinical Research Information System which includes information on gene transfer studies and serves as an electronic tool to facilitate the reporting and analysis of adverse events on these studies.</w:t>
      </w:r>
    </w:p>
    <w:p>
      <w:pPr>
        <w:spacing w:after="0" w:line="18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Concurrent with clinical studies, companies usually complete additional animal studies and also must develop additional information about the physical characteristics of the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Review and Approval Processes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After the completion of clinical studies of a biological product, FDA approval of a BLA must be obtained before commercial marketing of the biological product. The BLA must include results of product 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BLA for filing and, even if filed, that any approval will be granted on a timely basis, if at all.</w:t>
      </w:r>
    </w:p>
    <w:p>
      <w:pPr>
        <w:spacing w:after="0" w:line="18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Within 60 days following submission of the application, the FDA reviews a BLA submitted to determine if it is substantially complete before the agency accepts it for filing. The FDA may refuse to file any BLA that it deems incomplete or not properly reviewable at the time of submission and may request additional information. In this event, the BLA must be resubmitted with the additional information. The resubmitted application also is subject to review before the FDA accepts it for filing. In most cases, the submission of a BLA is subject to a substantial application user fee, although the fee may be waived under certain circumstances. Under the goals and policies agreed to by the FDA under the Prescription Drug User Fee Act, or PDUFA, for original BLAs, the FDA has ten months from the filing date in which to complete its initial review of a standard application and respond to the applicant, and six months from the filing date for an application with priority review. The FDA does not always meet its PDUFA goal dates, and the review process is often significantly extended by FDA requests for additional information or clarification. This review typically takes twelve months from the date the BLA is submitted to the FDA because the FDA has approximately two months to make a ‘‘filing’’ decision. The review process and the PDUFA goal date may be extended by three months if the FDA requests or the BLA sponsor otherwise provides additional information or clarification regarding information already provided in the submission within the last three months before the PDUFA goal date.</w:t>
      </w:r>
    </w:p>
    <w:p>
      <w:pPr>
        <w:spacing w:after="0" w:line="173"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Once the submission is accepted for filing, the FDA begins an in-depth substantive review of the BLA. The FDA reviews the BLA to determine, among other things, whether the proposed product is safe and potent, or effective, for its intended use, and has an acceptable purity profile, and whether the product is being manufactured in accordance with CGMP to assure and preserve the product’s identity, safety, strength, quality, potency and purity. The FDA may refer applications for novel biological products or biological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or REMS, is necessary</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to assure the safe use of the biological product. If the FDA concludes a REMS is needed, the sponsor of the BLA must submit a proposed REMS; the FDA will not approve the BLA without a REMS, if required.</w:t>
      </w:r>
    </w:p>
    <w:p>
      <w:pPr>
        <w:spacing w:after="0" w:line="170"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Before approving a BLA, the FDA typically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For a gene therapy product, the FDA also will not approve the product if the manufacturer is not in compliance with the GTPs. These are FDA regulations that govern the methods used in, and the facilities and controls used for, the manufacture of human cells, tissues, and cellular and tissue based products, or HCT/Ps, which are human cells or tissue intended for implantation, transplant, infusion, or transfer into a human recipient. The primary intent of the GTP requirements is to ensure that cell and tissue based products are manufactured in a manner designed to prevent the introduction, transmission and spread of communicable disease. FDA regulations also require tissue establishments to register and list their HCT/Ps with the FDA and, when applicable, to evaluate donors through screening and testing. Additionally, before approving a BLA, the FDA will typically inspect one or more clinical sites to assure that the clinical studies were conducted in compliance with IND study requirements and GCP requirements. To assure CGMP, GTP and GCP compliance, an applicant must incur significant expenditure of time, money and effort in the areas of training, record keeping, production, and quality control.</w:t>
      </w:r>
    </w:p>
    <w:p>
      <w:pPr>
        <w:spacing w:after="0" w:line="18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Under the Pediatric Research Equity Act, or PREA, a BLA or supplement to a BLA for a novel product (e.g., new active ingredient, new indication, etc.) must contain data to assess the safety and effectiveness of the biological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biological product for an indication for which orphan designation has been granted.</w:t>
      </w:r>
    </w:p>
    <w:p>
      <w:pPr>
        <w:spacing w:after="0" w:line="18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Notwithstanding the submission of relevant data and information, the FDA may ultimately decide that the BLA does not satisfy its regulatory criteria for approval and deny approval. Data obtained from clinical studies are not always conclusive and the FDA may interpret data differently than we interpret the same data. If the agency decides not to approve the BLA in its present form, the FDA will issue a complete response letter that usually describes all of the specific deficiencies in the BLA identified by the FDA. The deficiencies identified may be minor, for example, requiring labeling changes, or major, for example, requiring additional clinical studies. Additionally, the complete response letter may include recommended actions that the applicant might take to place the application in a condition for approval. If a complete response letter is issued, the applicant may either resubmit the BLA, addressing all of the deficiencies identified in the letter, or withdraw the application.</w:t>
      </w:r>
    </w:p>
    <w:p>
      <w:pPr>
        <w:spacing w:after="0" w:line="178"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REMS, or otherwise limit the scope of any approval. In addition, the FDA may require post marketing clinical studies, sometimes referred to as Phase 4 clinical studies, designed to further assess a biological product’s safety and effectiveness, and testing and surveillance programs to monitor the safety of approved products that have been commercialized.</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Orphan Drug Designation</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Orphan product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designation must be requested before submitting a BLA.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81"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Orphan drug designation entitles a party to financial incentives such as opportunities for grant funding towards clinical trial costs, tax advantages and user-fee waivers. 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biological product as defined by the FDA or if our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 Orphan drug status in the European Union has similar, but not identical, benefits.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FDA has various programs, including Fast Track designation, breakthrough therapy designation, accelerated approval and priority review, that are intended to expedite or simplify the process for the development and FDA review of drugs and biologics that are intended for the treatment of serious or life-threatening diseases or conditions. These programs do not change the standards for approval but may expedite the development or approval process. To be eligible for fast track designation, new drugs and biological products must be intended to treat a serious or life-threatening condition and demonstrate the potential to address unmet medical needs for the condition. Fast Track designation applies to the combination of the product and the specific indication for which it is being studied. The sponsor of a new drug or biologic may request the FDA to designate the drug or biologic as a Fast Track product at any time during the clinical development of the product. One benefit of fast track designation, for example, is that the FDA may consider for review sections of the marketing application for a product that has received Fast Track designation on a rolling basis before the complete application is submitted.</w:t>
      </w:r>
    </w:p>
    <w:p>
      <w:pPr>
        <w:spacing w:after="0" w:line="182" w:lineRule="exact"/>
        <w:rPr>
          <w:sz w:val="20"/>
          <w:szCs w:val="20"/>
          <w:color w:val="auto"/>
        </w:rPr>
      </w:pPr>
    </w:p>
    <w:p>
      <w:pPr>
        <w:ind w:left="200" w:right="380" w:firstLine="441"/>
        <w:spacing w:after="0" w:line="302" w:lineRule="auto"/>
        <w:rPr>
          <w:sz w:val="20"/>
          <w:szCs w:val="20"/>
          <w:color w:val="auto"/>
        </w:rPr>
      </w:pPr>
      <w:r>
        <w:rPr>
          <w:rFonts w:ascii="Arial" w:cs="Arial" w:eastAsia="Arial" w:hAnsi="Arial"/>
          <w:sz w:val="16"/>
          <w:szCs w:val="16"/>
          <w:color w:val="auto"/>
        </w:rPr>
        <w:t>Under the breakthrough therapy program, products intended to treat a serious or life-threatening disease or condition may be eligible for the benefits of the Fast Track program when preliminary clinical evidence demonstrates that such product may have substantial improvement on one or more clinically significant endpoints over existing therapies. Additionally, FDA will seek to ensure the sponsor of a breakthrough therapy product receives timely advice and interactive communications to help the sponsor design and conduct a development program as efficiently as possible.</w:t>
      </w:r>
    </w:p>
    <w:p>
      <w:pPr>
        <w:spacing w:after="0" w:line="154"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Any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or biological product designated for priority review in an effort to facilitate the review. Under priority review, the FDA’s goal is to review an application in six months, compared to ten months for a standard review.</w:t>
      </w:r>
    </w:p>
    <w:p>
      <w:pPr>
        <w:spacing w:after="0" w:line="154"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Additionally, a product may be eligible for accelerated approval. Drug or biological products studied for their safety and effectiveness in treating serious or life-threatening illnesses and that provide meaningful therapeutic benefit over existing treatments may receive accelerated approval, which means that they may be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6" w:lineRule="auto"/>
        <w:rPr>
          <w:sz w:val="20"/>
          <w:szCs w:val="20"/>
          <w:color w:val="auto"/>
        </w:rPr>
      </w:pPr>
      <w:r>
        <w:rPr>
          <w:rFonts w:ascii="Arial" w:cs="Arial" w:eastAsia="Arial" w:hAnsi="Arial"/>
          <w:sz w:val="17"/>
          <w:szCs w:val="17"/>
          <w:color w:val="auto"/>
        </w:rPr>
        <w:t>approved on the basis of adequate and well-controlled clinical studies establishing that the product has an effect on a surrogate endpoint that is reasonably likely to predict a clinical benefit, or on the basis of an effect on a clinical endpoint other than survival or irreversible morbidity. As a condition of approval, the FDA may require that a sponsor of a drug or biological product receiving accelerated approval perform adequate and well-controlled post-marketing clinical studies. In addition, the FDA currently requires as a condition for accelerated approval pre-approval of promotional materials, which could adversely impact the timing of the commercial launch of the product.</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Regenerative Medicine Advanced Therapies Designation</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As part of the 21st Century Cures Act, enacted in December 2016, Congress amended the FD&amp;C Act to facilitate an efficient development program for, and expedite review of regenerative medicine advanced therapies, which include cell and gene therapies, therapeutic tissue engineering products, human cell and tissue products, and combination products using any such therapies or products. Regenerative medicine advanced therapies do not include those human cells, tissues, and cellular and tissue based products regulated solely under section 361 of the Public Health Service Act and 21 CFR Part 1271. This program is intended to facilitate efficient development and expedite review of regenerative medicine therapies, which are intended to treat, modify, reverse, or cure a serious or life-threatening disease or condition and qualify for RMAT designation. A drug sponsor may request that FDA designate a drug as a RMAT concurrently with or at any time after submission of an IND. FDA has 60 calendar days to determine whether the drug meets the criteria, including whether there is preliminary clinical evidence indicating that the drug has the potential to address unmet medical needs for a serious or life-threatening disease or condition. A BLA for a regenerative medicine therapy that has received RMAT designation may be eligible for priority review or accelerated approval through use of surrogate or intermediate endpoints reasonably likely to predict long-term clinical benefit, or reliance upon data obtained from a meaningful number of sites. Benefits of RMAT designation also include early interactions with FDA to discuss any potential surrogate or intermediate endpoint to be used to support accelerated approval. A regenerative medicine therapy with RMAT designation that is granted accelerated approval and is subject to post-approval requirements may fulfill such requirements through the submission of clinical evidence from clinical studies, patient registries, or other sources of real world evidence, such as electronic health records; the collection of larger confirmatory data sets; or post-approval monitoring of all patients treated with such therapy prior to its approval. Like FDA’s other expedited development programs, RMAT designation does not change the standards for approval but may expedite the development or approval process.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Maintaining substantial compliance with applicable federal, state, and local statutes and regulations requires the expenditure of substantial time and financial resources. Rigorous and extensive FDA regulation of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 Other post-approval requirements applicable to biological products, include reporting of CGMP deviations that may affect the identity, potency, purity and overall safety of a distributed product, record-keeping requirements, reporting of adverse effects, reporting updated safety and efficacy information, and complying with electronic record and signature requirements. 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clinical holds, warning or untitled letters, product recalls, product seizures, total or partial suspension of production or distribution, injunctions, fines, refusals of government contracts, mandated corrective advertising or communications with doctors or other stakeholders, debarment, restitution, disgorgement of profits, or civil or criminal penalties. Any agency or judicial enforcement action could have a material adverse effect on us.</w:t>
      </w:r>
    </w:p>
    <w:p>
      <w:pPr>
        <w:spacing w:after="0" w:line="169"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Biological product manufacturers and other entities involved in the manufacture and distribution of approved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 of production and quality control to maintain CGMP compliance. Discovery of problems with a product after approval may result in restrictions on a product, manufacturer, or holder of an approved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Patent Term Restoration and Marketing Exclusivity</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Depending upon the timing, duration and specifics of the FDA approval of the use of our product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 BLA plus the time between the submission date of a BLA and the approval of that application. Only one patent applicable to an approved biological product is eligible for the extension and the application for the extension must be submitted prior to the expiration of the patent. In addition, a patent can only be extended once and only for a single product. The U.S. PTO, in consultation with the FDA, reviews and approves the application for any patent term extension or restoration. In the future, we may intend to apply for restoration of patent term for one of our patents, if and as applicable, to add patent life beyond its current expiration date, depending on the expected length of the clinical studies and other factors involved in the filing of the relevant BLA.</w:t>
      </w:r>
    </w:p>
    <w:p>
      <w:pPr>
        <w:spacing w:after="0" w:line="18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 biological product can obtain pediatric market exclusivity in the United States. Pediatric exclusivity, if granted, adds six months to existing exclusivity periods, including some regulatory exclusivity periods tied to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8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Patient Protection and Affordable Care Act, or Affordable Care Act or ACA or PPACA, signed into law on March 23, 2010, includes a subtitle called the Biologics Price Competition and Innovation Act of 2009 which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0" w:lineRule="auto"/>
        <w:rPr>
          <w:sz w:val="20"/>
          <w:szCs w:val="20"/>
          <w:color w:val="auto"/>
        </w:rPr>
      </w:pPr>
      <w:r>
        <w:rPr>
          <w:rFonts w:ascii="Arial" w:cs="Arial" w:eastAsia="Arial" w:hAnsi="Arial"/>
          <w:sz w:val="17"/>
          <w:szCs w:val="17"/>
          <w:color w:val="auto"/>
        </w:rPr>
        <w:t>created an abbreviated approval pathway for biological products shown to be similar to, or interchangeable with, an FDA-licensed reference biological product. This amendment to the PHS Act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However, complexities associated with the larger, and often more complex, structure of biological products, as well as the process by which such products are manufactured, pose significant hurdles to implementation that are still being worked out by the FDA.</w:t>
      </w:r>
    </w:p>
    <w:p>
      <w:pPr>
        <w:spacing w:after="0" w:line="18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A reference biological product is granted four and twelve year exclusivity periods from the time of first licensure of the product. FDA will not accept an application for a biosimilar or interchangeable product based on the reference biological product until four years after the date of first licensure of the reference product, and FDA will not approve an application for a biosimilar or interchangeable product based on the reference biological product until twelve years after the date of first licensure of the reference product. “First licensure” typically means the initial date the particular product at issue was licensed in the United States. Date of first licensure does not include the date of licensure of (and a new period of exclusivity is not available for) a biological product if the licensure is for a supplement for the biological product or for a subsequent application by the same sponsor or manufacturer of the biological product (or licensor, predecessor in interest, or other related entity) for a change (not including a modification to the structure of the biological product) that results in a new indication, route of administration, dosing schedule, dosage form, delivery system, delivery device or strength, or for a modification to the structure of the biological product that does not result in a change in safety, purity, or potency. Therefore, one must determine whether a new product includes a modification to the structure of a previously licensed product that results in a change in safety, purity, or potency to assess whether the licensure of the new product is a first licensure that triggers its own period of exclusivity. Whether a subsequent application, if approved, warrants exclusivity as the “first licensure” of a biological product is determined on a case-by-case basis with data submitted by the sponsor.</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Additional Regulation</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 Foreign Corrupt Practices Act</w:t>
      </w:r>
    </w:p>
    <w:p>
      <w:pPr>
        <w:spacing w:after="0" w:line="11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U.S. Foreign Corrupt Practices Act, to which we are subject, prohibits corporations and individuals from engaging in certain activities to obtain or retain business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 capacity.</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Government Regulation outside of the United States</w:t>
      </w:r>
    </w:p>
    <w:p>
      <w:pPr>
        <w:spacing w:after="0" w:line="11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 Because biologically sourced raw materials are subject to unique contamination risks, their use may be restricted in some countries.</w:t>
      </w:r>
    </w:p>
    <w:p>
      <w:pPr>
        <w:spacing w:after="0" w:line="18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European Union, for example, a Clinical Trial Application, or CTA, must be submitted for each clinical trial to each country’s national health authority and an independent ethics committee, much like the FDA and an IRB, respectively. Once the CTA is approved in accordance with a country’s requirements, the corresponding clinical study may proceed.</w:t>
      </w:r>
    </w:p>
    <w:p>
      <w:pPr>
        <w:spacing w:after="0" w:line="193" w:lineRule="exact"/>
        <w:rPr>
          <w:sz w:val="20"/>
          <w:szCs w:val="20"/>
          <w:color w:val="auto"/>
        </w:rPr>
      </w:pPr>
    </w:p>
    <w:p>
      <w:pPr>
        <w:ind w:left="200" w:right="540" w:firstLine="441"/>
        <w:spacing w:after="0" w:line="264" w:lineRule="auto"/>
        <w:rPr>
          <w:sz w:val="20"/>
          <w:szCs w:val="20"/>
          <w:color w:val="auto"/>
        </w:rPr>
      </w:pPr>
      <w:r>
        <w:rPr>
          <w:rFonts w:ascii="Arial" w:cs="Arial" w:eastAsia="Arial" w:hAnsi="Arial"/>
          <w:sz w:val="18"/>
          <w:szCs w:val="18"/>
          <w:color w:val="auto"/>
        </w:rPr>
        <w:t>The requirements and process governing the conduct of clinical studies, product licensing, pricing and reimbursement vary from country to country. In all cases, the clinical studies must be conducted in accordance with GCP and the applicable regulatory requirements and the ethical principles that have their origin in the Declaration of Helsinki.</w:t>
      </w:r>
    </w:p>
    <w:p>
      <w:pPr>
        <w:spacing w:after="0" w:line="181"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To obtain regulatory approval of an investigational product under European Union regulatory systems, we must submit a marketing authorization application. The application used to file the BLA in the United States is similar to that required in the European Union, with the exception of, among other things, region-specific document requirements. The European Union also provides opportunities for market exclusivity. For example, in the European Union, upon receiving marketing authorization, innovative medicinal products generally receive eight years of data exclusivity and an additional two years of market exclusivity. If granted, data exclusivity prevents regulatory authorities in the European Union from referencing the innovator’s data to assess a generic or biosimilar application. During the additional two-year period of market exclusivity, a generic or biosimilar marketing authorization can be submitted, and the innovator’s data may be referenced, but no generic or biosimilar product can be marketed until the expiration of the market exclusivity. However, there is no guarantee that a product will be considered by the European Union’s regulatory authorities to be an innovative medicinal product, and products may not qualify for data exclusivity. Products receiving orphan designation in the European Union can receive ten years of market exclusivity, during which time no similar medicinal product for the same indication may be placed on the market. An orphan product can also obtain an additional two years of market exclusivity in the European Union for pediatric studies. No extension to any supplementary protection certificate can be granted on the basis of pediatric studies for orphan indications.</w:t>
      </w:r>
    </w:p>
    <w:p>
      <w:pPr>
        <w:spacing w:after="0" w:line="18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criteria for designating an “orphan medicinal product” in the European Union are similar in principle to those in the United States. Under Article 3 of Regulation (EC) 141/2000, a medicinal product may be designated as orphan if (1) it is intended for the diagnosis, prevention or treatment of a life-threatening or chronically debilitating condition; (2) either (a) such condition affects no more than five in 10,000 persons in the European Union when the application is made, or (b) the product, without the benefits derived from orphan status, would not generate sufficient return in the European Union to justify investment; and (3) there exists no satisfactory method of diagnosis, prevention or treatment of such condition authorized for marketing in the European Union, or if such a method exists, the product will be of significant benefit to those affected by the condition, as defined in Regulation (EC) 847/2000. Orphan medicinal products are eligible for financial incentives such as reduction of fees or fee waivers and are, upon grant of a marketing authorization, entitled to ten years of market exclusivity for the approved therapeutic indication. The application for orphan drug designation must be submitted before the application for marketing authorization. The applicant will receive a fee reduction for the marketing authorization application if the orphan drug designation has been granted, but not if the designation is still pending at the time the marketing authorization is submitted. Orphan drug designation does not convey any advantage in, or shorten the duration of, the regulatory review and approval process.</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10-year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w:t>
      </w:r>
    </w:p>
    <w:p>
      <w:pPr>
        <w:spacing w:after="0" w:line="87" w:lineRule="exact"/>
        <w:rPr>
          <w:sz w:val="20"/>
          <w:szCs w:val="20"/>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second applicant can establish that its product, although similar, is safer, more effective or otherwise clinically superior;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applicant consents to a second orphan medicinal product application;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applicant cannot supply enough orphan medicinal product.</w:t>
      </w:r>
    </w:p>
    <w:p>
      <w:pPr>
        <w:spacing w:after="0" w:line="225"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the clinical studies must be conducted in accordance with GCP and the applicable regulatory requirements and the ethical principles that have their origin in the Declaration of Helsinki.</w:t>
      </w:r>
    </w:p>
    <w:p>
      <w:pPr>
        <w:spacing w:after="0" w:line="18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In addition to FDA restrictions on the marketing of pharmaceutical products, we may be subject to various federal and state laws targeting fraud and abuse in the healthcare industry. These laws may impact, among other things, our business or financial arrangements and relationships through which we market, sell and distribute the gene therapies for which we obtain approval. In addition, we may be subject to patient privacy regulation by both the federal government and the states in which we conduct our business. The laws that may affect our ability to operate include:</w:t>
      </w:r>
    </w:p>
    <w:p>
      <w:pPr>
        <w:spacing w:after="0" w:line="60" w:lineRule="exact"/>
        <w:rPr>
          <w:sz w:val="20"/>
          <w:szCs w:val="20"/>
          <w:color w:val="auto"/>
        </w:rPr>
      </w:pPr>
    </w:p>
    <w:p>
      <w:pPr>
        <w:ind w:left="1060" w:right="20" w:hanging="424"/>
        <w:spacing w:after="0" w:line="291" w:lineRule="auto"/>
        <w:tabs>
          <w:tab w:leader="none" w:pos="10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federal False Claims Act or federal civil money penalties statute;</w:t>
      </w:r>
    </w:p>
    <w:p>
      <w:pPr>
        <w:spacing w:after="0" w:line="72" w:lineRule="exact"/>
        <w:rPr>
          <w:rFonts w:ascii="Arial" w:cs="Arial" w:eastAsia="Arial" w:hAnsi="Arial"/>
          <w:sz w:val="16"/>
          <w:szCs w:val="16"/>
          <w:color w:val="auto"/>
        </w:rPr>
      </w:pPr>
    </w:p>
    <w:p>
      <w:pPr>
        <w:ind w:left="1060" w:right="160" w:hanging="424"/>
        <w:spacing w:after="0" w:line="255"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penalties laws, such as the federal False Claims Act, which impose criminal and civil penalties and authorize civil whistleblower or qui tam actions, against individuals or entities for, among other things: knowingly presenting, or causing to be presented, to the federal government, claims for payment that are false or fraudulent; making, using or causing to be made or used, a false statement or record material to a false or fraudulent claim or obligation to pay or transmit money or property to the federal government; or knowingly concealing or knowingly and improperly avoiding or decreasing an obligation to pay money to the federal government;</w:t>
      </w:r>
    </w:p>
    <w:p>
      <w:pPr>
        <w:spacing w:after="0" w:line="98" w:lineRule="exact"/>
        <w:rPr>
          <w:rFonts w:ascii="Arial" w:cs="Arial" w:eastAsia="Arial" w:hAnsi="Arial"/>
          <w:sz w:val="18"/>
          <w:szCs w:val="18"/>
          <w:color w:val="auto"/>
        </w:rPr>
      </w:pPr>
    </w:p>
    <w:p>
      <w:pPr>
        <w:ind w:left="1060" w:right="160" w:hanging="424"/>
        <w:spacing w:after="0" w:line="259"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anti-inducement law, which prohibits, among other things, the offering or giving of remuneration, which includes, without limitation, any transfer of items or services for free or for less than fair market value (with limited exceptions), to a Medicare or Medicaid beneficiary that the person knows or should know is likely to influence the beneficiary’s selection of a particular supplier of items or services reimbursable by a federal or state governmental program;</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20" w:hanging="424"/>
        <w:spacing w:after="0" w:line="291" w:lineRule="auto"/>
        <w:tabs>
          <w:tab w:leader="none" w:pos="10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payer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72" w:lineRule="exact"/>
        <w:rPr>
          <w:rFonts w:ascii="Arial" w:cs="Arial" w:eastAsia="Arial" w:hAnsi="Arial"/>
          <w:sz w:val="16"/>
          <w:szCs w:val="16"/>
          <w:color w:val="auto"/>
        </w:rPr>
      </w:pPr>
    </w:p>
    <w:p>
      <w:pPr>
        <w:ind w:left="1060" w:right="140" w:hanging="424"/>
        <w:spacing w:after="0" w:line="302" w:lineRule="auto"/>
        <w:tabs>
          <w:tab w:leader="none" w:pos="10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59" w:lineRule="exact"/>
        <w:rPr>
          <w:rFonts w:ascii="Arial" w:cs="Arial" w:eastAsia="Arial" w:hAnsi="Arial"/>
          <w:sz w:val="16"/>
          <w:szCs w:val="16"/>
          <w:color w:val="auto"/>
        </w:rPr>
      </w:pPr>
    </w:p>
    <w:p>
      <w:pPr>
        <w:ind w:left="1060" w:right="160" w:hanging="424"/>
        <w:spacing w:after="0" w:line="255"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federal transparency requirements under the Affordable Care Act,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(defined to include doctors, dentists, optometrists, podiatrists and chiropractors) and teaching hospitals, as well as ownership and investment interests held by the physicians described above and their immediate family members;</w:t>
      </w:r>
    </w:p>
    <w:p>
      <w:pPr>
        <w:spacing w:after="0" w:line="98"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federal government price reporting laws, which require us to calculate and report complex pricing metrics in an accurate and timely manner to government programs; and</w:t>
      </w:r>
    </w:p>
    <w:p>
      <w:pPr>
        <w:spacing w:after="0" w:line="75"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Additionally, we are subject to state and foreign equivalents of each of the healthcare laws described above, among others, some of which may be broader in scope and may apply regardless of the payer. Many U.S. states have adopted laws similar to the federal Anti-Kickback Statute, some of which apply to the referral of patients for healthcare services reimbursed by any source, not just governmental payers,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6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Violations of fraud and abuse laws may be punishable by criminal and/or civil sanctions, including penalties, fines, imprisonment and/or exclusion or suspension from federal and state healthcare programs such as Medicare and Medicaid and debarment from contracting with the U.S. government. In addition, private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77" w:lineRule="auto"/>
        <w:rPr>
          <w:sz w:val="20"/>
          <w:szCs w:val="20"/>
          <w:color w:val="auto"/>
        </w:rPr>
      </w:pPr>
      <w:r>
        <w:rPr>
          <w:rFonts w:ascii="Arial" w:cs="Arial" w:eastAsia="Arial" w:hAnsi="Arial"/>
          <w:sz w:val="18"/>
          <w:szCs w:val="18"/>
          <w:color w:val="auto"/>
        </w:rPr>
        <w:t>individuals have the ability to bring actions on behalf of the U.S. government under the federal False Claims Act as well as under the false claims laws of several states.</w:t>
      </w:r>
    </w:p>
    <w:p>
      <w:pPr>
        <w:spacing w:after="0" w:line="170"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Law enforcement authorities are increasingly focused on enforcing fraud and abuse laws, and it is possible that some of our practices may be challenged under these laws. Efforts to ensure that our current and future business arrangements with third parties, and our business generally, will comply with applicable healthcare laws and regulations will involve substantial costs. It is possible that governmental authorities will conclude that our business practices, including our arrangements with physicians and other healthcare providers, some of whom receive stock options as compensation for services provided, may not comply with current or future statutes, regulations, agency guidance or case law involving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gene therapies outside the United States will also likely subject us to foreign equivalents of the healthcare laws mentioned above, among other foreign laws.</w:t>
      </w:r>
    </w:p>
    <w:p>
      <w:pPr>
        <w:spacing w:after="0" w:line="17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If any of the physicians or other healthcare providers or entities with whom we expect to do business are found to be not in compliance with applicable laws, they may be subject to criminal, civil or administrative sanctions, including exclusions from government funded healthcare programs, which may also adversely affect our business.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A primary trend in the U.S. healthcare industry and elsewhere is cost containment. Government authorities and other third-party payers have attempted to control costs by limiting coverage and the amount of reimbursement for particular medical products. For example, in March 2010, the Affordable Care Act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drug manufacturers to new annual fees based on pharmaceutical companies’ share of sales to federal healthcare programs; imposed a new federal excise tax on the sale of certain medical devices; created a new Patient Centered Outcomes Research Institute to oversee, identify priorities in and conduct comparative clinical effectiveness research, along with funding for such research; and established the Center for Medicare Innovation at the CMS to test innovative payment and service delivery models to lower Medicare and Medicaid spending.</w:t>
      </w:r>
    </w:p>
    <w:p>
      <w:pPr>
        <w:spacing w:after="0" w:line="183"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Since its enactment, there have been a number of significant changes to the Affordable Care Act. On October 13, 2017, President Trump signed an Executive Order terminating the cost-sharing subsidies that reimburse insurers under the Affordable Care Act.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Affordable Care Act for plans sold through such marketplaces. In January 2017, President Trump signed an Executive Order directing federal agencies with authorities and responsibilities under the Affordable Care Act to waive, defer, grant exemptions from, or delay the implementation of any provision of the Affordable Care Act that would impose a fiscal or regulatory burden on states, individuals, healthcare providers, health insurers, or manufacturers of</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6" w:lineRule="auto"/>
        <w:rPr>
          <w:sz w:val="20"/>
          <w:szCs w:val="20"/>
          <w:color w:val="auto"/>
        </w:rPr>
      </w:pPr>
      <w:r>
        <w:rPr>
          <w:rFonts w:ascii="Arial" w:cs="Arial" w:eastAsia="Arial" w:hAnsi="Arial"/>
          <w:sz w:val="17"/>
          <w:szCs w:val="17"/>
          <w:color w:val="auto"/>
        </w:rPr>
        <w:t>pharmaceuticals or medical devices. On October 13, 2017, President Trump signed an Executive Order terminating the cost-sharing subsidies that reimburse insurers under the ACA. Several state Attorneys General filed suit to stop the administration from terminating the subsidies, but their request for a restraining order was denied by a federal judge in California on October 25, 2017. In addition, CMS has recently proposed regulations that would give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173"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 the annual fee imposed on certain health insurance providers based on market share, and the medical device exercise tax on non-exempt medical devices. Further, the Bipartisan Budget Act of 2018, or the BBA, among other things, amends the ACA, effective January 1, 2019, to reduce the coverage gap in most Medicare drug plans, commonly referred to as the “donut hole.” Congress will likely consider other legislation to replace or modify elements of the Affordable Care Act. We continue to evaluate the effect that the Affordable Care Act and its possible repeal, replacement or further modification could have on our business. It is uncertain the extent to which any such changes may impact our business or financial condition.</w:t>
      </w:r>
    </w:p>
    <w:p>
      <w:pPr>
        <w:spacing w:after="0" w:line="16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addition, the Budget Control Act of 2011 and the Bipartisan Budget Act of 2015 led to aggregate reductions of Medicare payments to providers of up to 2% per fiscal year that will remain in effect through 2027 unless additional Congressional action is taken. Further,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 More recently, there has been heightened governmental scrutiny over the manner in which manufacturers set prices for their marketed products, which have resulted in several recent Congressional inquiries and proposed bills designed to, among other things,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Significant uncertainty exists as to the coverage and reimbursement status of any gene therapies for which we obtain regulatory approval. In the United States and markets in other countries, sales of any gene therapies for which we receive regulatory approval for commercial sale will depend, in part, on the availability of coverage and reimbursement from third-party payers. Third-party payers include government authorities, managed care providers, private health insurers and other organizations. The process for determining whether a payer will provide coverage for a product may be separate from the process for setting the reimbursement rate that the payer will pay for the product. Third-party payers may limit coverage to specific products on an approved list, or formulary, which might not include all of the FDA-approved products for a particular indication. A decision by a</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24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third-party payer not to cover our gene therapies could reduce physician utilization of our products once approved and have a material adverse effect on our sales, results of operations and financial condition. Moreover, a payer’s decision to provide coverage for a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87"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In addition, coverage and reimbursement for products can differ significantly from payer to payer. One third-party payer’s decision to cover a particular medical product or service does not ensure that other payers will also provide coverage for the medical product or service, or will provide coverage at an adequate reimbursement rate.</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As a result, the coverage determination process will require us to provide scientific and clinical support for the use of our products to each payer separately and will be a time-consuming process.</w:t>
      </w:r>
    </w:p>
    <w:p>
      <w:pPr>
        <w:spacing w:after="0" w:line="17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Third-party payers are increasingly challenging the price and examining the medical necessity and cost-effectiveness of medical products and services, in addition to their safety and efficacy. In order to obtain and maintain coverage and reimbursement for any product, we may need to conduct expensive clinical trials in order to demonstrate the medical necessity and cost-effectiveness of such product, in addition to the costs required to obtain regulatory approvals. If third-party payers do not consider a product to be cost-effective compared to other available therapies, they may not cover the product as a benefit under their plans or, if they do, the level of payment may not be sufficient to allow a company to sell its products at a profit.</w:t>
      </w:r>
    </w:p>
    <w:p>
      <w:pPr>
        <w:spacing w:after="0" w:line="15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Outside of the United States, the pricing of pharmaceutical products is subject to governmental control in many countries. For example, in the European Union, pricing and reimbursement schemes vary widely from country to country. Some countries provide that products may be marketed only after a reimbursement price has been agreed. Some countries may require the completion of additional studies that compare the cost-effectiveness of a particular therapy to currently available therapies or so-called health technology assessments, in order to obtain reimbursement or pricing approval. Other countries may allow companies to fix their own prices for products, but monitor and control product volumes and issue guidance to physicians to limit prescriptions. Efforts to control prices and utilization of pharmaceutical products and medical devices will likely continue as countries attempt to manage healthcare expenditures.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Our corporate headquarters are located in Cambridge, Massachusetts. Our current leased facility encompasses approximately 4,580 square feet of office and laboratory space initially, with the ability to expand up to 11,218 square feet during 2018. The lease for this facility expires in January 2023.</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of June 1, 2018, we had 34 full-time employees, 16 of whom have Ph.D. or M.D. degrees. Of these full-time employees, 24 employees are engaged in research and development activities and ten employees are engaged in finance, legal, human resources, facilities and general management. We have no collective bargaining agreements with our employees and we have not experienced any work stoppages. We consider our relations with our employees to be good.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From time to time, we are subject to various legal proceedings and claims that arise in the ordinary course of our business activities. Although the results of litigation and claims cannot be predicted with certainty, as of the date of this prospectus,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2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80"/>
          </w:cols>
          <w:pgMar w:left="24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the name, age and position of each of our executive officers, directors and director nominees as of June 11, 2018:</w:t>
      </w:r>
    </w:p>
    <w:p>
      <w:pPr>
        <w:spacing w:after="0" w:line="26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920" w:type="dxa"/>
            <w:vAlign w:val="bottom"/>
            <w:gridSpan w:val="2"/>
          </w:tcPr>
          <w:p>
            <w:pPr>
              <w:jc w:val="center"/>
              <w:ind w:left="492"/>
              <w:spacing w:after="0"/>
              <w:rPr>
                <w:sz w:val="20"/>
                <w:szCs w:val="20"/>
                <w:color w:val="auto"/>
              </w:rPr>
            </w:pPr>
            <w:r>
              <w:rPr>
                <w:rFonts w:ascii="Arial" w:cs="Arial" w:eastAsia="Arial" w:hAnsi="Arial"/>
                <w:sz w:val="14"/>
                <w:szCs w:val="14"/>
                <w:b w:val="1"/>
                <w:bCs w:val="1"/>
                <w:color w:val="auto"/>
                <w:w w:val="98"/>
              </w:rPr>
              <w:t>AGE</w:t>
            </w:r>
          </w:p>
        </w:tc>
        <w:tc>
          <w:tcPr>
            <w:tcW w:w="6500" w:type="dxa"/>
            <w:vAlign w:val="bottom"/>
            <w:gridSpan w:val="3"/>
          </w:tcPr>
          <w:p>
            <w:pPr>
              <w:ind w:left="38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6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Executive Officers</w:t>
            </w: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3620" w:type="dxa"/>
            <w:vAlign w:val="bottom"/>
            <w:gridSpan w:val="3"/>
          </w:tcPr>
          <w:p>
            <w:pPr>
              <w:spacing w:after="0"/>
              <w:rPr>
                <w:sz w:val="20"/>
                <w:szCs w:val="20"/>
                <w:color w:val="auto"/>
              </w:rPr>
            </w:pPr>
            <w:r>
              <w:rPr>
                <w:rFonts w:ascii="Arial" w:cs="Arial" w:eastAsia="Arial" w:hAnsi="Arial"/>
                <w:sz w:val="18"/>
                <w:szCs w:val="18"/>
                <w:color w:val="auto"/>
              </w:rPr>
              <w:t>Geoff MacKay</w:t>
            </w:r>
          </w:p>
        </w:tc>
        <w:tc>
          <w:tcPr>
            <w:tcW w:w="92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51</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Katina Dorton</w:t>
            </w:r>
          </w:p>
        </w:tc>
        <w:tc>
          <w:tcPr>
            <w:tcW w:w="9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60</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84"/>
        </w:trPr>
        <w:tc>
          <w:tcPr>
            <w:tcW w:w="3620" w:type="dxa"/>
            <w:vAlign w:val="bottom"/>
            <w:gridSpan w:val="3"/>
          </w:tcPr>
          <w:p>
            <w:pPr>
              <w:spacing w:after="0"/>
              <w:rPr>
                <w:sz w:val="20"/>
                <w:szCs w:val="20"/>
                <w:color w:val="auto"/>
              </w:rPr>
            </w:pPr>
            <w:r>
              <w:rPr>
                <w:rFonts w:ascii="Arial" w:cs="Arial" w:eastAsia="Arial" w:hAnsi="Arial"/>
                <w:sz w:val="18"/>
                <w:szCs w:val="18"/>
                <w:color w:val="auto"/>
              </w:rPr>
              <w:t>Nerissa Kreher, M.D.</w:t>
            </w:r>
          </w:p>
        </w:tc>
        <w:tc>
          <w:tcPr>
            <w:tcW w:w="92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45</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Chief Medical Officer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620" w:type="dxa"/>
            <w:vAlign w:val="bottom"/>
            <w:gridSpan w:val="3"/>
          </w:tcPr>
          <w:p>
            <w:pPr>
              <w:spacing w:after="0"/>
              <w:rPr>
                <w:sz w:val="20"/>
                <w:szCs w:val="20"/>
                <w:color w:val="auto"/>
              </w:rPr>
            </w:pPr>
            <w:r>
              <w:rPr>
                <w:rFonts w:ascii="Arial" w:cs="Arial" w:eastAsia="Arial" w:hAnsi="Arial"/>
                <w:sz w:val="18"/>
                <w:szCs w:val="18"/>
                <w:color w:val="auto"/>
              </w:rPr>
              <w:t>Bruce Booth, D.Phil.</w:t>
            </w:r>
            <w:r>
              <w:rPr>
                <w:rFonts w:ascii="Arial" w:cs="Arial" w:eastAsia="Arial" w:hAnsi="Arial"/>
                <w:sz w:val="15"/>
                <w:szCs w:val="15"/>
                <w:color w:val="auto"/>
              </w:rPr>
              <w:t>(2)</w:t>
            </w:r>
          </w:p>
        </w:tc>
        <w:tc>
          <w:tcPr>
            <w:tcW w:w="92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43</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Ian Clark</w:t>
            </w:r>
            <w:r>
              <w:rPr>
                <w:rFonts w:ascii="Arial" w:cs="Arial" w:eastAsia="Arial" w:hAnsi="Arial"/>
                <w:sz w:val="15"/>
                <w:szCs w:val="15"/>
                <w:color w:val="auto"/>
              </w:rPr>
              <w:t>(2)</w:t>
            </w:r>
          </w:p>
        </w:tc>
        <w:tc>
          <w:tcPr>
            <w:tcW w:w="9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57</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620" w:type="dxa"/>
            <w:vAlign w:val="bottom"/>
            <w:gridSpan w:val="3"/>
          </w:tcPr>
          <w:p>
            <w:pPr>
              <w:spacing w:after="0"/>
              <w:rPr>
                <w:sz w:val="20"/>
                <w:szCs w:val="20"/>
                <w:color w:val="auto"/>
              </w:rPr>
            </w:pPr>
            <w:r>
              <w:rPr>
                <w:rFonts w:ascii="Arial" w:cs="Arial" w:eastAsia="Arial" w:hAnsi="Arial"/>
                <w:sz w:val="18"/>
                <w:szCs w:val="18"/>
                <w:color w:val="auto"/>
              </w:rPr>
              <w:t>Annalisa Jenkins, M.B.B.S., F.R.C.P.</w:t>
            </w:r>
            <w:r>
              <w:rPr>
                <w:rFonts w:ascii="Arial" w:cs="Arial" w:eastAsia="Arial" w:hAnsi="Arial"/>
                <w:sz w:val="15"/>
                <w:szCs w:val="15"/>
                <w:color w:val="auto"/>
              </w:rPr>
              <w:t>(1)(3)</w:t>
            </w:r>
          </w:p>
        </w:tc>
        <w:tc>
          <w:tcPr>
            <w:tcW w:w="920" w:type="dxa"/>
            <w:vAlign w:val="bottom"/>
            <w:gridSpan w:val="2"/>
            <w:vMerge w:val="restart"/>
          </w:tcPr>
          <w:p>
            <w:pPr>
              <w:jc w:val="center"/>
              <w:ind w:left="492"/>
              <w:spacing w:after="0"/>
              <w:rPr>
                <w:sz w:val="20"/>
                <w:szCs w:val="20"/>
                <w:color w:val="auto"/>
              </w:rPr>
            </w:pPr>
            <w:r>
              <w:rPr>
                <w:rFonts w:ascii="Arial" w:cs="Arial" w:eastAsia="Arial" w:hAnsi="Arial"/>
                <w:sz w:val="18"/>
                <w:szCs w:val="18"/>
                <w:color w:val="auto"/>
                <w:w w:val="89"/>
              </w:rPr>
              <w:t>52</w:t>
            </w:r>
          </w:p>
        </w:tc>
        <w:tc>
          <w:tcPr>
            <w:tcW w:w="6500" w:type="dxa"/>
            <w:vAlign w:val="bottom"/>
            <w:gridSpan w:val="3"/>
            <w:vMerge w:val="restart"/>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65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Paige, Ph.D.</w:t>
            </w:r>
            <w:r>
              <w:rPr>
                <w:rFonts w:ascii="Arial" w:cs="Arial" w:eastAsia="Arial" w:hAnsi="Arial"/>
                <w:sz w:val="15"/>
                <w:szCs w:val="15"/>
                <w:color w:val="auto"/>
              </w:rPr>
              <w:t>(3)</w:t>
            </w:r>
          </w:p>
        </w:tc>
        <w:tc>
          <w:tcPr>
            <w:tcW w:w="9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65</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620" w:type="dxa"/>
            <w:vAlign w:val="bottom"/>
            <w:gridSpan w:val="3"/>
          </w:tcPr>
          <w:p>
            <w:pPr>
              <w:spacing w:after="0"/>
              <w:rPr>
                <w:sz w:val="20"/>
                <w:szCs w:val="20"/>
                <w:color w:val="auto"/>
              </w:rPr>
            </w:pPr>
            <w:r>
              <w:rPr>
                <w:rFonts w:ascii="Arial" w:cs="Arial" w:eastAsia="Arial" w:hAnsi="Arial"/>
                <w:sz w:val="18"/>
                <w:szCs w:val="18"/>
                <w:color w:val="auto"/>
              </w:rPr>
              <w:t>Scott Requadt</w:t>
            </w:r>
            <w:r>
              <w:rPr>
                <w:rFonts w:ascii="Arial" w:cs="Arial" w:eastAsia="Arial" w:hAnsi="Arial"/>
                <w:sz w:val="15"/>
                <w:szCs w:val="15"/>
                <w:color w:val="auto"/>
              </w:rPr>
              <w:t>(1)(2)</w:t>
            </w:r>
          </w:p>
        </w:tc>
        <w:tc>
          <w:tcPr>
            <w:tcW w:w="920" w:type="dxa"/>
            <w:vAlign w:val="bottom"/>
            <w:gridSpan w:val="2"/>
          </w:tcPr>
          <w:p>
            <w:pPr>
              <w:jc w:val="center"/>
              <w:ind w:left="492"/>
              <w:spacing w:after="0"/>
              <w:rPr>
                <w:sz w:val="20"/>
                <w:szCs w:val="20"/>
                <w:color w:val="auto"/>
              </w:rPr>
            </w:pPr>
            <w:r>
              <w:rPr>
                <w:rFonts w:ascii="Arial" w:cs="Arial" w:eastAsia="Arial" w:hAnsi="Arial"/>
                <w:sz w:val="18"/>
                <w:szCs w:val="18"/>
                <w:color w:val="auto"/>
                <w:w w:val="89"/>
              </w:rPr>
              <w:t>50</w:t>
            </w:r>
          </w:p>
        </w:tc>
        <w:tc>
          <w:tcPr>
            <w:tcW w:w="6500" w:type="dxa"/>
            <w:vAlign w:val="bottom"/>
            <w:gridSpan w:val="3"/>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Joshua Resnick, M.D.</w:t>
            </w:r>
            <w:r>
              <w:rPr>
                <w:rFonts w:ascii="Arial" w:cs="Arial" w:eastAsia="Arial" w:hAnsi="Arial"/>
                <w:sz w:val="15"/>
                <w:szCs w:val="15"/>
                <w:color w:val="auto"/>
              </w:rPr>
              <w:t>(3)</w:t>
            </w:r>
          </w:p>
        </w:tc>
        <w:tc>
          <w:tcPr>
            <w:tcW w:w="9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42</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Director Nominee</w:t>
            </w: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420" w:type="dxa"/>
            <w:vAlign w:val="bottom"/>
          </w:tcPr>
          <w:p>
            <w:pPr>
              <w:spacing w:after="0"/>
              <w:rPr>
                <w:sz w:val="5"/>
                <w:szCs w:val="5"/>
                <w:color w:val="auto"/>
              </w:rPr>
            </w:pPr>
          </w:p>
        </w:tc>
        <w:tc>
          <w:tcPr>
            <w:tcW w:w="3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Phillip Donenberg</w:t>
            </w:r>
            <w:r>
              <w:rPr>
                <w:rFonts w:ascii="Arial" w:cs="Arial" w:eastAsia="Arial" w:hAnsi="Arial"/>
                <w:sz w:val="15"/>
                <w:szCs w:val="15"/>
                <w:color w:val="auto"/>
              </w:rPr>
              <w:t>(1)</w:t>
            </w:r>
          </w:p>
        </w:tc>
        <w:tc>
          <w:tcPr>
            <w:tcW w:w="92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89"/>
              </w:rPr>
              <w:t>57</w:t>
            </w:r>
          </w:p>
        </w:tc>
        <w:tc>
          <w:tcPr>
            <w:tcW w:w="65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Director Nominee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200" w:right="360" w:firstLine="441"/>
        <w:spacing w:after="0" w:line="286" w:lineRule="auto"/>
        <w:rPr>
          <w:sz w:val="20"/>
          <w:szCs w:val="20"/>
          <w:color w:val="auto"/>
        </w:rPr>
      </w:pPr>
      <w:r>
        <w:rPr>
          <w:rFonts w:ascii="Arial" w:cs="Arial" w:eastAsia="Arial" w:hAnsi="Arial"/>
          <w:sz w:val="16"/>
          <w:szCs w:val="16"/>
          <w:b w:val="1"/>
          <w:bCs w:val="1"/>
          <w:i w:val="1"/>
          <w:iCs w:val="1"/>
          <w:color w:val="auto"/>
        </w:rPr>
        <w:t xml:space="preserve">Geoff MacKay </w:t>
      </w:r>
      <w:r>
        <w:rPr>
          <w:rFonts w:ascii="Arial" w:cs="Arial" w:eastAsia="Arial" w:hAnsi="Arial"/>
          <w:sz w:val="16"/>
          <w:szCs w:val="16"/>
          <w:color w:val="auto"/>
        </w:rPr>
        <w:t>is our co-founder and has been our chief executive officer and director since November 2015. From April 2015 to June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MacKay served as interim chief executive officer of eGenesis, Inc., a biotechnology company, and from December 2003 to December 2014, he served as chief executive officer of Organogensis Inc., a biotechnology company. Prior to that, from February 1993 to December 2003, Mr. MacKay served in various senior leadership positions within the global transplantation &amp; immunology franchise at Novartis Canada, Global (Basel), USA.</w:t>
      </w:r>
    </w:p>
    <w:p>
      <w:pPr>
        <w:spacing w:after="0" w:line="2" w:lineRule="exact"/>
        <w:rPr>
          <w:sz w:val="20"/>
          <w:szCs w:val="20"/>
          <w:color w:val="auto"/>
        </w:rPr>
      </w:pPr>
    </w:p>
    <w:p>
      <w:pPr>
        <w:ind w:left="200" w:right="200"/>
        <w:spacing w:after="0" w:line="273" w:lineRule="auto"/>
        <w:rPr>
          <w:sz w:val="20"/>
          <w:szCs w:val="20"/>
          <w:color w:val="auto"/>
        </w:rPr>
      </w:pPr>
      <w:r>
        <w:rPr>
          <w:rFonts w:ascii="Arial" w:cs="Arial" w:eastAsia="Arial" w:hAnsi="Arial"/>
          <w:sz w:val="17"/>
          <w:szCs w:val="17"/>
          <w:color w:val="auto"/>
        </w:rPr>
        <w:t>Mr. MacKay has served on the board of directors of Replicel, Inc., a regenerative medicine company, since 2016 and previously served as chairman of the board of MassBio, chairman of the board of the Alliance of Regenerative Medicine, and on the advisory council to the Health Policy Commission for Massachusetts. Mr. MacKay holds a B.A in psychology and a graduate certificate in marketing management from McGill University. We believe Mr. MacKay is qualified to serve on our board because of his executive experience in our industry.</w:t>
      </w:r>
    </w:p>
    <w:p>
      <w:pPr>
        <w:spacing w:after="0" w:line="17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b w:val="1"/>
          <w:bCs w:val="1"/>
          <w:i w:val="1"/>
          <w:iCs w:val="1"/>
          <w:color w:val="auto"/>
        </w:rPr>
        <w:t xml:space="preserve">Katina Dorton </w:t>
      </w:r>
      <w:r>
        <w:rPr>
          <w:rFonts w:ascii="Arial" w:cs="Arial" w:eastAsia="Arial" w:hAnsi="Arial"/>
          <w:sz w:val="17"/>
          <w:szCs w:val="17"/>
          <w:color w:val="auto"/>
        </w:rPr>
        <w:t>has been our chief financial officer since August 2017. Prior to joining our company, she served as chief financial officer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Immatics GmbH, a biotechnology company, from 2015 to 2017. Ms. Dorton also served as the principle owner of Doric LLC, an advisory firm, from 2011 to 2015, where she provided consulting services to public and private companies in the areas of mergers and acquisitions and strategic finance. Prior to that, she served as managing director at Needham &amp; Co., managing director-investment banking at Morgan Stanley and as an attorney in private practice at Sullivan &amp; Cromwell. Ms. Dorton serves on the board of directors of US Ecology, Inc. Ms. Dorton holds a J.D. from the University of Virginia School of Law, an M.B.A. from George Washington University, and a B.A. from Duke University.</w:t>
      </w:r>
    </w:p>
    <w:p>
      <w:pPr>
        <w:spacing w:after="0" w:line="178"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b w:val="1"/>
          <w:bCs w:val="1"/>
          <w:i w:val="1"/>
          <w:iCs w:val="1"/>
          <w:color w:val="auto"/>
        </w:rPr>
        <w:t xml:space="preserve">Nerissa Kreher, M.D. </w:t>
      </w:r>
      <w:r>
        <w:rPr>
          <w:rFonts w:ascii="Arial" w:cs="Arial" w:eastAsia="Arial" w:hAnsi="Arial"/>
          <w:sz w:val="16"/>
          <w:szCs w:val="16"/>
          <w:color w:val="auto"/>
        </w:rPr>
        <w:t>has been our chief medical officer since October 2016. Prior to joining our company, Dr. Kreher was the global head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clinical and medical affairs at Zafgen, Inc. from March 2015 to July 2016. Prior to that, from April 2013 to March 2015, Dr. Kreher held roles of increasing responsibility at Shire HGT, most recently as global clinical development lead. From February 2012 to April 2013, Dr. Kreher served as the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240" w:top="459" w:right="4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02" w:lineRule="auto"/>
        <w:rPr>
          <w:sz w:val="20"/>
          <w:szCs w:val="20"/>
          <w:color w:val="auto"/>
        </w:rPr>
      </w:pPr>
      <w:r>
        <w:rPr>
          <w:rFonts w:ascii="Arial" w:cs="Arial" w:eastAsia="Arial" w:hAnsi="Arial"/>
          <w:sz w:val="16"/>
          <w:szCs w:val="16"/>
          <w:color w:val="auto"/>
        </w:rPr>
        <w:t>executive medical director, metabolic disorders at Alexion Pharmaceuticals, and as senior medical director, medical affairs at Enobia Pharma from January 2011 to June 2012. Dr. Kreher also served as medical director at Genzyme from April 2008 to January 2011 and as director, medical affairs at EMD Serono from April 2006 to April 2008. Dr. Kreher received a B.S. from the University of North Carolina, an M.D. from East Carolina University School of Medicine, an M.S. in Clinical Research from Indiana University and an Executive M.B.A. from Northeastern University.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b w:val="1"/>
          <w:bCs w:val="1"/>
          <w:i w:val="1"/>
          <w:iCs w:val="1"/>
          <w:color w:val="auto"/>
        </w:rPr>
        <w:t xml:space="preserve">Bruce Booth, D.Phil. </w:t>
      </w:r>
      <w:r>
        <w:rPr>
          <w:rFonts w:ascii="Arial" w:cs="Arial" w:eastAsia="Arial" w:hAnsi="Arial"/>
          <w:sz w:val="16"/>
          <w:szCs w:val="16"/>
          <w:color w:val="auto"/>
        </w:rPr>
        <w:t>has served as the chairman of our board of directors since February 2016. Dr. Booth joined Atlas Venture in 2005,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currently serves as partner. Previously, from 2004 to 2005, Dr. Booth was a principal at Caxton Health Holdings L.L.C., a healthcare-focused investment firm, where he focused on the firm’s venture capital activities. Prior to Caxton, from 1999 to 2004, he was an associate principal at McKinsey &amp; Company, a global strategic management consulting firm, where he advised clients on R&amp;D productivity, corporate strategy and business development issues across the biopharmaceutical sector. Dr. Booth serves on the board of several privately held companies, as well as on the board of miRagen Therapeutics, Inc. (Nasdaq: MGEN), Zafgen, Inc. (Nasdaq: ZFGN) and Unum Therapeutics Inc. (Nasdaq: UMRX). Dr. Booth also serves on UCB Pharma’s New Medicines Scientific Advisory Board and participates on several other advisory boards for pharmaceutical companies and academic medical centers. As a British Marshall Scholar, Dr. Booth holds a D.Phil. in molecular immunology from Oxford University’s Nuffield Department of Medicine and a B.S. in biochemistry, summa cum laude, from Pennsylvania State University. We believe Dr. Booth’s extensive leadership, executive, managerial and business experience with life sciences companies, including experience in the formation, development and business strategy of multiple start-up companies in the life sciences sector qualifies him to serve on our board of directors.</w:t>
      </w:r>
    </w:p>
    <w:p>
      <w:pPr>
        <w:spacing w:after="0" w:line="173"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b w:val="1"/>
          <w:bCs w:val="1"/>
          <w:i w:val="1"/>
          <w:iCs w:val="1"/>
          <w:color w:val="auto"/>
        </w:rPr>
        <w:t xml:space="preserve">Ian Clark </w:t>
      </w:r>
      <w:r>
        <w:rPr>
          <w:rFonts w:ascii="Arial" w:cs="Arial" w:eastAsia="Arial" w:hAnsi="Arial"/>
          <w:sz w:val="16"/>
          <w:szCs w:val="16"/>
          <w:color w:val="auto"/>
        </w:rPr>
        <w:t>has served as a member of our board of directors since January 2018. Mr. Clark currently serves as an operating partner within Clarus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Ventures. Previously, Mr. Clark served as the chief executive officer and head of North American commercial operations at Genentech from 2010 to 2016. He joined Genentech in 2003 as senior vice president and general manager, BioOncology. In August 2005, he became senior vice president, commercial operations of Genentech. In January 2006, Mr. Clark became executive vice president, commercial operations of Genentech and became a member of its executive committee. Mr. Clark was named head of global product strategy and chief marketing officer of Roche in April 2009. Prior to joining Genentech, Mr. Clark served as general manager of Novartis Canada, overseeing all of the company’s country operations, and as chief operating officer for Novartis United Kingdom. Mr. Clark worked in executive positions in sales and marketing for Sanofi and Ivax in the United Kingdom, France and Eastern Europe. Mr. Clark began his career at Searle, where he held management positions in both sales and marketing. Mr. Clark also serves on the board of directors of Agios Pharmaceuticals, Inc., (Nasdaq: AGIO), Corvus Pharmaceuticals, Inc., (Nasdaq: CVRS), and Shire plc, (Nasdaq: SHPG). He has served on the board of directors of the Biotechnology Industry Organization (BIO) since 2009 as well as on the boards of TerraVia and the Gladstone Foundation and as a member of the Federal Reserve Bank of San Francisco’s economic advisory council. Mr. Clark received a B.S and honorary doctorate in biological sciences from Southampton University in the United Kingdom. We believe Mr. Clark is qualified to serve on our board because of his industry experience in the field in which we operate and his executive experience with companies in our industry.</w:t>
      </w:r>
    </w:p>
    <w:p>
      <w:pPr>
        <w:spacing w:after="0" w:line="175"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b w:val="1"/>
          <w:bCs w:val="1"/>
          <w:i w:val="1"/>
          <w:iCs w:val="1"/>
          <w:color w:val="auto"/>
        </w:rPr>
        <w:t xml:space="preserve">Annalisa Jenkins, M.B.B.C., F.R.C.P. </w:t>
      </w:r>
      <w:r>
        <w:rPr>
          <w:rFonts w:ascii="Arial" w:cs="Arial" w:eastAsia="Arial" w:hAnsi="Arial"/>
          <w:sz w:val="16"/>
          <w:szCs w:val="16"/>
          <w:color w:val="auto"/>
        </w:rPr>
        <w:t>has served as a member of our board of directors since March 2018. Dr. Jenkins has served as the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of PlaqueTec Ltd. since November 2017 and was previously the chief executive officer and a member of the board of directors of Dimension Therapeutics, Inc., from September 2014 until its sale to Ultragnyx Pharmaceutical in November 2017. From October 2013 to March 2014, Dr. Jenkins served as executive vice president, head of global research and development for Merck Serono Pharmaceuticals, a biopharmaceutical company. Previously, from September 2011 to October 2013, she served as Merck Serono’s executive vice president, global development and medical, and was a member of Merck Serono’s executive committee. Prior to that, Dr. Jenkins pursued a 15-year career at Bristol-Myers Squibb</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Company, a biopharmaceutical company, where, from July 2009 to June 2011, she was a senior vice president and head of global medical affairs.</w:t>
      </w:r>
    </w:p>
    <w:p>
      <w:pPr>
        <w:spacing w:after="0" w:line="35"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Dr. Jenkins is currently a committee member of the science board to the FDA, which advises FDA leadership on complex scientific and technical issues. Dr. Jenkins serves on the board of directors of Ardelyx, Inc. (Nasdaq: ARDX), Silence Therapeutics (Nasdaq: SLN), Oncimmune (Nasdaq: ONC) and a number of privately held biotech and life science companies. Dr. Jenkins graduated with a degree in medicine from St. Bartholomew’s Hospital in the University of London and subsequently trained in cardiovascular medicine in the UK National Health Service. Earlier in her career, Dr. Jenkins served as a medical officer in the British Royal Navy. We believe Dr. Jenkins is qualified to serve on our board based on her industry experience in the field in which we operate and her executive experience with companies in our industry.</w:t>
      </w:r>
    </w:p>
    <w:p>
      <w:pPr>
        <w:spacing w:after="0" w:line="179"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b w:val="1"/>
          <w:bCs w:val="1"/>
          <w:i w:val="1"/>
          <w:iCs w:val="1"/>
          <w:color w:val="auto"/>
        </w:rPr>
        <w:t xml:space="preserve">Christopher Paige, Ph.D. </w:t>
      </w:r>
      <w:r>
        <w:rPr>
          <w:rFonts w:ascii="Arial" w:cs="Arial" w:eastAsia="Arial" w:hAnsi="Arial"/>
          <w:sz w:val="16"/>
          <w:szCs w:val="16"/>
          <w:color w:val="auto"/>
        </w:rPr>
        <w:t>has served as a member of our board of directors since January 2016. Dr. Paige is a professor in the departments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medical biophysics and immunology at the University of Toronto. In 1997, he served as the vice president, research of the University Health Network and now serves as senior scientist. In 1990, Dr. Paige became the founding director of the Arthritis and Autoimmunity Research Centre as well as director of research at The Wellesley Hospital. He became a member of the Basel Institute for Immunology in Switzerland in 1980 where he worked until joining the Ontario Cancer Institute as a senior scientist in 1987. Dr. Paige earned a B.S. in biology at the University of Notre Dame in 1974 and a Ph.D. in immunology at the Sloan-Kettering Division of Cornell University Graduate School of Medical Sciences in 1979. We believe Dr. Paige is qualified to serve on our board because of his scientific and industry experience in the field in which we operate.</w:t>
      </w:r>
    </w:p>
    <w:p>
      <w:pPr>
        <w:spacing w:after="0" w:line="167"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b w:val="1"/>
          <w:bCs w:val="1"/>
          <w:i w:val="1"/>
          <w:iCs w:val="1"/>
          <w:color w:val="auto"/>
        </w:rPr>
        <w:t xml:space="preserve">Scott Requadt </w:t>
      </w:r>
      <w:r>
        <w:rPr>
          <w:rFonts w:ascii="Arial" w:cs="Arial" w:eastAsia="Arial" w:hAnsi="Arial"/>
          <w:sz w:val="16"/>
          <w:szCs w:val="16"/>
          <w:color w:val="auto"/>
        </w:rPr>
        <w:t>has served as a member of our board of directors since July 2016. Mr. Requadt is currently a managing director at Clarus, a life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sciences investment fund. Mr. Requadt has 17 years of operating and investment experience in the pharmaceutical industry. Prior to joining Clarus in 2005, Mr. Requadt was Director, Business Development of TransForm Pharmaceuticals, and previously practiced for several years as a mergers and acquisitions attorney at the New York City-based law firm of Davis Polk &amp; Wardwell. Before that, Mr. Requadt was a law clerk for a senior judge at the Supreme Court of Canada. Mr. Requadt holds a B.Com (Joint Honors, Economics &amp; Finance) from McGill University, an LL.B from University of Toronto and an M.B.A. from Harvard Business School (Baker Scholar). Mr. Requadt has been involved in multiple Clarus investments spanning both therapeutics and medtech, as well as several research and development risk-sharing collaborations with large pharmaceutical partners. He is currently also a director of VBI Vaccines (Nasdaq: VBIV), ESSA Pharmaceuticals (Nasdaq: EPIX) and Edev S.a.r.l. and has previously been active on the board of directors of TyRx, Catabasis (Nasdaq: CATB), Oxford Immunotec (Nasdaq: OXFD), Link Medicine and Biolex Therapeutics. We believe Mr. Requadt is qualified to serve on our board because of his industry experience as a biotech public and private company investor.</w:t>
      </w:r>
    </w:p>
    <w:p>
      <w:pPr>
        <w:spacing w:after="0" w:line="16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b w:val="1"/>
          <w:bCs w:val="1"/>
          <w:i w:val="1"/>
          <w:iCs w:val="1"/>
          <w:color w:val="auto"/>
        </w:rPr>
        <w:t xml:space="preserve">Joshua Resnick, M.D. </w:t>
      </w:r>
      <w:r>
        <w:rPr>
          <w:rFonts w:ascii="Arial" w:cs="Arial" w:eastAsia="Arial" w:hAnsi="Arial"/>
          <w:sz w:val="17"/>
          <w:szCs w:val="17"/>
          <w:color w:val="auto"/>
        </w:rPr>
        <w:t>has served as a member of our board of directors since July 2016. Dr. Resnick has been a partner at SV Health Investors,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SV, since January 2016. Before joining SV in January 2016, Dr. Resnick was president and managing partner at MRL Ventures Fund, or MRL Ventures, an early-stage therapeutics-focused corporate venture fund that he built and managed within Merck &amp; Co from December 2014 to January 2016. Prior to MRL Ventures, Dr. Resnick was a venture partner with Atlas Venture, or Atlas, focusing on company formation, Seed and Series A investing. During his tenure at Atlas, Dr. Resnick was also the founder and chief executive officer of two start-ups in the immuno-oncology and neuro spaces. Prior to Atlas, Dr. Resnick was a partner at Prism Venture Partners, where he focused on early-stage biopharmaceutical, medical device, tools and diagnostics investments. Dr. Resnick is also an attending physician at Massachusetts General Hospital, as well as Brigham and Women’s Hospital since 2006, and an instructor in medicine at Harvard Medical School. Dr. Resnick serves on the board of directors of Kalvista Pharmaceuticals, Inc. (Nasdaq: KALV). Dr. Resnick graduated Magna Cum Laude with a B.A. from Williams College and received his M.D. from the University of Pennsylvania School of Medicine and his M.B.A. from The Wharton School of Business. We believe Dr. Resnick is qualified to serve on our board because of his industry experience as a biotech public and private company investor.</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240" w:top="459" w:right="4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Nominee</w:t>
      </w:r>
    </w:p>
    <w:p>
      <w:pPr>
        <w:spacing w:after="0" w:line="121"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b w:val="1"/>
          <w:bCs w:val="1"/>
          <w:i w:val="1"/>
          <w:iCs w:val="1"/>
          <w:color w:val="auto"/>
        </w:rPr>
        <w:t xml:space="preserve">Phillip B. Donenberg </w:t>
      </w:r>
      <w:r>
        <w:rPr>
          <w:rFonts w:ascii="Arial" w:cs="Arial" w:eastAsia="Arial" w:hAnsi="Arial"/>
          <w:sz w:val="17"/>
          <w:szCs w:val="17"/>
          <w:color w:val="auto"/>
        </w:rPr>
        <w:t>is a nominee for appointment to our board of directors, and such appointment will be effective immediately following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effectiveness of the registration statement of which this prospectus is a part. Effective July 16, 2018, Mr. Donenberg has been appointed Chief Financial Officer and Senior Vice President of Depomed, Inc. Until such date, Mr. Donenberg will continue to serve in his current role as the Senior Vice President and Chief Financial Officer of AveXis, Inc., where he was previously Vice President, Corporate Controller from September 2016 to October 2017. He was the chief financial officer of RestorGenex Corporation from May 2014 to January 2016, when RestorGenex merged with Diffusion Pharmaceuticals LLC and served as the merged company’s consultant CFO until September 2016, and the chief financial officer of 7wire Ventures LLC from September 2013 to May 2014. Prior to that time, Mr. Donenberg served as the chief financial officer of BioSante Pharmaceuticals, Inc. from July 1998 to June 2013, when BioSante merged with ANIP Pharmaceuticals, Inc. Mr. Donenberg also has experience serving on the boards of directors of privately held companies. Mr. Donenberg holds a B.S. in Accountancy from the University of Illinois Champaign-Urbana College of Business and is a Certified Public Accountant. We believe Mr. Donenberg is qualified to serve on our board of directors because of his financial expertise and his experience as an executive of companies in the industry in which we operate.</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Our board of directors currently consists of seven members, each of whom is a member pursuant to the board composition provisions of our current certificate of incorporation and agreements with our stockholders. These board composition provisions will terminate upon the completion of this offering. Upon the termination of these provisions, there will be no further contractual obligations regarding the election of our directors. The size of our board of directors will be expanded to eight members in connection with Mr. Donenberg’s appointment to the board, effective as of immediately following the effectiveness of the registration statement of which this prospectus is a part.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the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 qualified or until the earlier of their resignation or removal. Our amended and restated certificate of incorporation and amended and restated bylaws that will become effective upon the closing of this offering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Our board of directors has determined that all members of the board of directors, except Mr. MacKay, are independent directors, including for purposes of the rules of The Nasdaq Global Market and the Securities and Exchange Commission, or SEC. In making such independence determination, our board of directors considered the relationships that each non-employee director has with us and all other facts and circumstances that our board of directors deemed relevant in determining their independence, including the beneficial ownership of our capital stock by each non-employee director. In considering the independence of the directors listed above, our board of directors considered the association of our directors with the holders of more than 5% of our common stock. Upon the completion of this offering, we expect that the composition and functioning of our board of directors and each of our committees will comply with all applicable requirements of The Nasdaq Global Market and the rules and regulations of the SEC. There are no family relationships among any of our directors or executive officers. Mr. MacKay is not an independent director under these rules because he is an executive officer of our company.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In accordance with the terms of our amended and restated certificate of incorporation and amended and restated bylaws that will become effective upon the closing of this offering, our board of directors will be divided into three staggered classes of directors and each will be assigned to one of the three classes. At each annual meeting of the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years 2019 for Class I directors, 2020 for Class II directors and 2021 for Class III directors.</w:t>
      </w:r>
    </w:p>
    <w:p>
      <w:pPr>
        <w:spacing w:after="0" w:line="185" w:lineRule="exact"/>
        <w:rPr>
          <w:sz w:val="20"/>
          <w:szCs w:val="20"/>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Class I directors will be Christopher Paige, Scott Requadt and Joshua Resnick;</w:t>
      </w:r>
    </w:p>
    <w:p>
      <w:pPr>
        <w:spacing w:after="0" w:line="252"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Class II directors will be Ian Clark and Annalisa Jenkins; and</w:t>
      </w:r>
    </w:p>
    <w:p>
      <w:pPr>
        <w:spacing w:after="0" w:line="252"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Class III directors will be Bruce Booth, Phillip Donenberg and Geoff MacKay.</w:t>
      </w:r>
    </w:p>
    <w:p>
      <w:pPr>
        <w:spacing w:after="0" w:line="225" w:lineRule="exact"/>
        <w:rPr>
          <w:sz w:val="20"/>
          <w:szCs w:val="20"/>
          <w:color w:val="auto"/>
        </w:rPr>
      </w:pPr>
    </w:p>
    <w:p>
      <w:pPr>
        <w:ind w:left="200" w:right="600" w:firstLine="441"/>
        <w:spacing w:after="0" w:line="342" w:lineRule="auto"/>
        <w:rPr>
          <w:sz w:val="20"/>
          <w:szCs w:val="20"/>
          <w:color w:val="auto"/>
        </w:rPr>
      </w:pPr>
      <w:r>
        <w:rPr>
          <w:rFonts w:ascii="Arial" w:cs="Arial" w:eastAsia="Arial" w:hAnsi="Arial"/>
          <w:sz w:val="16"/>
          <w:szCs w:val="16"/>
          <w:color w:val="auto"/>
        </w:rPr>
        <w:t>Our amended and restated certificate of incorporation and amended and restated bylaws that will become effective upon the closing of this offering will provide that the number of our directors shall be fixed from time to time by a resolution of a majority of our board of directors.</w:t>
      </w:r>
    </w:p>
    <w:p>
      <w:pPr>
        <w:spacing w:after="0" w:line="124"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The division of our board of directors into three classes with staggered three-year terms may delay or prevent stockholder efforts to effect a change of our management or a change in control.</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Leadership Structure and Board’s Role in Risk Oversight</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Currently, the positions of chairman of the board and that of Chief Executive Officer are separated. We believe that separating these positions will allow our Chief Executive Officer to focus on our day-to-day business, while allowing our chairman of the board to lead the board of directors in its fundamental role of providing advice to and independent oversight of management. Our board of directors recognizes the time, effort and energy that the Chief Executive Officer is required to devote to his position in the current business environment, as well as the commitment required to serve as our chairman, particularly as the board of directors’ oversight responsibilities continue to grow. While our amended and restated by-laws and corporate governance guidelines do not require that our chairman and Chief Executive Officer positions be separate, our board of directors believes that having separate positions will be the appropriate leadership structure for us following the completion of this offering.</w:t>
      </w:r>
    </w:p>
    <w:p>
      <w:pPr>
        <w:spacing w:after="0" w:line="16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Risk is inherent with every business, and how well a business manages risk can ultimately determine its success. We face a number of risks, including risks more fully discussed in the section entitled “Risk Factors” appearing elsewhere in this prospectus.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8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 potential impact on us, and the steps we take to manage them. When a board committee is responsible for evaluating and overseeing the management of a particular risk or risks, the chairman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which will operate pursuant to a charter adopted by our board of directors and will be effective upon the effectiveness of the registration statement of which this prospectus is a part. Upon the effectiveness of the registration statement of which this prospectus is a part, the composition and functioning of all of our committees will comply with all applicable requirements of the Sarbanes-Oxley Act of 2002, Nasdaq and SEC rules and regulations.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Phillip Donenberg, Annalisa Jenkins and Scott Requadt will serve on the audit committee, which will be chaired by Mr. Donenberg. Our board of directors has determined that Dr. Jenkins and Messrs. Donenberg and Requadt are “independent” for audit committee purposes as that term is defined in the rules of the SEC and the applicable Nasdaq rules, and each has sufficient knowledge in financial and auditing matters to serve on the audit committee. Our board of directors has designated Mr. Donenberg as an “audit committee financial expert,” as defined under the applicable rules of the SEC. The audit committee’s responsibilities include:</w:t>
      </w:r>
    </w:p>
    <w:p>
      <w:pPr>
        <w:spacing w:after="0" w:line="94" w:lineRule="exact"/>
        <w:rPr>
          <w:sz w:val="20"/>
          <w:szCs w:val="20"/>
          <w:color w:val="auto"/>
        </w:rPr>
      </w:pPr>
    </w:p>
    <w:p>
      <w:pPr>
        <w:ind w:left="1060" w:hanging="424"/>
        <w:spacing w:after="0"/>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appointing, approving the compensation of, and assessing the independence of our independent registered public accounting firm;</w:t>
      </w:r>
    </w:p>
    <w:p>
      <w:pPr>
        <w:spacing w:after="0" w:line="142" w:lineRule="exact"/>
        <w:rPr>
          <w:rFonts w:ascii="Arial" w:cs="Arial" w:eastAsia="Arial" w:hAnsi="Arial"/>
          <w:sz w:val="17"/>
          <w:szCs w:val="17"/>
          <w:color w:val="auto"/>
        </w:rPr>
      </w:pPr>
    </w:p>
    <w:p>
      <w:pPr>
        <w:ind w:left="1060" w:right="10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pre-approving audit and permissible non-audit services, and the terms of such services, to be provided by our independent registered public accounting firm;</w:t>
      </w:r>
    </w:p>
    <w:p>
      <w:pPr>
        <w:spacing w:after="0" w:line="75"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the overall audit plan with our independent registered public accounting firm and members of management responsible for preparing our financial statements;</w:t>
      </w:r>
    </w:p>
    <w:p>
      <w:pPr>
        <w:spacing w:after="0" w:line="75"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our internal control over financial reporting;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30" w:lineRule="exact"/>
        <w:rPr>
          <w:rFonts w:ascii="Arial" w:cs="Arial" w:eastAsia="Arial" w:hAnsi="Arial"/>
          <w:sz w:val="18"/>
          <w:szCs w:val="18"/>
          <w:color w:val="auto"/>
        </w:rPr>
      </w:pPr>
    </w:p>
    <w:p>
      <w:pPr>
        <w:ind w:left="1060" w:right="800" w:hanging="424"/>
        <w:spacing w:after="0" w:line="308"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recommending based upon the audit committee’s review and discussions with management and our independent registered public accounting firm whether our audited financial statements shall be included in our Annual Report on Form 10-K;</w:t>
      </w:r>
    </w:p>
    <w:p>
      <w:pPr>
        <w:spacing w:after="0" w:line="51" w:lineRule="exact"/>
        <w:rPr>
          <w:rFonts w:ascii="Arial" w:cs="Arial" w:eastAsia="Arial" w:hAnsi="Arial"/>
          <w:sz w:val="17"/>
          <w:szCs w:val="17"/>
          <w:color w:val="auto"/>
        </w:rPr>
      </w:pPr>
    </w:p>
    <w:p>
      <w:pPr>
        <w:ind w:left="1060" w:right="2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monitoring the integrity of our financial statements and our compliance with legal and regulatory requirements as they relate to our financial statements and accounting matters;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our annual proxy statement;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reviewing quarterly earnings releases.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Ian Clark, Bruce Booth and Scott Requadt will serve on the compensation committee, which will be chaired by Mr. Clark. Our board of directors has determined that each member of the compensation committee is “independent” as defined in the applicable Nasdaq rules. The compensation committee’s responsibilities include:</w:t>
      </w:r>
    </w:p>
    <w:p>
      <w:pPr>
        <w:spacing w:after="0" w:line="87" w:lineRule="exact"/>
        <w:rPr>
          <w:sz w:val="20"/>
          <w:szCs w:val="20"/>
          <w:color w:val="auto"/>
        </w:rPr>
      </w:pPr>
    </w:p>
    <w:p>
      <w:pPr>
        <w:ind w:left="1060" w:hanging="424"/>
        <w:spacing w:after="0" w:line="277" w:lineRule="auto"/>
        <w:tabs>
          <w:tab w:leader="none" w:pos="10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annually reviewing and recommending to the board of directors the corporate goals and objectives relevant to the compensation of our Chief Executive Officer;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424"/>
        <w:spacing w:after="0" w:line="264"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evaluating the performance of our Chief Executive Officer in light of such corporate goals and objectives and based on such evaluation, recommending to the board of directors (i) determining the cash compensation of our Chief Executive Officer and (ii) grants and awards to our Chief Executive Officer under equity-based plans;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approving the cash compensation of our other executive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establishing our overall management compensation, philosophy and policy;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130"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evaluating and assessing potential and current compensation advisors in accordance with the independence standards identified in the applicable Nasdaq rules;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approving our policies and procedures for the grant of equity-based awards;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recommending to the board of directors the compensation of our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preparing our compensation committee report if and when required by SEC rules;</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if and when required, to be included in our annual proxy statement; and</w:t>
      </w:r>
    </w:p>
    <w:p>
      <w:pPr>
        <w:spacing w:after="0" w:line="75"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reviewing and approving the retention or termination of any consulting firm or outside advisor to assist in the evaluation of compensation matters.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Annalisa Jenkins, Christopher Paige and Joshua Resnick will serve on the nominating and corporate governance committee, which will be chaired by Dr. Jenkins. Our board of directors has determined that each member of the nominating and corporate governance committee is “independent” as defined in the applicable Nasdaq rules. The nominating and corporate governance committee’s responsibilities include:</w:t>
      </w:r>
    </w:p>
    <w:p>
      <w:pPr>
        <w:spacing w:after="0" w:line="71" w:lineRule="exact"/>
        <w:rPr>
          <w:sz w:val="20"/>
          <w:szCs w:val="20"/>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criteria for board and committee membership;</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establishing procedures for identifying and evaluating board of director candidates, including nominees recommended by stockholders;</w:t>
      </w:r>
    </w:p>
    <w:p>
      <w:pPr>
        <w:spacing w:after="0" w:line="142" w:lineRule="exact"/>
        <w:rPr>
          <w:rFonts w:ascii="Arial" w:cs="Arial" w:eastAsia="Arial" w:hAnsi="Arial"/>
          <w:sz w:val="17"/>
          <w:szCs w:val="17"/>
          <w:color w:val="auto"/>
        </w:rPr>
      </w:pPr>
    </w:p>
    <w:p>
      <w:pPr>
        <w:ind w:left="1060" w:right="40" w:hanging="424"/>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reviewing the composition of the board of directors to ensure that it is composed of members containing the appropriate skills and expertise to advise us;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board of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recommending to the board of directors the persons to be nominated for election as directors and to each of the board’s committees;</w:t>
      </w:r>
    </w:p>
    <w:p>
      <w:pPr>
        <w:spacing w:after="0" w:line="142" w:lineRule="exact"/>
        <w:rPr>
          <w:rFonts w:ascii="Arial" w:cs="Arial" w:eastAsia="Arial" w:hAnsi="Arial"/>
          <w:sz w:val="17"/>
          <w:szCs w:val="17"/>
          <w:color w:val="auto"/>
        </w:rPr>
      </w:pPr>
    </w:p>
    <w:p>
      <w:pPr>
        <w:ind w:left="1060" w:right="20" w:hanging="424"/>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developing and recommending to the board of directors, a code of business conduct and ethics and a set of corporate governance guidelines;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overseeing the evaluation of our board of directors and management.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board of directors may from time to time establish other committees.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80"/>
          </w:cols>
          <w:pgMar w:left="24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have adopted, subject to and effective upon the effectiveness of the registration statement of which this prospectus is a part, a written code of business conduct and ethics that applies to our directors, officers and employees, including our principal executive officer, principal financial officer, principal accounting officer or controller, or persons performing similar functions. Following the effectiveness of the registration statement of which this prospectus is a part, a current copy of the code will be posted on the investor relations section of our website, which is located at www.avrobio.com.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Compensation Overview</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 This section provides an overview of the compensation awarded to, earned by, or paid to our principal executive officer and our next two most highly compensated executive officers in respect of their service to our company for our fiscal year ended December 31, 2017. We refer to these individuals as our 2017 named executive officers. Our 2017 named executive officers are:</w:t>
      </w:r>
    </w:p>
    <w:p>
      <w:pPr>
        <w:spacing w:after="0" w:line="94" w:lineRule="exact"/>
        <w:rPr>
          <w:sz w:val="20"/>
          <w:szCs w:val="20"/>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Geoff MacKay, our President and Chief Executive Officer;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Katina Dorton, our Chief Financial Officer;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Nerissa Kreher, M.D., our Chief Medical Officer.</w:t>
      </w:r>
    </w:p>
    <w:p>
      <w:pPr>
        <w:spacing w:after="0" w:line="225"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Our executive compensation program is based on a pay for performance philosophy. Compensation for our executive officers is composed primarily of the following main components: base salary; bonus; and equity incentives in the form of options. Our executive officers, like all full-time employees, are eligible to participate in our health and welfare benefit plans. As we transition from a private company to a publicly traded company, we intend to evaluate our compensation values and philosophy and compensation plans and arrangements as circumstances require. Compensation plans or arrangements that we adopt following the completion of this offering may be materially different from those described in this section.</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2017 Summary Compensation Table</w:t>
      </w:r>
    </w:p>
    <w:p>
      <w:pPr>
        <w:spacing w:after="0" w:line="121"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The following table sets forth information regarding compensation awarded to, earned by, or paid to our 2017 named executive officers for services rendered to us in all capacities during the fiscal year ended December 31, 2017.</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SALARY</w:t>
            </w: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BONUS</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OPTION</w:t>
            </w:r>
          </w:p>
        </w:tc>
        <w:tc>
          <w:tcPr>
            <w:tcW w:w="16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ALL OTHER</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92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rPr>
              <w:t>YEAR</w:t>
            </w:r>
          </w:p>
        </w:tc>
        <w:tc>
          <w:tcPr>
            <w:tcW w:w="9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AWARDS</w:t>
            </w:r>
          </w:p>
        </w:tc>
        <w:tc>
          <w:tcPr>
            <w:tcW w:w="16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COMPENSATION</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960" w:type="dxa"/>
            <w:vAlign w:val="bottom"/>
            <w:gridSpan w:val="3"/>
            <w:vMerge w:val="continue"/>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640" w:type="dxa"/>
            <w:vAlign w:val="bottom"/>
          </w:tcPr>
          <w:p>
            <w:pPr>
              <w:jc w:val="right"/>
              <w:ind w:right="157"/>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40" w:type="dxa"/>
            <w:vAlign w:val="bottom"/>
          </w:tcPr>
          <w:p>
            <w:pPr>
              <w:jc w:val="right"/>
              <w:ind w:right="97"/>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2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40" w:type="dxa"/>
            <w:vAlign w:val="bottom"/>
          </w:tcPr>
          <w:p>
            <w:pPr>
              <w:spacing w:after="0"/>
              <w:rPr>
                <w:sz w:val="15"/>
                <w:szCs w:val="15"/>
                <w:color w:val="auto"/>
              </w:rPr>
            </w:pPr>
          </w:p>
        </w:tc>
        <w:tc>
          <w:tcPr>
            <w:tcW w:w="660" w:type="dxa"/>
            <w:vAlign w:val="bottom"/>
          </w:tcPr>
          <w:p>
            <w:pPr>
              <w:ind w:left="24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2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rPr>
              <w:t>Geoff MacKay,</w:t>
            </w:r>
          </w:p>
        </w:tc>
        <w:tc>
          <w:tcPr>
            <w:tcW w:w="16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408,000</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163,200</w:t>
            </w: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30,306</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601,506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960" w:type="dxa"/>
            <w:vAlign w:val="bottom"/>
            <w:gridSpan w:val="3"/>
          </w:tcPr>
          <w:p>
            <w:pPr>
              <w:spacing w:after="0"/>
              <w:rPr>
                <w:sz w:val="20"/>
                <w:szCs w:val="20"/>
                <w:color w:val="auto"/>
              </w:rPr>
            </w:pPr>
            <w:r>
              <w:rPr>
                <w:rFonts w:ascii="Arial" w:cs="Arial" w:eastAsia="Arial" w:hAnsi="Arial"/>
                <w:sz w:val="18"/>
                <w:szCs w:val="18"/>
                <w:color w:val="auto"/>
              </w:rPr>
              <w:t>Katina Dorton,</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960" w:type="dxa"/>
            <w:vAlign w:val="bottom"/>
            <w:gridSpan w:val="3"/>
          </w:tcPr>
          <w:p>
            <w:pPr>
              <w:spacing w:after="0"/>
              <w:rPr>
                <w:sz w:val="20"/>
                <w:szCs w:val="20"/>
                <w:color w:val="auto"/>
              </w:rPr>
            </w:pPr>
            <w:r>
              <w:rPr>
                <w:rFonts w:ascii="Arial" w:cs="Arial" w:eastAsia="Arial" w:hAnsi="Arial"/>
                <w:sz w:val="18"/>
                <w:szCs w:val="18"/>
                <w:i w:val="1"/>
                <w:iCs w:val="1"/>
                <w:color w:val="auto"/>
              </w:rPr>
              <w:t>Chief Financial Officer</w:t>
            </w:r>
            <w:r>
              <w:rPr>
                <w:rFonts w:ascii="Arial" w:cs="Arial" w:eastAsia="Arial" w:hAnsi="Arial"/>
                <w:sz w:val="15"/>
                <w:szCs w:val="15"/>
                <w:color w:val="auto"/>
              </w:rPr>
              <w:t>(3)</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113,333</w:t>
            </w: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37,917</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286,705</w:t>
            </w:r>
          </w:p>
        </w:tc>
        <w:tc>
          <w:tcPr>
            <w:tcW w:w="260" w:type="dxa"/>
            <w:vAlign w:val="bottom"/>
          </w:tcPr>
          <w:p>
            <w:pPr>
              <w:spacing w:after="0"/>
              <w:rPr>
                <w:sz w:val="21"/>
                <w:szCs w:val="21"/>
                <w:color w:val="auto"/>
              </w:rPr>
            </w:pP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24,856</w:t>
            </w:r>
            <w:r>
              <w:rPr>
                <w:rFonts w:ascii="Arial" w:cs="Arial" w:eastAsia="Arial" w:hAnsi="Arial"/>
                <w:sz w:val="15"/>
                <w:szCs w:val="15"/>
                <w:color w:val="auto"/>
              </w:rPr>
              <w:t>(4)</w:t>
            </w:r>
          </w:p>
        </w:tc>
        <w:tc>
          <w:tcPr>
            <w:tcW w:w="660" w:type="dxa"/>
            <w:vAlign w:val="bottom"/>
          </w:tcPr>
          <w:p>
            <w:pPr>
              <w:ind w:left="80"/>
              <w:spacing w:after="0"/>
              <w:rPr>
                <w:sz w:val="20"/>
                <w:szCs w:val="20"/>
                <w:color w:val="auto"/>
              </w:rPr>
            </w:pPr>
            <w:r>
              <w:rPr>
                <w:rFonts w:ascii="Arial" w:cs="Arial" w:eastAsia="Arial" w:hAnsi="Arial"/>
                <w:sz w:val="18"/>
                <w:szCs w:val="18"/>
                <w:color w:val="auto"/>
                <w:w w:val="86"/>
              </w:rPr>
              <w:t>462,811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3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Nerissa Kreher, M.D.,</w:t>
            </w: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Medical Officer</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336,600</w:t>
            </w: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84,150</w:t>
            </w: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18,165</w:t>
            </w:r>
          </w:p>
        </w:tc>
        <w:tc>
          <w:tcPr>
            <w:tcW w:w="26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80"/>
              <w:spacing w:after="0"/>
              <w:rPr>
                <w:sz w:val="20"/>
                <w:szCs w:val="20"/>
                <w:color w:val="auto"/>
              </w:rPr>
            </w:pPr>
            <w:r>
              <w:rPr>
                <w:rFonts w:ascii="Arial" w:cs="Arial" w:eastAsia="Arial" w:hAnsi="Arial"/>
                <w:sz w:val="18"/>
                <w:szCs w:val="18"/>
                <w:color w:val="auto"/>
                <w:w w:val="86"/>
              </w:rPr>
              <w:t>438,915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40" w:hanging="436"/>
        <w:spacing w:after="0" w:line="258" w:lineRule="auto"/>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Amounts reflect annual bonuses earned based upon achievement of company and individual performance metrics for the year ended December 31, 2017, but paid in 2018.</w:t>
      </w:r>
    </w:p>
    <w:p>
      <w:pPr>
        <w:spacing w:after="0" w:line="1" w:lineRule="exact"/>
        <w:rPr>
          <w:rFonts w:ascii="Arial" w:cs="Arial" w:eastAsia="Arial" w:hAnsi="Arial"/>
          <w:sz w:val="18"/>
          <w:szCs w:val="18"/>
          <w:color w:val="auto"/>
        </w:rPr>
      </w:pPr>
    </w:p>
    <w:p>
      <w:pPr>
        <w:ind w:left="640" w:right="40" w:hanging="436"/>
        <w:spacing w:after="0" w:line="281" w:lineRule="auto"/>
        <w:tabs>
          <w:tab w:leader="none" w:pos="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Amounts reflect the grant date fair value of option awards granted or modified in 2017 in accordance with the Financial Accounting Standards Board’s Accounting Standards Codification Topic 718, or ASC 718. Such grant date fair value does not take into account any estimated forfeitures related to service-vesting conditions. For information regarding assumptions underlying the valuation of equity awards, see Note 2 to our financial statements and the discussion under “Management’s Discussion and Analysis of Financial Condition and Results of Operations—Critical Accounting Policies and Significant Judgments and Estimates—Stock-based Compensation” included elsewhere in this prospectus. These amounts do not correspond to the actual value that may be recognized by the 2017 named executive officers upon vesting of applicable awards.</w:t>
      </w:r>
    </w:p>
    <w:p>
      <w:pPr>
        <w:spacing w:after="0" w:line="4" w:lineRule="exact"/>
        <w:rPr>
          <w:rFonts w:ascii="Arial" w:cs="Arial" w:eastAsia="Arial" w:hAnsi="Arial"/>
          <w:sz w:val="16"/>
          <w:szCs w:val="16"/>
          <w:color w:val="auto"/>
        </w:rPr>
      </w:pPr>
    </w:p>
    <w:p>
      <w:pPr>
        <w:ind w:left="640" w:hanging="436"/>
        <w:spacing w:after="0"/>
        <w:tabs>
          <w:tab w:leader="none" w:pos="6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Ms. Dorton commenced her employment with us in August 2017. Her annual salary and bonus were prorated to reflect her partial year of service.</w:t>
      </w:r>
    </w:p>
    <w:p>
      <w:pPr>
        <w:spacing w:after="0" w:line="32" w:lineRule="exact"/>
        <w:rPr>
          <w:rFonts w:ascii="Arial" w:cs="Arial" w:eastAsia="Arial" w:hAnsi="Arial"/>
          <w:sz w:val="16"/>
          <w:szCs w:val="16"/>
          <w:color w:val="auto"/>
        </w:rPr>
      </w:pPr>
    </w:p>
    <w:p>
      <w:pPr>
        <w:ind w:left="640" w:hanging="436"/>
        <w:spacing w:after="0"/>
        <w:tabs>
          <w:tab w:leader="none" w:pos="6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Amount reflects our reimbursement of travel and relocation expenses.</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240" w:top="459" w:right="41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Narrative to the 2017 Summary Compensation Table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use base salaries to recognize the experience, skills, knowledge and responsibilities required of all our employees, including our 2017 named executive officers. Base salaries for our named executive officers are reviewed annually by our compensation committee, typically in connection with our annual performance review process, and adjusted from time to time, based on the recommendation of the compensation committee, to realign salaries with market levels after taking into account individual responsibilities, performance and experience. None of our 2017 named executive officers is currently party to an employment agreement or other agreement or arrangement that provides for automatic or scheduled increases in base salary.</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Annual Bonus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currently do not have a formal performance-based bonus plan but intend to adopt our Senior Executive Cash Incentive Bonus Plan in connection with this offering. Our employment agreements with our 2017 named executive officers provide that the executive may be eligible to earn an annual performance bonus of up to a target percentage of the executive’s base salary, as described further below under the section entitled “–– Employment Arrangements with our Chief Executive Officer and our 2017 Named Executive Officers.” From time to time, our board of directors or compensation committee may approve annual bonuses for our named executive officers based on individual performance, company performance or as otherwise determined appropriate.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Although we do not have a formal policy with respect to the grant of equity incentive awards to our executive officers, or any formal equity ownership guidelines applicable to them, we believe that equity grants provide our executives with a strong link to our long-term performance, create an ownership culture and help to align the interests of our executives and our stockholders. In addition, we believe that equity grants with a time-based vesting feature promote executive retention because this feature incentivizes our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w:t>
      </w:r>
    </w:p>
    <w:p>
      <w:pPr>
        <w:spacing w:after="0" w:line="178"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typically grant stock option awards at the start of employment to each executive and our other employees. We award our stock options on the date our board of directors approves the grant. We set the option exercise price and grant date fair value based on our per-share estimated valuation on the date of grant. For grants in connection with initial employment, vesting begins on the initial date of employment. To date, we have not maintained a practice of granting additional equity on an annual basis, but we have retained discretion to provide additional targeted grants in certain circumstances.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Arrangements with our Chief Executive Officer and our 2017 Named Executive Officers</w:t>
      </w:r>
    </w:p>
    <w:p>
      <w:pPr>
        <w:spacing w:after="0" w:line="121"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We have entered into employment agreements with each of our 2017 named executive officers. These agreements set forth the initial terms and conditions of each executive’s employment with us, including base salary, target annual bonus opportunity and standard employee benefit plan participation. In connection with this offering, we have entered into an amended and restated employment agreement with each of Mr. MacKay, Dr. Kreher and Ms. Dorton. The amended and restated employment agreements will be effective as of the closing of this offering.</w:t>
      </w:r>
    </w:p>
    <w:p>
      <w:pPr>
        <w:spacing w:after="0" w:line="17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These existing and new employment agreements provide for “at will” employment. The material terms of the new employment agreements with our 2017 named executive officers are described below. The terms “change of control,” “cause” and “good reason” referred to below are defined in the applicable employment agreement.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80"/>
          </w:cols>
          <w:pgMar w:left="24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Geoff MacKay</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entered into an employment agreement with Geoff MacKay, our President and Chief Executive Officer, on December 22, 2016. In connection with this offering, we entered into an amended and restated employment agreement with Mr. MacKay, which will become effective as of the closing of this offering. Under the terms of the new employment agreement, Mr. MacKay is entitled to receive an annual base salary of $500,000 and an annual target bonus of 50% of his annual base salary based upon our board of directors’ assessment of Mr. MacKay’s performance and our attainment of targeted goals as set by the board of directors in its sole discretion. Mr. MacKay also previously entered into a Confidentiality and IP Assignment Agreement with us, the terms of which are incorporated into his new employment agreement.</w:t>
      </w:r>
    </w:p>
    <w:p>
      <w:pPr>
        <w:spacing w:after="0" w:line="17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Mr. MacKay’s new employment agreement provides that, in the event that his employment is terminated by us without “cause” or by Mr. MacKay with “good reason”, subject to the execution and effectiveness of a separation agreement and release, he will be entitled to receive (i) an amount equal to 100% of his base salary, provided that Mr. MacKay has not breached any of the confidentiality, noncompetition or cooperation provisions set forth in, or incorporated into, the new employment agreement, payable on our normal payroll cycle, and (ii) reimbursement of COBRA premiums for health benefit coverage, up to an amount equal to the monthly employer contribution that we would have made to provide health insurance to Mr. MacKay had he remained employed with us for up to 12 months. Additionally, all stock options and other stock based awards held by Mr. MacKay that would have vested if he had remained employed by us for an additional 12 months following the date of termination will vest and become exercisable or non-forfeitable as of the date of termination.</w:t>
      </w:r>
    </w:p>
    <w:p>
      <w:pPr>
        <w:spacing w:after="0" w:line="17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Under the new employment agreement, in the event of a “change in control” all stock options and other stock-based awards granted to</w:t>
      </w:r>
    </w:p>
    <w:p>
      <w:pPr>
        <w:spacing w:after="0" w:line="23" w:lineRule="exact"/>
        <w:rPr>
          <w:sz w:val="20"/>
          <w:szCs w:val="20"/>
          <w:color w:val="auto"/>
        </w:rPr>
      </w:pPr>
    </w:p>
    <w:p>
      <w:pPr>
        <w:ind w:left="200" w:right="80"/>
        <w:spacing w:after="0" w:line="281" w:lineRule="auto"/>
        <w:rPr>
          <w:sz w:val="20"/>
          <w:szCs w:val="20"/>
          <w:color w:val="auto"/>
        </w:rPr>
      </w:pPr>
      <w:r>
        <w:rPr>
          <w:rFonts w:ascii="Arial" w:cs="Arial" w:eastAsia="Arial" w:hAnsi="Arial"/>
          <w:sz w:val="16"/>
          <w:szCs w:val="16"/>
          <w:color w:val="auto"/>
        </w:rPr>
        <w:t>Mr. MacKay at least 12 months prior to the effective date of the new employment agreement shall accelerate and become fully exercisable or non-forfeitable immediately prior to the change in control. In addition, in the event that Mr. MacKay is terminated by us without “cause” or by Mr. MacKay for “good reason” within three months prior to or 18 months after a change in control, subject to the execution and effectiveness of a separation agreement and release, he will be entitled to receive (i) an amount equal to 150% of the sum of his base salary plus target bonus for that year, and</w:t>
      </w:r>
    </w:p>
    <w:p>
      <w:pPr>
        <w:spacing w:after="0" w:line="3" w:lineRule="exact"/>
        <w:rPr>
          <w:sz w:val="20"/>
          <w:szCs w:val="20"/>
          <w:color w:val="auto"/>
        </w:rPr>
      </w:pPr>
    </w:p>
    <w:p>
      <w:pPr>
        <w:jc w:val="both"/>
        <w:ind w:left="200" w:right="140" w:firstLine="4"/>
        <w:spacing w:after="0" w:line="302" w:lineRule="auto"/>
        <w:tabs>
          <w:tab w:leader="none" w:pos="465"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reimbursement of COBRA premiums for health benefit coverage, up to an amount equal to the monthly employer contribution that we would have made to provide health insurance to Mr. MacKay had he remained employed with us for up to 18 months. Additionally, all then unvested stock options and other stock-based awards granted to Mr. MacKay will vest and become exercisable or non-forfeitable as of the date of termination.</w:t>
      </w:r>
    </w:p>
    <w:p>
      <w:pPr>
        <w:spacing w:after="0" w:line="26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Nerissa Kreher, M.D.</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entered into an employment agreement with Dr. Nerissa Kreher, our Chief Medical Officer, on November 1, 2016. In connection with this offering, we entered into an amended and restated employment agreement with Dr. Kreher which will become effective as of the closing of this offering. Under the terms of the new employment agreement, Dr. Kreher is entitled to receive an annual base salary of $365,650 and an annual target bonus of 25% of her annual base salary based upon our board of directors’ assessment of Dr. Kreher’s performance and our attainment of targeted goals as set by the board of directors in its sole discretion. Dr. Kreher also previously entered into a Confidentiality and IP Assignment Agreement with us, the terms of which are incorporated into her new employment agreement.</w:t>
      </w:r>
    </w:p>
    <w:p>
      <w:pPr>
        <w:spacing w:after="0" w:line="193"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Dr. Kreher’s new employment agreement provides that, in the event that her employment is terminated by us without “cause” or by Dr. Kreher with “good reason”, subject to the execution and effectiveness of a separation agreement and release, she will be entitled to receive (i) an amount equal to 75% of her base salary, provided that Dr. Kreher has not breached any of the confidentiality, noncompetition or cooperation provisions set forth in, or incorporated into, the new employment agreement, payable on our normal payroll cycle, and (ii) reimbursement of COBRA premiums for health benefit coverage, up to an amount equal to the monthly</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12" w:lineRule="auto"/>
        <w:rPr>
          <w:sz w:val="20"/>
          <w:szCs w:val="20"/>
          <w:color w:val="auto"/>
        </w:rPr>
      </w:pPr>
      <w:r>
        <w:rPr>
          <w:rFonts w:ascii="Arial" w:cs="Arial" w:eastAsia="Arial" w:hAnsi="Arial"/>
          <w:sz w:val="16"/>
          <w:szCs w:val="16"/>
          <w:color w:val="auto"/>
        </w:rPr>
        <w:t>employer contribution that we would have made to provide health insurance to Dr. Kreher had she remained employed with us for up to nine months. Additionally, all stock options and other stock based awards held by Dr. Kreher that would have vested if she had remained employed by us for an additional nine months following the date of termination will vest and become exercisable or non-forfeitable as of the date of termination.</w:t>
      </w:r>
    </w:p>
    <w:p>
      <w:pPr>
        <w:spacing w:after="0" w:line="14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Under the new employment agreement, in the event of a “change in control” all stock options and other stock-based awards granted to Dr. Kreher at least 12 months prior to the effective date of the new employment agreement shall accelerate and become fully exercisable or non-forfeitable immediately prior to the change in control. In addition, in the event that Dr. Kreher is terminated by us without “cause” or by Dr. Kreher for “good reason” within three months prior to or 18 months after a change in control, subject to the execution and effectiveness of a separation agreement and release, she will be entitled to receive (i) an amount equal to 100% of the sum of her base salary, plus target bonus for that year, and (ii) reimbursement of COBRA premiums for health benefit coverage, up to an amount equal to the monthly employer contribution that we would have made to provide health insurance to Dr. Kreher had she remained employed with us for up to 12 months. Additionally, all then unvested stock options and other stock-based awards granted to Dr. Kreher will vest and become exercisable or non-forfeitable as of the date of termination.</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Katina Dorton</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entered into an employment agreement with Katina Dorton, our Chief Financial Officer, on July 20, 2017. In connection with this offering, we entered into an amended and restated employment agreement with Ms. Dorton which will become effective as of the closing of this offering. Under the terms of the new employment agreement, Ms. Dorton is entitled to receive an annual base salary of $360,000 and an annual target bonus of 40% of her annual base salary based upon our board of directors’ assessment of Ms. Dorton’s performance and our attainment of targeted goals as set by the board of directors in its sole discretion. Ms. Dorton also previously entered into a Confidentiality and IP Assignment Agreement with us, the terms of which are incorporated into her new employment agreement.</w:t>
      </w:r>
    </w:p>
    <w:p>
      <w:pPr>
        <w:spacing w:after="0" w:line="193"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Pursuant to Ms. Dorton’s existing and new employment agreements, Ms. Dorton is entitled to reimbursement of temporary living and travel expenses in connection with traveling to and temporary living in Massachusetts of up to $4,000 per month until the earlier of August 28, 2018 and the sale of her Raleigh, North Carolina residence. Ms. Dorton is also entitled to a one-time relocation payment of up to $100,000, less any reimbursements for temporary living and travel expenses previously paid to her, in connection with the relocation of her primary residence from North Carolina to Massachusetts.</w:t>
      </w:r>
    </w:p>
    <w:p>
      <w:pPr>
        <w:spacing w:after="0" w:line="18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Ms. Dorton’s new employment agreement provides that, in the event that her employment is terminated by us without “cause” or by Ms. Dorton with “good reason”, subject to the execution and effectiveness of a separation agreement and release, she will be entitled to receive (i) an amount equal to 75% of her base salary, provided that Ms. Dorton has not breached any of the confidentiality, noncompetition or cooperation provisions set forth in, or incorporated into, the new employment agreement, payable on our normal payroll cycle, and (ii) reimbursement of COBRA premiums for health benefit coverage, up to an amount equal to the monthly employer contribution that we would have made to provide health insurance to Ms. Dorton had she remained employed with us for up to nine months. Additionally, all stock options and other stock based awards held by Ms. Dorton that would have vested if she had remained employed by us for an additional nine months following the date of termination will vest and become exercisable or non-forfeitable as of the date of termination.</w:t>
      </w:r>
    </w:p>
    <w:p>
      <w:pPr>
        <w:spacing w:after="0" w:line="17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Under the new employment agreement, in the event of a “change in control” all stock options and other stock-based awards granted to Ms. Dorton at least 12 months prior to the effective date of the new employment agreement shall accelerate and become fully exercisable or non-forfeitable immediately prior to the change in control. In addition, in the event that Ms. Dorton is terminated by us without “cause” or by Ms. Dorton for “good reason” within three months prior to or 18 months after a change in control, subject to the execution and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effectiveness of a separation agreement and release, she will be entitled to receive (i) an amount equal to 100% of the sum of her base salary plus target bonus for that year, and (ii) reimbursement of COBRA premiums for health benefit coverage, up to an amount equal to the monthly employer contribution that we would have made to provide health insurance to Ms. Dorton had she remained employed with us for up to 12 months. Additionally, all then unvested stock options and other stock-based awards granted to Ms. Dorton will vest and become exercisable or non-forfeitable as of the date of termination.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2017 Fiscal Year-End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information concerning outstanding equity awards held by our 2017 named executive officers as of December 31,</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2017. All equity awards set forth in the table below were granted under our Amended and Restated 2015 Stock Option and Grant Plan, or 2015 Plan.</w:t>
      </w:r>
    </w:p>
    <w:p>
      <w:pPr>
        <w:spacing w:after="0" w:line="25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06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Stock Awards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380" w:type="dxa"/>
            <w:vAlign w:val="bottom"/>
          </w:tcPr>
          <w:p>
            <w:pPr>
              <w:spacing w:after="0"/>
              <w:rPr>
                <w:sz w:val="10"/>
                <w:szCs w:val="10"/>
                <w:color w:val="auto"/>
              </w:rPr>
            </w:pPr>
          </w:p>
        </w:tc>
        <w:tc>
          <w:tcPr>
            <w:tcW w:w="1200" w:type="dxa"/>
            <w:vAlign w:val="bottom"/>
            <w:gridSpan w:val="2"/>
          </w:tcPr>
          <w:p>
            <w:pPr>
              <w:jc w:val="center"/>
              <w:ind w:right="283"/>
              <w:spacing w:after="0" w:line="119" w:lineRule="exact"/>
              <w:rPr>
                <w:sz w:val="20"/>
                <w:szCs w:val="20"/>
                <w:color w:val="auto"/>
              </w:rPr>
            </w:pPr>
            <w:r>
              <w:rPr>
                <w:rFonts w:ascii="Arial" w:cs="Arial" w:eastAsia="Arial" w:hAnsi="Arial"/>
                <w:sz w:val="13"/>
                <w:szCs w:val="13"/>
                <w:b w:val="1"/>
                <w:bCs w:val="1"/>
                <w:color w:val="auto"/>
              </w:rPr>
              <w:t>Number of</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2"/>
          </w:tcPr>
          <w:p>
            <w:pPr>
              <w:jc w:val="center"/>
              <w:ind w:right="283"/>
              <w:spacing w:after="0" w:line="119" w:lineRule="exact"/>
              <w:rPr>
                <w:sz w:val="20"/>
                <w:szCs w:val="20"/>
                <w:color w:val="auto"/>
              </w:rPr>
            </w:pPr>
            <w:r>
              <w:rPr>
                <w:rFonts w:ascii="Arial" w:cs="Arial" w:eastAsia="Arial" w:hAnsi="Arial"/>
                <w:sz w:val="13"/>
                <w:szCs w:val="13"/>
                <w:b w:val="1"/>
                <w:bCs w:val="1"/>
                <w:color w:val="auto"/>
              </w:rPr>
              <w:t>Number of</w:t>
            </w:r>
          </w:p>
        </w:tc>
        <w:tc>
          <w:tcPr>
            <w:tcW w:w="1100" w:type="dxa"/>
            <w:vAlign w:val="bottom"/>
            <w:gridSpan w:val="3"/>
            <w:vMerge w:val="restart"/>
          </w:tcPr>
          <w:p>
            <w:pPr>
              <w:jc w:val="center"/>
              <w:ind w:left="28"/>
              <w:spacing w:after="0"/>
              <w:rPr>
                <w:sz w:val="20"/>
                <w:szCs w:val="20"/>
                <w:color w:val="auto"/>
              </w:rPr>
            </w:pPr>
            <w:r>
              <w:rPr>
                <w:rFonts w:ascii="Arial" w:cs="Arial" w:eastAsia="Arial" w:hAnsi="Arial"/>
                <w:sz w:val="14"/>
                <w:szCs w:val="14"/>
                <w:b w:val="1"/>
                <w:bCs w:val="1"/>
                <w:color w:val="auto"/>
                <w:w w:val="97"/>
              </w:rPr>
              <w:t>Market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380" w:type="dxa"/>
            <w:vAlign w:val="bottom"/>
          </w:tcPr>
          <w:p>
            <w:pPr>
              <w:spacing w:after="0"/>
              <w:rPr>
                <w:sz w:val="12"/>
                <w:szCs w:val="12"/>
                <w:color w:val="auto"/>
              </w:rPr>
            </w:pPr>
          </w:p>
        </w:tc>
        <w:tc>
          <w:tcPr>
            <w:tcW w:w="120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auto"/>
                <w:w w:val="89"/>
              </w:rPr>
              <w:t>Securities</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center"/>
              <w:ind w:right="303"/>
              <w:spacing w:after="0" w:line="149" w:lineRule="exact"/>
              <w:rPr>
                <w:sz w:val="20"/>
                <w:szCs w:val="20"/>
                <w:color w:val="auto"/>
              </w:rPr>
            </w:pPr>
            <w:r>
              <w:rPr>
                <w:rFonts w:ascii="Arial" w:cs="Arial" w:eastAsia="Arial" w:hAnsi="Arial"/>
                <w:sz w:val="14"/>
                <w:szCs w:val="14"/>
                <w:b w:val="1"/>
                <w:bCs w:val="1"/>
                <w:color w:val="auto"/>
                <w:w w:val="92"/>
              </w:rPr>
              <w:t>Shares or</w:t>
            </w: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380" w:type="dxa"/>
            <w:vAlign w:val="bottom"/>
          </w:tcPr>
          <w:p>
            <w:pPr>
              <w:spacing w:after="0"/>
              <w:rPr>
                <w:sz w:val="12"/>
                <w:szCs w:val="12"/>
                <w:color w:val="auto"/>
              </w:rPr>
            </w:pPr>
          </w:p>
        </w:tc>
        <w:tc>
          <w:tcPr>
            <w:tcW w:w="1200" w:type="dxa"/>
            <w:vAlign w:val="bottom"/>
            <w:gridSpan w:val="2"/>
          </w:tcPr>
          <w:p>
            <w:pPr>
              <w:jc w:val="center"/>
              <w:ind w:right="303"/>
              <w:spacing w:after="0" w:line="149" w:lineRule="exact"/>
              <w:rPr>
                <w:sz w:val="20"/>
                <w:szCs w:val="20"/>
                <w:color w:val="auto"/>
              </w:rPr>
            </w:pPr>
            <w:r>
              <w:rPr>
                <w:rFonts w:ascii="Arial" w:cs="Arial" w:eastAsia="Arial" w:hAnsi="Arial"/>
                <w:sz w:val="14"/>
                <w:szCs w:val="14"/>
                <w:b w:val="1"/>
                <w:bCs w:val="1"/>
                <w:color w:val="auto"/>
                <w:w w:val="95"/>
              </w:rPr>
              <w:t>Underlying</w:t>
            </w:r>
          </w:p>
        </w:tc>
        <w:tc>
          <w:tcPr>
            <w:tcW w:w="20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Option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380" w:type="dxa"/>
            <w:vAlign w:val="bottom"/>
          </w:tcPr>
          <w:p>
            <w:pPr>
              <w:spacing w:after="0"/>
              <w:rPr>
                <w:sz w:val="12"/>
                <w:szCs w:val="12"/>
                <w:color w:val="auto"/>
              </w:rPr>
            </w:pPr>
          </w:p>
        </w:tc>
        <w:tc>
          <w:tcPr>
            <w:tcW w:w="1020" w:type="dxa"/>
            <w:vAlign w:val="bottom"/>
            <w:gridSpan w:val="2"/>
          </w:tcPr>
          <w:p>
            <w:pPr>
              <w:jc w:val="center"/>
              <w:ind w:right="303"/>
              <w:spacing w:after="0" w:line="149" w:lineRule="exact"/>
              <w:rPr>
                <w:sz w:val="20"/>
                <w:szCs w:val="20"/>
                <w:color w:val="auto"/>
              </w:rPr>
            </w:pPr>
            <w:r>
              <w:rPr>
                <w:rFonts w:ascii="Arial" w:cs="Arial" w:eastAsia="Arial" w:hAnsi="Arial"/>
                <w:sz w:val="14"/>
                <w:szCs w:val="14"/>
                <w:b w:val="1"/>
                <w:bCs w:val="1"/>
                <w:color w:val="auto"/>
                <w:w w:val="92"/>
              </w:rPr>
              <w:t>Units of</w:t>
            </w:r>
          </w:p>
        </w:tc>
        <w:tc>
          <w:tcPr>
            <w:tcW w:w="1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100" w:type="dxa"/>
            <w:vAlign w:val="bottom"/>
            <w:gridSpan w:val="2"/>
          </w:tcPr>
          <w:p>
            <w:pPr>
              <w:jc w:val="center"/>
              <w:ind w:left="1259"/>
              <w:spacing w:after="0" w:line="149" w:lineRule="exact"/>
              <w:rPr>
                <w:sz w:val="20"/>
                <w:szCs w:val="20"/>
                <w:color w:val="auto"/>
              </w:rPr>
            </w:pPr>
            <w:r>
              <w:rPr>
                <w:rFonts w:ascii="Arial" w:cs="Arial" w:eastAsia="Arial" w:hAnsi="Arial"/>
                <w:sz w:val="14"/>
                <w:szCs w:val="14"/>
                <w:b w:val="1"/>
                <w:bCs w:val="1"/>
                <w:color w:val="auto"/>
                <w:w w:val="91"/>
              </w:rPr>
              <w:t>Unexercised</w:t>
            </w:r>
          </w:p>
        </w:tc>
        <w:tc>
          <w:tcPr>
            <w:tcW w:w="380" w:type="dxa"/>
            <w:vAlign w:val="bottom"/>
          </w:tcPr>
          <w:p>
            <w:pPr>
              <w:spacing w:after="0"/>
              <w:rPr>
                <w:sz w:val="12"/>
                <w:szCs w:val="12"/>
                <w:color w:val="auto"/>
              </w:rPr>
            </w:pPr>
          </w:p>
        </w:tc>
        <w:tc>
          <w:tcPr>
            <w:tcW w:w="120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center"/>
              <w:ind w:right="303"/>
              <w:spacing w:after="0" w:line="149" w:lineRule="exact"/>
              <w:rPr>
                <w:sz w:val="20"/>
                <w:szCs w:val="20"/>
                <w:color w:val="auto"/>
              </w:rPr>
            </w:pPr>
            <w:r>
              <w:rPr>
                <w:rFonts w:ascii="Arial" w:cs="Arial" w:eastAsia="Arial" w:hAnsi="Arial"/>
                <w:sz w:val="14"/>
                <w:szCs w:val="14"/>
                <w:b w:val="1"/>
                <w:bCs w:val="1"/>
                <w:color w:val="auto"/>
                <w:w w:val="94"/>
              </w:rPr>
              <w:t>Stock that</w:t>
            </w:r>
          </w:p>
        </w:tc>
        <w:tc>
          <w:tcPr>
            <w:tcW w:w="1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Units that</w:t>
            </w:r>
          </w:p>
        </w:tc>
        <w:tc>
          <w:tcPr>
            <w:tcW w:w="0" w:type="dxa"/>
            <w:vAlign w:val="bottom"/>
          </w:tcPr>
          <w:p>
            <w:pPr>
              <w:spacing w:after="0"/>
              <w:rPr>
                <w:sz w:val="1"/>
                <w:szCs w:val="1"/>
                <w:color w:val="auto"/>
              </w:rPr>
            </w:pPr>
          </w:p>
        </w:tc>
      </w:tr>
      <w:tr>
        <w:trPr>
          <w:trHeight w:val="149"/>
        </w:trPr>
        <w:tc>
          <w:tcPr>
            <w:tcW w:w="2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3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Options (#)</w:t>
            </w:r>
          </w:p>
        </w:tc>
        <w:tc>
          <w:tcPr>
            <w:tcW w:w="380" w:type="dxa"/>
            <w:vAlign w:val="bottom"/>
          </w:tcPr>
          <w:p>
            <w:pPr>
              <w:spacing w:after="0"/>
              <w:rPr>
                <w:sz w:val="12"/>
                <w:szCs w:val="12"/>
                <w:color w:val="auto"/>
              </w:rPr>
            </w:pPr>
          </w:p>
        </w:tc>
        <w:tc>
          <w:tcPr>
            <w:tcW w:w="120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auto"/>
                <w:w w:val="91"/>
              </w:rPr>
              <w:t>Options (#)</w:t>
            </w:r>
          </w:p>
        </w:tc>
        <w:tc>
          <w:tcPr>
            <w:tcW w:w="108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Exercise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Expiration</w:t>
            </w:r>
          </w:p>
        </w:tc>
        <w:tc>
          <w:tcPr>
            <w:tcW w:w="380" w:type="dxa"/>
            <w:vAlign w:val="bottom"/>
          </w:tcPr>
          <w:p>
            <w:pPr>
              <w:spacing w:after="0"/>
              <w:rPr>
                <w:sz w:val="12"/>
                <w:szCs w:val="12"/>
                <w:color w:val="auto"/>
              </w:rPr>
            </w:pPr>
          </w:p>
        </w:tc>
        <w:tc>
          <w:tcPr>
            <w:tcW w:w="1020" w:type="dxa"/>
            <w:vAlign w:val="bottom"/>
            <w:gridSpan w:val="2"/>
          </w:tcPr>
          <w:p>
            <w:pPr>
              <w:jc w:val="center"/>
              <w:ind w:right="283"/>
              <w:spacing w:after="0" w:line="149" w:lineRule="exact"/>
              <w:rPr>
                <w:sz w:val="20"/>
                <w:szCs w:val="20"/>
                <w:color w:val="auto"/>
              </w:rPr>
            </w:pPr>
            <w:r>
              <w:rPr>
                <w:rFonts w:ascii="Arial" w:cs="Arial" w:eastAsia="Arial" w:hAnsi="Arial"/>
                <w:sz w:val="14"/>
                <w:szCs w:val="14"/>
                <w:b w:val="1"/>
                <w:bCs w:val="1"/>
                <w:color w:val="auto"/>
                <w:w w:val="95"/>
              </w:rPr>
              <w:t>Have Not</w:t>
            </w:r>
          </w:p>
        </w:tc>
        <w:tc>
          <w:tcPr>
            <w:tcW w:w="180" w:type="dxa"/>
            <w:vAlign w:val="bottom"/>
          </w:tcPr>
          <w:p>
            <w:pPr>
              <w:spacing w:after="0"/>
              <w:rPr>
                <w:sz w:val="12"/>
                <w:szCs w:val="12"/>
                <w:color w:val="auto"/>
              </w:rPr>
            </w:pPr>
          </w:p>
        </w:tc>
        <w:tc>
          <w:tcPr>
            <w:tcW w:w="9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91"/>
        </w:trPr>
        <w:tc>
          <w:tcPr>
            <w:tcW w:w="2900" w:type="dxa"/>
            <w:vAlign w:val="bottom"/>
            <w:gridSpan w:val="3"/>
            <w:vMerge w:val="continue"/>
          </w:tcPr>
          <w:p>
            <w:pPr>
              <w:spacing w:after="0"/>
              <w:rPr>
                <w:sz w:val="16"/>
                <w:szCs w:val="16"/>
                <w:color w:val="auto"/>
              </w:rPr>
            </w:pPr>
          </w:p>
        </w:tc>
        <w:tc>
          <w:tcPr>
            <w:tcW w:w="13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5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Unexercisable</w:t>
            </w:r>
          </w:p>
        </w:tc>
        <w:tc>
          <w:tcPr>
            <w:tcW w:w="10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 xml:space="preserve">Price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380" w:type="dxa"/>
            <w:vAlign w:val="bottom"/>
          </w:tcPr>
          <w:p>
            <w:pPr>
              <w:spacing w:after="0"/>
              <w:rPr>
                <w:sz w:val="16"/>
                <w:szCs w:val="16"/>
                <w:color w:val="auto"/>
              </w:rPr>
            </w:pPr>
          </w:p>
        </w:tc>
        <w:tc>
          <w:tcPr>
            <w:tcW w:w="1020" w:type="dxa"/>
            <w:vAlign w:val="bottom"/>
            <w:gridSpan w:val="2"/>
          </w:tcPr>
          <w:p>
            <w:pPr>
              <w:jc w:val="center"/>
              <w:ind w:right="303"/>
              <w:spacing w:after="0"/>
              <w:rPr>
                <w:sz w:val="20"/>
                <w:szCs w:val="20"/>
                <w:color w:val="auto"/>
              </w:rPr>
            </w:pPr>
            <w:r>
              <w:rPr>
                <w:rFonts w:ascii="Arial" w:cs="Arial" w:eastAsia="Arial" w:hAnsi="Arial"/>
                <w:sz w:val="14"/>
                <w:szCs w:val="14"/>
                <w:b w:val="1"/>
                <w:bCs w:val="1"/>
                <w:color w:val="auto"/>
                <w:w w:val="89"/>
              </w:rPr>
              <w:t>Vested (#)</w:t>
            </w:r>
          </w:p>
        </w:tc>
        <w:tc>
          <w:tcPr>
            <w:tcW w:w="180" w:type="dxa"/>
            <w:vAlign w:val="bottom"/>
          </w:tcPr>
          <w:p>
            <w:pPr>
              <w:spacing w:after="0"/>
              <w:rPr>
                <w:sz w:val="16"/>
                <w:szCs w:val="16"/>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 xml:space="preserve">Vested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 (5)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72"/>
              </w:rPr>
              <w:t>Geoff</w:t>
            </w:r>
          </w:p>
        </w:tc>
        <w:tc>
          <w:tcPr>
            <w:tcW w:w="2540" w:type="dxa"/>
            <w:vAlign w:val="bottom"/>
            <w:tcBorders>
              <w:top w:val="single" w:sz="8" w:color="CCEEFF"/>
            </w:tcBorders>
            <w:shd w:val="clear" w:color="auto" w:fill="CCEEFF"/>
          </w:tcPr>
          <w:p>
            <w:pPr>
              <w:ind w:left="100"/>
              <w:spacing w:after="0" w:line="189" w:lineRule="exact"/>
              <w:rPr>
                <w:sz w:val="20"/>
                <w:szCs w:val="20"/>
                <w:color w:val="auto"/>
              </w:rPr>
            </w:pPr>
            <w:r>
              <w:rPr>
                <w:rFonts w:ascii="Arial" w:cs="Arial" w:eastAsia="Arial" w:hAnsi="Arial"/>
                <w:sz w:val="18"/>
                <w:szCs w:val="18"/>
                <w:color w:val="auto"/>
              </w:rPr>
              <w:t>MacKay</w:t>
            </w:r>
          </w:p>
        </w:tc>
        <w:tc>
          <w:tcPr>
            <w:tcW w:w="136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75,629</w:t>
            </w:r>
          </w:p>
        </w:tc>
        <w:tc>
          <w:tcPr>
            <w:tcW w:w="3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166,384</w:t>
            </w:r>
          </w:p>
        </w:tc>
        <w:tc>
          <w:tcPr>
            <w:tcW w:w="340" w:type="dxa"/>
            <w:vAlign w:val="bottom"/>
            <w:tcBorders>
              <w:top w:val="single" w:sz="8" w:color="CCEEFF"/>
            </w:tcBorders>
            <w:shd w:val="clear" w:color="auto" w:fill="CCEEFF"/>
          </w:tcPr>
          <w:p>
            <w:pPr>
              <w:jc w:val="right"/>
              <w:ind w:right="103"/>
              <w:spacing w:after="0" w:line="155" w:lineRule="exact"/>
              <w:rPr>
                <w:sz w:val="20"/>
                <w:szCs w:val="20"/>
                <w:color w:val="auto"/>
              </w:rPr>
            </w:pPr>
            <w:r>
              <w:rPr>
                <w:rFonts w:ascii="Arial" w:cs="Arial" w:eastAsia="Arial" w:hAnsi="Arial"/>
                <w:sz w:val="15"/>
                <w:szCs w:val="15"/>
                <w:color w:val="auto"/>
                <w:w w:val="76"/>
              </w:rPr>
              <w:t>(1)</w:t>
            </w:r>
          </w:p>
        </w:tc>
        <w:tc>
          <w:tcPr>
            <w:tcW w:w="2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0.41</w:t>
            </w:r>
          </w:p>
        </w:tc>
        <w:tc>
          <w:tcPr>
            <w:tcW w:w="36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4/12/2026</w:t>
            </w:r>
          </w:p>
        </w:tc>
        <w:tc>
          <w:tcPr>
            <w:tcW w:w="3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ind w:left="160"/>
              <w:spacing w:after="0" w:line="189" w:lineRule="exact"/>
              <w:rPr>
                <w:sz w:val="20"/>
                <w:szCs w:val="20"/>
                <w:color w:val="auto"/>
              </w:rPr>
            </w:pPr>
            <w:r>
              <w:rPr>
                <w:rFonts w:ascii="Arial" w:cs="Arial" w:eastAsia="Arial" w:hAnsi="Arial"/>
                <w:sz w:val="18"/>
                <w:szCs w:val="18"/>
                <w:color w:val="auto"/>
                <w:w w:val="87"/>
              </w:rPr>
              <w:t>72,604</w:t>
            </w:r>
          </w:p>
        </w:tc>
        <w:tc>
          <w:tcPr>
            <w:tcW w:w="360" w:type="dxa"/>
            <w:vAlign w:val="bottom"/>
            <w:tcBorders>
              <w:top w:val="single" w:sz="8" w:color="CCEEFF"/>
            </w:tcBorders>
            <w:shd w:val="clear" w:color="auto" w:fill="CCEEFF"/>
          </w:tcPr>
          <w:p>
            <w:pPr>
              <w:jc w:val="right"/>
              <w:ind w:right="103"/>
              <w:spacing w:after="0" w:line="155" w:lineRule="exact"/>
              <w:rPr>
                <w:sz w:val="20"/>
                <w:szCs w:val="20"/>
                <w:color w:val="auto"/>
              </w:rPr>
            </w:pPr>
            <w:r>
              <w:rPr>
                <w:rFonts w:ascii="Arial" w:cs="Arial" w:eastAsia="Arial" w:hAnsi="Arial"/>
                <w:sz w:val="15"/>
                <w:szCs w:val="15"/>
                <w:color w:val="auto"/>
                <w:w w:val="87"/>
              </w:rPr>
              <w:t>(4)</w:t>
            </w:r>
          </w:p>
        </w:tc>
        <w:tc>
          <w:tcPr>
            <w:tcW w:w="1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ind w:left="260"/>
              <w:spacing w:after="0" w:line="189" w:lineRule="exact"/>
              <w:rPr>
                <w:sz w:val="20"/>
                <w:szCs w:val="20"/>
                <w:color w:val="auto"/>
              </w:rPr>
            </w:pPr>
            <w:r>
              <w:rPr>
                <w:rFonts w:ascii="Arial" w:cs="Arial" w:eastAsia="Arial" w:hAnsi="Arial"/>
                <w:sz w:val="18"/>
                <w:szCs w:val="18"/>
                <w:color w:val="auto"/>
                <w:w w:val="89"/>
              </w:rPr>
              <w:t>296,950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103"/>
              <w:spacing w:after="0"/>
              <w:rPr>
                <w:sz w:val="20"/>
                <w:szCs w:val="20"/>
                <w:color w:val="auto"/>
              </w:rPr>
            </w:pPr>
            <w:r>
              <w:rPr>
                <w:rFonts w:ascii="Arial" w:cs="Arial" w:eastAsia="Arial" w:hAnsi="Arial"/>
                <w:sz w:val="18"/>
                <w:szCs w:val="18"/>
                <w:color w:val="auto"/>
              </w:rPr>
              <w:t>45,999</w:t>
            </w:r>
            <w:r>
              <w:rPr>
                <w:rFonts w:ascii="Arial" w:cs="Arial" w:eastAsia="Arial" w:hAnsi="Arial"/>
                <w:sz w:val="15"/>
                <w:szCs w:val="15"/>
                <w:color w:val="auto"/>
              </w:rPr>
              <w:t>(2)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0.91</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6/12/2027</w:t>
            </w:r>
          </w:p>
        </w:tc>
        <w:tc>
          <w:tcPr>
            <w:tcW w:w="38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Katina Dorton</w:t>
            </w: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103"/>
              <w:spacing w:after="0"/>
              <w:rPr>
                <w:sz w:val="20"/>
                <w:szCs w:val="20"/>
                <w:color w:val="auto"/>
              </w:rPr>
            </w:pPr>
            <w:r>
              <w:rPr>
                <w:rFonts w:ascii="Arial" w:cs="Arial" w:eastAsia="Arial" w:hAnsi="Arial"/>
                <w:sz w:val="18"/>
                <w:szCs w:val="18"/>
                <w:color w:val="auto"/>
              </w:rPr>
              <w:t>158,318</w:t>
            </w:r>
            <w:r>
              <w:rPr>
                <w:rFonts w:ascii="Arial" w:cs="Arial" w:eastAsia="Arial" w:hAnsi="Arial"/>
                <w:sz w:val="15"/>
                <w:szCs w:val="15"/>
                <w:color w:val="auto"/>
              </w:rPr>
              <w:t>(2)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7/19/2027</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Nerissa Kreher, M.D.</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25,058</w:t>
            </w:r>
          </w:p>
        </w:tc>
        <w:tc>
          <w:tcPr>
            <w:tcW w:w="1580" w:type="dxa"/>
            <w:vAlign w:val="bottom"/>
            <w:gridSpan w:val="3"/>
          </w:tcPr>
          <w:p>
            <w:pPr>
              <w:jc w:val="right"/>
              <w:ind w:right="103"/>
              <w:spacing w:after="0"/>
              <w:rPr>
                <w:sz w:val="20"/>
                <w:szCs w:val="20"/>
                <w:color w:val="auto"/>
              </w:rPr>
            </w:pPr>
            <w:r>
              <w:rPr>
                <w:rFonts w:ascii="Arial" w:cs="Arial" w:eastAsia="Arial" w:hAnsi="Arial"/>
                <w:sz w:val="18"/>
                <w:szCs w:val="18"/>
                <w:color w:val="auto"/>
              </w:rPr>
              <w:t>60,856</w:t>
            </w:r>
            <w:r>
              <w:rPr>
                <w:rFonts w:ascii="Arial" w:cs="Arial" w:eastAsia="Arial" w:hAnsi="Arial"/>
                <w:sz w:val="15"/>
                <w:szCs w:val="15"/>
                <w:color w:val="auto"/>
              </w:rPr>
              <w:t>(3)</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10/24/2026</w:t>
            </w:r>
          </w:p>
        </w:tc>
        <w:tc>
          <w:tcPr>
            <w:tcW w:w="380" w:type="dxa"/>
            <w:vAlign w:val="bottom"/>
          </w:tcPr>
          <w:p>
            <w:pPr>
              <w:spacing w:after="0"/>
              <w:rPr>
                <w:sz w:val="18"/>
                <w:szCs w:val="18"/>
                <w:color w:val="auto"/>
              </w:rPr>
            </w:pPr>
          </w:p>
        </w:tc>
        <w:tc>
          <w:tcPr>
            <w:tcW w:w="10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103"/>
              <w:spacing w:after="0"/>
              <w:rPr>
                <w:sz w:val="20"/>
                <w:szCs w:val="20"/>
                <w:color w:val="auto"/>
              </w:rPr>
            </w:pPr>
            <w:r>
              <w:rPr>
                <w:rFonts w:ascii="Arial" w:cs="Arial" w:eastAsia="Arial" w:hAnsi="Arial"/>
                <w:sz w:val="18"/>
                <w:szCs w:val="18"/>
                <w:color w:val="auto"/>
              </w:rPr>
              <w:t>27,571</w:t>
            </w:r>
            <w:r>
              <w:rPr>
                <w:rFonts w:ascii="Arial" w:cs="Arial" w:eastAsia="Arial" w:hAnsi="Arial"/>
                <w:sz w:val="15"/>
                <w:szCs w:val="15"/>
                <w:color w:val="auto"/>
              </w:rPr>
              <w:t>(2)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6/12/2027</w:t>
            </w:r>
          </w:p>
        </w:tc>
        <w:tc>
          <w:tcPr>
            <w:tcW w:w="3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620" w:hanging="436"/>
        <w:spacing w:after="0" w:line="274" w:lineRule="auto"/>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shares underlying this stock option vest as follows: 25% of the shares vested on July 1, 2017 and the remainder vest in equal quarterly installments until the option is fully vested on July 1, 2020, subject to the continued employment of the executive officer.</w:t>
      </w:r>
    </w:p>
    <w:p>
      <w:pPr>
        <w:jc w:val="both"/>
        <w:ind w:left="640" w:right="140" w:hanging="436"/>
        <w:spacing w:after="0" w:line="250"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shares underlying this stock option vest as follows: 25% of the shares vest on the first anniversary of the grant date and the remainder vest in equal monthly installments until the option is fully vested on the fourth anniversary of the grant date, subject to the continued employment of the executive officer.</w:t>
      </w:r>
    </w:p>
    <w:p>
      <w:pPr>
        <w:spacing w:after="0" w:line="1" w:lineRule="exact"/>
        <w:rPr>
          <w:rFonts w:ascii="Arial" w:cs="Arial" w:eastAsia="Arial" w:hAnsi="Arial"/>
          <w:sz w:val="18"/>
          <w:szCs w:val="18"/>
          <w:color w:val="auto"/>
        </w:rPr>
      </w:pPr>
    </w:p>
    <w:p>
      <w:pPr>
        <w:ind w:left="640" w:right="400" w:hanging="436"/>
        <w:spacing w:after="0" w:line="265" w:lineRule="auto"/>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shares underlying this stock option vest as follows: 25% of the shares vested on October 3, 2017 and the remainder vest in equal monthly installments until the option is fully vested on October 3, 2020, subject to the continued employment of the executive officer.</w:t>
      </w:r>
    </w:p>
    <w:p>
      <w:pPr>
        <w:ind w:left="640" w:right="40" w:hanging="436"/>
        <w:spacing w:after="0" w:line="265" w:lineRule="auto"/>
        <w:tabs>
          <w:tab w:leader="none" w:pos="640" w:val="left"/>
        </w:tabs>
        <w:numPr>
          <w:ilvl w:val="0"/>
          <w:numId w:val="80"/>
        </w:numPr>
        <w:rPr>
          <w:rFonts w:ascii="Arial" w:cs="Arial" w:eastAsia="Arial" w:hAnsi="Arial"/>
          <w:sz w:val="17"/>
          <w:szCs w:val="17"/>
          <w:color w:val="auto"/>
        </w:rPr>
      </w:pPr>
      <w:r>
        <w:rPr>
          <w:rFonts w:ascii="Arial" w:cs="Arial" w:eastAsia="Arial" w:hAnsi="Arial"/>
          <w:sz w:val="17"/>
          <w:szCs w:val="17"/>
          <w:color w:val="auto"/>
        </w:rPr>
        <w:t>On November 27, 2015, Mr. MacKay transferred his ownership of 72,604 shares to each of his two children, 36,302 shares subject to each transfer remain unvested and subject to vesting as of December 31, 2017, based on Mr. MacKay’s continued service to our company.</w:t>
      </w:r>
    </w:p>
    <w:p>
      <w:pPr>
        <w:ind w:left="640" w:right="160" w:hanging="436"/>
        <w:spacing w:after="0" w:line="323" w:lineRule="auto"/>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There was no public market for our common stock as of December 31, 2017. This column represents the value of the shares of restricted stock as of December 31, 2017, based on the fair market value of our common stock as of December 31, 2017, which was $4.09 per share.</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us.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240" w:top="459" w:right="4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 Benefit and Equity Compensation Plans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2015 Plan, was approved by our board of directors and our stockholders on July 21, 2016. The 2015 Plan was most recently amended in January 2018 with the approval of both our board of directors and our stockholders. Under the 2015 Plan, we have reserved for issuance an aggregate of 2,008,564 shares of our common stock. The number of shares of common stock reserved for issuance is subject to adjustment in the event of any merger, consolidation, sale of all or substantially all of our assets, reorganization, recapitalization, reclassification, stock dividend, stock split, reverse stock split or other similar transaction.</w:t>
      </w:r>
    </w:p>
    <w:p>
      <w:pPr>
        <w:spacing w:after="0" w:line="188" w:lineRule="exact"/>
        <w:rPr>
          <w:sz w:val="20"/>
          <w:szCs w:val="20"/>
          <w:color w:val="auto"/>
        </w:rPr>
      </w:pPr>
    </w:p>
    <w:p>
      <w:pPr>
        <w:ind w:left="200" w:right="320" w:firstLine="441"/>
        <w:spacing w:after="0" w:line="312" w:lineRule="auto"/>
        <w:rPr>
          <w:sz w:val="20"/>
          <w:szCs w:val="20"/>
          <w:color w:val="auto"/>
        </w:rPr>
      </w:pPr>
      <w:r>
        <w:rPr>
          <w:rFonts w:ascii="Arial" w:cs="Arial" w:eastAsia="Arial" w:hAnsi="Arial"/>
          <w:sz w:val="16"/>
          <w:szCs w:val="16"/>
          <w:color w:val="auto"/>
        </w:rPr>
        <w:t>The shares of common stock underlying awards that are forfeited, canceled, reacquired by us prior to vesting, satisfied without the issuance of stock or otherwise terminated (other than by exercise) and shares of common stock that are withheld upon exercise of an option or settlement of an award to cover the exercise price or tax withholding are added back to the shares of common stock available for issuance under the 2015 Plan.</w:t>
      </w:r>
    </w:p>
    <w:p>
      <w:pPr>
        <w:spacing w:after="0" w:line="14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board of directors has acted as administrator of the 2015 Plan. The administrator has full power to select, from among the individuals eligible for awards, the individuals to whom awards will be granted, and to determine the specific terms and conditions of each award, subject to the provisions of the 2015 Plan. Persons eligible to participate in the 2015 Plan are those employees, officers and directors of, and consultants and advisors to, our company as selected from time to time by the administrator in its discretion.</w:t>
      </w:r>
    </w:p>
    <w:p>
      <w:pPr>
        <w:spacing w:after="0" w:line="18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The 2015 Plan permits the granting of (1) options to purchase common stock intended to qualify as incentive stock options under Section 422 of the Internal Revenue Code of 1986, as amended, or the Code and (2) options that do not so qualify. The per share option exercise price of each option will be determined by the administrator but may not be less than 100% of the fair market value of the common stock on the date of grant. The term of each option will be fixed by the administrator. The administrator will determine at what time or times each option may be exercised. In addition, the 2015 Plan permits the granting of restricted shares of common stock, unrestricted shares of common stock, and restricted stock units.</w:t>
      </w:r>
    </w:p>
    <w:p>
      <w:pPr>
        <w:spacing w:after="0" w:line="158"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2015 Plan provides that upon the occurrence of a “sale event,” as defined in the 2015 Plan, our board of directors may take one or more of the following actions as to some or all awards outstanding under the 2015 Plan: (i) provide that outstanding options awards will be assumed or substituted by the acquiring or successor corporation, (ii) provide that all unexercised options will terminate immediately prior to the consummation of the sale event unless exercised by the optionee (to the extent exercisable) within a specified period prior to the consummation of the sale event, (iii) make or provide for a cash payment to the optionees equal to the difference between the per share cash consideration in the sale event and the per share exercise price of the outstanding award, (iv) provide that all restricted stock and unvested restricted stock unit awards (other than those becoming vested as a result of the sale event) will be assumed or substituted by the acquiring or successor corporation (v) provide that all restricted stock and unvested restricted stock unit awards (other than those becoming vested as a result of the sale event) will terminate immediately prior to the effective time of any sale event unless repurchased at a price per share equal to the lower of the original per share purchase price paid by the holder (subject to adjustment) or the current fair market value of such shares, determined immediately prior to the effective time of the sale event, (vi) make or provide for a cash payment to the holders of restricted stock or restricted stock unit awards in an amount equal to the consideration payable per share of stock pursuant to the sale event times the number of shares subject to such award. We may also make or provide for a cash payment to participants holding options in an amount equal to the difference between the per share cash consideration payable to stockholders in the sale event and the exercise price of the options (to the extent then exercisable).</w:t>
      </w:r>
    </w:p>
    <w:p>
      <w:pPr>
        <w:spacing w:after="0" w:line="185"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The administrator may amend or discontinue the 2015 Plan at any time, subject to stockholder approval where such approval is required by applicable law. The administrator of the 2015 Plan may also amend or cancel any outstanding award, provided that no amendment to an award may adversely affect a participant’s rights without his or her consent.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The 2015 Plan will terminate automatically upon the earlier of 10 years from the date on which the 2015 Plan was adopted by our board of directors or 10 years from the date the 2015 Plan is approved by the Company’s stockholders. As of March 31, 2018, options to purchase 1,788,750 shares of common stock were outstanding under the 2015 Plan. Our board of directors has determined not to make any further awards under the 2015 Plan following the pricing of this offering.</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Stock Option and Incentive Plan</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2018 Stock Option and Incentive Plan, or the 2018 Plan, was adopted by our board of directors on June 1, 2018 and approved by our stockholders on June 7, 2018 and will become effective upon the effectiveness of the registration statement of which this prospectus is part. The 2018 Plan will replace the 2015 Plan as our board of directors has determined not to make additional awards under the 2015 Plan following the pricing of our initial public offering. The 2018 Plan allows the compensation committee to make equity-based and cash-based incentive awards to our officers, employees, directors and other key persons (including consultants).</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have initially reserved 616,300 shares of our common stock, or the Initial Limit,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our compensation committee, or the Annual Increase. This number is subject to adjustment in the event of a stock split, stock dividend or other change in our capitalization.</w:t>
      </w:r>
    </w:p>
    <w:p>
      <w:pPr>
        <w:spacing w:after="0" w:line="188"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shares we issue under the 2018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any issuance of stock, expire or are otherwise terminated (other than by exercise) under the 2018 Plan and the 2015 Plan will be added back to the shares of common stock available for issuance under the 2018 Plan.</w:t>
      </w:r>
    </w:p>
    <w:p>
      <w:pPr>
        <w:spacing w:after="0" w:line="17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maximum aggregate number of shares that may be issued in the form of incentive stock options shall not exceed the Initial Limit cumulatively increased on January 1, 2019 and on each January 1 thereafter by the lesser of the Annual Increase for such year or 1,785,100 shares of common stock.</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2018 Plan will be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2018 Plan. Persons eligible to participate in the 2018 Plan will be those full or part-time officers, employees, non-employee directors and other key persons (including consultants) as selected from time to time by our compensation committee in its discretion.</w:t>
      </w:r>
    </w:p>
    <w:p>
      <w:pPr>
        <w:spacing w:after="0" w:line="188" w:lineRule="exact"/>
        <w:rPr>
          <w:sz w:val="20"/>
          <w:szCs w:val="20"/>
          <w:color w:val="auto"/>
        </w:rPr>
      </w:pPr>
    </w:p>
    <w:p>
      <w:pPr>
        <w:jc w:val="both"/>
        <w:ind w:left="200" w:right="20" w:firstLine="441"/>
        <w:spacing w:after="0" w:line="302" w:lineRule="auto"/>
        <w:rPr>
          <w:sz w:val="20"/>
          <w:szCs w:val="20"/>
          <w:color w:val="auto"/>
        </w:rPr>
      </w:pPr>
      <w:r>
        <w:rPr>
          <w:rFonts w:ascii="Arial" w:cs="Arial" w:eastAsia="Arial" w:hAnsi="Arial"/>
          <w:sz w:val="16"/>
          <w:szCs w:val="16"/>
          <w:color w:val="auto"/>
        </w:rPr>
        <w:t>The 2018 Plan permits the granting of both options to purchase common stock intended to qualify as incentive stock options under Section 422 of the Code, and options that do not so qualify. The option exercise price of each option will be determined by our compensation committee but may not be less than 100% of the fair market value of our common stock on the date of grant. The term of each option will be fixed by our compensation committee and may not exceed 10 years from the date of grant. Our compensation committee will determine at what time or times each option may be exercised.</w:t>
      </w:r>
    </w:p>
    <w:p>
      <w:pPr>
        <w:spacing w:after="0" w:line="154"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Our compensation committee may award stock appreciation rights subject to such conditions and restrictions as it may determine. Stock appreciation rights entitle the recipient to shares of common stock, or cash, equal to the value of the appreciation in our stock price over the exercise price. The exercise price of each stock appreciation right may not be less than 100% of the fair market value of the common stock on the date of grant.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Our compensation committee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Our compensation committee may also grant shares of common stock that are free from any restrictions under the 2018 Plan. Unrestricted stock may be granted to participants in recognition of past services or other valid consideration and may be issued in lieu of cash compensation due to such participant. Our compensation committee may grant cash bonuses under the 2018 Plan to participants, subject to the achievement of certain performance goals.</w:t>
      </w:r>
    </w:p>
    <w:p>
      <w:pPr>
        <w:spacing w:after="0" w:line="178" w:lineRule="exact"/>
        <w:rPr>
          <w:sz w:val="20"/>
          <w:szCs w:val="20"/>
          <w:color w:val="auto"/>
        </w:rPr>
      </w:pPr>
    </w:p>
    <w:p>
      <w:pPr>
        <w:ind w:left="200" w:right="80" w:firstLine="441"/>
        <w:spacing w:after="0" w:line="289" w:lineRule="auto"/>
        <w:rPr>
          <w:sz w:val="20"/>
          <w:szCs w:val="20"/>
          <w:color w:val="auto"/>
        </w:rPr>
      </w:pPr>
      <w:r>
        <w:rPr>
          <w:rFonts w:ascii="Arial" w:cs="Arial" w:eastAsia="Arial" w:hAnsi="Arial"/>
          <w:sz w:val="16"/>
          <w:szCs w:val="16"/>
          <w:color w:val="auto"/>
        </w:rPr>
        <w:t>Our compensation committee may grant awards that vest or become payable upon the attainment of performance goals that are established by our compensation committee and related to one or more performance criteria. The performance criteria that could be used with respect to any such awards include: achievement of specified research and development, publication, clinical and/or regulatory milestones, earnings before interest, taxes, depreciation and amortization, net income (loss) (either before or after interest, taxes, depreciation and/or amortization), changes in the market price of our common stock, economic value added, funds from operations or similar measures, sales or revenue, acquisitions or strategic transactions, operating income (loss), cash flow (including, but not limited to, operating cash flow and free cash flow), return on capital, assets, equity, or investment, stockholder returns,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w:t>
      </w:r>
    </w:p>
    <w:p>
      <w:pPr>
        <w:spacing w:after="0" w:line="167"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The 2018 Plan provides that in the case of, and subject to, the consummation of a “sale event” as defined in the 2018 Plan, all outstanding awards may be assumed, substituted or otherwise continued by the successor entity. To the extent that the successor entity does not assume, substitute or otherwise continue such awards, then (i) all stock options and stock appreciation rights will automatically become fully exercisable and the restrictions and conditions on all other awards with time-based conditions will automatically be deemed waived, and awards with conditions and restrictions relating to the attainment of performance goals may become vested and non-forfeitable in connection with a sale event in the compensation committee’s discretion and (ii) upon the effectiveness of the sale event, the 2018 Plan and all awards will automatically terminate. In the event of such termination,</w:t>
      </w:r>
    </w:p>
    <w:p>
      <w:pPr>
        <w:spacing w:after="0" w:line="5" w:lineRule="exact"/>
        <w:rPr>
          <w:sz w:val="20"/>
          <w:szCs w:val="20"/>
          <w:color w:val="auto"/>
        </w:rPr>
      </w:pPr>
    </w:p>
    <w:p>
      <w:pPr>
        <w:ind w:left="200" w:right="200" w:firstLine="4"/>
        <w:spacing w:after="0" w:line="254" w:lineRule="auto"/>
        <w:tabs>
          <w:tab w:leader="none" w:pos="415"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individuals holding options and stock appreciation rights will be permitted to exercise such options and stock appreciation rights (to the extent exercisable) prior to the sale event; or (ii) we may make or provide for a cash payment to participants holding options and stock appreciation rights equal to the difference between the per share cash consideration payable to stockholders in the sale event and the exercise price of the options or stock appreciation rights (to the extent then exercisable).</w:t>
      </w:r>
    </w:p>
    <w:p>
      <w:pPr>
        <w:spacing w:after="0" w:line="190"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Our board of directors may amend or discontinue the 2018 Plan and our compensation committee may amend the exercise price of options and amend or cancel outstanding awards for purposes of satisfying changes in law or any other lawful purpose but no such action may adversely affect rights under an award without the holder’s consent. Certain amendments to the 2018 Plan require the approval of our stockholders. No awards may be granted under the 2018 Plan after the date that is 10 years from the date of stockholder approval. Our board of directors has approved the grant of stock options to purchase 75,613 shares of common stock under the 2018 Plan, effective as of the effectiveness of the 2018 Plan.</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2018 Employee Stock Purchase Plan, or the ESPP, was adopted by our board of directors on June 1, 2018 and approved by our stockholders on June 7, 2018 and will become effective upon the effectiveness of the registration statement of which this prospectus is part. The ESPP is intended to qualify as an “employee stock 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240" w:top="459" w:right="4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80"/>
        <w:spacing w:after="0" w:line="312" w:lineRule="auto"/>
        <w:rPr>
          <w:sz w:val="20"/>
          <w:szCs w:val="20"/>
          <w:color w:val="auto"/>
        </w:rPr>
      </w:pPr>
      <w:r>
        <w:rPr>
          <w:rFonts w:ascii="Arial" w:cs="Arial" w:eastAsia="Arial" w:hAnsi="Arial"/>
          <w:sz w:val="16"/>
          <w:szCs w:val="16"/>
          <w:color w:val="auto"/>
        </w:rPr>
        <w:t>on January 1, 2019 and each January 1 thereafter through January 1, 2028, by the least of (i) 1% of the outstanding number of shares of our common stock on the immediately preceding December 31; (ii) 1,115,700 shares or (iii) such number of shares as determined by the ESPP administrator. The number of shares reserved under the ESPP is subject to adjustment in the event of a stock split, stock dividend or other change in our capitalization.</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All employees who have completed at least three months of employment and whose customary employment is for more than 20 hours per week are eligible to participate in the ESPP. However, any employee who owns 5% or more of the total combined voting power or value of all classes of stock is not eligible to purchase shares under the ESPP.</w:t>
      </w:r>
    </w:p>
    <w:p>
      <w:pPr>
        <w:spacing w:after="0" w:line="181"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We will make one or more offerings each year to our employees to purchase shares under the ESPP. Offerings will usually begin on each January 1 and July 1 and will continue for six-month periods, referred to as offering periods. Each eligible employee may elect to participate in any offering by submitting an enrollment form at least 15 business days before the relevant offering date.</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Each employee who is a participant in the ESPP may purchase shares by authorizing payroll deductions of up to 10% of his or her base compensation during an offering period. Unless the participating employee has previously withdrawn from the offering, his or her accumulated payroll deductions will be used to purchase shares on the last business day of the offering period at a price equal to 85% of the fair market value of the shares on the first business day or the last business day of the offering period, whichever is lower. Under applicable tax rules, an employee may purchase no more than $25,000 worth of shares of common stock, valued at the start of the purchase period, under the ESPP in any calendar year.</w:t>
      </w:r>
    </w:p>
    <w:p>
      <w:pPr>
        <w:spacing w:after="0" w:line="158"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p>
    <w:p>
      <w:pPr>
        <w:spacing w:after="0" w:line="12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ESPP may be terminated or amended by our board of directors at any time. An amendment that increases the number of shares of common stock authorized under the ESPP and certain other amendments require the approval of our stockholders.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Senior Executive Cash Incentive Bonus Plan</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On June 1, 2018, our board of directors adopted the Senior Executive Cash Incentive Bonus Plan, or the Bonus Plan. The Bonus Plan provides for cash bonus payments based upon the attainment of performance targets established by our compensation committee. The payment targets will be related to financial and operational measures or objectives with respect to our company, or corporate performance goals, as well as individual performance objectives.</w:t>
      </w:r>
    </w:p>
    <w:p>
      <w:pPr>
        <w:spacing w:after="0" w:line="187"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Our compensation committee may select corporate performance goals from among the following: achievement of specified research and development, publication, clinical and/or regulatory milestones, adjusted billings, earnings before interest, taxes, depreciation and amortization, net income (loss) (either before or after interest, taxes, depreciation and/or amortization), changes in the market price of our common stock, economic value-added, funds from operations or similar measure, sales or revenue, acquisitions or strategic transactions, operating income (loss), cash flow (including, but not limited to, operating cash flow and free cash flow), return on capital, assets, equity, or investment, stockholder returns, return on sales, gross or net profit levels, productivity, expense, margins, operating efficiency, customer satisfaction, working capital, earnings (loss) per share of stock, sales or market shares and number of customers, any of which may be measured in absolute terms, as compared to any incremental increase, in terms of growth, or as compared to results of a peer group.</w:t>
      </w:r>
    </w:p>
    <w:p>
      <w:pPr>
        <w:spacing w:after="0" w:line="179"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Each executive officer who is selected to participate in the Bonus Plan will have a target bonus opportunity set for each performance period. The bonus formulas will be adopted in each performance period by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24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must be employed by us on the bonus payment date to be eligible to receive a bonus payment. The Bonus Plan also permits the compensation committee to approve additional bonuses to executive officers in its sole discretion and provides the compensation committee with discretion to adjust the size of the award as it deems appropriate to account for unforeseen factors beyond management’s control that affected corporate performance.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We maintain a tax-qualified retirement plan that provides eligible employees with an opportunity to save for retirement on a tax-advantaged basis. All participants’ interests in their contributions are 100% vested when contributed. Contributions are allocated to each participant’s individual account and are then invested in selected investment alternatives according to the participants’ directions. The retirement plan is intended to qualify under Section 401(a) of the Code. Matching contributions to the plan are made at the discretion of our board of directors.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80"/>
          </w:cols>
          <w:pgMar w:left="240" w:top="459"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The following table presents the total compensation for each person who served as a non-employee member of our board of directors and received compensation for such service during the fiscal year ended December 31, 2017. Other than as set forth in the table and described more fully below, we did not pay any compensation, make any equity awards or non-equity awards to, or pay any other compensation to any of the non-employee members of our board of directors in 2017. We reimburse non-employee members of our board of directors for reasonable travel expenses. Mr. MacKay, our President and Chief Executive Officer, did not receive any compensation for his service as a member of our board of directors in 2017. Mr. MacKay’s compensation for service as an employee for fiscal year 2017 is presented in “Executive Compensation—2017 Summary Compensation Table.”</w:t>
      </w:r>
    </w:p>
    <w:p>
      <w:pPr>
        <w:spacing w:after="0" w:line="17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560" w:type="dxa"/>
            <w:vAlign w:val="bottom"/>
            <w:gridSpan w:val="2"/>
          </w:tcPr>
          <w:p>
            <w:pPr>
              <w:jc w:val="center"/>
              <w:ind w:left="2202"/>
              <w:spacing w:after="0"/>
              <w:rPr>
                <w:sz w:val="20"/>
                <w:szCs w:val="20"/>
                <w:color w:val="auto"/>
              </w:rPr>
            </w:pPr>
            <w:r>
              <w:rPr>
                <w:rFonts w:ascii="Arial" w:cs="Arial" w:eastAsia="Arial" w:hAnsi="Arial"/>
                <w:sz w:val="14"/>
                <w:szCs w:val="14"/>
                <w:b w:val="1"/>
                <w:bCs w:val="1"/>
                <w:color w:val="auto"/>
                <w:w w:val="99"/>
              </w:rPr>
              <w:t>FEES EARNED OR</w:t>
            </w:r>
          </w:p>
        </w:tc>
        <w:tc>
          <w:tcPr>
            <w:tcW w:w="2660" w:type="dxa"/>
            <w:vAlign w:val="bottom"/>
            <w:gridSpan w:val="3"/>
            <w:vMerge w:val="restart"/>
          </w:tcPr>
          <w:p>
            <w:pPr>
              <w:ind w:left="720"/>
              <w:spacing w:after="0"/>
              <w:rPr>
                <w:sz w:val="20"/>
                <w:szCs w:val="20"/>
                <w:color w:val="auto"/>
              </w:rPr>
            </w:pPr>
            <w:r>
              <w:rPr>
                <w:rFonts w:ascii="Arial" w:cs="Arial" w:eastAsia="Arial" w:hAnsi="Arial"/>
                <w:sz w:val="14"/>
                <w:szCs w:val="14"/>
                <w:b w:val="1"/>
                <w:bCs w:val="1"/>
                <w:color w:val="auto"/>
              </w:rPr>
              <w:t>OPTION AWARDS</w:t>
            </w: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30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PAID IN CASH</w:t>
            </w:r>
          </w:p>
        </w:tc>
        <w:tc>
          <w:tcPr>
            <w:tcW w:w="266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4100" w:type="dxa"/>
            <w:vAlign w:val="bottom"/>
            <w:gridSpan w:val="3"/>
            <w:vMerge w:val="continue"/>
          </w:tcPr>
          <w:p>
            <w:pPr>
              <w:spacing w:after="0"/>
              <w:rPr>
                <w:sz w:val="16"/>
                <w:szCs w:val="16"/>
                <w:color w:val="auto"/>
              </w:rPr>
            </w:pPr>
          </w:p>
        </w:tc>
        <w:tc>
          <w:tcPr>
            <w:tcW w:w="3560" w:type="dxa"/>
            <w:vAlign w:val="bottom"/>
            <w:gridSpan w:val="2"/>
          </w:tcPr>
          <w:p>
            <w:pPr>
              <w:jc w:val="center"/>
              <w:ind w:left="2202"/>
              <w:spacing w:after="0"/>
              <w:rPr>
                <w:sz w:val="20"/>
                <w:szCs w:val="20"/>
                <w:color w:val="auto"/>
              </w:rPr>
            </w:pPr>
            <w:r>
              <w:rPr>
                <w:rFonts w:ascii="Arial" w:cs="Arial" w:eastAsia="Arial" w:hAnsi="Arial"/>
                <w:sz w:val="14"/>
                <w:szCs w:val="14"/>
                <w:b w:val="1"/>
                <w:bCs w:val="1"/>
                <w:color w:val="auto"/>
                <w:w w:val="93"/>
              </w:rPr>
              <w:t>($)</w:t>
            </w:r>
          </w:p>
        </w:tc>
        <w:tc>
          <w:tcPr>
            <w:tcW w:w="1940" w:type="dxa"/>
            <w:vAlign w:val="bottom"/>
            <w:gridSpan w:val="2"/>
          </w:tcPr>
          <w:p>
            <w:pPr>
              <w:jc w:val="right"/>
              <w:ind w:right="45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spacing w:after="0"/>
              <w:rPr>
                <w:sz w:val="16"/>
                <w:szCs w:val="16"/>
                <w:color w:val="auto"/>
              </w:rPr>
            </w:pPr>
          </w:p>
        </w:tc>
        <w:tc>
          <w:tcPr>
            <w:tcW w:w="660" w:type="dxa"/>
            <w:vAlign w:val="bottom"/>
          </w:tcPr>
          <w:p>
            <w:pPr>
              <w:jc w:val="right"/>
              <w:ind w:right="17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4"/>
              </w:rPr>
              <w:t>Bruce</w:t>
            </w:r>
          </w:p>
        </w:tc>
        <w:tc>
          <w:tcPr>
            <w:tcW w:w="3660" w:type="dxa"/>
            <w:vAlign w:val="bottom"/>
            <w:tcBorders>
              <w:top w:val="single" w:sz="8" w:color="CCEEFF"/>
            </w:tcBorders>
            <w:shd w:val="clear" w:color="auto" w:fill="CCEEFF"/>
          </w:tcPr>
          <w:p>
            <w:pPr>
              <w:ind w:left="40"/>
              <w:spacing w:after="0" w:line="189" w:lineRule="exact"/>
              <w:rPr>
                <w:sz w:val="20"/>
                <w:szCs w:val="20"/>
                <w:color w:val="auto"/>
              </w:rPr>
            </w:pPr>
            <w:r>
              <w:rPr>
                <w:rFonts w:ascii="Arial" w:cs="Arial" w:eastAsia="Arial" w:hAnsi="Arial"/>
                <w:sz w:val="18"/>
                <w:szCs w:val="18"/>
                <w:color w:val="auto"/>
              </w:rPr>
              <w:t>Booth, D.Phil.</w:t>
            </w:r>
          </w:p>
        </w:tc>
        <w:tc>
          <w:tcPr>
            <w:tcW w:w="2300" w:type="dxa"/>
            <w:vAlign w:val="bottom"/>
            <w:tcBorders>
              <w:top w:val="single" w:sz="8" w:color="CCEEFF"/>
            </w:tcBorders>
            <w:shd w:val="clear" w:color="auto" w:fill="CCEEFF"/>
          </w:tcPr>
          <w:p>
            <w:pPr>
              <w:spacing w:after="0"/>
              <w:rPr>
                <w:sz w:val="16"/>
                <w:szCs w:val="16"/>
                <w:color w:val="auto"/>
              </w:rPr>
            </w:pPr>
          </w:p>
        </w:tc>
        <w:tc>
          <w:tcPr>
            <w:tcW w:w="12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Ian Clark</w:t>
            </w:r>
            <w:r>
              <w:rPr>
                <w:rFonts w:ascii="Arial" w:cs="Arial" w:eastAsia="Arial" w:hAnsi="Arial"/>
                <w:sz w:val="15"/>
                <w:szCs w:val="15"/>
                <w:color w:val="auto"/>
              </w:rPr>
              <w:t>(1)</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12,500</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176,624</w:t>
            </w:r>
          </w:p>
        </w:tc>
        <w:tc>
          <w:tcPr>
            <w:tcW w:w="7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189,124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Paige, Ph.D.</w:t>
            </w:r>
          </w:p>
        </w:tc>
        <w:tc>
          <w:tcPr>
            <w:tcW w:w="2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Joshua Resnick, M.D.</w:t>
            </w:r>
          </w:p>
        </w:tc>
        <w:tc>
          <w:tcPr>
            <w:tcW w:w="2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19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Requadt</w:t>
            </w:r>
          </w:p>
        </w:tc>
        <w:tc>
          <w:tcPr>
            <w:tcW w:w="2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342" w:lineRule="auto"/>
        <w:tabs>
          <w:tab w:leader="none" w:pos="6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Pursuant to a letter agreement with us, Mr. Clark is paid an annual cash retainer of $50,000 for his service on the board of directors. As of December 31, 2017, Mr. Clark held an option to purchase 48,740 shares of our common stock, no portion of which was vested as of such date.</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21"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Our board of directors has adopted a non-employee director compensation policy, effective upon effectiveness of the registration statement of which this prospectus forms a part, that is designed to enable us to attract and retain, on a long-term basis, highly qualified non-employee directors. Under the policy, each director who is not an employee will be paid cash compensation from and after the completion of this offering, as set forth below:</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NON-</w:t>
            </w: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260" w:type="dxa"/>
            <w:vAlign w:val="bottom"/>
            <w:gridSpan w:val="2"/>
          </w:tcPr>
          <w:p>
            <w:pPr>
              <w:jc w:val="center"/>
              <w:ind w:left="2317"/>
              <w:spacing w:after="0" w:line="149" w:lineRule="exact"/>
              <w:rPr>
                <w:sz w:val="20"/>
                <w:szCs w:val="20"/>
                <w:color w:val="auto"/>
              </w:rPr>
            </w:pPr>
            <w:r>
              <w:rPr>
                <w:rFonts w:ascii="Arial" w:cs="Arial" w:eastAsia="Arial" w:hAnsi="Arial"/>
                <w:sz w:val="14"/>
                <w:szCs w:val="14"/>
                <w:b w:val="1"/>
                <w:bCs w:val="1"/>
                <w:color w:val="auto"/>
              </w:rPr>
              <w:t>CHAIRMAN</w:t>
            </w:r>
          </w:p>
        </w:tc>
        <w:tc>
          <w:tcPr>
            <w:tcW w:w="1680" w:type="dxa"/>
            <w:vAlign w:val="bottom"/>
            <w:gridSpan w:val="3"/>
            <w:vMerge w:val="restart"/>
          </w:tcPr>
          <w:p>
            <w:pPr>
              <w:jc w:val="center"/>
              <w:ind w:left="637"/>
              <w:spacing w:after="0"/>
              <w:rPr>
                <w:sz w:val="20"/>
                <w:szCs w:val="20"/>
                <w:color w:val="auto"/>
              </w:rPr>
            </w:pPr>
            <w:r>
              <w:rPr>
                <w:rFonts w:ascii="Arial" w:cs="Arial" w:eastAsia="Arial" w:hAnsi="Arial"/>
                <w:sz w:val="14"/>
                <w:szCs w:val="14"/>
                <w:b w:val="1"/>
                <w:bCs w:val="1"/>
                <w:color w:val="auto"/>
              </w:rPr>
              <w:t>CHAIRMAN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MEMBER</w:t>
            </w:r>
          </w:p>
        </w:tc>
        <w:tc>
          <w:tcPr>
            <w:tcW w:w="1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ANNUAL</w:t>
            </w:r>
          </w:p>
        </w:tc>
        <w:tc>
          <w:tcPr>
            <w:tcW w:w="8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FEE</w:t>
            </w:r>
          </w:p>
        </w:tc>
        <w:tc>
          <w:tcPr>
            <w:tcW w:w="80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FEE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60" w:type="dxa"/>
            <w:vAlign w:val="bottom"/>
            <w:gridSpan w:val="2"/>
          </w:tcPr>
          <w:p>
            <w:pPr>
              <w:jc w:val="center"/>
              <w:ind w:left="2337"/>
              <w:spacing w:after="0"/>
              <w:rPr>
                <w:sz w:val="20"/>
                <w:szCs w:val="20"/>
                <w:color w:val="auto"/>
              </w:rPr>
            </w:pPr>
            <w:r>
              <w:rPr>
                <w:rFonts w:ascii="Arial" w:cs="Arial" w:eastAsia="Arial" w:hAnsi="Arial"/>
                <w:sz w:val="14"/>
                <w:szCs w:val="14"/>
                <w:b w:val="1"/>
                <w:bCs w:val="1"/>
                <w:color w:val="auto"/>
                <w:w w:val="93"/>
              </w:rPr>
              <w:t>($)</w:t>
            </w:r>
          </w:p>
        </w:tc>
        <w:tc>
          <w:tcPr>
            <w:tcW w:w="1620" w:type="dxa"/>
            <w:vAlign w:val="bottom"/>
            <w:gridSpan w:val="2"/>
          </w:tcPr>
          <w:p>
            <w:pPr>
              <w:jc w:val="center"/>
              <w:ind w:left="697"/>
              <w:spacing w:after="0"/>
              <w:rPr>
                <w:sz w:val="20"/>
                <w:szCs w:val="20"/>
                <w:color w:val="auto"/>
              </w:rPr>
            </w:pPr>
            <w:r>
              <w:rPr>
                <w:rFonts w:ascii="Arial" w:cs="Arial" w:eastAsia="Arial" w:hAnsi="Arial"/>
                <w:sz w:val="14"/>
                <w:szCs w:val="14"/>
                <w:b w:val="1"/>
                <w:bCs w:val="1"/>
                <w:color w:val="auto"/>
                <w:w w:val="93"/>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Board of Directors</w:t>
            </w:r>
          </w:p>
        </w:tc>
        <w:tc>
          <w:tcPr>
            <w:tcW w:w="24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8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Audit Committee</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Nominating and Corporate Governance Committee</w:t>
            </w:r>
          </w:p>
        </w:tc>
        <w:tc>
          <w:tcPr>
            <w:tcW w:w="326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In addition, each non-employee director serving on our board of directors upon the effectiveness of the registration statement of which this prospectus is a part and each non-employee director thereafter first elected or appointed to our board of directors will be granted 18,743 on the date of such effectiveness or of such director’s election or appointment to the board of directors, as applicable, which will vest in equal monthly installments over a three year period, subject to the director’s continued service through such vesting date(s). On the date of each annual meeting of stockholders of our company, each non-employee director will be granted 9,371, which will vest in full upon the earlier to occur of the first anniversary of the date of grant or the date of our following annual meeting of stockholders, subject to continued service as a director through such vesting date.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240" w:top="459" w:right="4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Other than the compensation agreements and other arrangements described under “Executive Compensation” and “Director Compensation” in this prospectus and the transactions described below, since November 17, 2015 (date of inception), there has not been and there is not currently proposed, any transaction or series of similar transactions to which we were, or will be, a party in which the amount involved exceeded, or will exceed, $120,000 and in which any director, executive officer, holder of five percent or more of any class of our capital stock or any member of the immediate family of, or entities affiliated with, any of the foregoing persons, had, or will have, a direct or indirect material interest.</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License Agreements and Related Agreements with University Health Network</w:t>
      </w:r>
    </w:p>
    <w:p>
      <w:pPr>
        <w:spacing w:after="0" w:line="12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On January 27, 2016, we entered into an exclusive license agreement with University Health Network, or UHN, pursuant to which UHN granted us an exclusive license to certain intellectual property rights relating to Interleukin-12 proteins, or IL-12. We entered into an amendment to this agreement on September 28, 2017. Under this agreement, we paid C$264,000 to UHN upon execution of the agreement which consisted of an upfront license fee and reimbursement of certain patent expenses. We are also obligated to pay an annual license fee as well as payments in connection with the achievement of certain performance and development milestones for an aggregate total of up to C$19.275 million in milestone payments. Additionally, we will pay a low to midsingle digit royalty percentage on annual sales of licensed products, and a low double digit percentage of all sublicensing revenue. For the years ended December 31, 2016 and 2017, we paid $736,000 and $151,000 to UHN under this agreement, respectively. Pursuant to this agreement, UHN also purchased 1,161,665 shares of our common stock for an aggregate purchase price of $480.00 under a stock purchase agreement. Under the terms of the stock purchase agreement, we are obligated to pay to UHN five percent of the proceeds from this offering, up to a cap of $2 million, upon the closing of this offering.</w:t>
      </w:r>
    </w:p>
    <w:p>
      <w:pPr>
        <w:spacing w:after="0" w:line="178"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On January 27, 2016, we entered into an option agreement with UHN pursuant to which UHN granted us an exclusive option to enter into an exclusive license under certain intellectual property rights related to Fabry disease. On November 4, 2016, we executed our option and entered into an exclusive license agreement with UHN. Under this agreement, UHN granted us an exclusive worldwide license under certain intellectual property rights and a non-exclusive worldwide license under certain know-how, in each case subject to certain retained rights, to develop, commercialize and sell products for use in the treatment of Fabry disease. Under the terms of the agreement, we paid to UHN a one-time upfront fee of C$75,000 and are obligated to pay an annual maintenance fee until the first sale of a licensed product in certain markets. We are also required to make payments to UHN in connection with the achievement of certain development and regulatory milestones in an aggregate amount of up to C$2.45 million, as well as royalties on a country-by-country basis of a low to midsingle digit percentage on annual sales of licensed products and a lower single digit royalty in certain circumstances. Additionally, we will pay a low double digit percentage of all sublicensing revenue. We also made a philanthropic commitment to donate funds to organizations for the benefit of the Canadian Fabry community in an amount equal to a low double digit percentage of our royalty payments and regulatory milestone payments, up to a maximum of C$500,000 in any calendar year. For the years ended December 31, 2016 and 2017, we paid $87,000 and $16,000 to UHN in connection with this agreement, respectively, which consisted of our license option fee, the upfront fee and maintenance fees. See “Business—License Agreements—Exclusive License Agreement with University Health Network” for further information regarding the 2016 Fabry license agreement with UHN. In connection with this agreement, we also entered into (i) a letter agreement with UHN on November 4, 2016, pursuant to which we agreed to provide certain funding and costs and expenses associated with a clinical trial conducted by UHN for the treatment of Fabry disease, and (ii) a letter agreement with UHN on June 2, 2017, pursuant to which we agreed to provide additional funding and costs and expenses associated with the clinical trial conducted by UHN for the treatment of Fabry disease.</w:t>
      </w:r>
    </w:p>
    <w:p>
      <w:pPr>
        <w:spacing w:after="0" w:line="175"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connection with the above agreements, we have also entered into two separate sponsored research agreements with UHN, one in March 2017 and one in July 2017. The March 2017 agreement was amended and</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restated and subsequently amended in November 2017. Pursuant to each of these sponsored research agreements, we agreed to fund certain research projects related to IL-12 and Fabry disease, including salaries of certain researchers of up to C$200,000 and C$164,652 under the March 2017 and July 2017 agreements, respectively.</w:t>
      </w:r>
    </w:p>
    <w:p>
      <w:pPr>
        <w:spacing w:after="0" w:line="18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At the time we entered into each of the above agreements with UHN, UHN was a greater than 5% beneficial owner of our outstanding capital stock. Additionally, Christopher Paige is a senior scientist at UHN and is currently a member of our board of directors. As an inventor of certain of the intellectual property rights related to IL-12 that we license from UHN, Dr. Paige is entitled to a portion of the consideration that we pay to UHN pursuant to the IL-12 license agreement.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Private Placements of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Series Seed Preferred Stock Financing</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January 2016, we sold an aggregate of 3,333,333 shares of our Series Seed preferred stock at a purchase price of $0.45 per share. The following table summarizes purchases of our Series Seed preferred stock by related persons: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480" w:type="dxa"/>
            <w:vAlign w:val="bottom"/>
          </w:tcPr>
          <w:p>
            <w:pPr>
              <w:spacing w:after="0"/>
              <w:rPr>
                <w:sz w:val="14"/>
                <w:szCs w:val="14"/>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SERIES SEED</w:t>
            </w:r>
          </w:p>
        </w:tc>
        <w:tc>
          <w:tcPr>
            <w:tcW w:w="4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PREFERRED</w:t>
            </w:r>
          </w:p>
        </w:tc>
        <w:tc>
          <w:tcPr>
            <w:tcW w:w="48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PURCHASE</w:t>
            </w:r>
          </w:p>
        </w:tc>
        <w:tc>
          <w:tcPr>
            <w:tcW w:w="0" w:type="dxa"/>
            <w:vAlign w:val="bottom"/>
          </w:tcPr>
          <w:p>
            <w:pPr>
              <w:spacing w:after="0"/>
              <w:rPr>
                <w:sz w:val="1"/>
                <w:szCs w:val="1"/>
                <w:color w:val="auto"/>
              </w:rPr>
            </w:pPr>
          </w:p>
        </w:tc>
      </w:tr>
      <w:tr>
        <w:trPr>
          <w:trHeight w:val="171"/>
        </w:trPr>
        <w:tc>
          <w:tcPr>
            <w:tcW w:w="8480" w:type="dxa"/>
            <w:vAlign w:val="bottom"/>
            <w:gridSpan w:val="3"/>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4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73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$1,499,999.85</w:t>
            </w: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4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94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277" w:lineRule="auto"/>
        <w:tabs>
          <w:tab w:leader="none" w:pos="6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Bruce Booth, D.Phil., a partner at Atlas Venture, is a member of our board of directors. Atlas Venture is a holder of five percent or more of our capital stock.</w:t>
      </w:r>
    </w:p>
    <w:p>
      <w:pPr>
        <w:spacing w:after="0" w:line="27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Series A Preferred Stock Financing</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July 2016, we sold 5,714,286 shares of Series A preferred stock, at a price of $1.3125 per share, pursuant to a stock purchase agreement entered into with the investors. In March 2017, we amended certain provisions of our Series A preferred stock purchase agreement and issued a preferred stock dividend in the form of 3,720,864 additional shares of Series A preferred stock to such investors, which effectively repriced the outstanding shares of Series A preferred stock and changed the purchase price for future shares of Series A preferred stock to be sold under the Series A preferred stock purchase agreement to $0.7949 per share. Concurrent with the amendment, we issued 4,403,070 additional shares of Series A preferred stock at a purchase price of $0.7949 per share. In October 2017, we issued 17,612,279 additional shares of Series A preferred stock in a subsequent closing, at a purchase price of $0.7949 per share.</w:t>
      </w:r>
    </w:p>
    <w:p>
      <w:pPr>
        <w:spacing w:after="0" w:line="18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following table summarizes purchases of our Series A preferred stock and the issuance of the preferred stock dividend referenced above by related persons: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3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SERIES A</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PREFERRED</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1"/>
        </w:trPr>
        <w:tc>
          <w:tcPr>
            <w:tcW w:w="8480" w:type="dxa"/>
            <w:vAlign w:val="bottom"/>
            <w:gridSpan w:val="3"/>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3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12,580,199</w:t>
            </w:r>
          </w:p>
        </w:tc>
        <w:tc>
          <w:tcPr>
            <w:tcW w:w="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9,999,999.53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tcPr>
          <w:p>
            <w:pPr>
              <w:spacing w:after="0"/>
              <w:rPr>
                <w:sz w:val="20"/>
                <w:szCs w:val="20"/>
                <w:color w:val="auto"/>
              </w:rPr>
            </w:pPr>
            <w:r>
              <w:rPr>
                <w:rFonts w:ascii="Arial" w:cs="Arial" w:eastAsia="Arial" w:hAnsi="Arial"/>
                <w:sz w:val="18"/>
                <w:szCs w:val="18"/>
                <w:color w:val="auto"/>
              </w:rPr>
              <w:t>Entities affiliated with SV Life Sciences Fund</w:t>
            </w:r>
            <w:r>
              <w:rPr>
                <w:rFonts w:ascii="Arial" w:cs="Arial" w:eastAsia="Arial" w:hAnsi="Arial"/>
                <w:sz w:val="15"/>
                <w:szCs w:val="15"/>
                <w:color w:val="auto"/>
              </w:rPr>
              <w:t>(2)(3)</w:t>
            </w:r>
          </w:p>
        </w:tc>
        <w:tc>
          <w:tcPr>
            <w:tcW w:w="960" w:type="dxa"/>
            <w:vAlign w:val="bottom"/>
          </w:tcPr>
          <w:p>
            <w:pPr>
              <w:jc w:val="right"/>
              <w:spacing w:after="0"/>
              <w:rPr>
                <w:sz w:val="20"/>
                <w:szCs w:val="20"/>
                <w:color w:val="auto"/>
              </w:rPr>
            </w:pPr>
            <w:r>
              <w:rPr>
                <w:rFonts w:ascii="Arial" w:cs="Arial" w:eastAsia="Arial" w:hAnsi="Arial"/>
                <w:sz w:val="18"/>
                <w:szCs w:val="18"/>
                <w:color w:val="auto"/>
              </w:rPr>
              <w:t>9,435,150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5"/>
              </w:rPr>
              <w:t>7,500,000.91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Clarus Life Sciences III, L.P.</w:t>
            </w:r>
            <w:r>
              <w:rPr>
                <w:rFonts w:ascii="Arial" w:cs="Arial" w:eastAsia="Arial" w:hAnsi="Arial"/>
                <w:sz w:val="15"/>
                <w:szCs w:val="15"/>
                <w:color w:val="auto"/>
              </w:rPr>
              <w:t>(4)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9,435,150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7,500,000.91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258"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Bruce Booth, D.Phil., a partner at Atlas Venture, is a member of our board of directors. Atlas Venture is a holder of five percent or more of our capital stock.</w:t>
      </w:r>
    </w:p>
    <w:p>
      <w:pPr>
        <w:spacing w:after="0" w:line="1" w:lineRule="exact"/>
        <w:rPr>
          <w:rFonts w:ascii="Arial" w:cs="Arial" w:eastAsia="Arial" w:hAnsi="Arial"/>
          <w:sz w:val="18"/>
          <w:szCs w:val="18"/>
          <w:color w:val="auto"/>
        </w:rPr>
      </w:pPr>
    </w:p>
    <w:p>
      <w:pPr>
        <w:ind w:left="640" w:right="20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Joshua Resnick, M.D., a partner at SV Health Investors, is a member of our board of directors. SV Health Investors is a holder of five percent or more of our capital stock.</w:t>
      </w:r>
    </w:p>
    <w:p>
      <w:pPr>
        <w:ind w:left="640" w:right="160" w:hanging="436"/>
        <w:spacing w:after="0" w:line="261"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(1) 9,122,809 shares of Series A preferred stock held by SV Life Sciences Fund VI, L.P. and (2) 312,341 shares of Series A preferred stock held by SV Life Sciences Fund VI, Strategic Partners L.P.</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240" w:top="459" w:right="4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hanging="436"/>
        <w:spacing w:after="0" w:line="277" w:lineRule="auto"/>
        <w:tabs>
          <w:tab w:leader="none" w:pos="6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Scott G. Requadt, J.D., MBA, a Managing Director at Clarus, is a member of our board of directors. Clarus is a holder of five percent or more of our capital stock.</w:t>
      </w:r>
    </w:p>
    <w:p>
      <w:pPr>
        <w:spacing w:after="0" w:line="278"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Series B Preferred Stock Financing</w:t>
      </w:r>
    </w:p>
    <w:p>
      <w:pPr>
        <w:spacing w:after="0" w:line="117"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In January 2018, we sold an aggregate of 28,519,322 shares of our Series B preferred stock at a purchase price of $2.1389 per share, pursuant to agreements entered into with the investors. The following table summarizes purchases of our Series B preferred stock by related persons:</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SHARES OF</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SERIES B</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w:t>
            </w:r>
          </w:p>
        </w:tc>
        <w:tc>
          <w:tcPr>
            <w:tcW w:w="33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PREFERRED</w:t>
            </w:r>
          </w:p>
        </w:tc>
        <w:tc>
          <w:tcPr>
            <w:tcW w:w="50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71"/>
        </w:trPr>
        <w:tc>
          <w:tcPr>
            <w:tcW w:w="6220" w:type="dxa"/>
            <w:vAlign w:val="bottom"/>
            <w:gridSpan w:val="3"/>
            <w:vMerge w:val="continue"/>
          </w:tcPr>
          <w:p>
            <w:pPr>
              <w:spacing w:after="0"/>
              <w:rPr>
                <w:sz w:val="14"/>
                <w:szCs w:val="14"/>
                <w:color w:val="auto"/>
              </w:rPr>
            </w:pPr>
          </w:p>
        </w:tc>
        <w:tc>
          <w:tcPr>
            <w:tcW w:w="2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508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3,740,239</w:t>
            </w: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7,999,997</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2480" w:type="dxa"/>
            <w:vAlign w:val="bottom"/>
            <w:shd w:val="clear" w:color="auto" w:fill="CCEEFF"/>
          </w:tcPr>
          <w:p>
            <w:pPr>
              <w:spacing w:after="0"/>
              <w:rPr>
                <w:sz w:val="16"/>
                <w:szCs w:val="16"/>
                <w:color w:val="auto"/>
              </w:rPr>
            </w:pPr>
          </w:p>
        </w:tc>
        <w:tc>
          <w:tcPr>
            <w:tcW w:w="880" w:type="dxa"/>
            <w:vAlign w:val="bottom"/>
            <w:vMerge w:val="continue"/>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Entities affiliated with SV Life Sciences Fund</w:t>
            </w:r>
            <w:r>
              <w:rPr>
                <w:rFonts w:ascii="Arial" w:cs="Arial" w:eastAsia="Arial" w:hAnsi="Arial"/>
                <w:sz w:val="15"/>
                <w:szCs w:val="15"/>
                <w:color w:val="auto"/>
              </w:rPr>
              <w:t>(2)(3)</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1,870,119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3,999,998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Clarus Life Sciences III, L.P.</w:t>
            </w:r>
            <w:r>
              <w:rPr>
                <w:rFonts w:ascii="Arial" w:cs="Arial" w:eastAsia="Arial" w:hAnsi="Arial"/>
                <w:sz w:val="15"/>
                <w:szCs w:val="15"/>
                <w:color w:val="auto"/>
              </w:rPr>
              <w:t>(4)</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2,805,179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5,999,997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Citadel Multi-Strategy Equities Master Fund Ltd.</w:t>
            </w:r>
            <w:r>
              <w:rPr>
                <w:rFonts w:ascii="Arial" w:cs="Arial" w:eastAsia="Arial" w:hAnsi="Arial"/>
                <w:sz w:val="15"/>
                <w:szCs w:val="15"/>
                <w:color w:val="auto"/>
              </w:rPr>
              <w:t>(5)</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5,610,360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11,999,999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Cormorant Private Healthcare Fund I, LP</w:t>
            </w:r>
            <w:r>
              <w:rPr>
                <w:rFonts w:ascii="Arial" w:cs="Arial" w:eastAsia="Arial" w:hAnsi="Arial"/>
                <w:sz w:val="15"/>
                <w:szCs w:val="15"/>
                <w:color w:val="auto"/>
              </w:rPr>
              <w:t>(6)(7)</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5,610,360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11,999,999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340" w:hanging="436"/>
        <w:spacing w:after="0" w:line="258"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Bruce Booth, D.Phil., a partner at Atlas Venture, is a member of our board of directors. Atlas Venture is a holder of five percent or more of our capital stock</w:t>
      </w:r>
    </w:p>
    <w:p>
      <w:pPr>
        <w:spacing w:after="0" w:line="1" w:lineRule="exact"/>
        <w:rPr>
          <w:rFonts w:ascii="Arial" w:cs="Arial" w:eastAsia="Arial" w:hAnsi="Arial"/>
          <w:sz w:val="18"/>
          <w:szCs w:val="18"/>
          <w:color w:val="auto"/>
        </w:rPr>
      </w:pPr>
    </w:p>
    <w:p>
      <w:pPr>
        <w:ind w:left="640" w:right="160" w:hanging="436"/>
        <w:spacing w:after="0" w:line="250"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Joshua Resnick, M.D., a partner at SV Health Investors, is a member of our board of directors. SV Health Investors, is a holder of five percent or more of our capital stock.</w:t>
      </w:r>
    </w:p>
    <w:p>
      <w:pPr>
        <w:ind w:left="640" w:right="280" w:hanging="436"/>
        <w:spacing w:after="0" w:line="250"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Consists of (i) 1,808,211 shares of Series A preferred stock held by SV Life Sciences Fund VI, L.P. and (ii) 61,908 shares of Series A preferred stock held by SV Life Sciences Fund VI, Strategic Partners L.P.</w:t>
      </w:r>
    </w:p>
    <w:p>
      <w:pPr>
        <w:ind w:left="640" w:right="180" w:hanging="436"/>
        <w:spacing w:after="0" w:line="250" w:lineRule="auto"/>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Scott G. Requadt, J.D., MBA, a Managing Director at Clarus, is a member of our board of directors. Clarus is a holder of five percent or more of our capital stock.</w:t>
      </w:r>
    </w:p>
    <w:p>
      <w:pPr>
        <w:ind w:left="640" w:hanging="43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Citadel Multi-Strategy Equities Master Fund Ltd is a holder of five percent or more of our capital stock</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Cormorant Private Healthcare Fund I, LP is a holder of five percent or more of our capital stock</w:t>
      </w:r>
    </w:p>
    <w:p>
      <w:pPr>
        <w:spacing w:after="0" w:line="9" w:lineRule="exact"/>
        <w:rPr>
          <w:rFonts w:ascii="Arial" w:cs="Arial" w:eastAsia="Arial" w:hAnsi="Arial"/>
          <w:sz w:val="18"/>
          <w:szCs w:val="18"/>
          <w:color w:val="auto"/>
        </w:rPr>
      </w:pPr>
    </w:p>
    <w:p>
      <w:pPr>
        <w:ind w:left="640" w:right="120" w:hanging="436"/>
        <w:spacing w:after="0" w:line="323" w:lineRule="auto"/>
        <w:tabs>
          <w:tab w:leader="none" w:pos="6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Consists of (i) 4,366,543 shares, all purchased and received by Cormorant Private Healthcare Fund I, L.P. (ii) 1,005,938 shares, all purchased and received by Cormorant Global Healthcare Master Fund, L.P. and (iii) 237,879 shares, all purchased and received by CRMA SPV, L.P.</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Strategic and Operational Services</w:t>
      </w:r>
    </w:p>
    <w:p>
      <w:pPr>
        <w:spacing w:after="0" w:line="22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Following the Series Seed preferred stock investment in our company by Atlas Venture X, L.P., or Atlas Venture, we were provided with certain services related to strategic and ordinary course business operations in connection with the incubation of our company during its early stages, including the use of office space provided by the management company for Atlas Venture. During the years ended December 31, 2016 and 2017, we paid to such management company fees in the amount of approximately $78,000 and $15,000, respectively. None of these fees were paid directly or indirectly to Bruce Booth, the chairman of our board of directors and a partner at Atlas Venture. In addition, the fees paid to such management company did not exceed 5% of the consolidated gross revenue of Atlas Venture during any of these fiscal years. Atlas Venture X, L.P. is a beneficial owner of more than 5% of our voting securities.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Stockholders</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In connection with our Series Seed, Series A and Series B preferred stock financings, we entered into investors’ rights, voting and right of first refusal and co-sale agreements containing registration rights, information rights, voting rights and rights of first refusal, among other things, with certain holders of our preferred stock and certain holders of our common stock. These stockholder agreements will terminate upon the closing of this offering, except for the registration rights granted under our investors’ rights agreement, as more fully described in “Description of Capital Stock—Registration Rights.”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240" w:top="459"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Participation in this Offering</w:t>
      </w:r>
    </w:p>
    <w:p>
      <w:pPr>
        <w:spacing w:after="0" w:line="12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Certain of our existing stockholders, including certain affiliates of our directors, have indicated an interest in purchasing an aggregate of approximately $37.5 million of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In connection with this offering, we intend to enter into agreements to indemnify our directors and executive officers. These agreements will, among other things, require us to indemnify these individuals for certain expenses (including attorneys’ fees), judgments, fines and settlement amounts reasonably incurred by such person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for Approval of Related Party Transactions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board of directors reviews and approves transactions with directors, officers and holders of five percent or more of our voting securities and their affiliates, each a related party. Prior to this offering, the material facts as to the related party’s relationship or interest in the transaction are disclosed to our board of directors prior to their consideration of such transaction, and the transaction is not considered approved by our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connection with this offering, we have adopted a written related party transactions policy that such transactions must be approved by our audit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committee. This policy will become effective on the date on which the registration statement of which this prospectus is part is declared effective by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 Pursuant to this policy, the audit committee has the primary responsibility for reviewing and approving or disapproving “related party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transactions,” which are transactions between us and related persons in which the aggregate amount involved exceeds or may be expected to exceed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$120,000 and in which a related person has or will have a direct or indirect material interest. For purposes of this policy, a related person will be defined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a director, executive officer, nominee for director, or greater than 5% beneficial owner of our common stock, in each case since the beginning of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most recently completed year, and their immediate family members.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sets forth certain information known to us regarding beneficial ownership of our capital stock as of June 1, 2018, as adjusted to reflect the sale of common stock offered by us in this offering, for:</w:t>
      </w:r>
    </w:p>
    <w:p>
      <w:pPr>
        <w:spacing w:after="0" w:line="76" w:lineRule="exact"/>
        <w:rPr>
          <w:sz w:val="20"/>
          <w:szCs w:val="20"/>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five percent of our capital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of our directors and director nominees;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25"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Beneficial ownership is determined in accordance with the rules of the SEC and generally includes voting or investment power with respect to securities. Under those rules, beneficial ownership includes any shares as to which the individual or entity has sole or shared voting power or investment power, and includes securities that the individual or entity has the right to acquire, such as through the exercise of stock options, within 60 days of June 1, 2018. Except as noted by footnote, and subject to community property laws where applicable, we believe, based on the information provided to us, that the persons and entities named in the table below have sole voting and investment power with respect to all common stock shown as beneficially owned by them.</w:t>
      </w:r>
    </w:p>
    <w:p>
      <w:pPr>
        <w:spacing w:after="0" w:line="193"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Certain of our existing stockholders, including certain affiliates of our directors, have indicated an interest in purchasing an aggregate of approximately $37.5 million of shares of our common stock in this offering at the initial public offering price. However, because indications of interest are not binding agreements or commitments to purchase, the underwriters may determine to sell more, less or no shares in this offering to any of these stockholders, or any of these stockholders may determine to purchase more, less or no shares in this offering. The table below does not give effect to the potential purchases by such stockholders in this offering.</w:t>
      </w:r>
    </w:p>
    <w:p>
      <w:pPr>
        <w:spacing w:after="0" w:line="188"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The percentage of beneficial ownership prior to this offering in the table below is based on 17,901,687 shares of common stock deemed to be outstanding as of June 1, 2018, assuming the conversion of all outstanding shares of our preferred stock upon the closing of this offering into an aggregate of 15,320,213 shares of common stock upon the completion of this offering, and the percentage of beneficial ownership at this offering in the table below is based on 22,313,687 shares of common stock assumed to be outstanding after the closing of the offering. The information in the table below assumes no exercise of the underwriters’ option to purchase additional shares.</w:t>
      </w:r>
    </w:p>
    <w:p>
      <w:pPr>
        <w:spacing w:after="0" w:line="17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Except as otherwise noted below, the address for persons listed in the table is c/o AVROBIO, Inc., One Kendall Square, Building 300, Suite 201, Cambridge, MA 02139.</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7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99"/>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2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19"/>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920" w:type="dxa"/>
            <w:vAlign w:val="bottom"/>
            <w:gridSpan w:val="2"/>
          </w:tcPr>
          <w:p>
            <w:pPr>
              <w:jc w:val="center"/>
              <w:ind w:left="1153"/>
              <w:spacing w:after="0" w:line="119" w:lineRule="exact"/>
              <w:rPr>
                <w:sz w:val="20"/>
                <w:szCs w:val="20"/>
                <w:color w:val="auto"/>
              </w:rPr>
            </w:pPr>
            <w:r>
              <w:rPr>
                <w:rFonts w:ascii="Arial" w:cs="Arial" w:eastAsia="Arial" w:hAnsi="Arial"/>
                <w:sz w:val="13"/>
                <w:szCs w:val="13"/>
                <w:b w:val="1"/>
                <w:bCs w:val="1"/>
                <w:color w:val="auto"/>
              </w:rPr>
              <w:t>BENEFICIALLY OWNED</w:t>
            </w:r>
          </w:p>
        </w:tc>
        <w:tc>
          <w:tcPr>
            <w:tcW w:w="760" w:type="dxa"/>
            <w:vAlign w:val="bottom"/>
          </w:tcPr>
          <w:p>
            <w:pPr>
              <w:spacing w:after="0"/>
              <w:rPr>
                <w:sz w:val="10"/>
                <w:szCs w:val="10"/>
                <w:color w:val="auto"/>
              </w:rPr>
            </w:pPr>
          </w:p>
        </w:tc>
        <w:tc>
          <w:tcPr>
            <w:tcW w:w="920" w:type="dxa"/>
            <w:vAlign w:val="bottom"/>
            <w:tcBorders>
              <w:top w:val="single" w:sz="8" w:color="auto"/>
            </w:tcBorders>
          </w:tcPr>
          <w:p>
            <w:pPr>
              <w:jc w:val="right"/>
              <w:ind w:right="162"/>
              <w:spacing w:after="0" w:line="119" w:lineRule="exact"/>
              <w:rPr>
                <w:sz w:val="20"/>
                <w:szCs w:val="20"/>
                <w:color w:val="auto"/>
              </w:rPr>
            </w:pPr>
            <w:r>
              <w:rPr>
                <w:rFonts w:ascii="Arial" w:cs="Arial" w:eastAsia="Arial" w:hAnsi="Arial"/>
                <w:sz w:val="13"/>
                <w:szCs w:val="13"/>
                <w:b w:val="1"/>
                <w:bCs w:val="1"/>
                <w:color w:val="auto"/>
              </w:rPr>
              <w:t>BEFORE</w:t>
            </w:r>
          </w:p>
        </w:tc>
        <w:tc>
          <w:tcPr>
            <w:tcW w:w="1500" w:type="dxa"/>
            <w:vAlign w:val="bottom"/>
            <w:tcBorders>
              <w:top w:val="single" w:sz="8" w:color="auto"/>
            </w:tcBorders>
          </w:tcPr>
          <w:p>
            <w:pPr>
              <w:jc w:val="right"/>
              <w:ind w:right="56"/>
              <w:spacing w:after="0" w:line="119" w:lineRule="exact"/>
              <w:rPr>
                <w:sz w:val="20"/>
                <w:szCs w:val="20"/>
                <w:color w:val="auto"/>
              </w:rPr>
            </w:pPr>
            <w:r>
              <w:rPr>
                <w:rFonts w:ascii="Arial" w:cs="Arial" w:eastAsia="Arial" w:hAnsi="Arial"/>
                <w:sz w:val="13"/>
                <w:szCs w:val="13"/>
                <w:b w:val="1"/>
                <w:bCs w:val="1"/>
                <w:color w:val="auto"/>
              </w:rPr>
              <w:t>AFTER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4720" w:type="dxa"/>
            <w:vAlign w:val="bottom"/>
            <w:gridSpan w:val="3"/>
            <w:vMerge w:val="continue"/>
          </w:tcPr>
          <w:p>
            <w:pPr>
              <w:spacing w:after="0"/>
              <w:rPr>
                <w:sz w:val="15"/>
                <w:szCs w:val="15"/>
                <w:color w:val="auto"/>
              </w:rPr>
            </w:pPr>
          </w:p>
        </w:tc>
        <w:tc>
          <w:tcPr>
            <w:tcW w:w="124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PRIOR TO OFFERING</w:t>
            </w:r>
          </w:p>
        </w:tc>
        <w:tc>
          <w:tcPr>
            <w:tcW w:w="1680" w:type="dxa"/>
            <w:vAlign w:val="bottom"/>
            <w:gridSpan w:val="2"/>
          </w:tcPr>
          <w:p>
            <w:pPr>
              <w:jc w:val="right"/>
              <w:ind w:right="82"/>
              <w:spacing w:after="0"/>
              <w:rPr>
                <w:sz w:val="20"/>
                <w:szCs w:val="20"/>
                <w:color w:val="auto"/>
              </w:rPr>
            </w:pPr>
            <w:r>
              <w:rPr>
                <w:rFonts w:ascii="Arial" w:cs="Arial" w:eastAsia="Arial" w:hAnsi="Arial"/>
                <w:sz w:val="14"/>
                <w:szCs w:val="14"/>
                <w:b w:val="1"/>
                <w:bCs w:val="1"/>
                <w:color w:val="auto"/>
              </w:rPr>
              <w:t>OFFERING</w:t>
            </w:r>
          </w:p>
        </w:tc>
        <w:tc>
          <w:tcPr>
            <w:tcW w:w="17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w:t>
            </w:r>
          </w:p>
        </w:tc>
        <w:tc>
          <w:tcPr>
            <w:tcW w:w="14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CCEEFF"/>
            </w:tcBorders>
            <w:shd w:val="clear" w:color="auto" w:fill="CCEEFF"/>
          </w:tcPr>
          <w:p>
            <w:pPr>
              <w:spacing w:after="0"/>
              <w:rPr>
                <w:sz w:val="16"/>
                <w:szCs w:val="16"/>
                <w:color w:val="auto"/>
              </w:rPr>
            </w:pPr>
          </w:p>
        </w:tc>
        <w:tc>
          <w:tcPr>
            <w:tcW w:w="16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Arial" w:cs="Arial" w:eastAsia="Arial" w:hAnsi="Arial"/>
                <w:sz w:val="18"/>
                <w:szCs w:val="18"/>
                <w:color w:val="auto"/>
              </w:rPr>
              <w:t>Atlas Venture Fund X, L.P.</w:t>
            </w:r>
            <w:r>
              <w:rPr>
                <w:rFonts w:ascii="Arial" w:cs="Arial" w:eastAsia="Arial" w:hAnsi="Arial"/>
                <w:sz w:val="15"/>
                <w:szCs w:val="15"/>
                <w:color w:val="auto"/>
              </w:rPr>
              <w:t>(1)</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4,756,478</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26.57%</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Clarus Life Sciences III, L.P.</w:t>
            </w:r>
            <w:r>
              <w:rPr>
                <w:rFonts w:ascii="Arial" w:cs="Arial" w:eastAsia="Arial" w:hAnsi="Arial"/>
                <w:sz w:val="15"/>
                <w:szCs w:val="15"/>
                <w:color w:val="auto"/>
              </w:rPr>
              <w:t>(2)</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2,962,325</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Arial" w:cs="Arial" w:eastAsia="Arial" w:hAnsi="Arial"/>
                <w:sz w:val="18"/>
                <w:szCs w:val="18"/>
                <w:color w:val="auto"/>
              </w:rPr>
              <w:t>Affiliates of SV Life Sciences Fund</w:t>
            </w:r>
            <w:r>
              <w:rPr>
                <w:rFonts w:ascii="Arial" w:cs="Arial" w:eastAsia="Arial" w:hAnsi="Arial"/>
                <w:sz w:val="15"/>
                <w:szCs w:val="15"/>
                <w:color w:val="auto"/>
              </w:rPr>
              <w:t>(3)</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2,736,027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15.28%</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Citadel Multi-Strategy Equities Master Fund Ltd</w:t>
            </w:r>
            <w:r>
              <w:rPr>
                <w:rFonts w:ascii="Arial" w:cs="Arial" w:eastAsia="Arial" w:hAnsi="Arial"/>
                <w:sz w:val="15"/>
                <w:szCs w:val="15"/>
                <w:color w:val="auto"/>
              </w:rPr>
              <w:t>(4)</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1,357,783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Arial" w:cs="Arial" w:eastAsia="Arial" w:hAnsi="Arial"/>
                <w:sz w:val="18"/>
                <w:szCs w:val="18"/>
                <w:color w:val="auto"/>
              </w:rPr>
              <w:t>Affiliates of Cormorant</w:t>
            </w:r>
            <w:r>
              <w:rPr>
                <w:rFonts w:ascii="Arial" w:cs="Arial" w:eastAsia="Arial" w:hAnsi="Arial"/>
                <w:sz w:val="15"/>
                <w:szCs w:val="15"/>
                <w:color w:val="auto"/>
              </w:rPr>
              <w:t>(5)</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1,357,781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7.58%</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Arial" w:cs="Arial" w:eastAsia="Arial" w:hAnsi="Arial"/>
                <w:sz w:val="18"/>
                <w:szCs w:val="18"/>
                <w:color w:val="auto"/>
              </w:rPr>
              <w:t>Geoff MacKay</w:t>
            </w:r>
            <w:r>
              <w:rPr>
                <w:rFonts w:ascii="Arial" w:cs="Arial" w:eastAsia="Arial" w:hAnsi="Arial"/>
                <w:sz w:val="15"/>
                <w:szCs w:val="15"/>
                <w:color w:val="auto"/>
              </w:rPr>
              <w:t>(6)</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674,611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Katina Dorton</w:t>
            </w: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ind w:left="340"/>
              <w:spacing w:after="0"/>
              <w:rPr>
                <w:sz w:val="20"/>
                <w:szCs w:val="20"/>
                <w:color w:val="auto"/>
              </w:rPr>
            </w:pPr>
            <w:r>
              <w:rPr>
                <w:rFonts w:ascii="Arial" w:cs="Arial" w:eastAsia="Arial" w:hAnsi="Arial"/>
                <w:sz w:val="18"/>
                <w:szCs w:val="18"/>
                <w:color w:val="auto"/>
              </w:rPr>
              <w:t>Nerissa Kreher, M.D.</w:t>
            </w:r>
            <w:r>
              <w:rPr>
                <w:rFonts w:ascii="Arial" w:cs="Arial" w:eastAsia="Arial" w:hAnsi="Arial"/>
                <w:sz w:val="15"/>
                <w:szCs w:val="15"/>
                <w:color w:val="auto"/>
              </w:rPr>
              <w:t>(7)</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34,007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Bruce Booth, D.Phil.</w:t>
            </w:r>
          </w:p>
        </w:tc>
        <w:tc>
          <w:tcPr>
            <w:tcW w:w="12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jc w:val="right"/>
              <w:ind w:right="233"/>
              <w:spacing w:after="0"/>
              <w:rPr>
                <w:sz w:val="20"/>
                <w:szCs w:val="20"/>
                <w:color w:val="auto"/>
              </w:rPr>
            </w:pPr>
            <w:r>
              <w:rPr>
                <w:rFonts w:ascii="Arial" w:cs="Arial" w:eastAsia="Arial" w:hAnsi="Arial"/>
                <w:sz w:val="18"/>
                <w:szCs w:val="18"/>
                <w:color w:val="auto"/>
              </w:rPr>
              <w:t>151</w:t>
            </w: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40" w:type="dxa"/>
            <w:vAlign w:val="bottom"/>
            <w:gridSpan w:val="3"/>
          </w:tcPr>
          <w:p>
            <w:pPr>
              <w:jc w:val="center"/>
              <w:ind w:right="1160"/>
              <w:spacing w:after="0" w:line="149" w:lineRule="exact"/>
              <w:rPr>
                <w:sz w:val="20"/>
                <w:szCs w:val="20"/>
                <w:color w:val="auto"/>
              </w:rPr>
            </w:pPr>
            <w:r>
              <w:rPr>
                <w:rFonts w:ascii="Arial" w:cs="Arial" w:eastAsia="Arial" w:hAnsi="Arial"/>
                <w:sz w:val="14"/>
                <w:szCs w:val="14"/>
                <w:b w:val="1"/>
                <w:bCs w:val="1"/>
                <w:color w:val="auto"/>
                <w:w w:val="99"/>
              </w:rPr>
              <w:t>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6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rPr>
              <w:t>BENEFICIALLY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NUMBER OF SHARES</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3"/>
          </w:tcPr>
          <w:p>
            <w:pPr>
              <w:jc w:val="center"/>
              <w:ind w:right="1140"/>
              <w:spacing w:after="0"/>
              <w:rPr>
                <w:sz w:val="20"/>
                <w:szCs w:val="20"/>
                <w:color w:val="auto"/>
              </w:rPr>
            </w:pPr>
            <w:r>
              <w:rPr>
                <w:rFonts w:ascii="Arial" w:cs="Arial" w:eastAsia="Arial" w:hAnsi="Arial"/>
                <w:sz w:val="14"/>
                <w:szCs w:val="14"/>
                <w:b w:val="1"/>
                <w:bCs w:val="1"/>
                <w:color w:val="auto"/>
              </w:rPr>
              <w:t>OWNED</w:t>
            </w:r>
          </w:p>
        </w:tc>
        <w:tc>
          <w:tcPr>
            <w:tcW w:w="0" w:type="dxa"/>
            <w:vAlign w:val="bottom"/>
          </w:tcPr>
          <w:p>
            <w:pPr>
              <w:spacing w:after="0"/>
              <w:rPr>
                <w:sz w:val="1"/>
                <w:szCs w:val="1"/>
                <w:color w:val="auto"/>
              </w:rPr>
            </w:pPr>
          </w:p>
        </w:tc>
      </w:tr>
      <w:tr>
        <w:trPr>
          <w:trHeight w:val="119"/>
        </w:trPr>
        <w:tc>
          <w:tcPr>
            <w:tcW w:w="53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280" w:type="dxa"/>
            <w:vAlign w:val="bottom"/>
            <w:gridSpan w:val="2"/>
          </w:tcPr>
          <w:p>
            <w:pPr>
              <w:jc w:val="center"/>
              <w:ind w:left="518"/>
              <w:spacing w:after="0" w:line="119" w:lineRule="exact"/>
              <w:rPr>
                <w:sz w:val="20"/>
                <w:szCs w:val="20"/>
                <w:color w:val="auto"/>
              </w:rPr>
            </w:pPr>
            <w:r>
              <w:rPr>
                <w:rFonts w:ascii="Arial" w:cs="Arial" w:eastAsia="Arial" w:hAnsi="Arial"/>
                <w:sz w:val="13"/>
                <w:szCs w:val="13"/>
                <w:b w:val="1"/>
                <w:bCs w:val="1"/>
                <w:color w:val="auto"/>
              </w:rPr>
              <w:t>BENEFICIALLY OWNED</w:t>
            </w:r>
          </w:p>
        </w:tc>
        <w:tc>
          <w:tcPr>
            <w:tcW w:w="800" w:type="dxa"/>
            <w:vAlign w:val="bottom"/>
          </w:tcPr>
          <w:p>
            <w:pPr>
              <w:spacing w:after="0"/>
              <w:rPr>
                <w:sz w:val="10"/>
                <w:szCs w:val="10"/>
                <w:color w:val="auto"/>
              </w:rPr>
            </w:pPr>
          </w:p>
        </w:tc>
        <w:tc>
          <w:tcPr>
            <w:tcW w:w="92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BEFORE</w:t>
            </w:r>
          </w:p>
        </w:tc>
        <w:tc>
          <w:tcPr>
            <w:tcW w:w="7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55"/>
              <w:spacing w:after="0" w:line="119" w:lineRule="exact"/>
              <w:rPr>
                <w:sz w:val="20"/>
                <w:szCs w:val="20"/>
                <w:color w:val="auto"/>
              </w:rPr>
            </w:pPr>
            <w:r>
              <w:rPr>
                <w:rFonts w:ascii="Arial" w:cs="Arial" w:eastAsia="Arial" w:hAnsi="Arial"/>
                <w:sz w:val="13"/>
                <w:szCs w:val="13"/>
                <w:b w:val="1"/>
                <w:bCs w:val="1"/>
                <w:color w:val="auto"/>
              </w:rPr>
              <w:t>AFTER</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5300" w:type="dxa"/>
            <w:vAlign w:val="bottom"/>
            <w:gridSpan w:val="3"/>
            <w:vMerge w:val="continue"/>
          </w:tcPr>
          <w:p>
            <w:pPr>
              <w:spacing w:after="0"/>
              <w:rPr>
                <w:sz w:val="16"/>
                <w:szCs w:val="16"/>
                <w:color w:val="auto"/>
              </w:rPr>
            </w:pPr>
          </w:p>
        </w:tc>
        <w:tc>
          <w:tcPr>
            <w:tcW w:w="62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PRIOR TO OFFERING</w:t>
            </w:r>
          </w:p>
        </w:tc>
        <w:tc>
          <w:tcPr>
            <w:tcW w:w="17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OFFERING</w:t>
            </w:r>
          </w:p>
        </w:tc>
        <w:tc>
          <w:tcPr>
            <w:tcW w:w="1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OFFERING</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40" w:type="dxa"/>
            <w:vAlign w:val="bottom"/>
            <w:tcBorders>
              <w:top w:val="single" w:sz="8" w:color="auto"/>
            </w:tcBorders>
            <w:shd w:val="clear" w:color="auto" w:fill="CCEEFF"/>
          </w:tcPr>
          <w:p>
            <w:pPr>
              <w:ind w:left="340"/>
              <w:spacing w:after="0" w:line="189" w:lineRule="exact"/>
              <w:rPr>
                <w:sz w:val="20"/>
                <w:szCs w:val="20"/>
                <w:color w:val="auto"/>
              </w:rPr>
            </w:pPr>
            <w:r>
              <w:rPr>
                <w:rFonts w:ascii="Arial" w:cs="Arial" w:eastAsia="Arial" w:hAnsi="Arial"/>
                <w:sz w:val="18"/>
                <w:szCs w:val="18"/>
                <w:color w:val="auto"/>
              </w:rPr>
              <w:t>Ian T. Clark</w:t>
            </w:r>
          </w:p>
        </w:tc>
        <w:tc>
          <w:tcPr>
            <w:tcW w:w="204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Annalisa Jenkins, M.B.B.S., F.R.C.P.</w:t>
            </w: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Christopher Paige, Ph.D.</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287,512</w:t>
            </w:r>
          </w:p>
        </w:tc>
        <w:tc>
          <w:tcPr>
            <w:tcW w:w="8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340"/>
              <w:spacing w:after="0"/>
              <w:rPr>
                <w:sz w:val="20"/>
                <w:szCs w:val="20"/>
                <w:color w:val="auto"/>
              </w:rPr>
            </w:pPr>
            <w:r>
              <w:rPr>
                <w:rFonts w:ascii="Arial" w:cs="Arial" w:eastAsia="Arial" w:hAnsi="Arial"/>
                <w:sz w:val="18"/>
                <w:szCs w:val="18"/>
                <w:color w:val="auto"/>
              </w:rPr>
              <w:t>Scott G. Requadt</w:t>
            </w:r>
          </w:p>
        </w:tc>
        <w:tc>
          <w:tcPr>
            <w:tcW w:w="6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Joshua Resnick, M.D.</w:t>
            </w:r>
          </w:p>
        </w:tc>
        <w:tc>
          <w:tcPr>
            <w:tcW w:w="6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Director Nominee</w:t>
            </w:r>
          </w:p>
        </w:tc>
        <w:tc>
          <w:tcPr>
            <w:tcW w:w="6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Phillip Donenberg</w:t>
            </w:r>
          </w:p>
        </w:tc>
        <w:tc>
          <w:tcPr>
            <w:tcW w:w="6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28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w w:val="99"/>
              </w:rPr>
              <w:t>All executive officers, directors and the director nominee as a</w:t>
            </w:r>
          </w:p>
        </w:tc>
        <w:tc>
          <w:tcPr>
            <w:tcW w:w="6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80" w:type="dxa"/>
            <w:vAlign w:val="bottom"/>
            <w:gridSpan w:val="2"/>
          </w:tcPr>
          <w:p>
            <w:pPr>
              <w:ind w:left="160"/>
              <w:spacing w:after="0"/>
              <w:rPr>
                <w:sz w:val="20"/>
                <w:szCs w:val="20"/>
                <w:color w:val="auto"/>
              </w:rPr>
            </w:pPr>
            <w:r>
              <w:rPr>
                <w:rFonts w:ascii="Arial" w:cs="Arial" w:eastAsia="Arial" w:hAnsi="Arial"/>
                <w:sz w:val="18"/>
                <w:szCs w:val="18"/>
                <w:b w:val="1"/>
                <w:bCs w:val="1"/>
                <w:color w:val="auto"/>
              </w:rPr>
              <w:t xml:space="preserve">group (10 persons) </w:t>
            </w:r>
            <w:r>
              <w:rPr>
                <w:rFonts w:ascii="Arial" w:cs="Arial" w:eastAsia="Arial" w:hAnsi="Arial"/>
                <w:sz w:val="15"/>
                <w:szCs w:val="15"/>
                <w:b w:val="1"/>
                <w:bCs w:val="1"/>
                <w:color w:val="auto"/>
              </w:rPr>
              <w:t>(8)</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708,620</w:t>
            </w: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3.93%</w:t>
            </w:r>
          </w:p>
        </w:tc>
        <w:tc>
          <w:tcPr>
            <w:tcW w:w="1740" w:type="dxa"/>
            <w:vAlign w:val="bottom"/>
            <w:gridSpan w:val="3"/>
          </w:tcPr>
          <w:p>
            <w:pPr>
              <w:jc w:val="right"/>
              <w:ind w:right="6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640" w:right="180" w:hanging="436"/>
        <w:spacing w:after="0" w:line="281" w:lineRule="auto"/>
        <w:tabs>
          <w:tab w:leader="none" w:pos="6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Consists of (i) 806,711 shares of common stock issuable upon conversion of Series Seed preferred stock, (ii) 3,044,578 shares of common stock issuable upon conversion of Series A preferred stock and (iii) 905,189 shares of common stock issuable upon conversion of Series B preferred stock. All shares are held directly by Atlas Venture Fund X, L.P., or Atlas Venture X. Atlas Venture Associates X, L.P., or AVA X LP, is the general partner of Atlas Venture X, and Atlas Venture Associates X, LLC, or AVA X LLC, is the general partner of AVA X LP. Bruce Booth is a member of AVA X LLC and a member of our board of directors. Dr. Booth disclaims beneficial ownership of such shares, except to the extent of his proportionate pecuniary interest therein, if any. The address for Atlas Venture X is 25 First Street, Suite 303, Cambridge, MA 02141.</w:t>
      </w:r>
    </w:p>
    <w:p>
      <w:pPr>
        <w:spacing w:after="0" w:line="4" w:lineRule="exact"/>
        <w:rPr>
          <w:rFonts w:ascii="Arial" w:cs="Arial" w:eastAsia="Arial" w:hAnsi="Arial"/>
          <w:sz w:val="16"/>
          <w:szCs w:val="16"/>
          <w:color w:val="auto"/>
        </w:rPr>
      </w:pPr>
    </w:p>
    <w:p>
      <w:pPr>
        <w:ind w:left="640" w:right="20" w:hanging="436"/>
        <w:spacing w:after="0" w:line="265" w:lineRule="auto"/>
        <w:tabs>
          <w:tab w:leader="none" w:pos="6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Consists of (i) 2,283,434 shares of common stock issuable upon conversion of Series A preferred stock and (ii) 678,892 shares of common stock issuable upon conversion of Series B preferred stock. All shares are held directly by Clarus Lifesciences III, L.P., or Clarus. Clarus Ventures III GP, L.P., or the GPLP, as the sole general partner of Clarus, may be deemed to beneficially own certain of the shares held by Clarus. The GPLP disclaims beneficial ownership of all shares held by Clarus in which the GPLP does not have an actual pecuniary interest. Clarus Ventures III, LLC, or the GPLLC, as the sole general partner of the GPLP, may be deemed to beneficially own certain of the shares held by Clarus. The GPLLC disclaims beneficial ownership of all shares held by Clarus in which it does not have an actual pecuniary interest. Each of Nicholas Galakatos, Dennis Henner, Robert Liptak, Scott Requadt, Nicholas Simon, and Kurt Wheeler, as individual managing directors of the GPLLC, may be deemed to beneficially own certain of the shares held of record by Clarus. Each of Messrs. Galakatos, Henner, Liptak, Requadt, Simon and Wheeler disclaims beneficial ownership of all shares held of record by Clarus in which he does not have an actual pecuniary interest. Scott G. Requadt is a member of the GPLLC and a member of our board of directors. Mr. Requadt disclaims beneficial ownership of such shares, except to the extent of his proportionate pecuniary interest therein, if any. The address for the entities is 101 Main Street, Suite 1210, Cambridge, MA 02142.</w:t>
      </w:r>
    </w:p>
    <w:p>
      <w:pPr>
        <w:spacing w:after="0" w:line="2" w:lineRule="exact"/>
        <w:rPr>
          <w:rFonts w:ascii="Arial" w:cs="Arial" w:eastAsia="Arial" w:hAnsi="Arial"/>
          <w:sz w:val="17"/>
          <w:szCs w:val="17"/>
          <w:color w:val="auto"/>
        </w:rPr>
      </w:pPr>
    </w:p>
    <w:p>
      <w:pPr>
        <w:ind w:left="640" w:right="40" w:hanging="436"/>
        <w:spacing w:after="0" w:line="267" w:lineRule="auto"/>
        <w:tabs>
          <w:tab w:leader="none" w:pos="6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Consists of (i) 2,207,843 shares of common stock issuable upon conversion of shares of Series A preferred stock held of record by SV Life Sciences Fund VI, L.P., (ii) 75,590 shares of common stock issuable upon conversion of shares of Series A preferred stock held of record by SV Life Sciences Fund VI, Strategic Partners L.P., (iii) 437,611 shares of common stock issuable upon conversion of shares of Series B preferred stock held of record by SV Life Sciences Fund VI, L.P. and (iv) 14,983 shares of common stock issuable upon conversion of shares of Series B preferred stock held of record by SV Life Sciences Fund VI, Strategic Partners L.P. SV Health Investors, LLC is the Manager of SV Life Sciences Fund VI, L.P. and SV Life Sciences Fund VI Strategic Partners, L.P. SV Life Sciences Fund VI (GP), LP, or SV Fund VI GP, is the general partner of SV Life Sciences Fund VI, L.P. and SV Life Sciences Fund VI Strategic Partners, L.P. The general partner of SV Fund VI GP is SVLSF VI, LLC. The members of the investment committee of SVLSF VI, LLC are Kate Bingham, Thomas Flynn, James Garvey, Eugene D. Hill, III, Paul LaViolette, and Michael Ross. Each of SV Fund VI GP, SVLSF VI, LLC and the SVLSF VI, LLC investment committee disclaims beneficial ownership of the shares owned directly by SV Life Sciences Fund VI, L.P. and SV Life Sciences Fund VI Strategic Partners, L.P. except to the extent of any pecuniary interest therein. The address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for each of the entities and individuals listed above is One Boston Place, Suite 3900, 201 Washington Street, Boston, Massachusetts 02108.</w:t>
      </w:r>
    </w:p>
    <w:p>
      <w:pPr>
        <w:spacing w:after="0" w:line="35" w:lineRule="exact"/>
        <w:rPr>
          <w:sz w:val="20"/>
          <w:szCs w:val="20"/>
          <w:color w:val="auto"/>
        </w:rPr>
      </w:pPr>
    </w:p>
    <w:p>
      <w:pPr>
        <w:ind w:left="640" w:right="500" w:hanging="436"/>
        <w:spacing w:after="0" w:line="250"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1,357,783 shares of common stock issuable upon conversion of Series B preferred stock. The address for Citadel Multi-Strategy Equities Master Fund Ltd. is c/o Citadel Advisors LLC, 601 Lexington Avenue, New York, NY 10022.</w:t>
      </w:r>
    </w:p>
    <w:p>
      <w:pPr>
        <w:ind w:left="640" w:right="60" w:hanging="436"/>
        <w:spacing w:after="0" w:line="281" w:lineRule="auto"/>
        <w:tabs>
          <w:tab w:leader="none" w:pos="6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Consists of (i) 1,056,762 shares of common stock issuable upon conversion of shares of Series B preferred stock held of record by Cormorant Private Healthcare Fund I, LP, or Cormorant Private Fund, (ii) 243,450 shares of common stock issuable upon conversion of shares of Series B preferred stock held of record by Cormorant Global Healthcare Master Fund, LP, or Cormorant Master Fund and (iii) 57,569 shares of common stock issuable upon conversion of shares of Series B preferred stock held of record by CRMA SPV, L.P., or CRMA. The sole general partner of Cormorant Private Fund is Cormorant Private Healthcare GP, LLC and the sole general partner of Cormorant Master Fund is Cormorant Global Healthcare GP, LLC, and together Cormorant GP. Bihua Chen is the sole managing member of Cormorant GP, and may be deemed to have sole voting and investment power of the securities held by the Cormorant Private Fund and the Cormorant Master Fund. The sole investment manager of CRMA is Cormorant Asset Management, LLC, or the Manager. Bihua Chen is the sole managing member of the Manager, and may be deemed to have sole voting and investment power of the securities held by CRMA. The address of the Cormorant Private Fund, the Cormorant Master Fund and CRMA is 200 Clarendon Street, 52nd Floor, Boston, MA 02116.</w:t>
      </w:r>
    </w:p>
    <w:p>
      <w:pPr>
        <w:spacing w:after="0" w:line="6" w:lineRule="exact"/>
        <w:rPr>
          <w:rFonts w:ascii="Arial" w:cs="Arial" w:eastAsia="Arial" w:hAnsi="Arial"/>
          <w:sz w:val="16"/>
          <w:szCs w:val="16"/>
          <w:color w:val="auto"/>
        </w:rPr>
      </w:pPr>
    </w:p>
    <w:p>
      <w:pPr>
        <w:ind w:left="640" w:hanging="436"/>
        <w:spacing w:after="0" w:line="250"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(i) 423,523 shares of common stock, (ii) 72,604 shares of common stock held by Mac MacKay, (iii) 72,604 shares of common stock held by Kali MacKay and (iv) 118,338 shares of common stock issuable upon exercise of options within 60 days of June 1, 2018. Mr. MacKay is the father of Mac MacKay and Kali MacKay. Mr. MacKay may be deemed to have voting and investment power over shares held by Mac MacKay and Kali MacKay.</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45,054 shares of common stock issuable upon exercise of options within 60 days of June 1, 2018.</w:t>
      </w:r>
    </w:p>
    <w:p>
      <w:pPr>
        <w:spacing w:after="0" w:line="9" w:lineRule="exact"/>
        <w:rPr>
          <w:rFonts w:ascii="Arial" w:cs="Arial" w:eastAsia="Arial" w:hAnsi="Arial"/>
          <w:sz w:val="18"/>
          <w:szCs w:val="18"/>
          <w:color w:val="auto"/>
        </w:rPr>
      </w:pPr>
    </w:p>
    <w:p>
      <w:pPr>
        <w:ind w:left="640" w:right="340" w:hanging="436"/>
        <w:spacing w:after="0" w:line="261" w:lineRule="auto"/>
        <w:tabs>
          <w:tab w:leader="none" w:pos="6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Includes an aggregate of 139,887 shares issuable upon exercise of stock options within 60 days of June 1, 2018 held by our executive officers, directors and director nominee as a group.</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i w:val="1"/>
          <w:iCs w:val="1"/>
          <w:color w:val="auto"/>
        </w:rPr>
        <w:t>The following descriptions are summaries of the material terms of our amended and restated certificate of incorporation and amended and restated bylaws, which will be effective upon the closing of this offering. The descriptions of the common stock and preferred stock give effect to changes to our capital structure that will occur upon the completion of this offering. We refer in this section to our amended and restated certificate of incorporation as our certificate of incorporation, and we refer to our amended and restated bylaws as our bylaws.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Upon completion of this offering, our authorized capital stock will consist of 150,000,000 shares of common stock, par value $0.0001 per share, and 10,000,000 shares of preferred stock, par value $0.0001 per share, all of which shares of preferred stock will be undesignated.</w:t>
      </w:r>
    </w:p>
    <w:p>
      <w:pPr>
        <w:spacing w:after="0" w:line="147" w:lineRule="exact"/>
        <w:rPr>
          <w:sz w:val="20"/>
          <w:szCs w:val="20"/>
          <w:color w:val="auto"/>
        </w:rPr>
      </w:pPr>
    </w:p>
    <w:p>
      <w:pPr>
        <w:ind w:left="200" w:right="340" w:firstLine="441"/>
        <w:spacing w:after="0" w:line="308" w:lineRule="auto"/>
        <w:rPr>
          <w:sz w:val="20"/>
          <w:szCs w:val="20"/>
          <w:color w:val="auto"/>
        </w:rPr>
      </w:pPr>
      <w:r>
        <w:rPr>
          <w:rFonts w:ascii="Arial" w:cs="Arial" w:eastAsia="Arial" w:hAnsi="Arial"/>
          <w:sz w:val="17"/>
          <w:szCs w:val="17"/>
          <w:color w:val="auto"/>
        </w:rPr>
        <w:t>As of March 31, 2018, 2,581,474 shares of our common stock, 3,333,333 shares of Series Seed preferred stock, 31,450,499 shares of Series A preferred stock and 28,519,322 shares of Series B preferred stock were outstanding and held by 24 stockholders of record.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54"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Upon the completion of this offering, all outstanding shares of our preferred stock will be converted into shares of our common stock. Upon the consummation of this offering, 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March 31, 2018, there were outstanding options to purchase an aggregate of 1,788,750 shares of our common stock.</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24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Upon the completion of this offering, the holders of 15,320,213 shares of our common stock, including those issuable upon the conversion of preferred stock, will be entitled to rights with respect to the registration of these securities under the Securities Act. These rights are provided under the terms of an investors’ rights agreement between us and holders of our preferred stock.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Beginning 180 days after the effective date of this registration statement, the holders of 15,320,213 shares of our common stock, including those issuable upon the conversion of preferred stock upon closing of this offering, are entitled to demand registration rights. Under the terms of the investors’ rights agreement, we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We are required to effect only two registrations pursuant to this provision of the investors’ rights agreement.</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Pursuant to the investors’ rights agreement, if we are eligible to file a registration statement on Form S-3, upon the written request of holders of at least 25% of these securities at an aggregate offer price of at least $3.0 million, we will be required to use commercially reasonable efforts to effect a registration of such shares. We are required to effect only two registrations in any twelve month period pursuant to this provision of the investors’ rights agreement. The right to have such shares registered on Form S-3 is further subject to other specified conditions and limitations.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Pursuant to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demand registration rights and short form registration rights granted under the investors’ rights agreement will terminate on the earliest of</w:t>
      </w:r>
    </w:p>
    <w:p>
      <w:pPr>
        <w:spacing w:after="0" w:line="46" w:lineRule="exact"/>
        <w:rPr>
          <w:sz w:val="20"/>
          <w:szCs w:val="20"/>
          <w:color w:val="auto"/>
        </w:rPr>
      </w:pPr>
    </w:p>
    <w:p>
      <w:pPr>
        <w:ind w:left="200" w:right="140" w:firstLine="4"/>
        <w:spacing w:after="0" w:line="290" w:lineRule="auto"/>
        <w:tabs>
          <w:tab w:leader="none" w:pos="415"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deemed liquidation event, as defined in the investors’ rights agreement, (ii) the fifth anniversary of the completion of this offering and (iii) at such time after this offering when the holders’ shares may be sold without restriction pursuant to Rule 144 within a three month period.</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121"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that will become effective upon the closing of this offering will include a number of provisions that may have the effect of</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00"/>
          </w:cols>
          <w:pgMar w:left="24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amended and restated certificate of incorporation that will become effective upon the closing of this offering will provide for the division of our board of directors into three classes serving staggered three-year terms, with one class being elected each year. Our amended and restated certificate of incorporation will also provide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amended and restated certificate of incorporation that will become effective upon the closing of this offering will provide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Our amended and restated certificate of incorporation and amended and restated bylaws that will become effective upon the closing of this offering will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will limit the business that may be conducted at an annual meeting of stockholders to those matters properly brought before the meeting.</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amended and restated bylaws that will become effective upon the closing of this offering will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117"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Any amendment of our amended and restated certificate of incorporation that will become effective upon the closing of this offering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240" w:top="460"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color w:val="auto"/>
        </w:rPr>
        <w:t>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amended and restated certificate of incorporation that will become effective upon the closing of this offering will provide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Our amended and restated bylaws that will become effective upon the closing of this offering will provide that, unless we consent in writing to the selection of an alternative forum, the Court of Chancery of the State of Delaware will be the sole and exclusive forum for: (1) any derivative action or proceeding brought on our behalf; (2) 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or our certificate of incorporation or bylaws; or (4) any action asserting a claim governed by the internal affairs doctrine. Our amended and restated bylaws also provide that any person or entity purchasing or otherwise acquiring any interest in shares of our capital stock will be deemed to have notice of and to have consented to this choice of forum provision.</w:t>
      </w:r>
    </w:p>
    <w:p>
      <w:pPr>
        <w:spacing w:after="0" w:line="192"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In addition, our amended and restated bylaws that will become effective upon the closing of this offering will contain a provision by virtue of which unless we consent in writing to the selection of an alternative forum, the United States District Court for the District of Massachusetts will be the exclusive forum for resolving any complaint asserting a cause of action arising under the Securities Act. If any action the subject matter of which is within the scope of the preceding sentence is filed in a court other than the United States District Court for the District of Massachusetts, the plaintiff or plaintiffs shall be deemed by this provision of our amended and restated bylaws (i) to have consented to removal of the action by us to the United States District Court for the District of Massachusetts, in the case of an action filed in a state court, and (ii) to have consented to transfer of the action to the United States District Court for the District of Massachusetts. We have chosen the United States Court for the District of Massachusetts as the exclusive forum for such causes of action because our principal executive offices are located in Cambridge, Massachusetts. Some companies that have adopted similar federal district court forum selection provisions are currently subject to a suit in the Court of Chancery of the State of Delaware by stockholders who assert that the federal district court forum selection provision is not enforceable. We recognize that the federal district court forum selection clause may impose additional litigation costs on stockholders who assert the provision</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80"/>
          </w:cols>
          <w:pgMar w:left="240" w:top="460"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is not enforceable and may impose more general additional litigation costs in pursuing any such claims, particularly if the stockholders do not reside in or near the Commonwealth of Massachusetts. Additionally, the forum selection clauses in our amended and restated bylaws may limit our stockholders’ ability to obtain a favorable judicial forum for disputes with us. Alternatively, if the federal district court forum selection provision is found inapplicable to, or unenforceable in respect of, one or more of the specified types of actions or proceedings, we may incur additional costs associated with resolving such matters in other jurisdictions, which could have an adverse effect on our business, financial condition or results of operations. The U.S. District Court in Massachusetts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Upon completion of this offering, we will be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94" w:lineRule="exact"/>
        <w:rPr>
          <w:sz w:val="20"/>
          <w:szCs w:val="20"/>
          <w:color w:val="auto"/>
        </w:rPr>
      </w:pPr>
    </w:p>
    <w:p>
      <w:pPr>
        <w:ind w:left="1060" w:right="6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60" w:right="140" w:hanging="424"/>
        <w:spacing w:after="0" w:line="279" w:lineRule="auto"/>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6" w:lineRule="exact"/>
        <w:rPr>
          <w:rFonts w:ascii="Arial" w:cs="Arial" w:eastAsia="Arial" w:hAnsi="Arial"/>
          <w:sz w:val="17"/>
          <w:szCs w:val="17"/>
          <w:color w:val="auto"/>
        </w:rPr>
      </w:pPr>
    </w:p>
    <w:p>
      <w:pPr>
        <w:ind w:left="1060" w:hanging="424"/>
        <w:spacing w:after="0" w:line="264"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1060" w:hanging="424"/>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any sale, transfer, lease, pledge or other disposition involving the interested stockholder of 10% or more of the assets of the corporation;</w:t>
      </w:r>
    </w:p>
    <w:p>
      <w:pPr>
        <w:spacing w:after="0" w:line="153" w:lineRule="exact"/>
        <w:rPr>
          <w:rFonts w:ascii="Arial" w:cs="Arial" w:eastAsia="Arial" w:hAnsi="Arial"/>
          <w:sz w:val="16"/>
          <w:szCs w:val="16"/>
          <w:color w:val="auto"/>
        </w:rPr>
      </w:pPr>
    </w:p>
    <w:p>
      <w:pPr>
        <w:ind w:left="1060" w:right="600" w:hanging="424"/>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60" w:right="140" w:hanging="424"/>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75"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60"/>
          </w:cols>
          <w:pgMar w:left="240" w:top="460" w:right="49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Nasdaq Global Market Listing</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applied to list our common stock on The Nasdaq Global Market under the trading symbol “AVRO.”</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transfer agent and registrar for our common stock will be Computershare Trust Company, N.A. The transfer agent and registrar’s address is 250 Royall Street, Canton, Massachusetts 02021, and its telephone number is (800) 962-4284.</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00"/>
          </w:cols>
          <w:pgMar w:left="240" w:top="459" w:right="6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Prior to this offering, there has been no public market for shares of our common stock. Future sales of our common stock in the public market, or the availability of such shares for sale in the public market, could adversely affect market prices prevailing from time to time. As described below, only a limited number of shares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spacing w:after="0" w:line="18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Based on the number of shares outstanding as of March 31, 2018, upon the completion of this offering, 22,313,687 shares of our common stock will be outstanding, assuming no exercise of the underwriters’ option to purchase additional shares and no exercise of outstanding options. Of the outstanding shares, all of the shares sold in this offering will be freely tradable, except that any shares held by our affiliates, as that term is defined in Rule 144 under the Securities Act, may only be sold in compliance with the limitations described below, and shares of our common stock are restricted shares of common stock subject to time-based vesting terms. All remaining shares of common stock held by existing stockholders immediately prior to the completion of this offering will be “restricted securities” as such term is defined in Rule 144. 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summarized below.</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general, a person who has beneficially owned restricted stock for at least six months would be entitled to sell their securities provided that</w:t>
      </w:r>
    </w:p>
    <w:p>
      <w:pPr>
        <w:spacing w:after="0" w:line="35" w:lineRule="exact"/>
        <w:rPr>
          <w:sz w:val="20"/>
          <w:szCs w:val="20"/>
          <w:color w:val="auto"/>
        </w:rPr>
      </w:pPr>
    </w:p>
    <w:p>
      <w:pPr>
        <w:ind w:left="200" w:right="60" w:firstLine="4"/>
        <w:spacing w:after="0" w:line="253" w:lineRule="auto"/>
        <w:tabs>
          <w:tab w:leader="none" w:pos="415" w:val="left"/>
        </w:tabs>
        <w:numPr>
          <w:ilvl w:val="0"/>
          <w:numId w:val="94"/>
        </w:numPr>
        <w:rPr>
          <w:rFonts w:ascii="Arial" w:cs="Arial" w:eastAsia="Arial" w:hAnsi="Arial"/>
          <w:sz w:val="18"/>
          <w:szCs w:val="18"/>
          <w:color w:val="auto"/>
        </w:rPr>
      </w:pPr>
      <w:r>
        <w:rPr>
          <w:rFonts w:ascii="Arial" w:cs="Arial" w:eastAsia="Arial" w:hAnsi="Arial"/>
          <w:sz w:val="18"/>
          <w:szCs w:val="18"/>
          <w:color w:val="auto"/>
        </w:rPr>
        <w:t>such person is not deemed to have been one of our affiliates at the time of, or at any time during the 90 days preceding, a sale and (ii) we are subject to the Securities Exchange Act of 1934, as amended, or the Exchange Act, periodic reporting requirements for at least 90 days before the sale. Persons who have beneficially owned restricted shares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96" w:lineRule="exact"/>
        <w:rPr>
          <w:rFonts w:ascii="Arial" w:cs="Arial" w:eastAsia="Arial" w:hAnsi="Arial"/>
          <w:sz w:val="18"/>
          <w:szCs w:val="18"/>
          <w:color w:val="auto"/>
        </w:rPr>
      </w:pPr>
    </w:p>
    <w:p>
      <w:pPr>
        <w:ind w:left="1060" w:right="120" w:hanging="424"/>
        <w:spacing w:after="0" w:line="342" w:lineRule="auto"/>
        <w:tabs>
          <w:tab w:leader="none" w:pos="1060" w:val="left"/>
        </w:tabs>
        <w:numPr>
          <w:ilvl w:val="1"/>
          <w:numId w:val="94"/>
        </w:numPr>
        <w:rPr>
          <w:rFonts w:ascii="Arial" w:cs="Arial" w:eastAsia="Arial" w:hAnsi="Arial"/>
          <w:sz w:val="16"/>
          <w:szCs w:val="16"/>
          <w:color w:val="auto"/>
        </w:rPr>
      </w:pPr>
      <w:r>
        <w:rPr>
          <w:rFonts w:ascii="Arial" w:cs="Arial" w:eastAsia="Arial" w:hAnsi="Arial"/>
          <w:sz w:val="16"/>
          <w:szCs w:val="16"/>
          <w:color w:val="auto"/>
        </w:rPr>
        <w:t>1% of the number of shares then outstanding, which will equal approximately 223,200 shares immediately after this offering, assuming no exercise of the underwriters’ option to purchase additional shares, based on the number of shares outstanding as of March 31, 2018; or</w:t>
      </w:r>
    </w:p>
    <w:p>
      <w:pPr>
        <w:spacing w:after="0" w:line="29" w:lineRule="exact"/>
        <w:rPr>
          <w:rFonts w:ascii="Arial" w:cs="Arial" w:eastAsia="Arial" w:hAnsi="Arial"/>
          <w:sz w:val="16"/>
          <w:szCs w:val="16"/>
          <w:color w:val="auto"/>
        </w:rPr>
      </w:pPr>
    </w:p>
    <w:p>
      <w:pPr>
        <w:ind w:left="1060" w:right="20" w:hanging="424"/>
        <w:spacing w:after="0" w:line="277" w:lineRule="auto"/>
        <w:tabs>
          <w:tab w:leader="none" w:pos="10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on Form 144 with respect to the sale;</w:t>
      </w:r>
    </w:p>
    <w:p>
      <w:pPr>
        <w:spacing w:after="0" w:line="170" w:lineRule="exact"/>
        <w:rPr>
          <w:sz w:val="20"/>
          <w:szCs w:val="20"/>
          <w:color w:val="auto"/>
        </w:rPr>
      </w:pPr>
    </w:p>
    <w:p>
      <w:pPr>
        <w:ind w:left="200" w:right="160"/>
        <w:spacing w:after="0" w:line="308" w:lineRule="auto"/>
        <w:rPr>
          <w:sz w:val="20"/>
          <w:szCs w:val="20"/>
          <w:color w:val="auto"/>
        </w:rPr>
      </w:pPr>
      <w:r>
        <w:rPr>
          <w:rFonts w:ascii="Arial" w:cs="Arial" w:eastAsia="Arial" w:hAnsi="Arial"/>
          <w:sz w:val="17"/>
          <w:szCs w:val="17"/>
          <w:color w:val="auto"/>
        </w:rPr>
        <w:t>provided, in each case, that we are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Rule 701 under the Securities Act, as in effect on the date of this prospectus, permits resales of shares in reliance upon Rule 144 but without compliance with certain restrictions of Rule 144, including the holding period requirement. Most of our employees, executive officers or directors who purchased shares under a written compensatory plan or contract may be entitled to rely on the resale provisions of Rule 701, but all holders of Rule 701 shares are required to wait until 90 days after the date of this prospectus before selling their shares.</w:t>
      </w:r>
    </w:p>
    <w:p>
      <w:pPr>
        <w:spacing w:after="0" w:line="171"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However, substantially all Rule 701 shares are subject to lock-up agreements as described below and under “Underwriters” included elsewhere in this prospectus and will become eligible for sale upon the expiration of the restrictions set forth in those agreements.</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60"/>
          </w:cols>
          <w:pgMar w:left="240" w:top="460" w:right="4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In connection with this offering, we and all of our directors, executive officers and substantially all of the holders of our stock and stock options have signed a lock-up agreement that prevents them from selling any of our common stock or any securities convertible into or exercisable or exchangeable for common stock for a period of not less than 180 days from the date of this prospectus without the prior written consent of Morgan Stanley &amp; Co. LLC and Cowen and Company, LLC, subject to certain exceptions. See the section entitled “Underwriters” appearing elsewhere in this prospectus for more information.</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See the section entitled “Description of Capital Stock—Registration Rights” appearing elsewhere in this prospectus for more information.</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Incentive Plans</w:t>
      </w:r>
    </w:p>
    <w:p>
      <w:pPr>
        <w:spacing w:after="0" w:line="12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our shares issued or reserved for issuance under our equity incentive plans. The first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 As of June 1, 2018, we estimate that such registration statement on Form S-8 will cover approximately 839,500 shares.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10b5-1 Plans</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After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240" w:top="460"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MATERIAL U.S. FEDERAL INCOME TAX CONSIDERATIONS FOR</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NON-U.S. HOLDERS OF COMMON STOCK</w:t>
      </w:r>
    </w:p>
    <w:p>
      <w:pPr>
        <w:spacing w:after="0" w:line="211" w:lineRule="exact"/>
        <w:rPr>
          <w:sz w:val="20"/>
          <w:szCs w:val="20"/>
          <w:color w:val="auto"/>
        </w:rPr>
      </w:pPr>
    </w:p>
    <w:p>
      <w:pPr>
        <w:jc w:val="both"/>
        <w:ind w:left="200" w:right="200" w:firstLine="441"/>
        <w:spacing w:after="0" w:line="286" w:lineRule="auto"/>
        <w:rPr>
          <w:sz w:val="20"/>
          <w:szCs w:val="20"/>
          <w:color w:val="auto"/>
        </w:rPr>
      </w:pPr>
      <w:r>
        <w:rPr>
          <w:rFonts w:ascii="Arial" w:cs="Arial" w:eastAsia="Arial" w:hAnsi="Arial"/>
          <w:sz w:val="17"/>
          <w:szCs w:val="17"/>
          <w:color w:val="auto"/>
        </w:rPr>
        <w:t>The following discussion is a summary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71" w:lineRule="exact"/>
        <w:rPr>
          <w:sz w:val="20"/>
          <w:szCs w:val="20"/>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non-resident alien individual;</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foreign corporation or any other foreign organization taxable as a corporation for U.S. federal income tax purposes;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foreign estate or trust, the income of which is not subject to U.S. federal income tax on a net income basis.</w:t>
      </w:r>
    </w:p>
    <w:p>
      <w:pPr>
        <w:spacing w:after="0" w:line="225"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17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165"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This discussion does not address all aspects of U.S. federal income taxation that may be relevant to a particular non-U.S. holder in light of that non-U.S. holder’s individual circumstances nor does it address any aspects of any U.S. federal tax other than the income tax, U.S. state, local or non-U.S. taxes, the alternative minimum tax, rules regarding qualified small business stock within the meaning of Section 1202 of the Code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78" w:lineRule="exact"/>
        <w:rPr>
          <w:sz w:val="20"/>
          <w:szCs w:val="20"/>
          <w:color w:val="auto"/>
        </w:rPr>
      </w:pPr>
    </w:p>
    <w:p>
      <w:pPr>
        <w:ind w:left="1060" w:hanging="42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brokers or dealers in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“qualified foreign pension funds,” or entities wholly owned by a “qualified foreign pension fund”;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persons that have a functional currency other than the U.S. dollar;</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persons that hold our common stock as part of a straddle, hedge, conversion transaction, synthetic security or other integrated investment;</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persons who hold or receive our common stock pursuant to the exercise of any employee stock option or otherwise as compensation;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25"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This discussion is for general information only and is not tax advice. Accordingly, all prospective non-U.S. holders of our common stock should consult their tax advisors with respect to the U.S. federal, state, local and non-U.S. tax consequences of the purchase, ownership and disposition of our common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Our Common Stock</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“Withholding and Information Reporting Requirements—FATCA.”</w:t>
      </w:r>
    </w:p>
    <w:p>
      <w:pPr>
        <w:spacing w:after="0" w:line="178" w:lineRule="exact"/>
        <w:rPr>
          <w:sz w:val="20"/>
          <w:szCs w:val="20"/>
          <w:color w:val="auto"/>
        </w:rPr>
      </w:pPr>
    </w:p>
    <w:p>
      <w:pPr>
        <w:ind w:left="200" w:right="440" w:firstLine="441"/>
        <w:spacing w:after="0" w:line="264" w:lineRule="auto"/>
        <w:rPr>
          <w:sz w:val="20"/>
          <w:szCs w:val="20"/>
          <w:color w:val="auto"/>
        </w:rPr>
      </w:pPr>
      <w:r>
        <w:rPr>
          <w:rFonts w:ascii="Arial" w:cs="Arial" w:eastAsia="Arial" w:hAnsi="Arial"/>
          <w:sz w:val="18"/>
          <w:szCs w:val="18"/>
          <w:color w:val="auto"/>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8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178"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Sale or Other Taxable Disposition of Our Common Stock</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Subject to the discussions below under “Backup Withholding and Information Reporting” and “Withholding and Information Reporting Requirements—FATCA,” a non-U.S. holder generally will not be subject to any U.S. federal income tax on any gain realized upon such holder’s sale or other taxable disposition of shares of our common stock unless:</w:t>
      </w:r>
    </w:p>
    <w:p>
      <w:pPr>
        <w:spacing w:after="0" w:line="87" w:lineRule="exact"/>
        <w:rPr>
          <w:sz w:val="20"/>
          <w:szCs w:val="20"/>
          <w:color w:val="auto"/>
        </w:rPr>
      </w:pPr>
    </w:p>
    <w:p>
      <w:pPr>
        <w:ind w:left="1060" w:right="320" w:hanging="424"/>
        <w:spacing w:after="0" w:line="277"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U.S. trade or business and, if an applicable income tax treaty so provides, is attributable to a permanent establishment or a fixed-base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60" w:right="4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86" w:lineRule="auto"/>
        <w:rPr>
          <w:sz w:val="20"/>
          <w:szCs w:val="20"/>
          <w:color w:val="auto"/>
        </w:rPr>
      </w:pPr>
      <w:r>
        <w:rPr>
          <w:rFonts w:ascii="Arial" w:cs="Arial" w:eastAsia="Arial" w:hAnsi="Arial"/>
          <w:sz w:val="17"/>
          <w:szCs w:val="17"/>
          <w:color w:val="auto"/>
        </w:rPr>
        <w:t>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71" w:lineRule="exact"/>
        <w:rPr>
          <w:sz w:val="20"/>
          <w:szCs w:val="20"/>
          <w:color w:val="auto"/>
        </w:rPr>
      </w:pPr>
    </w:p>
    <w:p>
      <w:pPr>
        <w:ind w:left="1060" w:right="100" w:hanging="424"/>
        <w:spacing w:after="0" w:line="255"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98" w:lineRule="exact"/>
        <w:rPr>
          <w:rFonts w:ascii="Arial" w:cs="Arial" w:eastAsia="Arial" w:hAnsi="Arial"/>
          <w:sz w:val="18"/>
          <w:szCs w:val="18"/>
          <w:color w:val="auto"/>
        </w:rPr>
      </w:pPr>
    </w:p>
    <w:p>
      <w:pPr>
        <w:ind w:left="1060" w:right="40" w:hanging="424"/>
        <w:spacing w:after="0" w:line="270"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we are, or have been, at any time during the five-year period preceding such sale of other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173"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 Copies of information returns may be made available to the tax authorities of the country in which the non-U.S.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60"/>
          </w:cols>
          <w:pgMar w:left="240" w:top="459" w:right="49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Withholding and Information Reporting Requirements—FATCA</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Foreign Account Tax Compliance Act, or FATCA, generally imposes a U.S. federal withholding tax at a rate of 30% on payments of dividends on, or gross proceeds from the sale or other disposition of,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Under applicable U.S. Treasury regulations, withholding under FATCA currently applies to payments of dividends on our common stock, but will only apply to payments of gross proceeds from a sale or other disposition of our common stock made after December 31, 2018.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Cowen and Company, LLC and Wells Fargo Securities, LLC are acting as representatives, have severally agreed to purchase, and we have agreed to sell to them, severally, the number of shares indicated below:</w:t>
      </w:r>
    </w:p>
    <w:p>
      <w:pPr>
        <w:spacing w:after="0" w:line="172"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9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4220" w:type="dxa"/>
            <w:vAlign w:val="bottom"/>
          </w:tcPr>
          <w:p>
            <w:pPr>
              <w:jc w:val="center"/>
              <w:ind w:left="3468"/>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73"/>
        </w:trPr>
        <w:tc>
          <w:tcPr>
            <w:tcW w:w="3900" w:type="dxa"/>
            <w:vAlign w:val="bottom"/>
            <w:vMerge w:val="continue"/>
          </w:tcPr>
          <w:p>
            <w:pPr>
              <w:spacing w:after="0"/>
              <w:rPr>
                <w:sz w:val="15"/>
                <w:szCs w:val="15"/>
                <w:color w:val="auto"/>
              </w:rPr>
            </w:pPr>
          </w:p>
        </w:tc>
        <w:tc>
          <w:tcPr>
            <w:tcW w:w="4220" w:type="dxa"/>
            <w:vAlign w:val="bottom"/>
          </w:tcPr>
          <w:p>
            <w:pPr>
              <w:jc w:val="center"/>
              <w:ind w:left="3468"/>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-635</wp:posOffset>
            </wp:positionV>
            <wp:extent cx="5248275"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Morgan Stanley &amp; Co. LLC</w:t>
      </w:r>
    </w:p>
    <w:p>
      <w:pPr>
        <w:spacing w:after="0" w:line="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Wedbush Securities Inc.</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46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48275" cy="146050"/>
                    </a:xfrm>
                    <a:prstGeom prst="rect">
                      <a:avLst/>
                    </a:prstGeom>
                    <a:noFill/>
                  </pic:spPr>
                </pic:pic>
              </a:graphicData>
            </a:graphic>
          </wp:anchor>
        </w:drawing>
      </w:r>
    </w:p>
    <w:p>
      <w:pPr>
        <w:spacing w:after="0" w:line="218"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w:t>
      </w:r>
    </w:p>
    <w:p>
      <w:pPr>
        <w:spacing w:after="0" w:line="46" w:lineRule="exact"/>
        <w:rPr>
          <w:sz w:val="20"/>
          <w:szCs w:val="20"/>
          <w:color w:val="auto"/>
        </w:rPr>
      </w:pPr>
    </w:p>
    <w:p>
      <w:pPr>
        <w:ind w:left="200" w:right="200"/>
        <w:spacing w:after="0" w:line="323" w:lineRule="auto"/>
        <w:rPr>
          <w:sz w:val="20"/>
          <w:szCs w:val="20"/>
          <w:color w:val="auto"/>
        </w:rPr>
      </w:pPr>
      <w:r>
        <w:rPr>
          <w:rFonts w:ascii="Arial" w:cs="Arial" w:eastAsia="Arial" w:hAnsi="Arial"/>
          <w:sz w:val="16"/>
          <w:szCs w:val="16"/>
          <w:color w:val="auto"/>
        </w:rPr>
        <w:t>this prospectus and part to certain dealers at a price that represents a concession not in excess of $ per share under the public offering price. After the initial offering of the shares of common stock, the offering price and other selling terms may from time to time be varied by the representatives.</w:t>
      </w:r>
    </w:p>
    <w:p>
      <w:pPr>
        <w:spacing w:after="0" w:line="139"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up to 661,800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w:t>
      </w:r>
    </w:p>
    <w:p>
      <w:pPr>
        <w:spacing w:after="0" w:line="46" w:lineRule="exact"/>
        <w:rPr>
          <w:sz w:val="20"/>
          <w:szCs w:val="20"/>
          <w:color w:val="auto"/>
        </w:rPr>
      </w:pPr>
    </w:p>
    <w:p>
      <w:pPr>
        <w:ind w:left="200" w:right="60"/>
        <w:spacing w:after="0" w:line="261" w:lineRule="auto"/>
        <w:rPr>
          <w:sz w:val="20"/>
          <w:szCs w:val="20"/>
          <w:color w:val="auto"/>
        </w:rPr>
      </w:pPr>
      <w:r>
        <w:rPr>
          <w:rFonts w:ascii="Arial" w:cs="Arial" w:eastAsia="Arial" w:hAnsi="Arial"/>
          <w:sz w:val="18"/>
          <w:szCs w:val="18"/>
          <w:color w:val="auto"/>
        </w:rPr>
        <w:t>us. These amounts are shown assuming both no exercise and full exercise of the underwriters’ option to purchase up to an additional shares of common stock.</w:t>
      </w:r>
    </w:p>
    <w:p>
      <w:pPr>
        <w:spacing w:after="0" w:line="202"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Per</w:t>
            </w:r>
          </w:p>
        </w:tc>
        <w:tc>
          <w:tcPr>
            <w:tcW w:w="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Borders>
              <w:top w:val="single" w:sz="8" w:color="auto"/>
            </w:tcBorders>
          </w:tcPr>
          <w:p>
            <w:pPr>
              <w:ind w:left="180"/>
              <w:spacing w:after="0" w:line="119" w:lineRule="exact"/>
              <w:rPr>
                <w:sz w:val="20"/>
                <w:szCs w:val="20"/>
                <w:color w:val="auto"/>
              </w:rPr>
            </w:pPr>
            <w:r>
              <w:rPr>
                <w:rFonts w:ascii="Arial" w:cs="Arial" w:eastAsia="Arial" w:hAnsi="Arial"/>
                <w:sz w:val="13"/>
                <w:szCs w:val="13"/>
                <w:b w:val="1"/>
                <w:bCs w:val="1"/>
                <w:color w:val="auto"/>
              </w:rPr>
              <w:t>No</w:t>
            </w:r>
          </w:p>
        </w:tc>
        <w:tc>
          <w:tcPr>
            <w:tcW w:w="5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jc w:val="right"/>
              <w:ind w:right="69"/>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7"/>
              </w:rPr>
              <w:t>Share</w:t>
            </w:r>
          </w:p>
        </w:tc>
        <w:tc>
          <w:tcPr>
            <w:tcW w:w="1040" w:type="dxa"/>
            <w:vAlign w:val="bottom"/>
            <w:gridSpan w:val="2"/>
          </w:tcPr>
          <w:p>
            <w:pPr>
              <w:ind w:left="500"/>
              <w:spacing w:after="0"/>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3"/>
          </w:tcPr>
          <w:p>
            <w:pPr>
              <w:ind w:left="500"/>
              <w:spacing w:after="0"/>
              <w:rPr>
                <w:sz w:val="20"/>
                <w:szCs w:val="20"/>
                <w:color w:val="auto"/>
              </w:rPr>
            </w:pPr>
            <w:r>
              <w:rPr>
                <w:rFonts w:ascii="Arial" w:cs="Arial" w:eastAsia="Arial" w:hAnsi="Arial"/>
                <w:sz w:val="14"/>
                <w:szCs w:val="14"/>
                <w:b w:val="1"/>
                <w:bCs w:val="1"/>
                <w:color w:val="auto"/>
                <w:w w:val="97"/>
              </w:rPr>
              <w:t>Exercise</w:t>
            </w: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7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82"/>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69"/>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1200" w:type="dxa"/>
            <w:vAlign w:val="bottom"/>
            <w:gridSpan w:val="2"/>
          </w:tcPr>
          <w:p>
            <w:pPr>
              <w:jc w:val="right"/>
              <w:ind w:right="282"/>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9"/>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1200" w:type="dxa"/>
            <w:vAlign w:val="bottom"/>
            <w:gridSpan w:val="2"/>
            <w:shd w:val="clear" w:color="auto" w:fill="CCEEFF"/>
          </w:tcPr>
          <w:p>
            <w:pPr>
              <w:jc w:val="right"/>
              <w:ind w:right="28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40" w:firstLine="441"/>
        <w:spacing w:after="0" w:line="342"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$2,276,000. We have agreed to reimburse the underwriters for expenses relating to clearance of this offering with the Financial Industry Regulatory Authority up to $30,000.</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applied to list our common stock on The Nasdaq Global Market under the symbol “AVRO.”</w:t>
      </w:r>
    </w:p>
    <w:p>
      <w:pPr>
        <w:spacing w:after="0" w:line="22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and all of our directors and officers and the holders of substantially all of our outstanding stock and stock options have agreed that, without the prior written consent of Morgan Stanley &amp; Co. LLC and Cowen and Company, LLC, on behalf of the underwriters, we and they will not, during the period ending 180 days after the date of this prospectus (the “restricted period”):</w:t>
      </w:r>
    </w:p>
    <w:p>
      <w:pPr>
        <w:spacing w:after="0" w:line="87" w:lineRule="exact"/>
        <w:rPr>
          <w:sz w:val="20"/>
          <w:szCs w:val="20"/>
          <w:color w:val="auto"/>
        </w:rPr>
      </w:pPr>
    </w:p>
    <w:p>
      <w:pPr>
        <w:ind w:left="1060" w:right="40" w:hanging="424"/>
        <w:spacing w:after="0" w:line="264"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6"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Cowen and Company,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131" w:lineRule="exact"/>
        <w:rPr>
          <w:sz w:val="20"/>
          <w:szCs w:val="20"/>
          <w:color w:val="auto"/>
        </w:rPr>
      </w:pPr>
    </w:p>
    <w:p>
      <w:pPr>
        <w:ind w:left="1060" w:right="40" w:hanging="424"/>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transactions relating to shares of common stock or other securities acquired in this offering or acquired in open market transactions after this offering</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common stock as a bona fide gift;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distributions of shares of common stock or any security convertible into common stock to limited partners or stockholders of the signatory;</w:t>
      </w:r>
    </w:p>
    <w:p>
      <w:pPr>
        <w:spacing w:after="0" w:line="153" w:lineRule="exact"/>
        <w:rPr>
          <w:rFonts w:ascii="Arial" w:cs="Arial" w:eastAsia="Arial" w:hAnsi="Arial"/>
          <w:sz w:val="16"/>
          <w:szCs w:val="16"/>
          <w:color w:val="auto"/>
        </w:rPr>
      </w:pPr>
    </w:p>
    <w:p>
      <w:pPr>
        <w:ind w:left="1060" w:right="260" w:hanging="424"/>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shares of common stock during the restricted period;</w:t>
      </w:r>
    </w:p>
    <w:p>
      <w:pPr>
        <w:spacing w:after="0" w:line="75"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other securities to any member of the immediate family of the signatory or any trust for the direct or indirect benefit of the signatory or the immediate family of the signatory in a transaction not involving a disposition for value;</w:t>
      </w:r>
    </w:p>
    <w:p>
      <w:pPr>
        <w:spacing w:after="0" w:line="86"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other securities to any corporation, partnership, limited liability company or other entity controlled or managed by the signatory, in a transaction not involving a disposition for value;</w:t>
      </w:r>
    </w:p>
    <w:p>
      <w:pPr>
        <w:spacing w:after="0" w:line="75"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transfers or dispositions of shares for common stock or other securities (i) by will, other testamentary document or intestate succession to the legal representative, heir, beneficiary or a member of the immediate family of the signatory upon the death of the signatory, or (ii) by operation of law pursuant to a domestic order or negotiated divorce settlement;</w:t>
      </w:r>
    </w:p>
    <w:p>
      <w:pPr>
        <w:spacing w:after="0" w:line="86"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transfers or dispositions of common stock or any security convertible into or exercisable or exchangeable for common stock to us pursuant to any contractual arrangement in effect prior to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91" w:lineRule="auto"/>
        <w:rPr>
          <w:sz w:val="20"/>
          <w:szCs w:val="20"/>
          <w:color w:val="auto"/>
        </w:rPr>
      </w:pPr>
      <w:r>
        <w:rPr>
          <w:rFonts w:ascii="Arial" w:cs="Arial" w:eastAsia="Arial" w:hAnsi="Arial"/>
          <w:sz w:val="16"/>
          <w:szCs w:val="16"/>
          <w:color w:val="auto"/>
        </w:rPr>
        <w:t>date of this prospectus and disclosed to Morgan Stanley &amp; Co. LLC and Cowen and Company, LLC, that provides for the repurchase of common stock or other securities by us or in connection with the termination of employment with or service to us, provided that the repurchase price for any such shares of common stock or other securities shall not exceed the original purchase price (subject to appropriate adjustment in the event of any stock dividend, stock split, combination or other similar recapitalization) paid to us for such shares or securities, and, provided further that any public announcement or public filing under Section 16(a) of the Exchange Act required to be made during the restricted period in connection with such transfer or disposition shall clearly indicate in the footnotes thereto or comments section thereof that such transfer or disposition was made solely to us pursuant to the circumstances described above;</w:t>
      </w:r>
    </w:p>
    <w:p>
      <w:pPr>
        <w:spacing w:after="0" w:line="73" w:lineRule="exact"/>
        <w:rPr>
          <w:sz w:val="20"/>
          <w:szCs w:val="20"/>
          <w:color w:val="auto"/>
        </w:rPr>
      </w:pPr>
    </w:p>
    <w:p>
      <w:pPr>
        <w:ind w:left="1060" w:right="180" w:hanging="424"/>
        <w:spacing w:after="0" w:line="290" w:lineRule="auto"/>
        <w:tabs>
          <w:tab w:leader="none" w:pos="10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conversion of any convertible preferred stock described in this prospectus and outstanding as of the date of this prospectus into, or the exercise of any option or warrant described in the prospectus and outstanding as of the date hereof for, shares of common stock, provided that any such shares of common stock received by the signatory shall be subject to the terms of the lock-up agreement; provided, further, that any public filing or public announcement under Section 16(a) of the Exchange Act required during the restricted period in connection with the conversion of such preferred stock or the exercise of such stock option or warrant shall clearly indicate in the footnotes thereto or comments section thereof that the filing relates to the conversion of preferred stock or the exercise of a stock option or warrant, as the case may be, that no shares of common stock were sold by the reporting person and that the shares of common stock received upon exercise of the stock option or warrant are subject to a lock-up agreement with the underwriters of this offering;</w:t>
      </w:r>
    </w:p>
    <w:p>
      <w:pPr>
        <w:spacing w:after="0" w:line="71" w:lineRule="exact"/>
        <w:rPr>
          <w:rFonts w:ascii="Arial" w:cs="Arial" w:eastAsia="Arial" w:hAnsi="Arial"/>
          <w:sz w:val="16"/>
          <w:szCs w:val="16"/>
          <w:color w:val="auto"/>
        </w:rPr>
      </w:pPr>
    </w:p>
    <w:p>
      <w:pPr>
        <w:jc w:val="both"/>
        <w:ind w:left="1060" w:right="80" w:hanging="424"/>
        <w:spacing w:after="0" w:line="286"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transfers or dispositions of title to (but not beneficial ownership of) shares of common stock or other securities to a nominee or custodian of a person or entity to whom a disposition or transfer would be permissible under any of the foregoing clauses; provided that any such shares of common stock or other securities shall remain subject to the terms of the lock-up agreement; or</w:t>
      </w:r>
    </w:p>
    <w:p>
      <w:pPr>
        <w:spacing w:after="0" w:line="70" w:lineRule="exact"/>
        <w:rPr>
          <w:rFonts w:ascii="Arial" w:cs="Arial" w:eastAsia="Arial" w:hAnsi="Arial"/>
          <w:sz w:val="17"/>
          <w:szCs w:val="17"/>
          <w:color w:val="auto"/>
        </w:rPr>
      </w:pPr>
    </w:p>
    <w:p>
      <w:pPr>
        <w:ind w:left="1060" w:right="140" w:hanging="424"/>
        <w:spacing w:after="0" w:line="25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such other securities pursuant to a bona fide tender offer for shares of our capital stock, merger, consolidation or other similar transaction made to all holders of our securities involving a change of control of us that has been approved by our board of directors, provided that, in the event that the change of control transaction is not consummated, this clause shall not be applicable to the lock-up signatory’s shares and other securities shall remain subject to the restrictions contained in the lock-up agreement;</w:t>
      </w:r>
    </w:p>
    <w:p>
      <w:pPr>
        <w:spacing w:after="0" w:line="188"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provided that, in the case of any transfer or distribution as described in the second, third, fifth, sixth or seventh bullet point above, the transferee or distributee shall agree to be subject to the restrictions described in the immediately preceding paragraph and (ii) in the case of any transfer or distribution described in the first, second, third, fourth, fifth, sixth, seventh or tenth bullet point above, no public announcement or public filing under Section 16(a) of the Exchange Act relating to such transfer or distribution shall be required or shall be voluntarily made during the restricted period.</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the restrictions described in the paragraph above relating to us do not apply to:</w:t>
      </w:r>
    </w:p>
    <w:p>
      <w:pPr>
        <w:spacing w:after="0" w:line="131" w:lineRule="exact"/>
        <w:rPr>
          <w:sz w:val="20"/>
          <w:szCs w:val="20"/>
          <w:color w:val="auto"/>
        </w:rPr>
      </w:pPr>
    </w:p>
    <w:p>
      <w:pPr>
        <w:ind w:left="1060" w:hanging="424"/>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shares to be sold in this offering;</w:t>
      </w:r>
    </w:p>
    <w:p>
      <w:pPr>
        <w:spacing w:after="0" w:line="130"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issuance of shares of common stock upon the exercise of an option or warrant or the conversion of a security outstanding on the date of this prospectus pursuant to stock plans disclosed in this prospectus; or</w:t>
      </w:r>
    </w:p>
    <w:p>
      <w:pPr>
        <w:spacing w:after="0" w:line="75" w:lineRule="exact"/>
        <w:rPr>
          <w:rFonts w:ascii="Arial" w:cs="Arial" w:eastAsia="Arial" w:hAnsi="Arial"/>
          <w:sz w:val="18"/>
          <w:szCs w:val="18"/>
          <w:color w:val="auto"/>
        </w:rPr>
      </w:pPr>
    </w:p>
    <w:p>
      <w:pPr>
        <w:ind w:left="1060" w:right="20" w:hanging="424"/>
        <w:spacing w:after="0" w:line="25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such plan does not provide for the transfer of shares of common stock during the restricted period and to the extent a public announcement or filing under the Exchange Act is required of or voluntarily made by the Company regarding the establishment of such plan, such announcement or filing shall include a statement to the effect that no transfer of shares of common stock may be made under such plan during the restricted period;</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Morgan Stanley &amp; Co. LLC and Cowen and Company, LLC,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left="200" w:right="60" w:firstLine="441"/>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may, from time to time, perform various financial advisory and investment banking services for us, for which they will receive customary fees and expenses.</w:t>
      </w:r>
    </w:p>
    <w:p>
      <w:pPr>
        <w:spacing w:after="0" w:line="18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are our future prospects and those of our industry in general, our sales, earnings and certain other financial and operating information in recent periods, and the price-earnings</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80"/>
          </w:cols>
          <w:pgMar w:left="24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ratios, price-sales ratios, market prices of securities, and certain financial and operating information of companies engaged in activities similar to ours.</w:t>
      </w:r>
    </w:p>
    <w:p>
      <w:pPr>
        <w:spacing w:after="0" w:line="352" w:lineRule="exact"/>
        <w:rPr>
          <w:sz w:val="20"/>
          <w:szCs w:val="20"/>
          <w:color w:val="auto"/>
        </w:rPr>
      </w:pPr>
    </w:p>
    <w:p>
      <w:pPr>
        <w:jc w:val="center"/>
        <w:ind w:right="934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jc w:val="center"/>
        <w:ind w:right="936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 xml:space="preserve">Shares of our common stock may be sold only to purchasers purchasing, or deemed to be purchasing, as principal that are accredited investors, as defined in 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and are permitted clients, as defined in National Instrument 31-103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shares of our common stock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 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92" w:lineRule="exact"/>
        <w:rPr>
          <w:sz w:val="20"/>
          <w:szCs w:val="20"/>
          <w:color w:val="auto"/>
        </w:rPr>
      </w:pPr>
    </w:p>
    <w:p>
      <w:pPr>
        <w:ind w:left="1060" w:hanging="299"/>
        <w:spacing w:after="0"/>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hanging="310"/>
        <w:spacing w:after="0" w:line="264"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1060" w:right="20" w:hanging="299"/>
        <w:spacing w:after="0" w:line="342" w:lineRule="auto"/>
        <w:tabs>
          <w:tab w:leader="none" w:pos="10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60" w:hanging="299"/>
        <w:spacing w:after="0" w:line="259"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1060" w:right="80" w:hanging="310"/>
        <w:spacing w:after="0" w:line="277" w:lineRule="auto"/>
        <w:tabs>
          <w:tab w:leader="none" w:pos="10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240" w:top="460" w:right="5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The validity of the shares of common stock offered by this prospectus will be passed upon for us by Goodwin Procter LLP, Boston, Massachusetts. Certain legal matters relating to this offering will be passed upon for the underwriters by Ropes &amp; Gray LLP, Boston, Massachusetts.</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consolidated financial statements of AVROBIO, Inc. at December 31, 2016 and 2017, and for the years then ended,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39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We have filed with the SEC a registration statement on Form S-1 (File Number 333-225213) under the Securities Act with respect to the common stock we are offering by this prospectus. This prospectus does not contain all of the information included in the registration statement. For further information pertaining to us and our common stock, you should refer to the registration statement and to its exhibits. Whenever we make reference in this prospectus to any of our contracts, agreements or other documents, the references are not necessarily complete, and you should refer to the exhibits attached to the registration statement for copies of the actual contract, agreement or other document.</w:t>
      </w:r>
    </w:p>
    <w:p>
      <w:pPr>
        <w:spacing w:after="0" w:line="173"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Upon the completion of the offering, we will be subject to the informational requirements of the Exchange Act and will file annual, quarterly and current reports, proxy statements and other information with the SEC. You can read our SEC filings, including the registration statement, at the SEC’s website at www.sec.gov. You may also read and copy any document we file with the SEC at its public reference facility at 100 F Street, N.E.,</w:t>
      </w:r>
    </w:p>
    <w:p>
      <w:pPr>
        <w:ind w:left="200" w:right="20"/>
        <w:spacing w:after="0" w:line="255" w:lineRule="auto"/>
        <w:rPr>
          <w:sz w:val="20"/>
          <w:szCs w:val="20"/>
          <w:color w:val="auto"/>
        </w:rPr>
      </w:pPr>
      <w:r>
        <w:rPr>
          <w:rFonts w:ascii="Arial" w:cs="Arial" w:eastAsia="Arial" w:hAnsi="Arial"/>
          <w:sz w:val="18"/>
          <w:szCs w:val="18"/>
          <w:color w:val="auto"/>
        </w:rPr>
        <w:t>Room 1580, Washington, D.C. 20549. We also maintain a website at www.avrobio.com. Upon completion of the offering, you may access, free of charge, our annual reports on Form 10-K, quarterly reports on Form 10-Q, current reports on Form 8-K and any amendments to those reports, as soon as reasonably practicable after such material is electronically filed with, or furnished to, the SEC.</w:t>
      </w:r>
    </w:p>
    <w:p>
      <w:pPr>
        <w:spacing w:after="0" w:line="190" w:lineRule="exact"/>
        <w:rPr>
          <w:sz w:val="20"/>
          <w:szCs w:val="20"/>
          <w:color w:val="auto"/>
        </w:rPr>
      </w:pPr>
    </w:p>
    <w:p>
      <w:pPr>
        <w:ind w:left="200" w:right="440" w:firstLine="441"/>
        <w:spacing w:after="0" w:line="342" w:lineRule="auto"/>
        <w:rPr>
          <w:sz w:val="20"/>
          <w:szCs w:val="20"/>
          <w:color w:val="auto"/>
        </w:rPr>
      </w:pPr>
      <w:r>
        <w:rPr>
          <w:rFonts w:ascii="Arial" w:cs="Arial" w:eastAsia="Arial" w:hAnsi="Arial"/>
          <w:sz w:val="16"/>
          <w:szCs w:val="16"/>
          <w:color w:val="auto"/>
        </w:rPr>
        <w:t>You may also obtain copies of the documents at prescribed rates by writing to the Public Reference Section of the SEC at 100 F Street, N.E., Washington, D.C. 20549. Please call the SEC at 1-800-SEC-0330 for further information on the operation of the public reference facilities.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00"/>
          </w:cols>
          <w:pgMar w:left="240" w:top="460"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Index to Consolidated Financial Statements as of December 31, 2016 and 2017 and for the Years Ended December 31, 2016 and 2017</w:t>
      </w:r>
    </w:p>
    <w:p>
      <w:pPr>
        <w:spacing w:after="0" w:line="25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7"/>
            <w:vMerge w:val="restart"/>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Report of Independent Registered Public Accounting Firm</w:t>
              </w:r>
            </w:hyperlink>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660" w:type="dxa"/>
            <w:vAlign w:val="bottom"/>
            <w:gridSpan w:val="7"/>
            <w:vMerge w:val="continue"/>
          </w:tcPr>
          <w:p>
            <w:pPr>
              <w:spacing w:after="0"/>
              <w:rPr>
                <w:sz w:val="14"/>
                <w:szCs w:val="14"/>
                <w:color w:val="auto"/>
              </w:rPr>
            </w:pPr>
          </w:p>
        </w:tc>
        <w:tc>
          <w:tcPr>
            <w:tcW w:w="320" w:type="dxa"/>
            <w:vAlign w:val="bottom"/>
          </w:tcPr>
          <w:p>
            <w:pPr>
              <w:ind w:left="60"/>
              <w:spacing w:after="0" w:line="170"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78">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3"/>
          </w:tcPr>
          <w:p>
            <w:pPr>
              <w:spacing w:after="0"/>
              <w:rPr>
                <w:sz w:val="17"/>
                <w:szCs w:val="17"/>
                <w:color w:val="auto"/>
              </w:rPr>
            </w:pPr>
          </w:p>
        </w:tc>
        <w:tc>
          <w:tcPr>
            <w:tcW w:w="644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Consolidated Statements of Operations and Comprehensive Loss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20"/>
        </w:trPr>
        <w:tc>
          <w:tcPr>
            <w:tcW w:w="288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7"/>
          </w:tcPr>
          <w:p>
            <w:pPr>
              <w:spacing w:after="0" w:line="196" w:lineRule="exact"/>
              <w:rPr>
                <w:rFonts w:ascii="Arial" w:cs="Arial" w:eastAsia="Arial" w:hAnsi="Arial"/>
                <w:sz w:val="18"/>
                <w:szCs w:val="18"/>
                <w:color w:val="0000EE"/>
              </w:rPr>
            </w:pPr>
            <w:hyperlink w:anchor="page180">
              <w:r>
                <w:rPr>
                  <w:rFonts w:ascii="Arial" w:cs="Arial" w:eastAsia="Arial" w:hAnsi="Arial"/>
                  <w:sz w:val="18"/>
                  <w:szCs w:val="18"/>
                  <w:color w:val="0000EE"/>
                </w:rPr>
                <w:t>Consolidated Statements of Redeemable Convertible Preferred Stock and Stockholders’ Deficit</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81">
              <w:r>
                <w:rPr>
                  <w:rFonts w:ascii="Arial" w:cs="Arial" w:eastAsia="Arial" w:hAnsi="Arial"/>
                  <w:sz w:val="18"/>
                  <w:szCs w:val="18"/>
                  <w:color w:val="0000EE"/>
                  <w:w w:val="89"/>
                </w:rPr>
                <w:t>Consolidated Statements of Cash Flows</w:t>
              </w:r>
            </w:hyperlink>
          </w:p>
        </w:tc>
        <w:tc>
          <w:tcPr>
            <w:tcW w:w="3980" w:type="dxa"/>
            <w:vAlign w:val="bottom"/>
            <w:tcBorders>
              <w:top w:val="single" w:sz="8" w:color="0000EE"/>
            </w:tcBorders>
            <w:gridSpan w:val="4"/>
          </w:tcPr>
          <w:p>
            <w:pPr>
              <w:spacing w:after="0"/>
              <w:rPr>
                <w:sz w:val="17"/>
                <w:szCs w:val="17"/>
                <w:color w:val="auto"/>
              </w:rPr>
            </w:pPr>
          </w:p>
        </w:tc>
        <w:tc>
          <w:tcPr>
            <w:tcW w:w="380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182">
              <w:r>
                <w:rPr>
                  <w:rFonts w:ascii="Arial" w:cs="Arial" w:eastAsia="Arial" w:hAnsi="Arial"/>
                  <w:sz w:val="18"/>
                  <w:szCs w:val="18"/>
                  <w:color w:val="0000EE"/>
                  <w:w w:val="89"/>
                </w:rPr>
                <w:t>Notes to Consolidated Financial Statements</w:t>
              </w:r>
            </w:hyperlink>
          </w:p>
        </w:tc>
        <w:tc>
          <w:tcPr>
            <w:tcW w:w="7500" w:type="dxa"/>
            <w:vAlign w:val="bottom"/>
            <w:gridSpan w:val="4"/>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00" w:right="380"/>
        <w:spacing w:after="0" w:line="282" w:lineRule="auto"/>
        <w:rPr>
          <w:sz w:val="20"/>
          <w:szCs w:val="20"/>
          <w:color w:val="auto"/>
        </w:rPr>
      </w:pPr>
      <w:r>
        <w:rPr>
          <w:rFonts w:ascii="Arial" w:cs="Arial" w:eastAsia="Arial" w:hAnsi="Arial"/>
          <w:sz w:val="18"/>
          <w:szCs w:val="18"/>
          <w:b w:val="1"/>
          <w:bCs w:val="1"/>
          <w:color w:val="auto"/>
        </w:rPr>
        <w:t>Index to Unaudited Interim Condensed Consolidated Financial Statements as of December 31, 2017 and March 31, 2018 and for the Three Month Periods Ended March 31, 2017 and 2018</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940" w:type="dxa"/>
            <w:vAlign w:val="bottom"/>
            <w:vMerge w:val="restart"/>
          </w:tcPr>
          <w:p>
            <w:pPr>
              <w:spacing w:after="0"/>
              <w:rPr>
                <w:rFonts w:ascii="Arial" w:cs="Arial" w:eastAsia="Arial" w:hAnsi="Arial"/>
                <w:sz w:val="18"/>
                <w:szCs w:val="18"/>
                <w:color w:val="0000EE"/>
                <w:w w:val="87"/>
              </w:rPr>
            </w:pPr>
            <w:hyperlink w:anchor="page213">
              <w:r>
                <w:rPr>
                  <w:rFonts w:ascii="Arial" w:cs="Arial" w:eastAsia="Arial" w:hAnsi="Arial"/>
                  <w:sz w:val="18"/>
                  <w:szCs w:val="18"/>
                  <w:color w:val="0000EE"/>
                  <w:w w:val="87"/>
                </w:rPr>
                <w:t>Condensed Consolidated Balance Sheets</w:t>
              </w:r>
            </w:hyperlink>
          </w:p>
        </w:tc>
        <w:tc>
          <w:tcPr>
            <w:tcW w:w="7640" w:type="dxa"/>
            <w:vAlign w:val="bottom"/>
            <w:gridSpan w:val="5"/>
            <w:vMerge w:val="restart"/>
          </w:tcPr>
          <w:p>
            <w:pPr>
              <w:spacing w:after="0"/>
              <w:rPr>
                <w:sz w:val="14"/>
                <w:szCs w:val="1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940" w:type="dxa"/>
            <w:vAlign w:val="bottom"/>
            <w:tcBorders>
              <w:bottom w:val="single" w:sz="8" w:color="0000EE"/>
            </w:tcBorders>
            <w:vMerge w:val="continue"/>
          </w:tcPr>
          <w:p>
            <w:pPr>
              <w:spacing w:after="0"/>
              <w:rPr>
                <w:sz w:val="14"/>
                <w:szCs w:val="14"/>
                <w:color w:val="auto"/>
              </w:rPr>
            </w:pPr>
          </w:p>
        </w:tc>
        <w:tc>
          <w:tcPr>
            <w:tcW w:w="7640" w:type="dxa"/>
            <w:vAlign w:val="bottom"/>
            <w:gridSpan w:val="5"/>
            <w:vMerge w:val="continue"/>
          </w:tcPr>
          <w:p>
            <w:pPr>
              <w:spacing w:after="0"/>
              <w:rPr>
                <w:sz w:val="14"/>
                <w:szCs w:val="14"/>
                <w:color w:val="auto"/>
              </w:rPr>
            </w:pPr>
          </w:p>
        </w:tc>
        <w:tc>
          <w:tcPr>
            <w:tcW w:w="400" w:type="dxa"/>
            <w:vAlign w:val="bottom"/>
          </w:tcPr>
          <w:p>
            <w:pPr>
              <w:ind w:left="60"/>
              <w:spacing w:after="0" w:line="170" w:lineRule="exact"/>
              <w:rPr>
                <w:sz w:val="20"/>
                <w:szCs w:val="20"/>
                <w:color w:val="auto"/>
              </w:rPr>
            </w:pPr>
            <w:r>
              <w:rPr>
                <w:rFonts w:ascii="Arial" w:cs="Arial" w:eastAsia="Arial" w:hAnsi="Arial"/>
                <w:sz w:val="18"/>
                <w:szCs w:val="18"/>
                <w:color w:val="auto"/>
                <w:w w:val="86"/>
              </w:rPr>
              <w:t>F-38</w:t>
            </w:r>
          </w:p>
        </w:tc>
        <w:tc>
          <w:tcPr>
            <w:tcW w:w="0" w:type="dxa"/>
            <w:vAlign w:val="bottom"/>
          </w:tcPr>
          <w:p>
            <w:pPr>
              <w:spacing w:after="0"/>
              <w:rPr>
                <w:sz w:val="1"/>
                <w:szCs w:val="1"/>
                <w:color w:val="auto"/>
              </w:rPr>
            </w:pPr>
          </w:p>
        </w:tc>
      </w:tr>
      <w:tr>
        <w:trPr>
          <w:trHeight w:val="196"/>
        </w:trPr>
        <w:tc>
          <w:tcPr>
            <w:tcW w:w="10580" w:type="dxa"/>
            <w:vAlign w:val="bottom"/>
            <w:gridSpan w:val="6"/>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Condensed Consolidated Statements of Operations and Comprehensive Loss</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F-39</w:t>
            </w:r>
          </w:p>
        </w:tc>
        <w:tc>
          <w:tcPr>
            <w:tcW w:w="0" w:type="dxa"/>
            <w:vAlign w:val="bottom"/>
          </w:tcPr>
          <w:p>
            <w:pPr>
              <w:spacing w:after="0"/>
              <w:rPr>
                <w:sz w:val="1"/>
                <w:szCs w:val="1"/>
                <w:color w:val="auto"/>
              </w:rPr>
            </w:pPr>
          </w:p>
        </w:tc>
      </w:tr>
      <w:tr>
        <w:trPr>
          <w:trHeight w:val="20"/>
        </w:trPr>
        <w:tc>
          <w:tcPr>
            <w:tcW w:w="37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80" w:type="dxa"/>
            <w:vAlign w:val="bottom"/>
            <w:gridSpan w:val="6"/>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Condensed Consolidated Statements of Redeemable Convertible Preferred Stock and Stockholders’ (Deficit) Equity</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F-40</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216">
              <w:r>
                <w:rPr>
                  <w:rFonts w:ascii="Arial" w:cs="Arial" w:eastAsia="Arial" w:hAnsi="Arial"/>
                  <w:sz w:val="18"/>
                  <w:szCs w:val="18"/>
                  <w:color w:val="0000EE"/>
                  <w:w w:val="88"/>
                </w:rPr>
                <w:t>Condensed Consolidated Statements of Cash Flows</w:t>
              </w:r>
            </w:hyperlink>
          </w:p>
        </w:tc>
        <w:tc>
          <w:tcPr>
            <w:tcW w:w="4640" w:type="dxa"/>
            <w:vAlign w:val="bottom"/>
            <w:tcBorders>
              <w:top w:val="single" w:sz="8" w:color="0000EE"/>
            </w:tcBorders>
            <w:gridSpan w:val="3"/>
          </w:tcPr>
          <w:p>
            <w:pPr>
              <w:spacing w:after="0"/>
              <w:rPr>
                <w:sz w:val="17"/>
                <w:szCs w:val="17"/>
                <w:color w:val="auto"/>
              </w:rPr>
            </w:pPr>
          </w:p>
        </w:tc>
        <w:tc>
          <w:tcPr>
            <w:tcW w:w="2220" w:type="dxa"/>
            <w:vAlign w:val="bottom"/>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F-41</w:t>
            </w:r>
          </w:p>
        </w:tc>
        <w:tc>
          <w:tcPr>
            <w:tcW w:w="0" w:type="dxa"/>
            <w:vAlign w:val="bottom"/>
          </w:tcPr>
          <w:p>
            <w:pPr>
              <w:spacing w:after="0"/>
              <w:rPr>
                <w:sz w:val="1"/>
                <w:szCs w:val="1"/>
                <w:color w:val="auto"/>
              </w:rPr>
            </w:pPr>
          </w:p>
        </w:tc>
      </w:tr>
      <w:tr>
        <w:trPr>
          <w:trHeight w:val="196"/>
        </w:trPr>
        <w:tc>
          <w:tcPr>
            <w:tcW w:w="10580" w:type="dxa"/>
            <w:vAlign w:val="bottom"/>
            <w:gridSpan w:val="6"/>
          </w:tcPr>
          <w:p>
            <w:pPr>
              <w:spacing w:after="0" w:line="196" w:lineRule="exact"/>
              <w:rPr>
                <w:rFonts w:ascii="Arial" w:cs="Arial" w:eastAsia="Arial" w:hAnsi="Arial"/>
                <w:sz w:val="18"/>
                <w:szCs w:val="18"/>
                <w:color w:val="0000EE"/>
              </w:rPr>
            </w:pPr>
            <w:hyperlink w:anchor="page217">
              <w:r>
                <w:rPr>
                  <w:rFonts w:ascii="Arial" w:cs="Arial" w:eastAsia="Arial" w:hAnsi="Arial"/>
                  <w:sz w:val="18"/>
                  <w:szCs w:val="18"/>
                  <w:color w:val="0000EE"/>
                </w:rPr>
                <w:t>Notes to Condensed Consolidated Financial Statements</w:t>
              </w:r>
            </w:hyperlink>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F-42</w:t>
            </w:r>
          </w:p>
        </w:tc>
        <w:tc>
          <w:tcPr>
            <w:tcW w:w="0" w:type="dxa"/>
            <w:vAlign w:val="bottom"/>
          </w:tcPr>
          <w:p>
            <w:pPr>
              <w:spacing w:after="0"/>
              <w:rPr>
                <w:sz w:val="1"/>
                <w:szCs w:val="1"/>
                <w:color w:val="auto"/>
              </w:rPr>
            </w:pPr>
          </w:p>
        </w:tc>
      </w:tr>
      <w:tr>
        <w:trPr>
          <w:trHeight w:val="385"/>
        </w:trPr>
        <w:tc>
          <w:tcPr>
            <w:tcW w:w="294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580" w:type="dxa"/>
            <w:vAlign w:val="bottom"/>
            <w:gridSpan w:val="3"/>
          </w:tcPr>
          <w:p>
            <w:pPr>
              <w:ind w:left="138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Board of Directors of AVROBIO,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40"/>
        <w:spacing w:after="0" w:line="276" w:lineRule="auto"/>
        <w:rPr>
          <w:sz w:val="20"/>
          <w:szCs w:val="20"/>
          <w:color w:val="auto"/>
        </w:rPr>
      </w:pPr>
      <w:r>
        <w:rPr>
          <w:rFonts w:ascii="Arial" w:cs="Arial" w:eastAsia="Arial" w:hAnsi="Arial"/>
          <w:sz w:val="17"/>
          <w:szCs w:val="17"/>
          <w:color w:val="auto"/>
        </w:rPr>
        <w:t>We have audited the accompanying consolidated balance sheets of AVROBIO, Inc. (the Company) as of December 31, 2016 and 2017,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2016 and 2017, and the results of its operations and its cash flows for the years then ended, in conformity with U.S. generally accepted accounting principles.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8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2018.</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6, 2018, except for Note 17(b),</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to which the date is June 11, 2018</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9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5,357</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5,376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5,400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Deferred rent, net of 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Redeemable convertible preferred stock (Note 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9,000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26,500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140" w:type="dxa"/>
            <w:vAlign w:val="bottom"/>
          </w:tcPr>
          <w:p>
            <w:pPr>
              <w:ind w:left="340"/>
              <w:spacing w:after="0" w:line="201" w:lineRule="exact"/>
              <w:rPr>
                <w:sz w:val="20"/>
                <w:szCs w:val="20"/>
                <w:color w:val="auto"/>
              </w:rPr>
            </w:pPr>
            <w:r>
              <w:rPr>
                <w:rFonts w:ascii="Arial" w:cs="Arial" w:eastAsia="Arial" w:hAnsi="Arial"/>
                <w:sz w:val="18"/>
                <w:szCs w:val="18"/>
                <w:color w:val="auto"/>
                <w:w w:val="98"/>
              </w:rPr>
              <w:t>Common stock, $0.0001 par value; 40,000,000 and 51,000,000 shares authorized as of December 31, 2016 and</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520"/>
              <w:spacing w:after="0"/>
              <w:rPr>
                <w:sz w:val="20"/>
                <w:szCs w:val="20"/>
                <w:color w:val="auto"/>
              </w:rPr>
            </w:pPr>
            <w:r>
              <w:rPr>
                <w:rFonts w:ascii="Arial" w:cs="Arial" w:eastAsia="Arial" w:hAnsi="Arial"/>
                <w:sz w:val="18"/>
                <w:szCs w:val="18"/>
                <w:color w:val="auto"/>
                <w:w w:val="94"/>
              </w:rPr>
              <w:t>2017, respectively; 2,581,474 shares issued as of December 31, 2016 and 2017; 2,172,068 and 2,305,173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520"/>
              <w:spacing w:after="0"/>
              <w:rPr>
                <w:sz w:val="20"/>
                <w:szCs w:val="20"/>
                <w:color w:val="auto"/>
              </w:rPr>
            </w:pPr>
            <w:r>
              <w:rPr>
                <w:rFonts w:ascii="Arial" w:cs="Arial" w:eastAsia="Arial" w:hAnsi="Arial"/>
                <w:sz w:val="18"/>
                <w:szCs w:val="18"/>
                <w:color w:val="auto"/>
              </w:rPr>
              <w:t>outstanding as of December 31, 2016 and 2017, 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(4,826)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(23,474)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(4,579)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(23,135)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ind w:left="70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5,400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60" w:right="41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2,663</w:t>
            </w: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15,191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18,386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(4,625)</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(18,386)</w:t>
            </w:r>
          </w:p>
        </w:tc>
        <w:tc>
          <w:tcPr>
            <w:tcW w:w="0" w:type="dxa"/>
            <w:vAlign w:val="bottom"/>
          </w:tcPr>
          <w:p>
            <w:pPr>
              <w:spacing w:after="0"/>
              <w:rPr>
                <w:sz w:val="1"/>
                <w:szCs w:val="1"/>
                <w:color w:val="auto"/>
              </w:rPr>
            </w:pP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net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23"/>
        </w:trPr>
        <w:tc>
          <w:tcPr>
            <w:tcW w:w="81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(18,648</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(4,664)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ind w:left="340"/>
              <w:spacing w:after="0"/>
              <w:rPr>
                <w:sz w:val="20"/>
                <w:szCs w:val="20"/>
                <w:color w:val="auto"/>
              </w:rPr>
            </w:pPr>
            <w:r>
              <w:rPr>
                <w:rFonts w:ascii="Arial" w:cs="Arial" w:eastAsia="Arial" w:hAnsi="Arial"/>
                <w:sz w:val="18"/>
                <w:szCs w:val="18"/>
                <w:color w:val="auto"/>
              </w:rPr>
              <w:t>Accretion of issuance costs on redeemable convertible preferred stock</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(305)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(4,969)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(18,733)</w:t>
            </w:r>
          </w:p>
        </w:tc>
        <w:tc>
          <w:tcPr>
            <w:tcW w:w="0" w:type="dxa"/>
            <w:vAlign w:val="bottom"/>
          </w:tcPr>
          <w:p>
            <w:pPr>
              <w:spacing w:after="0"/>
              <w:rPr>
                <w:sz w:val="1"/>
                <w:szCs w:val="1"/>
                <w:color w:val="auto"/>
              </w:rPr>
            </w:pPr>
          </w:p>
        </w:tc>
      </w:tr>
      <w:tr>
        <w:trPr>
          <w:trHeight w:val="20"/>
        </w:trPr>
        <w:tc>
          <w:tcPr>
            <w:tcW w:w="810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 (Note 13)</w:t>
            </w: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10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Weighted-average number of common shares used in computing net loss per share attributable to common</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2,038,025</w:t>
            </w: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2,235,865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20"/>
                <w:szCs w:val="20"/>
                <w:color w:val="auto"/>
              </w:rPr>
            </w:pPr>
            <w:r>
              <w:rPr>
                <w:rFonts w:ascii="Arial" w:cs="Arial" w:eastAsia="Arial" w:hAnsi="Arial"/>
                <w:sz w:val="18"/>
                <w:szCs w:val="18"/>
                <w:color w:val="auto"/>
                <w:w w:val="95"/>
              </w:rPr>
              <w:t>Pro forma net loss per share attributable to common stockholders—basic and diluted (unaudited) (Note 2)</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Pro forma weighted-average number of common shares used in computing pro forma net loss per share</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common stockholders—basic and diluted (unaudited)</w:t>
            </w:r>
          </w:p>
        </w:tc>
        <w:tc>
          <w:tcPr>
            <w:tcW w:w="4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6,922,173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960" w:type="dxa"/>
            <w:vAlign w:val="bottom"/>
            <w:gridSpan w:val="3"/>
          </w:tcPr>
          <w:p>
            <w:pPr>
              <w:jc w:val="center"/>
              <w:ind w:left="250"/>
              <w:spacing w:after="0"/>
              <w:rPr>
                <w:sz w:val="20"/>
                <w:szCs w:val="20"/>
                <w:color w:val="auto"/>
              </w:rPr>
            </w:pPr>
            <w:r>
              <w:rPr>
                <w:rFonts w:ascii="Arial" w:cs="Arial" w:eastAsia="Arial" w:hAnsi="Arial"/>
                <w:sz w:val="13"/>
                <w:szCs w:val="13"/>
                <w:b w:val="1"/>
                <w:bCs w:val="1"/>
                <w:color w:val="auto"/>
                <w:w w:val="81"/>
              </w:rPr>
              <w:t>Series Seed</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jc w:val="center"/>
              <w:ind w:left="331"/>
              <w:spacing w:after="0"/>
              <w:rPr>
                <w:sz w:val="20"/>
                <w:szCs w:val="20"/>
                <w:color w:val="auto"/>
              </w:rPr>
            </w:pPr>
            <w:r>
              <w:rPr>
                <w:rFonts w:ascii="Arial" w:cs="Arial" w:eastAsia="Arial" w:hAnsi="Arial"/>
                <w:sz w:val="13"/>
                <w:szCs w:val="13"/>
                <w:b w:val="1"/>
                <w:bCs w:val="1"/>
                <w:color w:val="auto"/>
                <w:w w:val="84"/>
              </w:rPr>
              <w:t>Series A</w:t>
            </w:r>
          </w:p>
        </w:tc>
        <w:tc>
          <w:tcPr>
            <w:tcW w:w="420" w:type="dxa"/>
            <w:vAlign w:val="bottom"/>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128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3"/>
              </w:rPr>
              <w:t>Redeemable</w:t>
            </w:r>
          </w:p>
        </w:tc>
        <w:tc>
          <w:tcPr>
            <w:tcW w:w="220" w:type="dxa"/>
            <w:vAlign w:val="bottom"/>
          </w:tcPr>
          <w:p>
            <w:pPr>
              <w:spacing w:after="0"/>
              <w:rPr>
                <w:sz w:val="11"/>
                <w:szCs w:val="11"/>
                <w:color w:val="auto"/>
              </w:rPr>
            </w:pPr>
          </w:p>
        </w:tc>
        <w:tc>
          <w:tcPr>
            <w:tcW w:w="126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86"/>
              </w:rPr>
              <w:t>Redeemable</w:t>
            </w: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960" w:type="dxa"/>
            <w:vAlign w:val="bottom"/>
            <w:gridSpan w:val="3"/>
          </w:tcPr>
          <w:p>
            <w:pPr>
              <w:jc w:val="center"/>
              <w:ind w:left="250"/>
              <w:spacing w:after="0" w:line="140" w:lineRule="exact"/>
              <w:rPr>
                <w:sz w:val="20"/>
                <w:szCs w:val="20"/>
                <w:color w:val="auto"/>
              </w:rPr>
            </w:pPr>
            <w:r>
              <w:rPr>
                <w:rFonts w:ascii="Arial" w:cs="Arial" w:eastAsia="Arial" w:hAnsi="Arial"/>
                <w:sz w:val="13"/>
                <w:szCs w:val="13"/>
                <w:b w:val="1"/>
                <w:bCs w:val="1"/>
                <w:color w:val="auto"/>
                <w:w w:val="89"/>
              </w:rPr>
              <w:t>Convertible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4"/>
          </w:tcPr>
          <w:p>
            <w:pPr>
              <w:jc w:val="center"/>
              <w:spacing w:after="0" w:line="140" w:lineRule="exact"/>
              <w:rPr>
                <w:sz w:val="20"/>
                <w:szCs w:val="20"/>
                <w:color w:val="auto"/>
              </w:rPr>
            </w:pPr>
            <w:r>
              <w:rPr>
                <w:rFonts w:ascii="Arial" w:cs="Arial" w:eastAsia="Arial" w:hAnsi="Arial"/>
                <w:sz w:val="13"/>
                <w:szCs w:val="13"/>
                <w:b w:val="1"/>
                <w:bCs w:val="1"/>
                <w:color w:val="auto"/>
                <w:w w:val="89"/>
              </w:rPr>
              <w:t>Convertible</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4"/>
          </w:tcPr>
          <w:p>
            <w:pPr>
              <w:jc w:val="right"/>
              <w:ind w:right="160"/>
              <w:spacing w:after="0" w:line="140" w:lineRule="exact"/>
              <w:rPr>
                <w:sz w:val="20"/>
                <w:szCs w:val="20"/>
                <w:color w:val="auto"/>
              </w:rPr>
            </w:pPr>
            <w:r>
              <w:rPr>
                <w:rFonts w:ascii="Arial" w:cs="Arial" w:eastAsia="Arial" w:hAnsi="Arial"/>
                <w:sz w:val="13"/>
                <w:szCs w:val="13"/>
                <w:b w:val="1"/>
                <w:bCs w:val="1"/>
                <w:color w:val="auto"/>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220" w:type="dxa"/>
            <w:vAlign w:val="bottom"/>
          </w:tcPr>
          <w:p>
            <w:pPr>
              <w:spacing w:after="0"/>
              <w:rPr>
                <w:sz w:val="12"/>
                <w:szCs w:val="12"/>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Borders>
              <w:bottom w:val="single" w:sz="8" w:color="auto"/>
            </w:tcBorders>
            <w:gridSpan w:val="4"/>
          </w:tcPr>
          <w:p>
            <w:pPr>
              <w:jc w:val="right"/>
              <w:ind w:right="9"/>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7"/>
              </w:rPr>
              <w:t>Paid-in</w:t>
            </w:r>
          </w:p>
        </w:tc>
        <w:tc>
          <w:tcPr>
            <w:tcW w:w="1000" w:type="dxa"/>
            <w:vAlign w:val="bottom"/>
            <w:gridSpan w:val="4"/>
          </w:tcPr>
          <w:p>
            <w:pPr>
              <w:ind w:left="120"/>
              <w:spacing w:after="0"/>
              <w:rPr>
                <w:sz w:val="20"/>
                <w:szCs w:val="20"/>
                <w:color w:val="auto"/>
              </w:rPr>
            </w:pPr>
            <w:r>
              <w:rPr>
                <w:rFonts w:ascii="Arial" w:cs="Arial" w:eastAsia="Arial" w:hAnsi="Arial"/>
                <w:sz w:val="13"/>
                <w:szCs w:val="13"/>
                <w:b w:val="1"/>
                <w:bCs w:val="1"/>
                <w:color w:val="auto"/>
              </w:rPr>
              <w:t>Accumulated</w:t>
            </w:r>
          </w:p>
        </w:tc>
        <w:tc>
          <w:tcPr>
            <w:tcW w:w="96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620" w:type="dxa"/>
            <w:vAlign w:val="bottom"/>
          </w:tcPr>
          <w:p>
            <w:pPr>
              <w:jc w:val="right"/>
              <w:ind w:right="70"/>
              <w:spacing w:after="0" w:line="129" w:lineRule="exact"/>
              <w:rPr>
                <w:sz w:val="20"/>
                <w:szCs w:val="20"/>
                <w:color w:val="auto"/>
              </w:rPr>
            </w:pPr>
            <w:r>
              <w:rPr>
                <w:rFonts w:ascii="Arial" w:cs="Arial" w:eastAsia="Arial" w:hAnsi="Arial"/>
                <w:sz w:val="13"/>
                <w:szCs w:val="13"/>
                <w:b w:val="1"/>
                <w:bCs w:val="1"/>
                <w:color w:val="auto"/>
              </w:rPr>
              <w:t>Shares</w:t>
            </w:r>
          </w:p>
        </w:tc>
        <w:tc>
          <w:tcPr>
            <w:tcW w:w="660" w:type="dxa"/>
            <w:vAlign w:val="bottom"/>
            <w:gridSpan w:val="3"/>
          </w:tcPr>
          <w:p>
            <w:pPr>
              <w:ind w:left="220"/>
              <w:spacing w:after="0" w:line="129" w:lineRule="exact"/>
              <w:rPr>
                <w:sz w:val="20"/>
                <w:szCs w:val="20"/>
                <w:color w:val="auto"/>
              </w:rPr>
            </w:pPr>
            <w:r>
              <w:rPr>
                <w:rFonts w:ascii="Arial" w:cs="Arial" w:eastAsia="Arial" w:hAnsi="Arial"/>
                <w:sz w:val="13"/>
                <w:szCs w:val="13"/>
                <w:b w:val="1"/>
                <w:bCs w:val="1"/>
                <w:color w:val="auto"/>
                <w:w w:val="85"/>
              </w:rPr>
              <w:t>Amount</w:t>
            </w:r>
          </w:p>
        </w:tc>
        <w:tc>
          <w:tcPr>
            <w:tcW w:w="220" w:type="dxa"/>
            <w:vAlign w:val="bottom"/>
          </w:tcPr>
          <w:p>
            <w:pPr>
              <w:spacing w:after="0"/>
              <w:rPr>
                <w:sz w:val="11"/>
                <w:szCs w:val="11"/>
                <w:color w:val="auto"/>
              </w:rPr>
            </w:pPr>
          </w:p>
        </w:tc>
        <w:tc>
          <w:tcPr>
            <w:tcW w:w="700" w:type="dxa"/>
            <w:vAlign w:val="bottom"/>
          </w:tcPr>
          <w:p>
            <w:pPr>
              <w:jc w:val="right"/>
              <w:ind w:right="111"/>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1"/>
                <w:szCs w:val="11"/>
                <w:color w:val="auto"/>
              </w:rPr>
            </w:pPr>
          </w:p>
        </w:tc>
        <w:tc>
          <w:tcPr>
            <w:tcW w:w="480" w:type="dxa"/>
            <w:vAlign w:val="bottom"/>
            <w:gridSpan w:val="2"/>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jc w:val="right"/>
              <w:spacing w:after="0" w:line="129" w:lineRule="exact"/>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right"/>
              <w:ind w:right="240"/>
              <w:spacing w:after="0" w:line="129" w:lineRule="exact"/>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340"/>
              <w:spacing w:after="0" w:line="129"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tcBorders>
              <w:top w:val="single" w:sz="8" w:color="CCEEFF"/>
            </w:tcBorders>
            <w:shd w:val="clear" w:color="auto" w:fill="CCEEFF"/>
          </w:tcPr>
          <w:p>
            <w:pPr>
              <w:jc w:val="right"/>
              <w:ind w:right="1668"/>
              <w:spacing w:after="0" w:line="142" w:lineRule="exact"/>
              <w:rPr>
                <w:sz w:val="20"/>
                <w:szCs w:val="20"/>
                <w:color w:val="auto"/>
              </w:rPr>
            </w:pPr>
            <w:r>
              <w:rPr>
                <w:rFonts w:ascii="Arial" w:cs="Arial" w:eastAsia="Arial" w:hAnsi="Arial"/>
                <w:sz w:val="14"/>
                <w:szCs w:val="14"/>
                <w:color w:val="auto"/>
                <w:w w:val="89"/>
              </w:rPr>
              <w:t>Balance as of December 31, 2015</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right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1,258,467</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(162)</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tcPr>
          <w:p>
            <w:pPr>
              <w:ind w:left="120"/>
              <w:spacing w:after="0" w:line="130" w:lineRule="exact"/>
              <w:rPr>
                <w:sz w:val="20"/>
                <w:szCs w:val="20"/>
                <w:color w:val="auto"/>
              </w:rPr>
            </w:pPr>
            <w:r>
              <w:rPr>
                <w:rFonts w:ascii="Arial" w:cs="Arial" w:eastAsia="Arial" w:hAnsi="Arial"/>
                <w:sz w:val="14"/>
                <w:szCs w:val="14"/>
                <w:color w:val="auto"/>
                <w:w w:val="97"/>
              </w:rPr>
              <w:t>Issuance of series Seed redeemable convertible preferred</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Pr>
          <w:p>
            <w:pPr>
              <w:ind w:left="280"/>
              <w:spacing w:after="0"/>
              <w:rPr>
                <w:sz w:val="20"/>
                <w:szCs w:val="20"/>
                <w:color w:val="auto"/>
              </w:rPr>
            </w:pPr>
            <w:r>
              <w:rPr>
                <w:rFonts w:ascii="Arial" w:cs="Arial" w:eastAsia="Arial" w:hAnsi="Arial"/>
                <w:sz w:val="14"/>
                <w:szCs w:val="14"/>
                <w:color w:val="auto"/>
              </w:rPr>
              <w:t>stock, net of issuance costs of $102</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3,333,333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w w:val="85"/>
              </w:rPr>
              <w:t>1,398</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common stock</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1,161,665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tcPr>
          <w:p>
            <w:pPr>
              <w:ind w:left="120"/>
              <w:spacing w:after="0" w:line="130" w:lineRule="exact"/>
              <w:rPr>
                <w:sz w:val="20"/>
                <w:szCs w:val="20"/>
                <w:color w:val="auto"/>
              </w:rPr>
            </w:pPr>
            <w:r>
              <w:rPr>
                <w:rFonts w:ascii="Arial" w:cs="Arial" w:eastAsia="Arial" w:hAnsi="Arial"/>
                <w:sz w:val="14"/>
                <w:szCs w:val="14"/>
                <w:color w:val="auto"/>
              </w:rPr>
              <w:t>Modification of founders common stock to include</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Pr>
          <w:p>
            <w:pPr>
              <w:ind w:left="280"/>
              <w:spacing w:after="0"/>
              <w:rPr>
                <w:sz w:val="20"/>
                <w:szCs w:val="20"/>
                <w:color w:val="auto"/>
              </w:rPr>
            </w:pPr>
            <w:r>
              <w:rPr>
                <w:rFonts w:ascii="Arial" w:cs="Arial" w:eastAsia="Arial" w:hAnsi="Arial"/>
                <w:sz w:val="14"/>
                <w:szCs w:val="14"/>
                <w:color w:val="auto"/>
              </w:rPr>
              <w:t>certain time-based vesting restricitions</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4"/>
                <w:szCs w:val="1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4"/>
                <w:szCs w:val="14"/>
                <w:color w:val="auto"/>
              </w:rPr>
              <w:t>(330,750)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Vesting of restricted stock awards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82,686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tcPr>
          <w:p>
            <w:pPr>
              <w:ind w:left="120"/>
              <w:spacing w:after="0" w:line="130" w:lineRule="exact"/>
              <w:rPr>
                <w:sz w:val="20"/>
                <w:szCs w:val="20"/>
                <w:color w:val="auto"/>
              </w:rPr>
            </w:pPr>
            <w:r>
              <w:rPr>
                <w:rFonts w:ascii="Arial" w:cs="Arial" w:eastAsia="Arial" w:hAnsi="Arial"/>
                <w:sz w:val="14"/>
                <w:szCs w:val="14"/>
                <w:color w:val="auto"/>
              </w:rPr>
              <w:t>Issuance of series A redeemable convertible preferred</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Pr>
          <w:p>
            <w:pPr>
              <w:ind w:left="280"/>
              <w:spacing w:after="0"/>
              <w:rPr>
                <w:sz w:val="20"/>
                <w:szCs w:val="20"/>
                <w:color w:val="auto"/>
              </w:rPr>
            </w:pPr>
            <w:r>
              <w:rPr>
                <w:rFonts w:ascii="Arial" w:cs="Arial" w:eastAsia="Arial" w:hAnsi="Arial"/>
                <w:sz w:val="14"/>
                <w:szCs w:val="14"/>
                <w:color w:val="auto"/>
              </w:rPr>
              <w:t>stock, net of issuance costs of $203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5,714,286</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7,297</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 expense</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tcPr>
          <w:p>
            <w:pPr>
              <w:ind w:left="120"/>
              <w:spacing w:after="0" w:line="130" w:lineRule="exact"/>
              <w:rPr>
                <w:sz w:val="20"/>
                <w:szCs w:val="20"/>
                <w:color w:val="auto"/>
              </w:rPr>
            </w:pPr>
            <w:r>
              <w:rPr>
                <w:rFonts w:ascii="Arial" w:cs="Arial" w:eastAsia="Arial" w:hAnsi="Arial"/>
                <w:sz w:val="14"/>
                <w:szCs w:val="14"/>
                <w:color w:val="auto"/>
              </w:rPr>
              <w:t>Accretion of issuance costs related to redeemable</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Pr>
          <w:p>
            <w:pPr>
              <w:ind w:left="280"/>
              <w:spacing w:after="0"/>
              <w:rPr>
                <w:sz w:val="20"/>
                <w:szCs w:val="20"/>
                <w:color w:val="auto"/>
              </w:rPr>
            </w:pPr>
            <w:r>
              <w:rPr>
                <w:rFonts w:ascii="Arial" w:cs="Arial" w:eastAsia="Arial" w:hAnsi="Arial"/>
                <w:sz w:val="14"/>
                <w:szCs w:val="14"/>
                <w:color w:val="auto"/>
              </w:rPr>
              <w:t>convertible preferred stock</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102</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203</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(4,664)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(4,664)</w:t>
            </w:r>
          </w:p>
        </w:tc>
        <w:tc>
          <w:tcPr>
            <w:tcW w:w="0" w:type="dxa"/>
            <w:vAlign w:val="bottom"/>
          </w:tcPr>
          <w:p>
            <w:pPr>
              <w:spacing w:after="0"/>
              <w:rPr>
                <w:sz w:val="1"/>
                <w:szCs w:val="1"/>
                <w:color w:val="auto"/>
              </w:rPr>
            </w:pPr>
          </w:p>
        </w:tc>
      </w:tr>
      <w:tr>
        <w:trPr>
          <w:trHeight w:val="156"/>
        </w:trPr>
        <w:tc>
          <w:tcPr>
            <w:tcW w:w="3680" w:type="dxa"/>
            <w:vAlign w:val="bottom"/>
            <w:gridSpan w:val="2"/>
          </w:tcPr>
          <w:p>
            <w:pPr>
              <w:jc w:val="right"/>
              <w:ind w:right="1668"/>
              <w:spacing w:after="0" w:line="155" w:lineRule="exact"/>
              <w:rPr>
                <w:sz w:val="20"/>
                <w:szCs w:val="20"/>
                <w:color w:val="auto"/>
              </w:rPr>
            </w:pPr>
            <w:r>
              <w:rPr>
                <w:rFonts w:ascii="Arial" w:cs="Arial" w:eastAsia="Arial" w:hAnsi="Arial"/>
                <w:sz w:val="14"/>
                <w:szCs w:val="14"/>
                <w:color w:val="auto"/>
                <w:w w:val="90"/>
              </w:rPr>
              <w:t>Balance as of December 31, 2016</w:t>
            </w: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3,333,333</w:t>
            </w:r>
          </w:p>
        </w:tc>
        <w:tc>
          <w:tcPr>
            <w:tcW w:w="2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1,500</w:t>
            </w:r>
          </w:p>
        </w:tc>
        <w:tc>
          <w:tcPr>
            <w:tcW w:w="22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5,714,286</w:t>
            </w: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7,500</w:t>
            </w:r>
          </w:p>
        </w:tc>
        <w:tc>
          <w:tcPr>
            <w:tcW w:w="20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2,172,068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(4,826)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(4,579)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Issuance of series A redeemable convertible preferred</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 dividend</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3,720,864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tcPr>
          <w:p>
            <w:pPr>
              <w:ind w:left="120"/>
              <w:spacing w:after="0" w:line="130" w:lineRule="exact"/>
              <w:rPr>
                <w:sz w:val="20"/>
                <w:szCs w:val="20"/>
                <w:color w:val="auto"/>
              </w:rPr>
            </w:pPr>
            <w:r>
              <w:rPr>
                <w:rFonts w:ascii="Arial" w:cs="Arial" w:eastAsia="Arial" w:hAnsi="Arial"/>
                <w:sz w:val="14"/>
                <w:szCs w:val="14"/>
                <w:color w:val="auto"/>
              </w:rPr>
              <w:t>Issuance of series A redeemable convertible preferred</w:t>
            </w: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tcPr>
          <w:p>
            <w:pPr>
              <w:ind w:left="280"/>
              <w:spacing w:after="0"/>
              <w:rPr>
                <w:sz w:val="20"/>
                <w:szCs w:val="20"/>
                <w:color w:val="auto"/>
              </w:rPr>
            </w:pPr>
            <w:r>
              <w:rPr>
                <w:rFonts w:ascii="Arial" w:cs="Arial" w:eastAsia="Arial" w:hAnsi="Arial"/>
                <w:sz w:val="14"/>
                <w:szCs w:val="14"/>
                <w:color w:val="auto"/>
              </w:rPr>
              <w:t>stock, net of issuance costs of $85</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22,015,349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93"/>
              </w:rPr>
              <w:t>17,415</w:t>
            </w:r>
          </w:p>
        </w:tc>
        <w:tc>
          <w:tcPr>
            <w:tcW w:w="20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Vesting of restricted stock awards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133,105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 expense</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Accretion of issuance costs related to redeemable</w:t>
            </w: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convertible preferred stock</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0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(18,648)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60" w:type="dxa"/>
            <w:vAlign w:val="bottom"/>
            <w:shd w:val="clear" w:color="auto" w:fill="CCEEFF"/>
          </w:tcPr>
          <w:p>
            <w:pPr>
              <w:jc w:val="right"/>
              <w:ind w:right="1668"/>
              <w:spacing w:after="0" w:line="149" w:lineRule="exact"/>
              <w:rPr>
                <w:sz w:val="20"/>
                <w:szCs w:val="20"/>
                <w:color w:val="auto"/>
              </w:rPr>
            </w:pPr>
            <w:r>
              <w:rPr>
                <w:rFonts w:ascii="Arial" w:cs="Arial" w:eastAsia="Arial" w:hAnsi="Arial"/>
                <w:sz w:val="14"/>
                <w:szCs w:val="14"/>
                <w:color w:val="auto"/>
                <w:w w:val="89"/>
              </w:rPr>
              <w:t>Balance as of December 31, 2017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3,333,333</w:t>
            </w:r>
          </w:p>
        </w:tc>
        <w:tc>
          <w:tcPr>
            <w:tcW w:w="34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1,500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31,450,499</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3"/>
              </w:rPr>
              <w:t>25,000</w:t>
            </w:r>
          </w:p>
        </w:tc>
        <w:tc>
          <w:tcPr>
            <w:tcW w:w="200" w:type="dxa"/>
            <w:vAlign w:val="bottom"/>
            <w:tcBorders>
              <w:right w:val="single" w:sz="8" w:color="auto"/>
            </w:tcBorders>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2,305,173</w:t>
            </w:r>
          </w:p>
        </w:tc>
        <w:tc>
          <w:tcPr>
            <w:tcW w:w="16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339</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(23,474)</w:t>
            </w:r>
          </w:p>
        </w:tc>
        <w:tc>
          <w:tcPr>
            <w:tcW w:w="24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6"/>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loss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(4,664)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Amortization of deferred offering costs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license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Non-cash research and development expense related to derivative liability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rent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551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long-term liability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(3,314)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(16,382)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Changes in restricted cash</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8,695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17,415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Payments of issuance costs on debt facility</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8,695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17,371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5,357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Issuance of warrants associated with debt facility</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Accretion of issuance costs related to redeemable convertible preferred stock</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20"/>
                <w:szCs w:val="20"/>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 xml:space="preserve">AVROBIO, Inc. (the “Company” or “AVROBIO”) is a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Through December 31, 2017, the Company has funded its operations primarily with proceeds from the sale of series Seed redeemable convertible preferred stock (the “Series Seed Preferred Stock”) and series A redeemable convertible preferred stock (the “Series A Preferred Stock”), (the Series Seed Preferred Stock and the Series A Preferred Stock are collectively referred to as the “Preferred Stock”). The Company has incurred recurring losses since its inception, including net losses of $4,664 and $18,648 for the years ended December 31, 2016 and 2017, respectively. In addition, as of December 31, 2017, the Company had an accumulated deficit of $23,475. The Company expects to continue to generate operating losses for the near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66" w:lineRule="exact"/>
        <w:rPr>
          <w:sz w:val="20"/>
          <w:szCs w:val="20"/>
          <w:color w:val="auto"/>
        </w:rPr>
      </w:pPr>
    </w:p>
    <w:p>
      <w:pPr>
        <w:ind w:left="200" w:right="280" w:firstLine="441"/>
        <w:spacing w:after="0" w:line="286" w:lineRule="auto"/>
        <w:rPr>
          <w:sz w:val="20"/>
          <w:szCs w:val="20"/>
          <w:color w:val="auto"/>
        </w:rPr>
      </w:pPr>
      <w:r>
        <w:rPr>
          <w:rFonts w:ascii="Arial" w:cs="Arial" w:eastAsia="Arial" w:hAnsi="Arial"/>
          <w:sz w:val="17"/>
          <w:szCs w:val="17"/>
          <w:color w:val="auto"/>
        </w:rPr>
        <w:t>The Company believes the cash and cash equivalents on hand as of December 31, 2017 of $5,963, together with the $60,500 of gross cash proceeds received from the Company’s sale of series B redeemable convertible preferred stock (the “Series B Preferred Stock”) in January 2018 (see Note 17) will be sufficient to fund its operations and capital expenditure requirements through at least April 6, 2019.</w:t>
      </w:r>
    </w:p>
    <w:p>
      <w:pPr>
        <w:spacing w:after="0" w:line="270" w:lineRule="exact"/>
        <w:rPr>
          <w:sz w:val="20"/>
          <w:szCs w:val="20"/>
          <w:color w:val="auto"/>
        </w:rPr>
      </w:pPr>
    </w:p>
    <w:p>
      <w:pPr>
        <w:ind w:left="640" w:right="7440" w:hanging="436"/>
        <w:spacing w:after="0" w:line="378" w:lineRule="auto"/>
        <w:tabs>
          <w:tab w:leader="none" w:pos="379"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200" w:right="40" w:firstLine="441"/>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AVROBIO, Inc. and its wholly owned subsidiaries. All intercompany transactions and balances have been eliminated in consolidation.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 and expenses during the reporting periods. Significant estimates and assumptions reflected in these consolidated financial statements include, but are not limited to, the accrual for research and development expenses, stock-based compensation expense, the valuation of equity and derivative instruments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accompanying consolidated statements of operations and comprehensive loss, the unaudited pro forma basic and diluted net loss per share attributable to common stockholders for the year ended December 31, 2017 has been computed using the weighted-average number of common shares outstanding after giving pro forma effect to the conversion of all outstanding shares of redeemable convertible preferred stock into 8,418,149 shares of common stock and the conversion of the outstanding warrant to purchase shares of redeemable convertible preferred stock as of December 31, 2017 into a warrant to purchase shares of common stock, as if such conversion had occurred at the beginning of the period presented or the date of original issuance, whichever is later. Accordingly, the effect of the accretion to redemption value of the redeemable convertible preferred stock has been excluded from the determination of pro forma basic and diluted loss per share attributable to common stockholders. Additionally, the changes in the fair value of the warrant to purchase redeemable convertible preferred stock has been excluded from the determination of pro forma basic and diluted net loss per share attributable to common stockholders as these instruments are not required be recorded at fair value once it become a warrant to purchase common stock.</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Company considers all highly liquid investments purchased with original maturities of 90 days or less at acquisition to be cash equivalents. Cash and cash equivalents include cash held in banks and amounts held in interest-bearing money market accounts. Cash equivalents are carried at cost, which approximates their fair market value.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As of December 31, 2016 and 2017, restricted cash consisted of $24 used to secure a letter of credit for the benefit of the landlord in connection with the Company’s lease agreement (Note 14). These amounts are classified as other assets in the Company’s consolidated balance sheets.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The Company has no significant off-balance sheet risk, such as foreign exchange contracts, option contracts, or other foreign hedging arrangements. Financial instruments that potentially expose the Company to concentrations of credit risk consist primarily of cash, cash equivalents and restricted cash. Periodically, the Company maintains deposits in accredited financial institutions in excess of federally insured limits. The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240" w:top="460"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Company deposits its cash and cash equivalents in financial institutions that it believes have high credit quality and has not experienced any losses on such accounts and does not believe it is exposed to any unusual credit risk beyond the normal credit risk associated with commercial banking relationships.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Deferred Issuance Costs</w:t>
      </w:r>
    </w:p>
    <w:p>
      <w:pPr>
        <w:spacing w:after="0" w:line="117"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The Company capitalizes certain legal, professional accounting and other third-party fees that are directly associated with in-process equity financings as deferred issuance costs until such financings are consummated. After consummation of the equity financing, these costs are recorded as a reduction of the proceeds generated as a result of the offering. Should the planned equity financing be abandoned, the deferred issuance costs will be expensed immediately as a charge to operating expenses in the consolidated statements of operations. As of December 31, 2017, the Company recorded deferred issuance costs of $85 within other assets on the consolidated balance sheet related to the Series B Preferred Stock offering which was consummated in January 2018 (Note 17). There were no amounts deferred as of December 31, 2016.</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Property and equipment are recorded at cost. Depreciation and amortization is calculated using the straight-line method over the following estimated useful lives of the assets: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26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office equipment</w:t>
            </w: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Computer equipment and software</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2 years</w:t>
            </w: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17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Lesser of lease term or</w:t>
            </w: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spacing w:after="0"/>
              <w:rPr>
                <w:sz w:val="20"/>
                <w:szCs w:val="20"/>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r>
    </w:tbl>
    <w:p>
      <w:pPr>
        <w:spacing w:after="0" w:line="20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Upon disposal, retirement or sale, the cost of assets disposed of and the related accumulated depreciation are removed from the accounts and any resulting gain or loss is included in the results of operations. Expenditures for repairs and maintenance that do not improve or extend the lives of the respective assets are charged to expense as incurred.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Long-lived assets consist of property and equipment.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forecasts of undiscounted cash flows expected to result from the use and eventual disposition of the long-lived asset group to its carrying value. An impairment loss would be recognized when estimated undiscounted future cash flows expected to result from the use of an asset group are less than its carrying amount. The impairment loss would be based on the excess of the carrying value of the impaired asset group over its fair value, determined based on discounted cash flows. To date, the Company has not recorded any impairment losses on long-lived assets.</w:t>
      </w:r>
    </w:p>
    <w:p>
      <w:pPr>
        <w:spacing w:after="0" w:line="13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Certain assets and liabilities of the Company are carried at fair value under GAAP (see Note 3).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64" w:lineRule="exact"/>
        <w:rPr>
          <w:sz w:val="20"/>
          <w:szCs w:val="20"/>
          <w:color w:val="auto"/>
        </w:rPr>
      </w:pPr>
    </w:p>
    <w:p>
      <w:pPr>
        <w:ind w:left="1060" w:hanging="424"/>
        <w:spacing w:after="0"/>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130" w:lineRule="exact"/>
        <w:rPr>
          <w:rFonts w:ascii="Arial" w:cs="Arial" w:eastAsia="Arial" w:hAnsi="Arial"/>
          <w:sz w:val="18"/>
          <w:szCs w:val="18"/>
          <w:color w:val="auto"/>
        </w:rPr>
      </w:pPr>
    </w:p>
    <w:p>
      <w:pPr>
        <w:ind w:left="1060" w:right="500" w:hanging="424"/>
        <w:spacing w:after="0" w:line="264"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86"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that are significant to determining the fair value of the assets or liabilities, including pricing models, discounted cash flow methodologies and similar techniques.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for evaluation by the chief operating decision maker, or decision making group, in making decisions on how to allocate resources and assess performance. The Company’s chief operating decision maker is the chief executive officer (“CEO”). The Company and the CEO view the Company’s operations and manage its business as one operating segment. All material long-lived assets of the Company reside in the United States.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Research and development costs are expensed as incurred. Research and development expenses consist of costs incurred in performing research and development activities, including salaries, stock-based compensation and benefits, facilities costs, depreciation, third-party license fees, and external costs of outside vendors engaged to conduct preclinical development activities and clinical trials as well as to manufacture research and development materials. Non-refundable prepayments for goods or services that will be used or rendered for future research and development activities are deferred and capitalized. Such amounts are recognized as an expense as the goods are delivered or the related services are performed or until it is no longer expected that the goods will be delivered or the services rendered.</w:t>
      </w:r>
    </w:p>
    <w:p>
      <w:pPr>
        <w:spacing w:after="0" w:line="178"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The Company has entered into various research and development related contracts with parties both inside and outside of the United States. The payments to these agreements are recorded as research and development expenses as incurred. The Company records accrued liabilities for estimated ongoing research costs. When evaluating the adequacy of the accrued liabilities, the Company analyzes progress of the studies or clinical trials,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240" w:top="460"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For stock-based awards issued to employees and members of the Company’s board of directors (the “Board”) for their services on the Board, the Company measures the estimated fair value of the stock-based award on the date of grant and recognizes compensation expense for those awards over the requisite service period, which is generally the vesting period of the respective award. The Company issues stock-based awards with only service-based vesting conditions and records the expense for these awards using the straight-line method. The Company has not issued any stock-based awards with performance- or market-based vesting conditions. The Company accounts for forfeitures as they occur.</w:t>
      </w:r>
    </w:p>
    <w:p>
      <w:pPr>
        <w:spacing w:after="0" w:line="173"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Stock-based awards issued to non-employees are recorded at their fair values, and are periodically revalued as the awards vest and are recognized as expense over the related service period. For stock-based awards granted to non-employees subject to graded vesting that only contain service conditions, the Company has elected to recognize stock-based compensation expense using the straight-line recognition method.</w:t>
      </w:r>
    </w:p>
    <w:p>
      <w:pPr>
        <w:spacing w:after="0" w:line="166"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Company classifies stock-based compensation expense in its consolidated statements of operations and comprehensive loss in the same manner in which the award recipient’s cash compensation costs are classified.</w:t>
      </w:r>
    </w:p>
    <w:p>
      <w:pPr>
        <w:spacing w:after="0" w:line="170"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 xml:space="preserve">Given the absence of an active market for the Company’s common stock, the Company and the Board, the members of which the Company believes have extensive business, finance, and venture capital experience, were required to estimate the fair value of the Company’s common stock at the time of each grant of a stock-based award. The Company and the Board determined the estimated fair value of the Company’s equity instruments based on a number of factors, including external market conditions affecting the biotechnology industry sector. The Company and the Board utilized various valuation methodologies in accordance with the framework of the American Institute of Certified Public Accountants’ Technical Practice Aid, </w:t>
      </w:r>
      <w:r>
        <w:rPr>
          <w:rFonts w:ascii="Arial" w:cs="Arial" w:eastAsia="Arial" w:hAnsi="Arial"/>
          <w:sz w:val="17"/>
          <w:szCs w:val="17"/>
          <w:i w:val="1"/>
          <w:iCs w:val="1"/>
          <w:color w:val="auto"/>
        </w:rPr>
        <w:t>Valuation of Privately-Held Company Equity Securities Issued as Compensation</w:t>
      </w:r>
      <w:r>
        <w:rPr>
          <w:rFonts w:ascii="Arial" w:cs="Arial" w:eastAsia="Arial" w:hAnsi="Arial"/>
          <w:sz w:val="17"/>
          <w:szCs w:val="17"/>
          <w:color w:val="auto"/>
        </w:rPr>
        <w:t>, to estimate the fair value of its common stock. Each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methodology includes estimates and assumptions that require the Company’s judgment. These estimates and assumptions include a number of objective and subjective factors in determining the value of the Company’s common stock at each grant date, including: (1) prices paid for the Company’s redeemable convertible preferred stock, which the Company had sold to outside investors in arm’s-length transactions, and the rights, preferences, and privileges of the Company’s redeemable convertible preferred stock and common stock; (2) valuations performed by an independent valuation specialist; (3) the Company’s stage of development; (4) the fact that the grants of stock-based awards involved illiquid securities in a private company; and (5) the likelihood of achieving a liquidity event for the common stock underlying the stock-based awards, such as an IPO or sale of the Company, given prevailing market conditions.</w:t>
      </w:r>
    </w:p>
    <w:p>
      <w:pPr>
        <w:spacing w:after="0" w:line="18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fair value of each stock option award is estimated on the date of grant using the Black-Scholes option pricing model. As there is no public market for its common stock, the Company determined the volatility for awards granted based on an analysis of reported data for a group of guideline companies that issued options with substantially similar terms. The expected volatility has been determined using a weighted-average of the historical volatility measures of this group of guideline companies. The Company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Company has not paid, and does not anticipate paying, cash dividends on its common stock; therefore, the expected dividend yield is assumed to be zero.</w:t>
      </w:r>
    </w:p>
    <w:p>
      <w:pPr>
        <w:spacing w:after="0" w:line="9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60"/>
          </w:cols>
          <w:pgMar w:left="240" w:top="459" w:right="49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640" w:firstLine="441"/>
        <w:spacing w:after="0" w:line="342" w:lineRule="auto"/>
        <w:rPr>
          <w:sz w:val="20"/>
          <w:szCs w:val="20"/>
          <w:color w:val="auto"/>
        </w:rPr>
      </w:pPr>
      <w:r>
        <w:rPr>
          <w:rFonts w:ascii="Arial" w:cs="Arial" w:eastAsia="Arial" w:hAnsi="Arial"/>
          <w:sz w:val="16"/>
          <w:szCs w:val="16"/>
          <w:color w:val="auto"/>
        </w:rPr>
        <w:t>See Note 10 for the assumptions used by the Company in determining the grant date fair value of stock-based awards granted, as well as a summary of the stock-based award activity under the Company’s stock-based compensation plan for the year ended December 31, 2017.</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Warrant to Purchase Preferred Stock</w:t>
      </w:r>
    </w:p>
    <w:p>
      <w:pPr>
        <w:spacing w:after="0" w:line="117"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The Company classifies the warrant for the purchase of shares of its redeemable convertible preferred stock (see Note 7) as a liability on its consolidated balance sheets as the warrant is a free-standing financial instrument that may require the Company to transfer assets upon exercise. The preferred stock warrant liability was initially recorded at fair value upon the date of issuance and is subsequently remeasured to fair value at each reporting date. Changes in the fair value of the warrant to purchase preferred stock are recognized as a component of other income (expense), net in the consolidated statements of operations and comprehensive loss. Changes in the fair value of the warrant to purchase preferred stock will continue to be recognized until the warrant is exercised, expires or qualifies for equity classification.</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utilizes the Black-Scholes option-pricing model, which incorporates assumptions and estimates, to value the warrant. The Company assesses these assumptions and estimates on a quarterly basis as additional information impacting the assumptions is obtained. Estimates and assumptions impacting the fair value measurement include the fair value per share of the underlying redeemable convertible preferred stock issuable upon exercise of the warrant, the remaining contractual term of the warrant, the risk-free interest rate, the expected dividend yield and the expected volatility of the price of the underlying redeemable convertible preferred stock.</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17"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Comprehensive income (loss) is defined as the change in stockholders’ equity of a business enterprise during a period from transactions and other events and circumstances from non-owner sources. Comprehensive income (loss) includes net income (loss) as well as other changes in stockholders’ (deficit) equity which includes certain changes in equity that are excluded from net income (loss). Comprehensive loss has been disclosed in the accompanying statements of operations and comprehensive loss and equals the Company’s net loss for all periods presented.</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functional currency of the Company’s international operations in Canada and Australia is the U.S. dollar. Accordingly, all operating assets and liabilities of these international subsidiaries are remeasured into U.S. dollars using the exchange rates in effect at the balance sheet date or historical rates, as appropriate, while expenses are remeasured into U.S. dollars at the average rates in effect during the period. Any differences resulting from the remeasurement of assets, liabilities, and operations of the Canadian and Australian subsidiaries are recorded within other income (expense), net in the consolidated statements of operations and comprehensive loss. During the years ended December 31, 2016 and 2017, the Company recorded foreign exchange losses of $6 and $19, respectively, in other expense.</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Deferred tax assets and liabilities are determined on the basis of the differences between the consolidated financial statements and tax basis of assets and liabilities using enacted tax rates in effect for the year in which</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240" w:top="459" w:right="4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100"/>
        <w:spacing w:after="0" w:line="312" w:lineRule="auto"/>
        <w:rPr>
          <w:sz w:val="20"/>
          <w:szCs w:val="20"/>
          <w:color w:val="auto"/>
        </w:rPr>
      </w:pPr>
      <w:r>
        <w:rPr>
          <w:rFonts w:ascii="Arial" w:cs="Arial" w:eastAsia="Arial" w:hAnsi="Arial"/>
          <w:sz w:val="16"/>
          <w:szCs w:val="16"/>
          <w:color w:val="auto"/>
        </w:rPr>
        <w:t>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accounts for uncertain tax positions recognized in the consolidated financial statements by prescribing a more-likely-than-not threshold for financial statement recognition and measurement of a tax position taken or expected to be taken in a tax return. The provision for income taxes includes the effects of any resulting tax reserves, or unrecognized tax benefits, that are considered appropriate as well as the related net interest and penalties.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The Company categorizes leases at their inception as either operating or capital leases. On certain lease arrangements, the Company may receive rent holidays or other incentives. The Company recognizes lease costs on a straight-line basis once control of the space is achieved, without regard to deferred payment terms, such as rent holidays, that defer the commencement date of required payments or escalating payment amounts. The difference between required lease payments and rent expense has been recorded as deferred rent and other accrued expenses and other current liabilities in the accompanying consolidated balance sheets. Additionally, incentives received are treated as a reduction of costs over the term of the agreement, as they are considered an inseparable part of the lease agreement.</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Net income (loss) per share attributable to common stockholders is determined using the two-class method, which includes the weighted-average number of shares of common stock outstanding during the period and other securities that participate in dividends (a participating security). In periods of income, the redeemable convertible preferred stock would be considered participating securities because the shares include rights to participate in dividends with the common stock; however, the redeemable convertible preferred stock is not considered a participating security in periods of loss as they do not have an obligation to share in the Company’s net losses.</w:t>
      </w:r>
    </w:p>
    <w:p>
      <w:pPr>
        <w:spacing w:after="0" w:line="18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Under the two-class method, basic net income (loss) per share attributable to common stockholders is computed by dividing the net income (loss) attributable to common stockholders by the weighted-average number of shares of common stock outstanding during the period. Diluted net income (loss) per share attributable to common stockholders is computed using the more dilutive of (1) the two-class method or (2) the if-converted method. The Company allocates net income first to the holders of Preferred Stock based on dividend rights under the Company’s certificate of incorporation and then to preferred and common stockholders based on ownership interests.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17.</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60" w:right="4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Company is an “emerging growth company,” as defined in the Jumpstart Our Business Startups Act, or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offering or such earlier time that it is no longer an “emerging growth company”.</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In July 2017, the FASB issued ASU 2017-11, </w:t>
      </w:r>
      <w:r>
        <w:rPr>
          <w:rFonts w:ascii="Arial" w:cs="Arial" w:eastAsia="Arial" w:hAnsi="Arial"/>
          <w:sz w:val="17"/>
          <w:szCs w:val="17"/>
          <w:i w:val="1"/>
          <w:iCs w:val="1"/>
          <w:color w:val="auto"/>
        </w:rPr>
        <w:t>Earnings Per Share (Topic 260), Distinguishing Liabilities from Equity (Topic 480), 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 (Topic 815) I. Accounting for Certain Financial Instruments with Down Round Features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Part I applies to entities that issue financial instruments such as warrants, convertible debt or convertible preferred stock that contain</w:t>
      </w:r>
      <w:r>
        <w:rPr>
          <w:rFonts w:ascii="Arial" w:cs="Arial" w:eastAsia="Arial" w:hAnsi="Arial"/>
          <w:sz w:val="17"/>
          <w:szCs w:val="17"/>
          <w:i w:val="1"/>
          <w:iCs w:val="1"/>
          <w:color w:val="auto"/>
        </w:rPr>
        <w:t xml:space="preserve"> </w:t>
      </w:r>
      <w:r>
        <w:rPr>
          <w:rFonts w:ascii="Arial" w:cs="Arial" w:eastAsia="Arial" w:hAnsi="Arial"/>
          <w:sz w:val="17"/>
          <w:szCs w:val="17"/>
          <w:color w:val="auto"/>
        </w:rPr>
        <w:t>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 impact that the adoption of ASU 2017-11 will have on its consolidated financial statements.</w:t>
      </w:r>
    </w:p>
    <w:p>
      <w:pPr>
        <w:spacing w:after="0" w:line="183"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is currently evaluating the impact that the adoption of ASU 2017-09 will have on its consolidated financial statements.</w:t>
      </w:r>
    </w:p>
    <w:p>
      <w:pPr>
        <w:spacing w:after="0" w:line="16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 Cash</w:t>
      </w:r>
      <w:r>
        <w:rPr>
          <w:rFonts w:ascii="Arial" w:cs="Arial" w:eastAsia="Arial" w:hAnsi="Arial"/>
          <w:sz w:val="16"/>
          <w:szCs w:val="16"/>
          <w:color w:val="auto"/>
        </w:rPr>
        <w:t xml:space="preserve"> (“ASU 2016-18”), which requires restricted cash to be presented with cash and cash equivalents on the statement of cash flows and disclosure of how the statement of cash flows reconciles to the balance sheet if restricted cash is shown separately from cash and cash equivalents on the balance sheet. For public entities, the</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00"/>
          </w:cols>
          <w:pgMar w:left="240" w:top="460"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60"/>
        <w:spacing w:after="0" w:line="259" w:lineRule="auto"/>
        <w:rPr>
          <w:sz w:val="20"/>
          <w:szCs w:val="20"/>
          <w:color w:val="auto"/>
        </w:rPr>
      </w:pPr>
      <w:r>
        <w:rPr>
          <w:rFonts w:ascii="Arial" w:cs="Arial" w:eastAsia="Arial" w:hAnsi="Arial"/>
          <w:sz w:val="18"/>
          <w:szCs w:val="18"/>
          <w:color w:val="auto"/>
        </w:rPr>
        <w:t>standard is effective for annual periods beginning after December 15, 2017, including interim periods within those fiscal years. For all other entities, the standard is effective for annual periods beginning after December 15, 2018, including interim periods within fiscal years beginning after December 15, 2019. Early adoption is permitted. The Company is currently evaluating the impact that the adoption of ASU 2016-18 will have on its consolidated financial statements.</w:t>
      </w:r>
    </w:p>
    <w:p>
      <w:pPr>
        <w:spacing w:after="0" w:line="187" w:lineRule="exact"/>
        <w:rPr>
          <w:sz w:val="20"/>
          <w:szCs w:val="20"/>
          <w:color w:val="auto"/>
        </w:rPr>
      </w:pPr>
    </w:p>
    <w:p>
      <w:pPr>
        <w:ind w:left="200" w:right="180" w:firstLine="441"/>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xml:space="preserve"> (“ASU 2016-15”), to address diversity in practice in how certain cash receipts and cash payments are presented and classified in the statement of cash flows. For public entities, the standard is effective for annual periods beginning after December 15, 2017, including interim periods within those fiscal years. For all other entities, the standard is effective for fiscal years beginning after December 15, 2018, and interim periods within fiscal years beginning after December 15, 2019. The Company is currently evaluating the impact that the adoption of ASU 2016-15 will have on its consolidated financial statements.</w:t>
      </w:r>
    </w:p>
    <w:p>
      <w:pPr>
        <w:spacing w:after="0" w:line="19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 February 2016, the FASB issued ASU No. 2016-02</w:t>
      </w:r>
      <w:r>
        <w:rPr>
          <w:rFonts w:ascii="Arial" w:cs="Arial" w:eastAsia="Arial" w:hAnsi="Arial"/>
          <w:sz w:val="16"/>
          <w:szCs w:val="16"/>
          <w:i w:val="1"/>
          <w:iCs w:val="1"/>
          <w:color w:val="auto"/>
        </w:rPr>
        <w:t>, 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ASU 2016-02 supersedes the previous leases standard, ASC 840, </w:t>
      </w:r>
      <w:r>
        <w:rPr>
          <w:rFonts w:ascii="Arial" w:cs="Arial" w:eastAsia="Arial" w:hAnsi="Arial"/>
          <w:sz w:val="16"/>
          <w:szCs w:val="16"/>
          <w:i w:val="1"/>
          <w:iCs w:val="1"/>
          <w:color w:val="auto"/>
        </w:rPr>
        <w:t>Leases</w:t>
      </w:r>
      <w:r>
        <w:rPr>
          <w:rFonts w:ascii="Arial" w:cs="Arial" w:eastAsia="Arial" w:hAnsi="Arial"/>
          <w:sz w:val="16"/>
          <w:szCs w:val="16"/>
          <w:color w:val="auto"/>
        </w:rPr>
        <w:t>. For public entities, not-for-profit entities and an employee benefit plan that files financial statements with the U.S. Securities and Exchange Commission (SEC), the standard is effective for public entities for annual periods beginning after December 15, 2018 including interim periods within those fiscal years. For all other entities, the standard is effective for fiscal years beginning after December 15, 2019, and interim periods within fiscal years beginning after December 15, 2020. Early adoption is permitted.</w:t>
      </w:r>
    </w:p>
    <w:p>
      <w:pPr>
        <w:spacing w:after="0" w:line="16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 xml:space="preserve">In September 2017, the FASB issued ASU No. 2017-13, </w:t>
      </w:r>
      <w:r>
        <w:rPr>
          <w:rFonts w:ascii="Arial" w:cs="Arial" w:eastAsia="Arial" w:hAnsi="Arial"/>
          <w:sz w:val="18"/>
          <w:szCs w:val="18"/>
          <w:i w:val="1"/>
          <w:iCs w:val="1"/>
          <w:color w:val="auto"/>
        </w:rPr>
        <w:t>Revenue Recognition (Topic 605), 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Leases (Topic 840), and Leases (Topic 842)</w:t>
      </w:r>
      <w:r>
        <w:rPr>
          <w:rFonts w:ascii="Arial" w:cs="Arial" w:eastAsia="Arial" w:hAnsi="Arial"/>
          <w:sz w:val="18"/>
          <w:szCs w:val="18"/>
          <w:color w:val="auto"/>
        </w:rPr>
        <w:t>, which provides additional clarification and implementation guidance related to ASU 2016-02 and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effective date and transition requirements as ASU 2016-02. The Company is currently evaluating the impact that the adoption of ASU 2016-02 will have on its consolidated financial statements.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60" w:right="4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21" w:lineRule="exact"/>
        <w:rPr>
          <w:sz w:val="20"/>
          <w:szCs w:val="20"/>
          <w:color w:val="auto"/>
        </w:rPr>
      </w:pPr>
    </w:p>
    <w:p>
      <w:pPr>
        <w:ind w:left="200" w:right="500" w:firstLine="441"/>
        <w:spacing w:after="0" w:line="308" w:lineRule="auto"/>
        <w:rPr>
          <w:sz w:val="20"/>
          <w:szCs w:val="20"/>
          <w:color w:val="auto"/>
        </w:rPr>
      </w:pPr>
      <w:r>
        <w:rPr>
          <w:rFonts w:ascii="Arial" w:cs="Arial" w:eastAsia="Arial" w:hAnsi="Arial"/>
          <w:sz w:val="17"/>
          <w:szCs w:val="17"/>
          <w:color w:val="auto"/>
        </w:rPr>
        <w:t>The following table presents information about the Company’s financial assets and liabilities measured at fair value on a recurring basis and indicate the level of the fair value hierarchy utilized to determine such fair values as of December 31, 2016 and 2017:</w:t>
      </w:r>
    </w:p>
    <w:p>
      <w:pPr>
        <w:spacing w:after="0" w:line="15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December 31, 2016 Using:</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Level 1</w:t>
            </w: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140" w:type="dxa"/>
            <w:vAlign w:val="bottom"/>
            <w:gridSpan w:val="4"/>
          </w:tcPr>
          <w:p>
            <w:pPr>
              <w:ind w:left="36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20" w:type="dxa"/>
            <w:vAlign w:val="bottom"/>
            <w:gridSpan w:val="2"/>
          </w:tcPr>
          <w:p>
            <w:pPr>
              <w:jc w:val="right"/>
              <w:ind w:right="43"/>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8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22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4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December 31, 2017 Using:</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Level 1</w:t>
            </w:r>
          </w:p>
        </w:tc>
        <w:tc>
          <w:tcPr>
            <w:tcW w:w="8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Level 2</w:t>
            </w:r>
          </w:p>
        </w:tc>
        <w:tc>
          <w:tcPr>
            <w:tcW w:w="1140" w:type="dxa"/>
            <w:vAlign w:val="bottom"/>
            <w:gridSpan w:val="4"/>
          </w:tcPr>
          <w:p>
            <w:pPr>
              <w:ind w:left="36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87"/>
              </w:rPr>
              <w:t>$5,684</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5,684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5,708</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5,708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220" w:type="dxa"/>
            <w:vAlign w:val="bottom"/>
            <w:gridSpan w:val="2"/>
          </w:tcPr>
          <w:p>
            <w:pPr>
              <w:jc w:val="right"/>
              <w:ind w:right="43"/>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$ 371</w:t>
            </w:r>
          </w:p>
        </w:tc>
        <w:tc>
          <w:tcPr>
            <w:tcW w:w="32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$ 406</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years ended December 31, 2016 and 2017, there were no transfers between Level 1, Level 2 and Level 3.</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the Warrant to Purchase Preferred Stock</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warrant to purchase redeemable convertible preferred stock liability in the table above is composed of the fair value of a warrant to purchase shares of Series A Preferred Stock that was issued to a lender in connection with a loan and security agreement in 2017 (the “Loan Agreement”) (Note 7). The fair value of the warrant to purchase preferred stock was determined based on significant inputs not observable in the market, which represents a Level 3 measurement within the fair value hierarchy.</w:t>
      </w:r>
    </w:p>
    <w:p>
      <w:pPr>
        <w:spacing w:after="0" w:line="18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In order to determine the fair value of the warrant to purchase preferred stock, the Company utilizes available facts and circumstances to estimate the number of shares of Series A Preferred Stock for which the warrant will ultimately be exercisable. The Company then used the Black-Scholes option-pricing model, which incorporates assumptions and estimates, to value the warrant to purchase preferred stock. Estimates and assumptions impacting the fair value measurement include the fair value of the underlying shares of Series A Preferred Stock, the remaining contractual term of the warrant, risk-free interest rate, expected dividend yield and expected volatility of the price of the underlying preferred stock. The Company determined the fair value of the underlying preferred stock based on various valuation methodologies. The Company lacks company-specific</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40"/>
          </w:cols>
          <w:pgMar w:left="240" w:top="459" w:right="41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35"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historical and implied volatility information of its stock. Therefore, it estimates its expected stock volatility based on the historical volatility of publicly traded guideline companies for a term equal to the remaining contractual term of the warrant. The risk-free interest rate is determined by reference to the U.S. Treasury yield curve for time periods approximately equal to the remaining contractual term of the warrant. The Company estimated no expected dividend yield based on the fact that the Company has never paid or declared dividends and does not intend to do so in the foreseeable future.</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assumptions that the Company used to determine the fair value of the warrant to purchase preferred stock are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June 23, 2017</w:t>
            </w:r>
          </w:p>
        </w:tc>
        <w:tc>
          <w:tcPr>
            <w:tcW w:w="206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w w:val="91"/>
              </w:rPr>
              <w:t>December 31, 2017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320" w:type="dxa"/>
            <w:vAlign w:val="bottom"/>
            <w:gridSpan w:val="2"/>
          </w:tcPr>
          <w:p>
            <w:pPr>
              <w:jc w:val="center"/>
              <w:ind w:left="2114"/>
              <w:spacing w:after="0"/>
              <w:rPr>
                <w:sz w:val="20"/>
                <w:szCs w:val="20"/>
                <w:color w:val="auto"/>
              </w:rPr>
            </w:pPr>
            <w:r>
              <w:rPr>
                <w:rFonts w:ascii="Arial" w:cs="Arial" w:eastAsia="Arial" w:hAnsi="Arial"/>
                <w:sz w:val="14"/>
                <w:szCs w:val="14"/>
                <w:b w:val="1"/>
                <w:bCs w:val="1"/>
                <w:color w:val="auto"/>
                <w:w w:val="89"/>
              </w:rPr>
              <w:t>(Date of issuance)</w:t>
            </w:r>
          </w:p>
        </w:tc>
        <w:tc>
          <w:tcPr>
            <w:tcW w:w="2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contractual term (years)</w:t>
            </w:r>
          </w:p>
        </w:tc>
        <w:tc>
          <w:tcPr>
            <w:tcW w:w="2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8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20" w:type="dxa"/>
            <w:vAlign w:val="bottom"/>
            <w:gridSpan w:val="2"/>
          </w:tcPr>
          <w:p>
            <w:pPr>
              <w:jc w:val="center"/>
              <w:ind w:left="2134"/>
              <w:spacing w:after="0"/>
              <w:rPr>
                <w:sz w:val="20"/>
                <w:szCs w:val="20"/>
                <w:color w:val="auto"/>
              </w:rPr>
            </w:pPr>
            <w:r>
              <w:rPr>
                <w:rFonts w:ascii="Arial" w:cs="Arial" w:eastAsia="Arial" w:hAnsi="Arial"/>
                <w:sz w:val="18"/>
                <w:szCs w:val="18"/>
                <w:color w:val="auto"/>
                <w:w w:val="90"/>
              </w:rPr>
              <w:t>2.15%</w:t>
            </w:r>
          </w:p>
        </w:tc>
        <w:tc>
          <w:tcPr>
            <w:tcW w:w="2060" w:type="dxa"/>
            <w:vAlign w:val="bottom"/>
            <w:gridSpan w:val="2"/>
          </w:tcPr>
          <w:p>
            <w:pPr>
              <w:jc w:val="center"/>
              <w:ind w:left="794"/>
              <w:spacing w:after="0"/>
              <w:rPr>
                <w:sz w:val="20"/>
                <w:szCs w:val="20"/>
                <w:color w:val="auto"/>
              </w:rPr>
            </w:pPr>
            <w:r>
              <w:rPr>
                <w:rFonts w:ascii="Arial" w:cs="Arial" w:eastAsia="Arial" w:hAnsi="Arial"/>
                <w:sz w:val="18"/>
                <w:szCs w:val="18"/>
                <w:color w:val="auto"/>
                <w:w w:val="90"/>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3320" w:type="dxa"/>
            <w:vAlign w:val="bottom"/>
            <w:gridSpan w:val="2"/>
            <w:shd w:val="clear" w:color="auto" w:fill="CCEEFF"/>
          </w:tcPr>
          <w:p>
            <w:pPr>
              <w:jc w:val="center"/>
              <w:ind w:left="2114"/>
              <w:spacing w:after="0"/>
              <w:rPr>
                <w:sz w:val="20"/>
                <w:szCs w:val="20"/>
                <w:color w:val="auto"/>
              </w:rPr>
            </w:pPr>
            <w:r>
              <w:rPr>
                <w:rFonts w:ascii="Arial" w:cs="Arial" w:eastAsia="Arial" w:hAnsi="Arial"/>
                <w:sz w:val="18"/>
                <w:szCs w:val="18"/>
                <w:color w:val="auto"/>
                <w:w w:val="91"/>
              </w:rPr>
              <w:t>80.00%</w:t>
            </w:r>
          </w:p>
        </w:tc>
        <w:tc>
          <w:tcPr>
            <w:tcW w:w="2060" w:type="dxa"/>
            <w:vAlign w:val="bottom"/>
            <w:gridSpan w:val="2"/>
            <w:shd w:val="clear" w:color="auto" w:fill="CCEEFF"/>
          </w:tcPr>
          <w:p>
            <w:pPr>
              <w:jc w:val="center"/>
              <w:ind w:left="774"/>
              <w:spacing w:after="0"/>
              <w:rPr>
                <w:sz w:val="20"/>
                <w:szCs w:val="20"/>
                <w:color w:val="auto"/>
              </w:rPr>
            </w:pPr>
            <w:r>
              <w:rPr>
                <w:rFonts w:ascii="Arial" w:cs="Arial" w:eastAsia="Arial" w:hAnsi="Arial"/>
                <w:sz w:val="18"/>
                <w:szCs w:val="18"/>
                <w:color w:val="auto"/>
                <w:w w:val="91"/>
              </w:rPr>
              <w:t>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220" w:type="dxa"/>
            <w:vAlign w:val="bottom"/>
          </w:tcPr>
          <w:p>
            <w:pPr>
              <w:spacing w:after="0"/>
              <w:rPr>
                <w:sz w:val="18"/>
                <w:szCs w:val="18"/>
                <w:color w:val="auto"/>
              </w:rPr>
            </w:pPr>
          </w:p>
        </w:tc>
        <w:tc>
          <w:tcPr>
            <w:tcW w:w="1100" w:type="dxa"/>
            <w:vAlign w:val="bottom"/>
          </w:tcPr>
          <w:p>
            <w:pPr>
              <w:ind w:left="4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1180" w:type="dxa"/>
            <w:vAlign w:val="bottom"/>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A Preferred Stock per share</w:t>
            </w:r>
          </w:p>
        </w:tc>
        <w:tc>
          <w:tcPr>
            <w:tcW w:w="3320" w:type="dxa"/>
            <w:vAlign w:val="bottom"/>
            <w:gridSpan w:val="2"/>
            <w:shd w:val="clear" w:color="auto" w:fill="CCEEFF"/>
          </w:tcPr>
          <w:p>
            <w:pPr>
              <w:jc w:val="center"/>
              <w:ind w:left="2114"/>
              <w:spacing w:after="0"/>
              <w:rPr>
                <w:sz w:val="20"/>
                <w:szCs w:val="20"/>
                <w:color w:val="auto"/>
              </w:rPr>
            </w:pPr>
            <w:r>
              <w:rPr>
                <w:rFonts w:ascii="Arial" w:cs="Arial" w:eastAsia="Arial" w:hAnsi="Arial"/>
                <w:sz w:val="18"/>
                <w:szCs w:val="18"/>
                <w:color w:val="auto"/>
                <w:w w:val="88"/>
              </w:rPr>
              <w:t>$0.79</w:t>
            </w:r>
          </w:p>
        </w:tc>
        <w:tc>
          <w:tcPr>
            <w:tcW w:w="2060" w:type="dxa"/>
            <w:vAlign w:val="bottom"/>
            <w:gridSpan w:val="2"/>
            <w:shd w:val="clear" w:color="auto" w:fill="CCEEFF"/>
          </w:tcPr>
          <w:p>
            <w:pPr>
              <w:jc w:val="center"/>
              <w:ind w:left="774"/>
              <w:spacing w:after="0"/>
              <w:rPr>
                <w:sz w:val="20"/>
                <w:szCs w:val="20"/>
                <w:color w:val="auto"/>
              </w:rPr>
            </w:pPr>
            <w:r>
              <w:rPr>
                <w:rFonts w:ascii="Arial" w:cs="Arial" w:eastAsia="Arial" w:hAnsi="Arial"/>
                <w:sz w:val="18"/>
                <w:szCs w:val="18"/>
                <w:color w:val="auto"/>
                <w:w w:val="88"/>
              </w:rPr>
              <w:t>$1.42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340" w:firstLine="441"/>
        <w:spacing w:after="0" w:line="277" w:lineRule="auto"/>
        <w:rPr>
          <w:sz w:val="20"/>
          <w:szCs w:val="20"/>
          <w:color w:val="auto"/>
        </w:rPr>
      </w:pPr>
      <w:r>
        <w:rPr>
          <w:rFonts w:ascii="Arial" w:cs="Arial" w:eastAsia="Arial" w:hAnsi="Arial"/>
          <w:sz w:val="18"/>
          <w:szCs w:val="18"/>
          <w:color w:val="auto"/>
        </w:rPr>
        <w:t>The following table sets forth a summary of changes in the fair value of the Company’s preferred stock warrant liability for which fair value is determined by Level 3 inputs: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4"/>
              </w:rPr>
              <w:t>Warrant</w:t>
            </w:r>
          </w:p>
        </w:tc>
      </w:tr>
      <w:tr>
        <w:trPr>
          <w:trHeight w:val="171"/>
        </w:trPr>
        <w:tc>
          <w:tcPr>
            <w:tcW w:w="20" w:type="dxa"/>
            <w:vAlign w:val="bottom"/>
          </w:tcPr>
          <w:p>
            <w:pPr>
              <w:spacing w:after="0"/>
              <w:rPr>
                <w:sz w:val="14"/>
                <w:szCs w:val="14"/>
                <w:color w:val="auto"/>
              </w:rPr>
            </w:pPr>
          </w:p>
        </w:tc>
        <w:tc>
          <w:tcPr>
            <w:tcW w:w="10420" w:type="dxa"/>
            <w:vAlign w:val="bottom"/>
          </w:tcPr>
          <w:p>
            <w:pPr>
              <w:spacing w:after="0"/>
              <w:rPr>
                <w:sz w:val="14"/>
                <w:szCs w:val="14"/>
                <w:color w:val="auto"/>
              </w:rPr>
            </w:pPr>
          </w:p>
        </w:tc>
        <w:tc>
          <w:tcPr>
            <w:tcW w:w="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4"/>
              </w:rPr>
              <w:t>Liability</w:t>
            </w:r>
          </w:p>
        </w:tc>
      </w:tr>
      <w:tr>
        <w:trPr>
          <w:trHeight w:val="210"/>
        </w:trPr>
        <w:tc>
          <w:tcPr>
            <w:tcW w:w="20" w:type="dxa"/>
            <w:vAlign w:val="bottom"/>
          </w:tcPr>
          <w:p>
            <w:pPr>
              <w:spacing w:after="0"/>
              <w:rPr>
                <w:sz w:val="18"/>
                <w:szCs w:val="18"/>
                <w:color w:val="auto"/>
              </w:rPr>
            </w:pPr>
          </w:p>
        </w:tc>
        <w:tc>
          <w:tcPr>
            <w:tcW w:w="10420" w:type="dxa"/>
            <w:vAlign w:val="bottom"/>
            <w:tcBorders>
              <w:top w:val="single" w:sz="8" w:color="CCEEFF"/>
            </w:tcBorders>
            <w:shd w:val="clear" w:color="auto" w:fill="CCEEFF"/>
          </w:tcPr>
          <w:p>
            <w:pPr>
              <w:jc w:val="right"/>
              <w:ind w:right="7910"/>
              <w:spacing w:after="0"/>
              <w:rPr>
                <w:sz w:val="20"/>
                <w:szCs w:val="20"/>
                <w:color w:val="auto"/>
              </w:rPr>
            </w:pPr>
            <w:r>
              <w:rPr>
                <w:rFonts w:ascii="Arial" w:cs="Arial" w:eastAsia="Arial" w:hAnsi="Arial"/>
                <w:sz w:val="18"/>
                <w:szCs w:val="18"/>
                <w:color w:val="auto"/>
                <w:w w:val="88"/>
              </w:rPr>
              <w:t>Balance as of December 31, 2016</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tcPr>
          <w:p>
            <w:pPr>
              <w:ind w:left="340"/>
              <w:spacing w:after="0"/>
              <w:rPr>
                <w:sz w:val="20"/>
                <w:szCs w:val="20"/>
                <w:color w:val="auto"/>
              </w:rPr>
            </w:pPr>
            <w:r>
              <w:rPr>
                <w:rFonts w:ascii="Arial" w:cs="Arial" w:eastAsia="Arial" w:hAnsi="Arial"/>
                <w:sz w:val="18"/>
                <w:szCs w:val="18"/>
                <w:color w:val="auto"/>
              </w:rPr>
              <w:t>Initial fair value of warrant to purchase redeemable convertible preferred stock</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23"/>
        </w:trPr>
        <w:tc>
          <w:tcPr>
            <w:tcW w:w="10440" w:type="dxa"/>
            <w:vAlign w:val="bottom"/>
            <w:gridSpan w:val="2"/>
          </w:tcPr>
          <w:p>
            <w:pPr>
              <w:jc w:val="right"/>
              <w:ind w:right="7910"/>
              <w:spacing w:after="0"/>
              <w:rPr>
                <w:sz w:val="20"/>
                <w:szCs w:val="20"/>
                <w:color w:val="auto"/>
              </w:rPr>
            </w:pPr>
            <w:r>
              <w:rPr>
                <w:rFonts w:ascii="Arial" w:cs="Arial" w:eastAsia="Arial" w:hAnsi="Arial"/>
                <w:sz w:val="18"/>
                <w:szCs w:val="18"/>
                <w:color w:val="auto"/>
                <w:w w:val="88"/>
              </w:rPr>
              <w:t>Balance as of December 31, 2017</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Derivative</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In January 2016, in connection with a license agreement entered into with University Health Network (“UHN”), and as part of the initial consideration for the license, the Company issued 1,161,665 shares of common stock to UHN pursuant to a stock purchase agreement (the “Stock Purchase Agreement”). See Note 11 for further discussion on the license agreement. The shares were fully vested on the date of issuance and did not contain any restrictions. The Stock Purchase Agreement contains a provision requiring the Company to make a cash payment to UHN of up to $2,000 if UHN’s fully diluted ownership is reduced within specified percentages as part of an IPO by the Company. The Company concluded the anti-dilution feature represented a derivative instrument and should be measured at fair value, with changes in fair value recognized as a gain or loss to other income (expense), net in the consolidated statements of operations and comprehensive loss. The initial fair value of the derivative of $49 was recorded as research and development expense in January 2016.</w:t>
      </w:r>
    </w:p>
    <w:p>
      <w:pPr>
        <w:spacing w:after="0" w:line="179"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On December 31, 2016 and 2017, the Company remeasured the fair value of the derivative, using current assumptions, resulting in an increase in fair value of $39 and $283, respectively, which was recorded in other expense in the accompanying consolidated statements of operations and comprehensive loss for the years ended December 31, 2016 and 2017. The Company will continue to re-measure the fair value of the liability at the end of each reporting period until the completion of an IPO.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59" w:right="41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a summary of changes in the fair value of the Company’s derivative liability for which fair value is determined by</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Level 3 inputs: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gridSpan w:val="5"/>
          </w:tcPr>
          <w:p>
            <w:pPr>
              <w:ind w:left="12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4"/>
          </w:tcPr>
          <w:p>
            <w:pPr>
              <w:ind w:left="6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2015</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340"/>
              <w:spacing w:after="0"/>
              <w:rPr>
                <w:sz w:val="20"/>
                <w:szCs w:val="20"/>
                <w:color w:val="auto"/>
              </w:rPr>
            </w:pPr>
            <w:r>
              <w:rPr>
                <w:rFonts w:ascii="Arial" w:cs="Arial" w:eastAsia="Arial" w:hAnsi="Arial"/>
                <w:sz w:val="18"/>
                <w:szCs w:val="18"/>
                <w:color w:val="auto"/>
              </w:rPr>
              <w:t>Initial fair value of derivative liability</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Balance as of December 31, 2016</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Balance as of December 31, 2017</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9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9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6"/>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2016</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research and development costs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8"/>
              </w:rPr>
              <w:t>$ —</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Prepaid rent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4"/>
              </w:rPr>
              <w:t>$ 19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60" w:right="419" w:bottom="1440" w:gutter="0" w:footer="0" w:header="0"/>
        </w:sectPr>
      </w:pPr>
    </w:p>
    <w:p>
      <w:pPr>
        <w:spacing w:after="0" w:line="1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Property and equipment, net consisted of the following:</w:t>
      </w:r>
    </w:p>
    <w:p>
      <w:pPr>
        <w:spacing w:after="0" w:line="200" w:lineRule="exact"/>
        <w:rPr>
          <w:sz w:val="20"/>
          <w:szCs w:val="20"/>
          <w:color w:val="auto"/>
        </w:r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Laboratory and office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Leasehold improvements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Computer equipment and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Less: Accumulated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2"/>
          <w:szCs w:val="12"/>
          <w:b w:val="1"/>
          <w:bCs w:val="1"/>
          <w:color w:val="auto"/>
        </w:rPr>
        <w:t>December 31,</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2017</w:t>
      </w:r>
    </w:p>
    <w:p>
      <w:pPr>
        <w:spacing w:after="0" w:line="9" w:lineRule="exact"/>
        <w:rPr>
          <w:sz w:val="20"/>
          <w:szCs w:val="20"/>
          <w:color w:val="auto"/>
        </w:rPr>
      </w:pPr>
    </w:p>
    <w:p>
      <w:pPr>
        <w:ind w:left="561" w:hanging="561"/>
        <w:spacing w:after="0"/>
        <w:tabs>
          <w:tab w:leader="none" w:pos="56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126</w:t>
      </w:r>
    </w:p>
    <w:p>
      <w:pPr>
        <w:spacing w:after="0" w:line="7" w:lineRule="exact"/>
        <w:rPr>
          <w:rFonts w:ascii="Arial" w:cs="Arial" w:eastAsia="Arial" w:hAnsi="Arial"/>
          <w:sz w:val="18"/>
          <w:szCs w:val="18"/>
          <w:color w:val="auto"/>
        </w:rPr>
      </w:pPr>
    </w:p>
    <w:p>
      <w:pPr>
        <w:ind w:left="561"/>
        <w:spacing w:after="0"/>
        <w:rPr>
          <w:rFonts w:ascii="Arial" w:cs="Arial" w:eastAsia="Arial" w:hAnsi="Arial"/>
          <w:sz w:val="18"/>
          <w:szCs w:val="18"/>
          <w:color w:val="auto"/>
        </w:rPr>
      </w:pPr>
      <w:r>
        <w:rPr>
          <w:rFonts w:ascii="Arial" w:cs="Arial" w:eastAsia="Arial" w:hAnsi="Arial"/>
          <w:sz w:val="18"/>
          <w:szCs w:val="18"/>
          <w:color w:val="auto"/>
        </w:rPr>
        <w:t>240</w:t>
      </w:r>
    </w:p>
    <w:p>
      <w:pPr>
        <w:spacing w:after="0" w:line="9" w:lineRule="exact"/>
        <w:rPr>
          <w:rFonts w:ascii="Arial" w:cs="Arial" w:eastAsia="Arial" w:hAnsi="Arial"/>
          <w:sz w:val="18"/>
          <w:szCs w:val="18"/>
          <w:color w:val="auto"/>
        </w:rPr>
      </w:pPr>
    </w:p>
    <w:p>
      <w:pPr>
        <w:ind w:left="661"/>
        <w:spacing w:after="0"/>
        <w:rPr>
          <w:rFonts w:ascii="Arial" w:cs="Arial" w:eastAsia="Arial" w:hAnsi="Arial"/>
          <w:sz w:val="18"/>
          <w:szCs w:val="18"/>
          <w:color w:val="auto"/>
        </w:rPr>
      </w:pPr>
      <w:r>
        <w:rPr>
          <w:rFonts w:ascii="Arial" w:cs="Arial" w:eastAsia="Arial" w:hAnsi="Arial"/>
          <w:sz w:val="18"/>
          <w:szCs w:val="18"/>
          <w:color w:val="auto"/>
        </w:rPr>
        <w:t>28</w:t>
      </w:r>
    </w:p>
    <w:p>
      <w:pPr>
        <w:spacing w:after="0" w:line="21" w:lineRule="exact"/>
        <w:rPr>
          <w:rFonts w:ascii="Arial" w:cs="Arial" w:eastAsia="Arial" w:hAnsi="Arial"/>
          <w:sz w:val="18"/>
          <w:szCs w:val="18"/>
          <w:color w:val="auto"/>
        </w:rPr>
      </w:pPr>
    </w:p>
    <w:p>
      <w:pPr>
        <w:ind w:left="561"/>
        <w:spacing w:after="0"/>
        <w:rPr>
          <w:rFonts w:ascii="Arial" w:cs="Arial" w:eastAsia="Arial" w:hAnsi="Arial"/>
          <w:sz w:val="18"/>
          <w:szCs w:val="18"/>
          <w:color w:val="auto"/>
        </w:rPr>
      </w:pPr>
      <w:r>
        <w:rPr>
          <w:rFonts w:ascii="Arial" w:cs="Arial" w:eastAsia="Arial" w:hAnsi="Arial"/>
          <w:sz w:val="18"/>
          <w:szCs w:val="18"/>
          <w:color w:val="auto"/>
        </w:rPr>
        <w:t>394</w:t>
      </w:r>
    </w:p>
    <w:p>
      <w:pPr>
        <w:spacing w:after="0" w:line="23" w:lineRule="exact"/>
        <w:rPr>
          <w:rFonts w:ascii="Arial" w:cs="Arial" w:eastAsia="Arial" w:hAnsi="Arial"/>
          <w:sz w:val="18"/>
          <w:szCs w:val="18"/>
          <w:color w:val="auto"/>
        </w:rPr>
      </w:pPr>
    </w:p>
    <w:p>
      <w:pPr>
        <w:ind w:left="601"/>
        <w:spacing w:after="0"/>
        <w:rPr>
          <w:rFonts w:ascii="Arial" w:cs="Arial" w:eastAsia="Arial" w:hAnsi="Arial"/>
          <w:sz w:val="18"/>
          <w:szCs w:val="18"/>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5314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20320</wp:posOffset>
            </wp:positionV>
            <wp:extent cx="53149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5" w:lineRule="exact"/>
        <w:rPr>
          <w:sz w:val="20"/>
          <w:szCs w:val="20"/>
          <w:color w:val="auto"/>
        </w:rPr>
      </w:pPr>
    </w:p>
    <w:p>
      <w:pPr>
        <w:ind w:left="561" w:hanging="561"/>
        <w:spacing w:after="0"/>
        <w:tabs>
          <w:tab w:leader="none" w:pos="56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53149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53149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59" w:space="720"/>
            <w:col w:w="961"/>
          </w:cols>
          <w:pgMar w:left="240" w:top="460" w:right="419" w:bottom="1440" w:gutter="0" w:footer="0" w:header="0"/>
          <w:type w:val="continuous"/>
        </w:sectPr>
      </w:pPr>
    </w:p>
    <w:p>
      <w:pPr>
        <w:spacing w:after="0" w:line="79"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As of December 31, 2016, the Company did not hold any property and equipment. Depreciation and amortization expense for the year ended December 31, 2017 was $45.</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60" w:right="419" w:bottom="1440" w:gutter="0" w:footer="0" w:header="0"/>
          <w:type w:val="continuous"/>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97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3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2017</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 costs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$374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831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Consulting and professional fees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tcPr>
          <w:p>
            <w:pPr>
              <w:spacing w:after="0"/>
              <w:rPr>
                <w:sz w:val="20"/>
                <w:szCs w:val="20"/>
                <w:color w:val="auto"/>
              </w:rPr>
            </w:pPr>
            <w:r>
              <w:rPr>
                <w:rFonts w:ascii="Arial" w:cs="Arial" w:eastAsia="Arial" w:hAnsi="Arial"/>
                <w:sz w:val="18"/>
                <w:szCs w:val="18"/>
                <w:color w:val="auto"/>
              </w:rPr>
              <w:t>Preferred stock issuance cost</w:t>
            </w:r>
          </w:p>
        </w:tc>
        <w:tc>
          <w:tcPr>
            <w:tcW w:w="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7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551</w:t>
            </w:r>
          </w:p>
        </w:tc>
        <w:tc>
          <w:tcPr>
            <w:tcW w:w="3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2,098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w:t>
      </w:r>
    </w:p>
    <w:p>
      <w:pPr>
        <w:spacing w:after="0" w:line="121"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June 23, 2017, the Company entered into the Loan Agreement with a lender, which provided for the issuance of term loans of up to $10,000, subject to the achievement of various development and corporate milestones. Any outstanding principal amounts under the Loan Agreement will accrue interest at a floating per annum rate equal to the greater of 1% and the “prime rate,” as defined in the Loan Agreement, minus 3%. 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 As of December 31, 2017, the Company had not drawn down from the facility and $3,500 was available to the Company.</w:t>
      </w:r>
    </w:p>
    <w:p>
      <w:pPr>
        <w:spacing w:after="0" w:line="17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Loan Agreement contains customary indemnification obligations and customary events of default. In the event of default by the Company under the Loan Agreement, the lender would be entitled to exercise their remedies thereunder, including the right to accelerate the debt, upon which the Company may be required to repay all amounts then outstanding under the Loan Agreement or the lender may take possession of the collateral securing the Loan Agreement. No events of default had occurred through December 31, 2017.</w:t>
      </w:r>
    </w:p>
    <w:p>
      <w:pPr>
        <w:spacing w:after="0" w:line="18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Loan Agreement also includes certain restrictions on, among other things, the Company’s ability to incur additional indebtedness, change the name or location of its business, merge with or acquire other entities, pay dividends or make other distributions to holders of the Company’s capital stock, make certain investments, engage in transactions with affiliates, create liens, open new deposit accounts, sell assets or pay subordinated debt.</w:t>
      </w:r>
    </w:p>
    <w:p>
      <w:pPr>
        <w:spacing w:after="0" w:line="14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In connection with the Loan Agreement, the Company agreed to issue a warrant to the lender for the purchase of up to 188,702 shares of the Company’s Series A Preferred Stock with an exercise price of $0.7949 per share. The warrant expires on June 22, 2027. The warrant is initially exercisable for the purchase of up to 28,305 shares of Series A Preferred Stock and can become exercisable for up to an additional 160,397 shares of Series A Preferred Stock based on the amounts drawn under the Loan Agreement. On the issuance date of the warrant, the Company recorded a deferred financing cost and a liability for the warrant to purchase preferred stock in the Company’s consolidated balance sheet equal to the issuance-date fair value of the warrant. As of December 31, 2017, the warrant is exercisable for up to 28,305 shares of Series A Preferred Stock.</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60" w:right="41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 (continued)</w:t>
      </w:r>
    </w:p>
    <w:p>
      <w:pPr>
        <w:spacing w:after="0" w:line="135"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On the date of issuance, the fair value of the warrant was determined to be $18. The Company remeasured the liability associated with the warrant as of December 31, 2017 and determined that the fair value of the preferred stock warrant liability was $35. The Company recognized a loss of $17 in the consolidated statements of operations and comprehensive loss for the year ended December 31, 2017, related to the change in fair value of the warrant.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21" w:lineRule="exact"/>
        <w:rPr>
          <w:sz w:val="20"/>
          <w:szCs w:val="20"/>
          <w:color w:val="auto"/>
        </w:rPr>
      </w:pPr>
    </w:p>
    <w:p>
      <w:pPr>
        <w:ind w:left="200" w:right="180" w:firstLine="441"/>
        <w:spacing w:after="0" w:line="288" w:lineRule="auto"/>
        <w:rPr>
          <w:sz w:val="20"/>
          <w:szCs w:val="20"/>
          <w:color w:val="auto"/>
        </w:rPr>
      </w:pPr>
      <w:r>
        <w:rPr>
          <w:rFonts w:ascii="Arial" w:cs="Arial" w:eastAsia="Arial" w:hAnsi="Arial"/>
          <w:sz w:val="16"/>
          <w:szCs w:val="16"/>
          <w:color w:val="auto"/>
        </w:rPr>
        <w:t>As of December 31, 2016, the authorized capital stock of the Company included 22,380,952 shares of $0.0001 par value preferred stock, of which 3,333,333 shares have been designated as Series Seed Preferred Stock and 19,047,619 shares have been designated as Series A Preferred Stock. As of December 31, 2017, the authorized capital stock of the Company included 34,972,535 shares of $0.0001 par value preferred stock, of</w:t>
      </w:r>
    </w:p>
    <w:p>
      <w:pPr>
        <w:ind w:left="200"/>
        <w:spacing w:after="0"/>
        <w:rPr>
          <w:sz w:val="20"/>
          <w:szCs w:val="20"/>
          <w:color w:val="auto"/>
        </w:rPr>
      </w:pPr>
      <w:r>
        <w:rPr>
          <w:rFonts w:ascii="Arial" w:cs="Arial" w:eastAsia="Arial" w:hAnsi="Arial"/>
          <w:sz w:val="16"/>
          <w:szCs w:val="16"/>
          <w:color w:val="auto"/>
        </w:rPr>
        <w:t>which 3,333,333 shares have been designated as Series Seed Preferred Stock and 31,639,202 shares have been designated as Series A Preferred Stock.</w:t>
      </w:r>
    </w:p>
    <w:p>
      <w:pPr>
        <w:spacing w:after="0" w:line="23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January 2016, the Company issued and sold 3,333,333 shares of Series Seed Preferred Stock at a price of $0.45 per share, for total proceeds of $1,398, net of issuance costs of $102.</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July 2016, the Company issued and sold 5,714,286 shares of Series A Preferred Stock, at a price of $1.3125 per share, for total proceeds of $7,297, net of issuance costs of $203. The terms of the Series A Preferred Stock Purchase Agreement included the obligation of the investors to purchase, and the Company to sell, up to 13,333,333 additional shares of Series A Preferred Stock at $1.3125 per share contingent upon the achievement of certain specified milestones or at the election of a required vote by the investors and the Board. The Company concluded that the right to participate in the future issuance of Series A Preferred Stock did not meet the definition of a freestanding financial instrument, as the rights were not legally detachable from the Series A Preferred Stock.</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March 2017, the Company amended certain provisions of the Series A Preferred Stock. The changes included issuing additional instruments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through the preferred stock dividend in the amount of 3,720,864 shares of Series A Preferred Stock, which effectively repriced the outstanding shares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Series A Preferred Stock, changing the purchase price for future shares, and decreasing the redemption price per share such that total redemption value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was not affected. Concurrent with the amendment, the Company issued 4,403,070 additional shares of Series A Preferred Stock at a purchase price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$0.7949 per share, for total proceeds of $3,452, net of issuance costs of $48. Additionally, the number of shares of Series A Preferred Stock which could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be issued in the future was changed to 17,612,279 shares. The Company assessed the changes to the terms and concluded that it represented a material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change to substantive terms of the instrument, and therefore represented, for accounting purposes, an extinguishment and re-issuance of the Series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Preferred Stock outstanding at the time. As the carrying value of the outstanding shares of Series A Preferred Stock prior to the extinguishment was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deemed to equal the aggregate fair value of the reissued shares and the shares issued as a dividend, no gain or loss was recognized on extinguishment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Series A Preferred Stock.</w:t>
      </w:r>
    </w:p>
    <w:p>
      <w:pPr>
        <w:spacing w:after="0" w:line="21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October 2017, the Company issued and sold an additional 17,612,279 shares of Series A Preferred Stock, at a price of $0.7949 per share, for total proceeds of $13,963, net of issuance costs of $37.</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60" w:right="4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each balance sheet date, the Preferred Stock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8"/>
              </w:rPr>
              <w:t>December 31, 2016</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3"/>
            <w:vMerge w:val="restart"/>
          </w:tcPr>
          <w:p>
            <w:pPr>
              <w:jc w:val="center"/>
              <w:ind w:right="500"/>
              <w:spacing w:after="0"/>
              <w:rPr>
                <w:sz w:val="20"/>
                <w:szCs w:val="20"/>
                <w:color w:val="auto"/>
              </w:rPr>
            </w:pPr>
            <w:r>
              <w:rPr>
                <w:rFonts w:ascii="Arial" w:cs="Arial" w:eastAsia="Arial" w:hAnsi="Arial"/>
                <w:sz w:val="14"/>
                <w:szCs w:val="14"/>
                <w:b w:val="1"/>
                <w:bCs w:val="1"/>
                <w:color w:val="auto"/>
                <w:w w:val="93"/>
              </w:rPr>
              <w:t>Preferred</w:t>
            </w:r>
          </w:p>
        </w:tc>
        <w:tc>
          <w:tcPr>
            <w:tcW w:w="40" w:type="dxa"/>
            <w:vAlign w:val="bottom"/>
          </w:tcPr>
          <w:p>
            <w:pPr>
              <w:spacing w:after="0"/>
              <w:rPr>
                <w:sz w:val="10"/>
                <w:szCs w:val="10"/>
                <w:color w:val="auto"/>
              </w:rPr>
            </w:pPr>
          </w:p>
        </w:tc>
        <w:tc>
          <w:tcPr>
            <w:tcW w:w="9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Preferred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122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5"/>
              </w:rPr>
              <w:t>Liquidation</w:t>
            </w: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Shares</w:t>
            </w:r>
          </w:p>
        </w:tc>
        <w:tc>
          <w:tcPr>
            <w:tcW w:w="4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Issued and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10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5"/>
              </w:rPr>
              <w:t>Authorized</w:t>
            </w: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12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Preference</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3,333,333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$1,500,000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$1,500,000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19,047,619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5,714,286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7,500,000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7,500,000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1,382,933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22,380,952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9,047,619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9,000,000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9,000,000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2,189,644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jc w:val="center"/>
              <w:ind w:left="42"/>
              <w:spacing w:after="0"/>
              <w:rPr>
                <w:sz w:val="20"/>
                <w:szCs w:val="20"/>
                <w:color w:val="auto"/>
              </w:rPr>
            </w:pPr>
            <w:r>
              <w:rPr>
                <w:rFonts w:ascii="Arial" w:cs="Arial" w:eastAsia="Arial" w:hAnsi="Arial"/>
                <w:sz w:val="14"/>
                <w:szCs w:val="14"/>
                <w:b w:val="1"/>
                <w:bCs w:val="1"/>
                <w:color w:val="auto"/>
                <w:w w:val="91"/>
              </w:rPr>
              <w:t>December 31, 2017</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Common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6"/>
              </w:rPr>
              <w:t>Preferred</w:t>
            </w:r>
          </w:p>
        </w:tc>
        <w:tc>
          <w:tcPr>
            <w:tcW w:w="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rPr>
              <w:t>Carrying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5"/>
              </w:rPr>
              <w:t>Liquidation</w:t>
            </w: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Issuable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Shares</w:t>
            </w:r>
          </w:p>
        </w:tc>
        <w:tc>
          <w:tcPr>
            <w:tcW w:w="40" w:type="dxa"/>
            <w:vAlign w:val="bottom"/>
          </w:tcPr>
          <w:p>
            <w:pPr>
              <w:spacing w:after="0"/>
              <w:rPr>
                <w:sz w:val="12"/>
                <w:szCs w:val="12"/>
                <w:color w:val="auto"/>
              </w:rPr>
            </w:pPr>
          </w:p>
        </w:tc>
        <w:tc>
          <w:tcPr>
            <w:tcW w:w="9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Issued and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Authorized</w:t>
            </w:r>
          </w:p>
        </w:tc>
        <w:tc>
          <w:tcPr>
            <w:tcW w:w="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Preference</w:t>
            </w:r>
          </w:p>
        </w:tc>
        <w:tc>
          <w:tcPr>
            <w:tcW w:w="12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3,333,333</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  1,500,000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1,500,000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120" w:type="dxa"/>
            <w:vAlign w:val="bottom"/>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5"/>
              </w:rPr>
              <w:t>31,639,202</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31,450,499</w:t>
            </w:r>
          </w:p>
        </w:tc>
        <w:tc>
          <w:tcPr>
            <w:tcW w:w="280" w:type="dxa"/>
            <w:vAlign w:val="bottom"/>
            <w:gridSpan w:val="2"/>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25,000,000</w:t>
            </w:r>
          </w:p>
        </w:tc>
        <w:tc>
          <w:tcPr>
            <w:tcW w:w="12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25,000,000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7,611,438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34,972,535</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34,783,832</w:t>
            </w: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$ 26,500,000</w:t>
            </w: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$ 26,500,000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8,418,149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the holders of the Preferred Stock have the following rights and preferences: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The holders of the Preferred Stock are entitled to vote, together with the holders of common stock, on all matters submitted to the stockholders for a vote and are entitled to the number of votes equal to the number of whole shares of common stock into which such holders of Preferred Stock could convert on the record date for determination of stockholders entitled to vote. Except for the actions requiring the approval or consent of the majority of the holders of Preferred Stock, the holders of Preferred Stock shall vote together with the holders of common stock and vote as a single class.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ind w:left="200" w:right="120" w:firstLine="441"/>
        <w:spacing w:after="0" w:line="312" w:lineRule="auto"/>
        <w:rPr>
          <w:sz w:val="20"/>
          <w:szCs w:val="20"/>
          <w:color w:val="auto"/>
        </w:rPr>
      </w:pPr>
      <w:r>
        <w:rPr>
          <w:rFonts w:ascii="Arial" w:cs="Arial" w:eastAsia="Arial" w:hAnsi="Arial"/>
          <w:sz w:val="16"/>
          <w:szCs w:val="16"/>
          <w:color w:val="auto"/>
        </w:rPr>
        <w:t>The holders of the Preferred Stock are entitled to receive noncumulative dividends when, as and if declared by the Board. The Company may not pay any dividends on shares of common stock of the Company unless the holders of Preferred Stock then outstanding simultaneously receive dividends at least equal to a fixed percentage of Preferred Stock. Through December 31, 2017, no cash dividends have been declared or paid.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the event of any voluntary or involuntary liquidation event, dissolution, winding up of the Company or upon the occurrence of certain events designated by a majority of the holders of the Preferred Stock to be a deemed liquidation event, each holder of the then outstanding Series A Preferred Stock will be entitled to receive, prior and in preference to any distributions to the holders of Series Seed Preferred Stock and common stock, an amount equal to the greater of (i) $0.7949 per share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After the payment of all preferential amounts to the holders of Series A Preferred Stock, each holder of the then outstanding Series Seed Preferred Stock will be entitled to receive, prior and in preference to any distributions to the holders of common stock, an amount equal to the greater of (i) $0.45 per share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88" w:lineRule="exact"/>
        <w:rPr>
          <w:sz w:val="20"/>
          <w:szCs w:val="20"/>
          <w:color w:val="auto"/>
        </w:rPr>
      </w:pPr>
    </w:p>
    <w:p>
      <w:pPr>
        <w:ind w:left="200" w:right="740" w:firstLine="441"/>
        <w:spacing w:after="0" w:line="308" w:lineRule="auto"/>
        <w:rPr>
          <w:sz w:val="20"/>
          <w:szCs w:val="20"/>
          <w:color w:val="auto"/>
        </w:rPr>
      </w:pPr>
      <w:r>
        <w:rPr>
          <w:rFonts w:ascii="Arial" w:cs="Arial" w:eastAsia="Arial" w:hAnsi="Arial"/>
          <w:sz w:val="17"/>
          <w:szCs w:val="17"/>
          <w:color w:val="auto"/>
        </w:rPr>
        <w:t>After payments have been made in full to the holders of the Preferred Stock, then, to the extent available, the remaining amounts will be distributed among the holders of the shares of common stock, pro rata based on the number of shares held by each holder.</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Each share of Preferred Stock is convertible into common stock, at any time, at the option of the holder, and without the payment of additional</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consideration, at the applicable conversion ratio then in effect for each series of Preferred Stock, initially set to be one-for-one, and subject to adjustment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in accordance with anti-dilution provisions. In addition, each share of Preferred Stock will be automatically converted into common stock at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applicable conversion ratio then in effect for each series of Preferred Stock upon the earlier of a qualified IPO which results in net proceeds of at least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$50,000 and the listing of the Company’s common stock on the New York Stock Exchange or the Nasdaq Stock Market, or upon a vote of the holders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 majority of the outstanding Preferred Stock. As of December 31, 2017, each share of Preferred Stock was convertible into 0.242 shares of common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stock and can be adjusted in the event of any stock dividend, stock split, combination or other similar recapitalization with respect to the Preferred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w:t>
      </w:r>
    </w:p>
    <w:p>
      <w:pPr>
        <w:spacing w:after="0" w:line="21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Company evaluated each series of its Preferred Stock and determined that each individual series is considered an equity host. In making this determination, the Company’s analysis followed the whole instrument approach which compares an individual feature against the entire preferred stock instrument which includes that feature. The Company’s analysis was based on a consideration of the economic characteristics and risks of each series of Preferred Stock. More specifically, the Company evaluated all of the stated and implied substantive terms and features, including: (1) whether the Preferred Stock included redemption features, (2) how and when any redemption features could be exercised, (3) whether the holders of Preferred Stock were entitled to dividends, (4) the voting rights of the Preferred Stock and (5) the existence and nature of any conversion rights. As a result of the Company’s conclusion that the Preferred Stock represents an equity host, the conversion feature of all series of Preferred Stock is considered to be clearly and closely related to the associated Preferred Stock host instrument. Accordingly, the conversion feature of all series of Preferred Stock is not considered an embedded derivative that requires bifurcation.</w:t>
      </w:r>
    </w:p>
    <w:p>
      <w:pPr>
        <w:spacing w:after="0" w:line="182"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accounts for potential beneficial conversion features at the time of issuance. The Company’s common stock into which each series of the Company’s Preferred Stock is convertible had an estimated fair value less than the effective conversion prices of the Preferred Stock at the time of each of the issuances of Preferred Stock. Therefore, there was no intrinsic value on the respective commitment dates. In addition, the Company considered the other features included within the Preferred Stock and determined that none of the other features required bifurcation and separate accounting.</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00"/>
          </w:cols>
          <w:pgMar w:left="24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Series Seed Preferred Stock and Series A Preferred Stock are redeemable at $0.45 per share and $0.7949 per share, respectively, (adjusted in the event of any stock dividend, stock split, combination or other similar activity) plus any declared but unpaid dividends, on or after July 21, 2021 at the written election of at least a majority of the holders of Preferred Stock voting together as a single class. The redemption is paid in three annual installments. No bifurcation of the redemption feature was required as the feature does not contain the characteristics of a derivative instrument.</w:t>
      </w:r>
    </w:p>
    <w:p>
      <w:pPr>
        <w:spacing w:after="0" w:line="154"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the Preferred Stock is redeemable upon the passage of time, the Preferred Stock has been classified outside of permanent equity. The Company has elected to record the changes in the redemption value immediately as they occur.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As of December 31, 2016 and 2017, the authorized capital stock of the Company included 40,000,000 and 51,000,000 shares of common stock, $0.0001 par value, respectively. The voting, dividend and liquidation rights of the holders of the Company’s common stock are subject to and qualified by the rights, powers and preferences of the holders of the Preferred Stock set forth above.</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January 27, 2016, the Company modified the terms of 330,750 shares of common stock which were issued to four employees in November 17,</w:t>
      </w:r>
    </w:p>
    <w:p>
      <w:pPr>
        <w:spacing w:after="0" w:line="46" w:lineRule="exact"/>
        <w:rPr>
          <w:sz w:val="20"/>
          <w:szCs w:val="20"/>
          <w:color w:val="auto"/>
        </w:rPr>
      </w:pPr>
    </w:p>
    <w:p>
      <w:pPr>
        <w:ind w:left="200" w:right="360"/>
        <w:spacing w:after="0" w:line="261" w:lineRule="auto"/>
        <w:rPr>
          <w:sz w:val="20"/>
          <w:szCs w:val="20"/>
          <w:color w:val="auto"/>
        </w:rPr>
      </w:pPr>
      <w:r>
        <w:rPr>
          <w:rFonts w:ascii="Arial" w:cs="Arial" w:eastAsia="Arial" w:hAnsi="Arial"/>
          <w:sz w:val="18"/>
          <w:szCs w:val="18"/>
          <w:color w:val="auto"/>
        </w:rPr>
        <w:t>2015 to add a vesting condition. The restrictions lapse according to the time-based vesting conditions of each award. During each of the years ended December 31, 2016 and 2017, 82,686 shares of these restricted common stock awards vested.</w:t>
      </w:r>
    </w:p>
    <w:p>
      <w:pPr>
        <w:spacing w:after="0" w:line="184"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Each share of common stock entitles the holder to one vote, together with the holders of the Preferred Stock, on all matters submitted to the stockholders for a vote. The holders of the Preferred Stock, voting as a single class, are entitled to elect three directors of the Company. The holders of common stock, together with the holders of the Preferred Stock and voting as a single class, are entitled to elect two directors of the Company. The holders of common stock and of any other class or series of voting stock (including the Preferred Stock), voting together as a single class, are entitled to elect the remaining directors of the Company. Common stockholders are entitled to receive dividends, as may be declared by the Board, if any, subject to the preferential dividend rights of the Preferred Stock. Through December 31, 2017, no cash dividends have been declared or paid.</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2016 and 2017, the Company has reserved the following shares of common stock for future issuance: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0" w:type="dxa"/>
            <w:vAlign w:val="bottom"/>
            <w:gridSpan w:val="4"/>
          </w:tcPr>
          <w:p>
            <w:pPr>
              <w:ind w:lef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82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2016</w:t>
            </w:r>
          </w:p>
        </w:tc>
        <w:tc>
          <w:tcPr>
            <w:tcW w:w="110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reserved for Series Seed Preferred Stock outstanding</w:t>
            </w:r>
          </w:p>
        </w:tc>
        <w:tc>
          <w:tcPr>
            <w:tcW w:w="37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Shares reserved for Series A Preferred Stock outstanding</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1,382,933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7,611,438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vesting of restricted stock awards</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409,406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276,301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4540" w:type="dxa"/>
            <w:vAlign w:val="bottom"/>
            <w:gridSpan w:val="2"/>
          </w:tcPr>
          <w:p>
            <w:pPr>
              <w:jc w:val="right"/>
              <w:spacing w:after="0"/>
              <w:rPr>
                <w:sz w:val="20"/>
                <w:szCs w:val="20"/>
                <w:color w:val="auto"/>
              </w:rPr>
            </w:pPr>
            <w:r>
              <w:rPr>
                <w:rFonts w:ascii="Arial" w:cs="Arial" w:eastAsia="Arial" w:hAnsi="Arial"/>
                <w:sz w:val="18"/>
                <w:szCs w:val="18"/>
                <w:color w:val="auto"/>
              </w:rPr>
              <w:t>599,439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1,034,961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88"/>
              </w:rPr>
              <w:t>Shares reserved for issuance under the 2015 Stock Option and Grant Plan</w:t>
            </w:r>
          </w:p>
        </w:tc>
        <w:tc>
          <w:tcPr>
            <w:tcW w:w="4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52,710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143,717</w:t>
            </w:r>
          </w:p>
        </w:tc>
        <w:tc>
          <w:tcPr>
            <w:tcW w:w="80" w:type="dxa"/>
            <w:vAlign w:val="bottom"/>
            <w:shd w:val="clear" w:color="auto" w:fill="CCEEFF"/>
          </w:tcPr>
          <w:p>
            <w:pPr>
              <w:spacing w:after="0"/>
              <w:rPr>
                <w:sz w:val="18"/>
                <w:szCs w:val="18"/>
                <w:color w:val="auto"/>
              </w:rPr>
            </w:pPr>
          </w:p>
        </w:tc>
      </w:tr>
      <w:tr>
        <w:trPr>
          <w:trHeight w:val="223"/>
        </w:trPr>
        <w:tc>
          <w:tcPr>
            <w:tcW w:w="5320" w:type="dxa"/>
            <w:vAlign w:val="bottom"/>
            <w:gridSpan w:val="2"/>
          </w:tcPr>
          <w:p>
            <w:pPr>
              <w:spacing w:after="0"/>
              <w:rPr>
                <w:sz w:val="20"/>
                <w:szCs w:val="20"/>
                <w:color w:val="auto"/>
              </w:rPr>
            </w:pPr>
            <w:r>
              <w:rPr>
                <w:rFonts w:ascii="Arial" w:cs="Arial" w:eastAsia="Arial" w:hAnsi="Arial"/>
                <w:sz w:val="18"/>
                <w:szCs w:val="18"/>
                <w:color w:val="auto"/>
                <w:w w:val="95"/>
              </w:rPr>
              <w:t>Total shares of authorized common stock reserved for future issuance</w:t>
            </w:r>
          </w:p>
        </w:tc>
        <w:tc>
          <w:tcPr>
            <w:tcW w:w="37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3,251,199</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9,873,128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4540" w:type="dxa"/>
            <w:vAlign w:val="bottom"/>
            <w:gridSpan w:val="2"/>
          </w:tcPr>
          <w:p>
            <w:pPr>
              <w:jc w:val="right"/>
              <w:ind w:right="4099"/>
              <w:spacing w:after="0"/>
              <w:rPr>
                <w:sz w:val="20"/>
                <w:szCs w:val="20"/>
                <w:color w:val="auto"/>
              </w:rPr>
            </w:pPr>
            <w:r>
              <w:rPr>
                <w:rFonts w:ascii="Arial" w:cs="Arial" w:eastAsia="Arial" w:hAnsi="Arial"/>
                <w:sz w:val="18"/>
                <w:szCs w:val="18"/>
                <w:color w:val="auto"/>
                <w:w w:val="91"/>
              </w:rPr>
              <w:t>F-23</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54"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total number of common shares that may be issued under the 2015 Plan was 1,340,020 shares as of December 31, 2017, of which 143,717 shares remained available for future grant.</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Shares that expire, are terminated, surrendered or canceled under the 2015 Plan without having been fully exercised will be available for future awards. In addition, shares of common stock that are tendered to the Company by a participant to exercise an award are added to the number of shares of common stock available for future awards.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2015 Plan is administered by the Board. Equity awards granted to employees and members of the Board typically vest over four years.</w:t>
      </w:r>
    </w:p>
    <w:p>
      <w:pPr>
        <w:spacing w:after="0" w:line="23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During the years ended December 31, 2016 and 2017, the Company granted options to purchase 599,439 shares and 433,102 shares, respectively, of common stock to employees and members of the Board.</w:t>
      </w:r>
    </w:p>
    <w:p>
      <w:pPr>
        <w:spacing w:after="0" w:line="170"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During the year ended December 31, 2017, the Company granted options to purchase 2,420 shares of common stock to a non-employee. The stock-based compensation expense for options granted to non-employees is nominal during the year ended December 31, 2017. The Company did not grant options to purchase shares of common stock to non-employees during the year ended December 31, 2016.</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were as follows, presented on a weighted-average basis:</w:t>
      </w:r>
    </w:p>
    <w:p>
      <w:pPr>
        <w:spacing w:after="0" w:line="189" w:lineRule="exact"/>
        <w:rPr>
          <w:sz w:val="20"/>
          <w:szCs w:val="20"/>
          <w:color w:val="auto"/>
        </w:rPr>
      </w:pPr>
    </w:p>
    <w:p>
      <w:pPr>
        <w:jc w:val="center"/>
        <w:ind w:left="9280"/>
        <w:spacing w:after="0"/>
        <w:rPr>
          <w:sz w:val="20"/>
          <w:szCs w:val="20"/>
          <w:color w:val="auto"/>
        </w:rPr>
      </w:pPr>
      <w:r>
        <w:rPr>
          <w:rFonts w:ascii="Arial" w:cs="Arial" w:eastAsia="Arial" w:hAnsi="Arial"/>
          <w:sz w:val="14"/>
          <w:szCs w:val="14"/>
          <w:b w:val="1"/>
          <w:bCs w:val="1"/>
          <w:color w:val="auto"/>
        </w:rPr>
        <w:t>Year Ended</w:t>
      </w:r>
    </w:p>
    <w:p>
      <w:pPr>
        <w:jc w:val="center"/>
        <w:ind w:left="92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582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5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6680" w:type="dxa"/>
            <w:vAlign w:val="bottom"/>
            <w:gridSpan w:val="3"/>
          </w:tcPr>
          <w:p>
            <w:pPr>
              <w:jc w:val="right"/>
              <w:ind w:right="260"/>
              <w:spacing w:after="0"/>
              <w:rPr>
                <w:sz w:val="20"/>
                <w:szCs w:val="20"/>
                <w:color w:val="auto"/>
              </w:rPr>
            </w:pPr>
            <w:r>
              <w:rPr>
                <w:rFonts w:ascii="Arial" w:cs="Arial" w:eastAsia="Arial" w:hAnsi="Arial"/>
                <w:sz w:val="18"/>
                <w:szCs w:val="18"/>
                <w:color w:val="auto"/>
              </w:rPr>
              <w:t>1.39%</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1.93%</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6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86.00%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84.54%</w:t>
            </w: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582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350"/>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680" w:type="dxa"/>
            <w:vAlign w:val="bottom"/>
            <w:gridSpan w:val="3"/>
          </w:tcPr>
          <w:p>
            <w:pPr>
              <w:jc w:val="right"/>
              <w:ind w:right="4680"/>
              <w:spacing w:after="0"/>
              <w:rPr>
                <w:sz w:val="20"/>
                <w:szCs w:val="20"/>
                <w:color w:val="auto"/>
              </w:rPr>
            </w:pPr>
            <w:r>
              <w:rPr>
                <w:rFonts w:ascii="Arial" w:cs="Arial" w:eastAsia="Arial" w:hAnsi="Arial"/>
                <w:sz w:val="18"/>
                <w:szCs w:val="18"/>
                <w:color w:val="auto"/>
              </w:rPr>
              <w:t>F-24</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stock option activity for the year ended December 31,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3"/>
            <w:vMerge w:val="restart"/>
          </w:tcPr>
          <w:p>
            <w:pPr>
              <w:jc w:val="center"/>
              <w:ind w:left="433"/>
              <w:spacing w:after="0"/>
              <w:rPr>
                <w:sz w:val="20"/>
                <w:szCs w:val="20"/>
                <w:color w:val="auto"/>
              </w:rPr>
            </w:pPr>
            <w:r>
              <w:rPr>
                <w:rFonts w:ascii="Arial" w:cs="Arial" w:eastAsia="Arial" w:hAnsi="Arial"/>
                <w:sz w:val="14"/>
                <w:szCs w:val="14"/>
                <w:b w:val="1"/>
                <w:bCs w:val="1"/>
                <w:color w:val="auto"/>
                <w:w w:val="94"/>
              </w:rPr>
              <w:t>Weighted-</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240" w:type="dxa"/>
            <w:vAlign w:val="bottom"/>
            <w:gridSpan w:val="4"/>
            <w:vMerge w:val="restart"/>
          </w:tcPr>
          <w:p>
            <w:pPr>
              <w:ind w:left="540"/>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5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300" w:type="dxa"/>
            <w:vAlign w:val="bottom"/>
            <w:gridSpan w:val="2"/>
          </w:tcPr>
          <w:p>
            <w:pPr>
              <w:jc w:val="center"/>
              <w:ind w:left="43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5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0" w:type="dxa"/>
            <w:vAlign w:val="bottom"/>
          </w:tcPr>
          <w:p>
            <w:pPr>
              <w:jc w:val="right"/>
              <w:ind w:right="74"/>
              <w:spacing w:after="0"/>
              <w:rPr>
                <w:sz w:val="20"/>
                <w:szCs w:val="20"/>
                <w:color w:val="auto"/>
              </w:rPr>
            </w:pPr>
            <w:r>
              <w:rPr>
                <w:rFonts w:ascii="Arial" w:cs="Arial" w:eastAsia="Arial" w:hAnsi="Arial"/>
                <w:sz w:val="14"/>
                <w:szCs w:val="14"/>
                <w:b w:val="1"/>
                <w:bCs w:val="1"/>
                <w:color w:val="auto"/>
              </w:rPr>
              <w:t>Options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32"/>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2016</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599,439</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5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435,522</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0.91</w:t>
            </w:r>
          </w:p>
        </w:tc>
        <w:tc>
          <w:tcPr>
            <w:tcW w:w="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Cancelled or forfeited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1,034,961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2017</w:t>
            </w:r>
          </w:p>
        </w:tc>
        <w:tc>
          <w:tcPr>
            <w:tcW w:w="800" w:type="dxa"/>
            <w:vAlign w:val="bottom"/>
            <w:tcBorders>
              <w:bottom w:val="single" w:sz="8" w:color="auto"/>
            </w:tcBorders>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0.68</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auto"/>
              </w:rPr>
              <w:t>8.46</w:t>
            </w:r>
          </w:p>
        </w:tc>
        <w:tc>
          <w:tcPr>
            <w:tcW w:w="660" w:type="dxa"/>
            <w:vAlign w:val="bottom"/>
            <w:gridSpan w:val="2"/>
            <w:vMerge w:val="restart"/>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633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185,446</w:t>
            </w:r>
          </w:p>
        </w:tc>
        <w:tc>
          <w:tcPr>
            <w:tcW w:w="6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December 31, 2017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849,515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6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at December 31, 2017.</w:t>
      </w:r>
    </w:p>
    <w:p>
      <w:pPr>
        <w:spacing w:after="0" w:line="18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weighted-average grant-date fair value of the Company’s stock options granted during the years ended December 31, 2016 and 2017 was $0.50 and $1.50,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The Company has granted restricted common stock with time-based vesting conditions to certain employees of the Company. The purchase price of the restricted stock awards are determined by the Board. The Company also, in January 2016, modified 330,750 shares of common stock which were issued to four employees in November 17, 2015 to add a vesting condition (see Note 9). Unvested shares of restricted common stock may not be sold or transferred by the holder. These restrictions lapse according to the time-based vesting conditions of each award. The Company has the option to repurchase the restricted stock awards at the original purchase price if the grantee terminates its working relationship with the Company prior to the vesting date.</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restricted common stock activity for the year ended December 31, 2017:</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w:t>
            </w:r>
          </w:p>
        </w:tc>
        <w:tc>
          <w:tcPr>
            <w:tcW w:w="1440" w:type="dxa"/>
            <w:vAlign w:val="bottom"/>
            <w:gridSpan w:val="3"/>
          </w:tcPr>
          <w:p>
            <w:pPr>
              <w:jc w:val="center"/>
              <w:ind w:left="214"/>
              <w:spacing w:after="0"/>
              <w:rPr>
                <w:sz w:val="20"/>
                <w:szCs w:val="20"/>
                <w:color w:val="auto"/>
              </w:rPr>
            </w:pPr>
            <w:r>
              <w:rPr>
                <w:rFonts w:ascii="Arial" w:cs="Arial" w:eastAsia="Arial" w:hAnsi="Arial"/>
                <w:sz w:val="14"/>
                <w:szCs w:val="14"/>
                <w:b w:val="1"/>
                <w:bCs w:val="1"/>
                <w:color w:val="auto"/>
                <w:w w:val="92"/>
              </w:rPr>
              <w:t>Weighted-Average</w:t>
            </w:r>
          </w:p>
        </w:tc>
        <w:tc>
          <w:tcPr>
            <w:tcW w:w="1340" w:type="dxa"/>
            <w:vAlign w:val="bottom"/>
            <w:gridSpan w:val="4"/>
          </w:tcPr>
          <w:p>
            <w:pPr>
              <w:ind w:left="640"/>
              <w:spacing w:after="0"/>
              <w:rPr>
                <w:sz w:val="20"/>
                <w:szCs w:val="20"/>
                <w:color w:val="auto"/>
              </w:rPr>
            </w:pPr>
            <w:r>
              <w:rPr>
                <w:rFonts w:ascii="Arial" w:cs="Arial" w:eastAsia="Arial" w:hAnsi="Arial"/>
                <w:sz w:val="14"/>
                <w:szCs w:val="14"/>
                <w:b w:val="1"/>
                <w:bCs w:val="1"/>
                <w:color w:val="auto"/>
                <w:w w:val="98"/>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6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of Shares</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center"/>
              <w:ind w:right="154"/>
              <w:spacing w:after="0"/>
              <w:rPr>
                <w:sz w:val="20"/>
                <w:szCs w:val="20"/>
                <w:color w:val="auto"/>
              </w:rPr>
            </w:pPr>
            <w:r>
              <w:rPr>
                <w:rFonts w:ascii="Arial" w:cs="Arial" w:eastAsia="Arial" w:hAnsi="Arial"/>
                <w:sz w:val="14"/>
                <w:szCs w:val="14"/>
                <w:b w:val="1"/>
                <w:bCs w:val="1"/>
                <w:color w:val="auto"/>
                <w:w w:val="90"/>
              </w:rPr>
              <w:t>Value</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 and unvested as of December 31, 2016</w:t>
            </w:r>
          </w:p>
        </w:tc>
        <w:tc>
          <w:tcPr>
            <w:tcW w:w="28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409,406</w:t>
            </w:r>
          </w:p>
        </w:tc>
        <w:tc>
          <w:tcPr>
            <w:tcW w:w="3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Vested</w:t>
            </w:r>
          </w:p>
        </w:tc>
        <w:tc>
          <w:tcPr>
            <w:tcW w:w="3940" w:type="dxa"/>
            <w:vAlign w:val="bottom"/>
            <w:gridSpan w:val="3"/>
          </w:tcPr>
          <w:p>
            <w:pPr>
              <w:jc w:val="right"/>
              <w:ind w:right="320"/>
              <w:spacing w:after="0"/>
              <w:rPr>
                <w:sz w:val="20"/>
                <w:szCs w:val="20"/>
                <w:color w:val="auto"/>
              </w:rPr>
            </w:pPr>
            <w:r>
              <w:rPr>
                <w:rFonts w:ascii="Arial" w:cs="Arial" w:eastAsia="Arial" w:hAnsi="Arial"/>
                <w:sz w:val="18"/>
                <w:szCs w:val="18"/>
                <w:color w:val="auto"/>
              </w:rPr>
              <w:t>(133,105)</w:t>
            </w: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0.42</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Forfeited, canceled or expired</w:t>
            </w:r>
          </w:p>
        </w:tc>
        <w:tc>
          <w:tcPr>
            <w:tcW w:w="28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Issued and unvested as of December 31, 2017</w:t>
            </w:r>
          </w:p>
        </w:tc>
        <w:tc>
          <w:tcPr>
            <w:tcW w:w="28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276,301</w:t>
            </w:r>
          </w:p>
        </w:tc>
        <w:tc>
          <w:tcPr>
            <w:tcW w:w="380" w:type="dxa"/>
            <w:vAlign w:val="bottom"/>
          </w:tcPr>
          <w:p>
            <w:pPr>
              <w:spacing w:after="0"/>
              <w:rPr>
                <w:sz w:val="19"/>
                <w:szCs w:val="19"/>
                <w:color w:val="auto"/>
              </w:rPr>
            </w:pPr>
          </w:p>
        </w:tc>
        <w:tc>
          <w:tcPr>
            <w:tcW w:w="5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0.42</w:t>
            </w:r>
          </w:p>
        </w:tc>
        <w:tc>
          <w:tcPr>
            <w:tcW w:w="760" w:type="dxa"/>
            <w:vAlign w:val="bottom"/>
            <w:gridSpan w:val="2"/>
          </w:tcPr>
          <w:p>
            <w:pPr>
              <w:ind w:left="64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1,130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940" w:type="dxa"/>
            <w:vAlign w:val="bottom"/>
            <w:gridSpan w:val="3"/>
          </w:tcPr>
          <w:p>
            <w:pPr>
              <w:jc w:val="right"/>
              <w:ind w:right="2580"/>
              <w:spacing w:after="0"/>
              <w:rPr>
                <w:sz w:val="20"/>
                <w:szCs w:val="20"/>
                <w:color w:val="auto"/>
              </w:rPr>
            </w:pPr>
            <w:r>
              <w:rPr>
                <w:rFonts w:ascii="Arial" w:cs="Arial" w:eastAsia="Arial" w:hAnsi="Arial"/>
                <w:sz w:val="18"/>
                <w:szCs w:val="18"/>
                <w:color w:val="auto"/>
              </w:rPr>
              <w:t>F-25</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35"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The weighted-average grant date fair value of restricted common stock awards granted during the year ended December 31, 2016 was $0.42 per share. The total fair value of restricted common stock vested during the years ended December 31, 2016 and 2017 was $34 and $55, respectively.</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2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14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7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4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$ 32</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480" w:type="dxa"/>
            <w:vAlign w:val="bottom"/>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expense</w:t>
            </w:r>
          </w:p>
        </w:tc>
        <w:tc>
          <w:tcPr>
            <w:tcW w:w="3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As of December 31, 2017, total unrecognized compensation cost related to the unvested stock-based awards was $897, which is expected to be recognized over a weighted-average period of 3.26 years.</w:t>
      </w:r>
    </w:p>
    <w:p>
      <w:pPr>
        <w:spacing w:after="0" w:line="275" w:lineRule="exact"/>
        <w:rPr>
          <w:sz w:val="20"/>
          <w:szCs w:val="20"/>
          <w:color w:val="auto"/>
        </w:rPr>
      </w:pPr>
    </w:p>
    <w:p>
      <w:pPr>
        <w:ind w:left="640" w:right="8900" w:hanging="436"/>
        <w:spacing w:after="0" w:line="425" w:lineRule="auto"/>
        <w:tabs>
          <w:tab w:leader="none" w:pos="46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License Agreements </w:t>
      </w:r>
      <w:r>
        <w:rPr>
          <w:rFonts w:ascii="Arial" w:cs="Arial" w:eastAsia="Arial" w:hAnsi="Arial"/>
          <w:sz w:val="16"/>
          <w:szCs w:val="16"/>
          <w:b w:val="1"/>
          <w:bCs w:val="1"/>
          <w:i w:val="1"/>
          <w:iCs w:val="1"/>
          <w:color w:val="auto"/>
        </w:rPr>
        <w:t>Agreements with UHN</w:t>
      </w:r>
    </w:p>
    <w:p>
      <w:pPr>
        <w:spacing w:after="0" w:line="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mid-single-digit percentage of annual net sales of licensed products and a lower single-digit royalty percentage in certain circumstances. Additionally, the Company has agreed to pay a low double-digit royalty percentage of all sublicensing revenue.</w:t>
      </w:r>
    </w:p>
    <w:p>
      <w:pPr>
        <w:spacing w:after="0" w:line="193" w:lineRule="exact"/>
        <w:rPr>
          <w:sz w:val="20"/>
          <w:szCs w:val="20"/>
          <w:color w:val="auto"/>
        </w:rPr>
      </w:pPr>
    </w:p>
    <w:p>
      <w:pPr>
        <w:jc w:val="both"/>
        <w:ind w:left="200" w:right="180" w:firstLine="441"/>
        <w:spacing w:after="0" w:line="264" w:lineRule="auto"/>
        <w:rPr>
          <w:sz w:val="20"/>
          <w:szCs w:val="20"/>
          <w:color w:val="auto"/>
        </w:rPr>
      </w:pPr>
      <w:r>
        <w:rPr>
          <w:rFonts w:ascii="Arial" w:cs="Arial" w:eastAsia="Arial" w:hAnsi="Arial"/>
          <w:sz w:val="18"/>
          <w:szCs w:val="18"/>
          <w:color w:val="auto"/>
        </w:rPr>
        <w:t>The agreement requires the Company to meet certain performance milestones within specified timeframes. UHN may terminate the agreement if the Company fails to meet these performance milestones despite using commercially reasonable efforts and the Company is unable to reach agreement with UHN on revised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240" w:top="460" w:right="41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200" w:right="80"/>
        <w:spacing w:after="0" w:line="286" w:lineRule="auto"/>
        <w:rPr>
          <w:sz w:val="20"/>
          <w:szCs w:val="20"/>
          <w:color w:val="auto"/>
        </w:rPr>
      </w:pPr>
      <w:r>
        <w:rPr>
          <w:rFonts w:ascii="Arial" w:cs="Arial" w:eastAsia="Arial" w:hAnsi="Arial"/>
          <w:sz w:val="17"/>
          <w:szCs w:val="17"/>
          <w:color w:val="auto"/>
        </w:rPr>
        <w:t>timeframes. The Company’s royalty obligation expires on a licensed product-by-licensed product and 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For the years ended December 31, 2016 and 2017, the Company recorded research and development expense of $87 and $16, respectively, which consists of the license option fee, the upfront fee and maintenance fees.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The fair value of the shares issued to UHN of $480 and the upfront fee was expensed upon the execution of the agreement. In addition, the Company agreed to pay UHN up to $2,000 upon the closing of an IPO if certain criteria are met. This obligation is considered a derivative instrument and was initially recorded at fair value of $49.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73"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agreement requires the Company to meet certain due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5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For the years ended December 31, 2016 and 2017, the Company recorded research and development expense related to this agreement with UHN of $785 and $151, respectively, which consists of upfront fees, the fair value of the shares and derivative instrument issued to UHN, and license maintenance fees and development milestone payments.</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60"/>
          </w:cols>
          <w:pgMar w:left="240" w:top="459" w:right="4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Series B Preferred Stock to BioMarin at the time of our Series B Preferred Stock financing in January 2018. Both the upfront cash payment of $500 and the value of the shares Series B Preferred Stock issued of $500 were recorded as research and development expense during the year ended December 31, 2017.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w:t>
      </w:r>
    </w:p>
    <w:p>
      <w:pPr>
        <w:spacing w:after="0" w:line="17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 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The Company recorded research and development expense of $1,000 for the year ended December 31, 2017, which consisted of upfront fees related to the license.</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On November 17, 2016, the Company entered into a license agreement with affiliates of Lund University, along with certain other relevant rights holders that may be added from time to time, pursuant to which such rights holders granted to the Company an exclusive worldwide license, subject to certain retained rights, under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00"/>
          </w:cols>
          <w:pgMar w:left="240" w:top="460"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 (iv) 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For the years ended December 31, 2016 and 2017, the Company did not record a current or deferred income tax expense or (benefit) due to current and historical losses incurred by the Company. The Company’s operations are predominantly based in the United States and the Company’s foreign subsidiaries generated de minimis profit for the years ended December 31, 2016 and 2017.</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enactment of the Tax Cuts and Jobs Act (“TCJA”) in December 2017, as further described below, resulted in a remeasurement of the Company’s net deferred tax asset due to the reduction in the corporate income tax rate from 35% to a 21% flat tax, which is included in the Company’s 2017 rate reconciliation.</w:t>
      </w:r>
    </w:p>
    <w:p>
      <w:pPr>
        <w:spacing w:after="0" w:line="18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A reconciliation of income tax expense (benefit) computed at the statutory federal income tax rate to income taxes as reflected in the consolidated financial statements is as follows:</w:t>
      </w:r>
    </w:p>
    <w:p>
      <w:pPr>
        <w:spacing w:after="0" w:line="189" w:lineRule="exact"/>
        <w:rPr>
          <w:sz w:val="20"/>
          <w:szCs w:val="20"/>
          <w:color w:val="auto"/>
        </w:rPr>
      </w:pPr>
    </w:p>
    <w:p>
      <w:pPr>
        <w:jc w:val="center"/>
        <w:ind w:left="9240"/>
        <w:spacing w:after="0"/>
        <w:rPr>
          <w:sz w:val="20"/>
          <w:szCs w:val="20"/>
          <w:color w:val="auto"/>
        </w:rPr>
      </w:pPr>
      <w:r>
        <w:rPr>
          <w:rFonts w:ascii="Arial" w:cs="Arial" w:eastAsia="Arial" w:hAnsi="Arial"/>
          <w:sz w:val="14"/>
          <w:szCs w:val="14"/>
          <w:b w:val="1"/>
          <w:bCs w:val="1"/>
          <w:color w:val="auto"/>
        </w:rPr>
        <w:t>Year Ended</w:t>
      </w:r>
    </w:p>
    <w:p>
      <w:pPr>
        <w:jc w:val="center"/>
        <w:ind w:left="92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expense at statutory rate</w:t>
            </w:r>
          </w:p>
        </w:tc>
        <w:tc>
          <w:tcPr>
            <w:tcW w:w="5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6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(0.8)</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U.S.—TCJA</w:t>
            </w:r>
          </w:p>
        </w:tc>
        <w:tc>
          <w:tcPr>
            <w:tcW w:w="520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5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Research and development tax credits</w:t>
            </w:r>
          </w:p>
        </w:tc>
        <w:tc>
          <w:tcPr>
            <w:tcW w:w="56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5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(40.6)</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(24.9)</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color w:val="auto"/>
              </w:rPr>
              <w:t>Effective income tax rate</w:t>
            </w:r>
          </w:p>
        </w:tc>
        <w:tc>
          <w:tcPr>
            <w:tcW w:w="5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gridSpan w:val="2"/>
            <w:vMerge w:val="continue"/>
          </w:tcPr>
          <w:p>
            <w:pPr>
              <w:spacing w:after="0"/>
              <w:rPr>
                <w:sz w:val="19"/>
                <w:szCs w:val="19"/>
                <w:color w:val="auto"/>
              </w:rPr>
            </w:pPr>
          </w:p>
        </w:tc>
        <w:tc>
          <w:tcPr>
            <w:tcW w:w="5200" w:type="dxa"/>
            <w:vAlign w:val="bottom"/>
          </w:tcPr>
          <w:p>
            <w:pPr>
              <w:spacing w:after="0"/>
              <w:rPr>
                <w:sz w:val="19"/>
                <w:szCs w:val="19"/>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140" w:type="dxa"/>
            <w:vAlign w:val="bottom"/>
            <w:gridSpan w:val="3"/>
          </w:tcPr>
          <w:p>
            <w:pPr>
              <w:jc w:val="right"/>
              <w:ind w:right="4720"/>
              <w:spacing w:after="0"/>
              <w:rPr>
                <w:sz w:val="20"/>
                <w:szCs w:val="20"/>
                <w:color w:val="auto"/>
              </w:rPr>
            </w:pPr>
            <w:r>
              <w:rPr>
                <w:rFonts w:ascii="Arial" w:cs="Arial" w:eastAsia="Arial" w:hAnsi="Arial"/>
                <w:sz w:val="18"/>
                <w:szCs w:val="18"/>
                <w:color w:val="auto"/>
              </w:rPr>
              <w:t>F-29</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Deferred taxes are recognized for temporary differences between the basis of assets and liabilities for financial statement and income tax purposes.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significant components of the Company’s deferred tax assets and liabilities are comprised of the following:</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U.S., foreign, and state net operating loss carryforwards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1,435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Capitalized start up and organizational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Equity based compensation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Derivative liability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Licensing agreements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Accruals and other</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1"/>
              </w:rPr>
              <w:t>(1,898)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1"/>
              </w:rPr>
              <w:t>(6,466)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deferred tax assets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340"/>
              <w:spacing w:after="0"/>
              <w:rPr>
                <w:sz w:val="20"/>
                <w:szCs w:val="20"/>
                <w:color w:val="auto"/>
              </w:rPr>
            </w:pPr>
            <w:r>
              <w:rPr>
                <w:rFonts w:ascii="Arial" w:cs="Arial" w:eastAsia="Arial" w:hAnsi="Arial"/>
                <w:sz w:val="18"/>
                <w:szCs w:val="18"/>
                <w:color w:val="auto"/>
              </w:rPr>
              <w:t>Total deferred tax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Company has evaluated the positive and negative evidence bearing upon the realizability of its deferred tax assets. As of December 31, 2016 and 2017, based on the Company’s history of operating losses, the Company has concluded that it is not more likely than not that the benefit of its deferred tax assets will be realized. Accordingly, the Company has provided a full valuation allowance for deferred tax assets as of December 31, 2016 and 2017. The valuation allowance increased $1,898 and $4,568 during the years ended December 31, 2016 and 2017, respectively, due primarily to net operating losses generated.</w:t>
      </w:r>
    </w:p>
    <w:p>
      <w:pPr>
        <w:spacing w:after="0" w:line="18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As of December 31, 2016 and 2017, the Company had U.S. federal net operating loss carryforwards of $3,659 and $19,007, respectively, that may be available to offset future income tax liabilities. The TCJA will generally allow losses incurred after 2017 to be carried over indefinitely, but will generally limit the net operating loss deduction to the lesser of the net operating loss carryover or 80% of a corporation’s taxable income. Also, there will be no carryback for net operating losses incurred after 2017. Net operating losses incurred prior to 2018 will generally be deductible to the extent of the lesser of a corporation’s net operating loss carryover or 100% of a corporation’s taxable income, and be available to offset future taxable income for a period of twenty years.</w:t>
      </w:r>
    </w:p>
    <w:p>
      <w:pPr>
        <w:spacing w:after="0" w:line="19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Company has early adopted the provisions of ASU 2016-09</w:t>
      </w:r>
      <w:r>
        <w:rPr>
          <w:rFonts w:ascii="Arial" w:cs="Arial" w:eastAsia="Arial" w:hAnsi="Arial"/>
          <w:sz w:val="18"/>
          <w:szCs w:val="18"/>
          <w:i w:val="1"/>
          <w:iCs w:val="1"/>
          <w:color w:val="auto"/>
        </w:rPr>
        <w:t>, Compensation—Stock Compensation (Topic 718 Improvements to Employee</w:t>
      </w:r>
      <w:r>
        <w:rPr>
          <w:rFonts w:ascii="Arial" w:cs="Arial" w:eastAsia="Arial" w:hAnsi="Arial"/>
          <w:sz w:val="18"/>
          <w:szCs w:val="18"/>
          <w:color w:val="auto"/>
        </w:rPr>
        <w:t xml:space="preserve"> </w:t>
      </w:r>
      <w:r>
        <w:rPr>
          <w:rFonts w:ascii="Arial" w:cs="Arial" w:eastAsia="Arial" w:hAnsi="Arial"/>
          <w:sz w:val="18"/>
          <w:szCs w:val="18"/>
          <w:i w:val="1"/>
          <w:iCs w:val="1"/>
          <w:color w:val="auto"/>
        </w:rPr>
        <w:t>Share-Based Payment Accounting)</w:t>
      </w:r>
      <w:r>
        <w:rPr>
          <w:rFonts w:ascii="Arial" w:cs="Arial" w:eastAsia="Arial" w:hAnsi="Arial"/>
          <w:sz w:val="18"/>
          <w:szCs w:val="18"/>
          <w:color w:val="auto"/>
        </w:rPr>
        <w:t>, for its year ended December 31, 2016. ASU 2016-09 requires companies to include the benefit of an option</w:t>
      </w:r>
      <w:r>
        <w:rPr>
          <w:rFonts w:ascii="Arial" w:cs="Arial" w:eastAsia="Arial" w:hAnsi="Arial"/>
          <w:sz w:val="18"/>
          <w:szCs w:val="18"/>
          <w:i w:val="1"/>
          <w:iCs w:val="1"/>
          <w:color w:val="auto"/>
        </w:rPr>
        <w:t xml:space="preserve"> </w:t>
      </w:r>
      <w:r>
        <w:rPr>
          <w:rFonts w:ascii="Arial" w:cs="Arial" w:eastAsia="Arial" w:hAnsi="Arial"/>
          <w:sz w:val="18"/>
          <w:szCs w:val="18"/>
          <w:color w:val="auto"/>
        </w:rPr>
        <w:t>deduction in its net operating loss carryforward deferred tax asset. The Company did not have any deductions associated with stock-based payments, and therefore the adoption of ASU 2016-09 did not impact the Company’s deferred tax asset for net operating loss carryforwards. Furthermore, since the Company has historically maintained a full valuation allowance on its net worldwide deferred tax asset, there is no net impact to retained earnings from the adoption of ASU 2016-09.</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 (continued)</w:t>
      </w:r>
    </w:p>
    <w:p>
      <w:pPr>
        <w:spacing w:after="0" w:line="13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As of December 31, 2016 and 2017, the Company also had U.S. state net operating loss carryforwards of $3,619 and $18,866, respectively, which may be available to offset future taxable income. These losses expire at various dates through 2037.</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As of December 31, 2016 and 2017, the Company does not have federal research and development tax credit carryforwards, as the Company qualifies for, and has elected to, apply such federal research credits against its payroll tax liability in accordance with certain provisions of the Internal Revenue Code. As of December 31, 2016 and 2017, the Company had state research and development tax credit carryforwards of approximately $30 and $119, respectively, available to reduce future tax liabilities which expire at various dates through 2032. For all years through December 31, 2017, the Company generated research credits but has not conducted a study to document the qualified activities. This study may result in an adjustment to the Company’s research and development credit carryforwards.</w:t>
      </w:r>
    </w:p>
    <w:p>
      <w:pPr>
        <w:spacing w:after="0" w:line="178" w:lineRule="exact"/>
        <w:rPr>
          <w:sz w:val="20"/>
          <w:szCs w:val="20"/>
          <w:color w:val="auto"/>
        </w:rPr>
      </w:pPr>
    </w:p>
    <w:p>
      <w:pPr>
        <w:ind w:left="200" w:right="200" w:firstLine="441"/>
        <w:spacing w:after="0" w:line="288" w:lineRule="auto"/>
        <w:rPr>
          <w:sz w:val="20"/>
          <w:szCs w:val="20"/>
          <w:color w:val="auto"/>
        </w:rPr>
      </w:pPr>
      <w:r>
        <w:rPr>
          <w:rFonts w:ascii="Arial" w:cs="Arial" w:eastAsia="Arial" w:hAnsi="Arial"/>
          <w:sz w:val="16"/>
          <w:szCs w:val="16"/>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w:t>
      </w:r>
    </w:p>
    <w:p>
      <w:pPr>
        <w:ind w:left="200" w:right="60"/>
        <w:spacing w:after="0" w:line="253" w:lineRule="auto"/>
        <w:rPr>
          <w:sz w:val="20"/>
          <w:szCs w:val="20"/>
          <w:color w:val="auto"/>
        </w:rPr>
      </w:pPr>
      <w:r>
        <w:rPr>
          <w:rFonts w:ascii="Arial" w:cs="Arial" w:eastAsia="Arial" w:hAnsi="Arial"/>
          <w:sz w:val="18"/>
          <w:szCs w:val="18"/>
          <w:color w:val="auto"/>
        </w:rPr>
        <w:t>50 percent, as defined under Sections 382 and 383 of the Internal Revenue Code, respectively, as well as similar state provisions. This could limit the amount of tax attributes that can be utilized annually to offset future tax liabilities. The amount of the annual limitation is determined based on the value of the Company immediately prior to the ownership change. Subsequent ownership changes may further affect the limitation in future years. The Company has completed numerous financings since its inception, which may have resulted in a change in control as defined by Sections 382 and 383 of the Internal Revenue Code, or could result in a change in control in the future.</w:t>
      </w:r>
    </w:p>
    <w:p>
      <w:pPr>
        <w:spacing w:after="0" w:line="19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files income tax returns in Australia, Canada, the United States, and in several states. The foreign, federal and state income tax returns are generally subject to tax examinations for the tax years ended December 31, 2015 through December 31, 2017. To the extent the Company has tax attribute carryforwards, the tax years in which the attribute was generated may still be adjusted upon examination by foreign tax authorities, the Internal Revenue Service, or state tax authorities to the extent utilized in a future period.</w:t>
      </w:r>
    </w:p>
    <w:p>
      <w:pPr>
        <w:spacing w:after="0" w:line="187"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The TCJA was enacted in December 2017. Among other things, the TCJA reduces the U.S. federal corporate tax rate from 35% to 21% for tax years beginning in 2018, and requires companies to pay a one-time transition tax on previously unremitted earnings of non-U.S. subsidiaries that were previously tax deferred and creates new taxes on certain foreign sourced earnings. The SEC staff issued Staff Accounting Bulletin (“SAB”) 118, that provides guidance on accounting for enactment effects of the TCJA. SAB 118 provides a measurement period of up to one year from the TCJA’s enactment date for companies to complete their accounting under ASC 740. In accordance with SAB 118, to the extent that a company’s accounting for certain income tax effects of the TCJA is incomplete but it is able to determine a reasonable estimate, it must record a provisional estimate in its consolidated financial statements. If a company cannot determine a provisional estimate to be included in its consolidated financial statements, it should continue to apply ASC 740 on the basis of the provisions of the tax laws that were in effect immediately before the enactment of the TCJA.</w:t>
      </w:r>
    </w:p>
    <w:p>
      <w:pPr>
        <w:spacing w:after="0" w:line="166"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In connection with the Company’s initial analysis of the impact of the enactment of the TCJA, the Company has not recorded an income tax expense. For various reasons that are discussed more fully below, the Company has not completed its accounting for the income tax effects of certain elements of the TCJA. However, with</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20"/>
          </w:cols>
          <w:pgMar w:left="240" w:top="460"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Income Taxes (continued)</w:t>
      </w:r>
    </w:p>
    <w:p>
      <w:pPr>
        <w:spacing w:after="0" w:line="135" w:lineRule="exact"/>
        <w:rPr>
          <w:sz w:val="20"/>
          <w:szCs w:val="20"/>
          <w:color w:val="auto"/>
        </w:rPr>
      </w:pPr>
    </w:p>
    <w:p>
      <w:pPr>
        <w:ind w:left="200" w:right="180"/>
        <w:spacing w:after="0" w:line="264" w:lineRule="auto"/>
        <w:rPr>
          <w:sz w:val="20"/>
          <w:szCs w:val="20"/>
          <w:color w:val="auto"/>
        </w:rPr>
      </w:pPr>
      <w:r>
        <w:rPr>
          <w:rFonts w:ascii="Arial" w:cs="Arial" w:eastAsia="Arial" w:hAnsi="Arial"/>
          <w:sz w:val="18"/>
          <w:szCs w:val="18"/>
          <w:color w:val="auto"/>
        </w:rPr>
        <w:t>respect to the remeasurement of deferred tax assets and liabilities, the Company has remeasured its deferred tax assets and liabilities based on the rates at which they are expected to reverse in the future, which is generally 21% under the TCJA. The impact of the remeasurement of the Company’s deferred tax assets and liabilities is included in the rate reconciliation above.</w:t>
      </w:r>
    </w:p>
    <w:p>
      <w:pPr>
        <w:spacing w:after="0" w:line="181" w:lineRule="exact"/>
        <w:rPr>
          <w:sz w:val="20"/>
          <w:szCs w:val="20"/>
          <w:color w:val="auto"/>
        </w:rPr>
      </w:pPr>
    </w:p>
    <w:p>
      <w:pPr>
        <w:ind w:left="200" w:right="100" w:firstLine="441"/>
        <w:spacing w:after="0" w:line="270" w:lineRule="auto"/>
        <w:rPr>
          <w:sz w:val="20"/>
          <w:szCs w:val="20"/>
          <w:color w:val="auto"/>
        </w:rPr>
      </w:pPr>
      <w:r>
        <w:rPr>
          <w:rFonts w:ascii="Arial" w:cs="Arial" w:eastAsia="Arial" w:hAnsi="Arial"/>
          <w:sz w:val="17"/>
          <w:szCs w:val="17"/>
          <w:color w:val="auto"/>
        </w:rPr>
        <w:t>The Company is still analyzing certain aspects of the TCJA, including considering additional technical guidance and refining its calculations, that could potentially affect the measurement of these balances or potentially give rise to new deferred tax amounts. This includes the potential impacts of the global low-taxed income (“GILTI”) provision within the TCJA on deferred tax assets and liabilities. The Company has not yet elected a policy as to whether it will recognize deferred taxes for basis differences expected to reverse as GILTI or whether the Company will account for GILTI as a period cost if and when incurred. Additionally, with respect to the transition tax, which is a tax on previously untaxed accumulated and current earnings and profits (E&amp;P) of certain of the Company’s non-U.S. subsidiaries. The Company is currently evaluating the impact of this issue, and has not finalized a conclusion at this time and therefore cannot determine a provisional estimate to be included in its consolidated financial statements, and in accordance with SAB 118 it will continue to apply ASC 740 on the basis of the provisions of the tax laws that were in effect immediately before the enactment of the TCJA.</w:t>
      </w:r>
    </w:p>
    <w:p>
      <w:pPr>
        <w:spacing w:after="0" w:line="286" w:lineRule="exact"/>
        <w:rPr>
          <w:sz w:val="20"/>
          <w:szCs w:val="20"/>
          <w:color w:val="auto"/>
        </w:rPr>
      </w:pPr>
    </w:p>
    <w:p>
      <w:pPr>
        <w:ind w:left="640" w:right="5720" w:hanging="436"/>
        <w:spacing w:after="0" w:line="425" w:lineRule="auto"/>
        <w:tabs>
          <w:tab w:leader="none" w:pos="469"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Net Loss per Share and Unaudited Pro Forma Net Loss per Share </w:t>
      </w:r>
      <w:r>
        <w:rPr>
          <w:rFonts w:ascii="Arial" w:cs="Arial" w:eastAsia="Arial" w:hAnsi="Arial"/>
          <w:sz w:val="16"/>
          <w:szCs w:val="16"/>
          <w:b w:val="1"/>
          <w:bCs w:val="1"/>
          <w:i w:val="1"/>
          <w:iCs w:val="1"/>
          <w:color w:val="auto"/>
        </w:rPr>
        <w:t>Net Loss per Share Attributable to Common Stockholders</w:t>
      </w:r>
    </w:p>
    <w:p>
      <w:pPr>
        <w:spacing w:after="0" w:line="1"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For purposes of the diluted net loss per share calculation, stock options, unvested restricted stock, Preferred Stock and the warrant to purchase shares of Series A Preferred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7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 because including them would have had an anti-dilutive effect:</w:t>
      </w:r>
    </w:p>
    <w:p>
      <w:pPr>
        <w:spacing w:after="0" w:line="200" w:lineRule="exact"/>
        <w:rPr>
          <w:sz w:val="20"/>
          <w:szCs w:val="20"/>
          <w:color w:val="auto"/>
        </w:rPr>
      </w:pPr>
    </w:p>
    <w:p>
      <w:pPr>
        <w:jc w:val="center"/>
        <w:ind w:left="8960"/>
        <w:spacing w:after="0"/>
        <w:rPr>
          <w:sz w:val="20"/>
          <w:szCs w:val="20"/>
          <w:color w:val="auto"/>
        </w:rPr>
      </w:pPr>
      <w:r>
        <w:rPr>
          <w:rFonts w:ascii="Arial" w:cs="Arial" w:eastAsia="Arial" w:hAnsi="Arial"/>
          <w:sz w:val="14"/>
          <w:szCs w:val="14"/>
          <w:b w:val="1"/>
          <w:bCs w:val="1"/>
          <w:color w:val="auto"/>
        </w:rPr>
        <w:t>Year Ended</w:t>
      </w:r>
    </w:p>
    <w:p>
      <w:pPr>
        <w:jc w:val="center"/>
        <w:ind w:left="89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90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599,439</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1,034,961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820" w:type="dxa"/>
            <w:vAlign w:val="bottom"/>
          </w:tcPr>
          <w:p>
            <w:pPr>
              <w:jc w:val="right"/>
              <w:spacing w:after="0"/>
              <w:rPr>
                <w:sz w:val="20"/>
                <w:szCs w:val="20"/>
                <w:color w:val="auto"/>
              </w:rPr>
            </w:pPr>
            <w:r>
              <w:rPr>
                <w:rFonts w:ascii="Arial" w:cs="Arial" w:eastAsia="Arial" w:hAnsi="Arial"/>
                <w:sz w:val="18"/>
                <w:szCs w:val="18"/>
                <w:color w:val="auto"/>
              </w:rPr>
              <w:t>409,406</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276,301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2,189,644</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8,418,149</w:t>
            </w: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020" w:type="dxa"/>
            <w:vAlign w:val="bottom"/>
          </w:tcPr>
          <w:p>
            <w:pPr>
              <w:spacing w:after="0" w:line="201" w:lineRule="exact"/>
              <w:rPr>
                <w:sz w:val="20"/>
                <w:szCs w:val="20"/>
                <w:color w:val="auto"/>
              </w:rPr>
            </w:pPr>
            <w:r>
              <w:rPr>
                <w:rFonts w:ascii="Arial" w:cs="Arial" w:eastAsia="Arial" w:hAnsi="Arial"/>
                <w:sz w:val="18"/>
                <w:szCs w:val="18"/>
                <w:color w:val="auto"/>
              </w:rPr>
              <w:t>Warrants to purchase redeemable convertible preferred stock (as converted</w:t>
            </w: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9020" w:type="dxa"/>
            <w:vAlign w:val="bottom"/>
          </w:tcPr>
          <w:p>
            <w:pPr>
              <w:ind w:left="160"/>
              <w:spacing w:after="0"/>
              <w:rPr>
                <w:sz w:val="20"/>
                <w:szCs w:val="20"/>
                <w:color w:val="auto"/>
              </w:rPr>
            </w:pPr>
            <w:r>
              <w:rPr>
                <w:rFonts w:ascii="Arial" w:cs="Arial" w:eastAsia="Arial" w:hAnsi="Arial"/>
                <w:sz w:val="18"/>
                <w:szCs w:val="18"/>
                <w:color w:val="auto"/>
              </w:rPr>
              <w:t>to common stock)</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6,850</w:t>
            </w:r>
          </w:p>
        </w:tc>
        <w:tc>
          <w:tcPr>
            <w:tcW w:w="80" w:type="dxa"/>
            <w:vAlign w:val="bottom"/>
          </w:tcPr>
          <w:p>
            <w:pPr>
              <w:spacing w:after="0"/>
              <w:rPr>
                <w:sz w:val="20"/>
                <w:szCs w:val="20"/>
                <w:color w:val="auto"/>
              </w:rPr>
            </w:pP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17"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The unaudited pro forma basic and diluted net loss per share attributable to common stockholders for the year ended December 31, 2017 has been prepared to give effect to adjustments arising upon the closing of a qualified IPO. The unaudited pro forma net loss attributable to common stockholders used in the calculation of unaudited pro forma basic and diluted net loss per share attributable to common stockholders does not include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59" w:right="41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Net Loss per Share and Unaudited Pro Forma Net Loss per Share (continued)</w:t>
      </w:r>
    </w:p>
    <w:p>
      <w:pPr>
        <w:spacing w:after="0" w:line="135" w:lineRule="exact"/>
        <w:rPr>
          <w:sz w:val="20"/>
          <w:szCs w:val="20"/>
          <w:color w:val="auto"/>
        </w:rPr>
      </w:pPr>
    </w:p>
    <w:p>
      <w:pPr>
        <w:ind w:left="200" w:right="200"/>
        <w:spacing w:after="0" w:line="302" w:lineRule="auto"/>
        <w:rPr>
          <w:sz w:val="20"/>
          <w:szCs w:val="20"/>
          <w:color w:val="auto"/>
        </w:rPr>
      </w:pPr>
      <w:r>
        <w:rPr>
          <w:rFonts w:ascii="Arial" w:cs="Arial" w:eastAsia="Arial" w:hAnsi="Arial"/>
          <w:sz w:val="16"/>
          <w:szCs w:val="16"/>
          <w:color w:val="auto"/>
        </w:rPr>
        <w:t>the effects of the accretion of Preferred Stock to redemption value or the change in fair value of the warrant to purchase shares of Series A Preferred Stock because the calculation gives effect to the conversion of shares of Preferred Stock outstanding as of December 31, 2017 into common stock and the conversion of the warrant to purchase shares of Series A Preferred Stock outstanding as of December 31, 2017 into a warrant to purchase shares of common stock, as if such conversion had occurred at the beginning of the period presented or the date of original issuance, whichever is later.</w:t>
      </w:r>
    </w:p>
    <w:p>
      <w:pPr>
        <w:spacing w:after="0" w:line="154"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 reconciliation of pro forma net loss and the pro forma weighted-average number of common shares used in computing pro forma basic and diluted net loss per share applicable to common stockholders is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60" w:type="dxa"/>
            <w:vAlign w:val="bottom"/>
          </w:tcPr>
          <w:p>
            <w:pPr>
              <w:spacing w:after="0"/>
              <w:rPr>
                <w:sz w:val="14"/>
                <w:szCs w:val="14"/>
                <w:color w:val="auto"/>
              </w:rPr>
            </w:pPr>
          </w:p>
        </w:tc>
        <w:tc>
          <w:tcPr>
            <w:tcW w:w="9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6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6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tcPr>
          <w:p>
            <w:pPr>
              <w:ind w:left="340"/>
              <w:spacing w:after="0"/>
              <w:rPr>
                <w:sz w:val="20"/>
                <w:szCs w:val="20"/>
                <w:color w:val="auto"/>
              </w:rPr>
            </w:pPr>
            <w:r>
              <w:rPr>
                <w:rFonts w:ascii="Arial" w:cs="Arial" w:eastAsia="Arial" w:hAnsi="Arial"/>
                <w:sz w:val="18"/>
                <w:szCs w:val="18"/>
                <w:color w:val="auto"/>
              </w:rPr>
              <w:t>Net loss attributable to common stockholders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(18,733)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issuance costs on redeemable convertible preferred stock</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60" w:type="dxa"/>
            <w:vAlign w:val="bottom"/>
          </w:tcPr>
          <w:p>
            <w:pPr>
              <w:ind w:left="340"/>
              <w:spacing w:after="0"/>
              <w:rPr>
                <w:sz w:val="20"/>
                <w:szCs w:val="20"/>
                <w:color w:val="auto"/>
              </w:rPr>
            </w:pPr>
            <w:r>
              <w:rPr>
                <w:rFonts w:ascii="Arial" w:cs="Arial" w:eastAsia="Arial" w:hAnsi="Arial"/>
                <w:sz w:val="18"/>
                <w:szCs w:val="18"/>
                <w:color w:val="auto"/>
              </w:rPr>
              <w:t>Change in the fair value of preferred stock warrant liability</w:t>
            </w: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 forma net loss attributable to common stockholders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(18,631)</w:t>
            </w:r>
          </w:p>
        </w:tc>
        <w:tc>
          <w:tcPr>
            <w:tcW w:w="0" w:type="dxa"/>
            <w:vAlign w:val="bottom"/>
          </w:tcPr>
          <w:p>
            <w:pPr>
              <w:spacing w:after="0"/>
              <w:rPr>
                <w:sz w:val="1"/>
                <w:szCs w:val="1"/>
                <w:color w:val="auto"/>
              </w:rPr>
            </w:pPr>
          </w:p>
        </w:tc>
      </w:tr>
      <w:tr>
        <w:trPr>
          <w:trHeight w:val="20"/>
        </w:trPr>
        <w:tc>
          <w:tcPr>
            <w:tcW w:w="10080" w:type="dxa"/>
            <w:vAlign w:val="bottom"/>
            <w:gridSpan w:val="2"/>
            <w:vMerge w:val="restart"/>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Weighted-average number of common shares used in computing net loss per share attributable to common stockholders—basic</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diluted</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2,235,865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60" w:type="dxa"/>
            <w:vAlign w:val="bottom"/>
          </w:tcPr>
          <w:p>
            <w:pPr>
              <w:spacing w:after="0" w:line="201" w:lineRule="exact"/>
              <w:rPr>
                <w:sz w:val="20"/>
                <w:szCs w:val="20"/>
                <w:color w:val="auto"/>
              </w:rPr>
            </w:pPr>
            <w:r>
              <w:rPr>
                <w:rFonts w:ascii="Arial" w:cs="Arial" w:eastAsia="Arial" w:hAnsi="Arial"/>
                <w:sz w:val="18"/>
                <w:szCs w:val="18"/>
                <w:color w:val="auto"/>
              </w:rPr>
              <w:t>Pro forma adjustment to reflect assumed conversion of redeemable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60" w:type="dxa"/>
            <w:vAlign w:val="bottom"/>
          </w:tcPr>
          <w:p>
            <w:pPr>
              <w:ind w:left="160"/>
              <w:spacing w:after="0"/>
              <w:rPr>
                <w:sz w:val="20"/>
                <w:szCs w:val="20"/>
                <w:color w:val="auto"/>
              </w:rPr>
            </w:pPr>
            <w:r>
              <w:rPr>
                <w:rFonts w:ascii="Arial" w:cs="Arial" w:eastAsia="Arial" w:hAnsi="Arial"/>
                <w:sz w:val="18"/>
                <w:szCs w:val="18"/>
                <w:color w:val="auto"/>
              </w:rPr>
              <w:t>convertible preferred stock into common stock</w:t>
            </w: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4,686,308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Pro forma weighted-average number of common shares used in computing pro forma net loss per share attributable to common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6,922,173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08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80" w:type="dxa"/>
            <w:vAlign w:val="bottom"/>
            <w:gridSpan w:val="2"/>
          </w:tcPr>
          <w:p>
            <w:pPr>
              <w:spacing w:after="0"/>
              <w:rPr>
                <w:sz w:val="20"/>
                <w:szCs w:val="20"/>
                <w:color w:val="auto"/>
              </w:rPr>
            </w:pPr>
            <w:r>
              <w:rPr>
                <w:rFonts w:ascii="Arial" w:cs="Arial" w:eastAsia="Arial" w:hAnsi="Arial"/>
                <w:sz w:val="18"/>
                <w:szCs w:val="18"/>
                <w:color w:val="auto"/>
              </w:rPr>
              <w:t>Pro forma net loss per share attributable to common stockholders—basic and diluted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right="8220" w:hanging="436"/>
        <w:spacing w:after="0" w:line="425" w:lineRule="auto"/>
        <w:tabs>
          <w:tab w:leader="none" w:pos="469"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Lease Agreements</w:t>
      </w:r>
    </w:p>
    <w:p>
      <w:pPr>
        <w:spacing w:after="0" w:line="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January 2016, the Company entered into a sub-lease agreement for office space located in Cambridge Massachusetts, United States, which was a month to month rental. In February 2017, the Company terminated the office lease agreement.</w:t>
      </w:r>
    </w:p>
    <w:p>
      <w:pPr>
        <w:spacing w:after="0" w:line="170"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In September 2016, the Company entered into a lease agreement for office space located in Cambridge Massachusetts, United States, which expires on March 31, 2024. The base rent will be increased by 3% annually. The Company recognizes rent expense on a straight-line basis over the lease period and has recorded deferred rent for rent expense incurred but not yet paid. The Company received a tenant incentive allowance of $100 in 2017. Such incentive allowance is being amortized as a reduction of rent expense on a straight-line basis over the lease period. In accordance with the lease agreement, the Company was required to maintain a security deposit of $24. The Company issued a letter of credit to the landlord related to the security deposit and the letter of credit is secured by restricted cash, which is recorded in other assets on the accompanying consolidated balance sheets.</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60" w:right="41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Commitments and Contingencies (continued)</w:t>
      </w:r>
    </w:p>
    <w:p>
      <w:pPr>
        <w:spacing w:after="0" w:line="135"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In August 2017, the Company entered into a sub-lease agreement for laboratory space located in Cambridge Massachusetts, United States, which expires in August 2020. The annual lease payments are subject to a 3% increase each year. The Company recognizes rent expense on a straight-line basis over the lease period and has recorded deferred rent for rent expense incurred but not yet paid.</w:t>
      </w:r>
    </w:p>
    <w:p>
      <w:pPr>
        <w:spacing w:after="0" w:line="16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6"/>
              </w:rPr>
              <w:t>The Company recorded rent expense of $78 and $335 during the years ended December 31, 2016 and 2017, respectively.</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9840" w:type="dxa"/>
            <w:vAlign w:val="bottom"/>
            <w:gridSpan w:val="2"/>
          </w:tcPr>
          <w:p>
            <w:pPr>
              <w:ind w:left="420"/>
              <w:spacing w:after="0"/>
              <w:rPr>
                <w:sz w:val="20"/>
                <w:szCs w:val="20"/>
                <w:color w:val="auto"/>
              </w:rPr>
            </w:pPr>
            <w:r>
              <w:rPr>
                <w:rFonts w:ascii="Arial" w:cs="Arial" w:eastAsia="Arial" w:hAnsi="Arial"/>
                <w:sz w:val="18"/>
                <w:szCs w:val="18"/>
                <w:color w:val="auto"/>
                <w:w w:val="96"/>
              </w:rPr>
              <w:t>The following table summarizes the future minimum lease payments due under operating leases as of December 31, 2017:</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9"/>
        </w:trPr>
        <w:tc>
          <w:tcPr>
            <w:tcW w:w="9860" w:type="dxa"/>
            <w:vAlign w:val="bottom"/>
            <w:gridSpan w:val="3"/>
          </w:tcPr>
          <w:p>
            <w:pPr>
              <w:spacing w:after="0"/>
              <w:rPr>
                <w:sz w:val="20"/>
                <w:szCs w:val="20"/>
                <w:color w:val="auto"/>
              </w:rPr>
            </w:pPr>
            <w:r>
              <w:rPr>
                <w:rFonts w:ascii="Arial" w:cs="Arial" w:eastAsia="Arial" w:hAnsi="Arial"/>
                <w:sz w:val="14"/>
                <w:szCs w:val="14"/>
                <w:b w:val="1"/>
                <w:bCs w:val="1"/>
                <w:color w:val="auto"/>
              </w:rPr>
              <w:t>Year Ending December 31,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1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2018</w:t>
            </w:r>
          </w:p>
        </w:tc>
        <w:tc>
          <w:tcPr>
            <w:tcW w:w="82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395</w:t>
            </w: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2019</w:t>
            </w:r>
          </w:p>
        </w:tc>
        <w:tc>
          <w:tcPr>
            <w:tcW w:w="8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380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8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8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8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8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years ended December 31, 2016 and 2017, and, to the best of its knowledge, no material legal proceedings are currently pending or threatened.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Company is also party to various agreements, principally relating to licensed technology, that require future payments relating to milestones not met at December 31, 2016 and 2017, or royalties on future sales of specified products. No milestone or royalty payments under these agreements are expected to be payable in the immediate future. See Note 11 for discussion of these arrangements.</w:t>
      </w:r>
    </w:p>
    <w:p>
      <w:pPr>
        <w:spacing w:after="0" w:line="18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69" w:lineRule="exact"/>
        <w:rPr>
          <w:sz w:val="20"/>
          <w:szCs w:val="20"/>
          <w:color w:val="auto"/>
        </w:rPr>
      </w:pPr>
    </w:p>
    <w:p>
      <w:pPr>
        <w:ind w:left="480" w:hanging="276"/>
        <w:spacing w:after="0"/>
        <w:tabs>
          <w:tab w:leader="none" w:pos="4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UHN</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connection with the Company’s entry into a license agreement with UHN (Note 11) on January 27, 2016, the Company issued UHN 4,800,000 shares of its common stock. As a result of the issuance of common stock,</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240" w:top="460" w:right="41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Related Party Transactions (continued)</w:t>
      </w:r>
    </w:p>
    <w:p>
      <w:pPr>
        <w:spacing w:after="0" w:line="135"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UHN owned 21.63% and 9.65% of the Company’s fully diluted equity as of December 31, 2016 and 2017, respectively. Upon the closing of the sale of shares of common stock in an IPO, if UHN’s fully-diluted percentage ownership of the Company is reduced within a range of specified percentages, then the Company is obligated to pay UHN an amount up to $2,000. See Note 3 for further discussion on the accounting treatment for this provision.</w:t>
      </w:r>
    </w:p>
    <w:p>
      <w:pPr>
        <w:spacing w:after="0" w:line="147"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During the years ended December 31, 2016 and 2017, the Company recognized $872 and $167 respectively, of research and development expense related to the license agreements with UHN. Refer to Note 11 for additional information regarding the UHN license agreements.</w:t>
      </w:r>
    </w:p>
    <w:p>
      <w:pPr>
        <w:spacing w:after="0" w:line="14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recorded research and development expenses of $7 and $3 related to participation on the scientific advisory board and consulting services performed by a member of the Board who is affiliated with UHN during the years ended December 31, 2016 and 2017, respectively. As of December 31, 2016 and 2017, there was $7 and $10, respectively, included in accrued expenses on the Company’s consolidated balance sheets related to these services.</w:t>
      </w:r>
    </w:p>
    <w:p>
      <w:pPr>
        <w:spacing w:after="0" w:line="18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For the years ended December 31, 2016 and 2017 the Company recorded expenses of $13 and $86, respectively, related to consulting services provided by an entity affiliated with an officer of the Company and a member of the Board. The entity is also a shareholder of the Company and owned 2.25% and 1.00% of the Company’s fully diluted equity as of December 31, 2016 and 2017, respectively.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For the years ended December 31, 2016 and 2017, the Company recorded expenses of $78 and $15, respectively, related to services provided by an entity affiliated with a member of the Board and the use of office space.</w:t>
      </w:r>
    </w:p>
    <w:p>
      <w:pPr>
        <w:spacing w:after="0" w:line="170"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In August 2017, the Company entered into a sub-lease agreement with an entity affiliated with the Company’s CEO. The executive resigned from the affiliated entity in September 2017. The Company recorded rent expense of $31 under this sub-lease agreement prior to such resignation for the two month period in 2017.</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Note 14 for additional information on the terms of these sublease agreements.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Benefit Plans</w:t>
      </w:r>
    </w:p>
    <w:p>
      <w:pPr>
        <w:spacing w:after="0" w:line="12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The Company established a defined contribution savings plan under Section 401(k) of the Internal Revenue Code. This plan covers substantially all employees who meet minimum age and service requirements and allows participants to defer a portion of their annual compensation on a pre-tax basis. Matching contributions to the plan may be made at the discretion of the Company’s Board. The Company made no contributions to the plan during the years ended December 31, 2016 and 2017.</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The Company has completed an evaluation of all subsequent events after the audited balance sheet date of December 31, 2017 through the filing date of this Registration Statement on Form S-1 with the SEC, to ensure that these consolidated financial statements include appropriate disclosure of events both recognized in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00"/>
          </w:cols>
          <w:pgMar w:left="240" w:top="460"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Subsequent Events (continued)</w:t>
      </w:r>
    </w:p>
    <w:p>
      <w:pPr>
        <w:spacing w:after="0" w:line="135"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consolidated financial statements as of December 31, 2017, and events which occurred subsequently but were not recognized in the consolidated financial statements. The Company has concluded that no subsequent events have occurred that require disclosure, except as disclosed within these consolidated financial statements and except as described below.</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Subsequent Events Through April 6, 2018</w:t>
      </w:r>
    </w:p>
    <w:p>
      <w:pPr>
        <w:spacing w:after="0" w:line="225"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On January 12, 2018, the Company entered into a lease agreement for office space located in Cambridge Massachusetts, United States, which expires in January 2023, with a landlord who is an affiliate of the landlord of the Company’s current lease facility. In accordance with the lease agreement, the Company is required to maintain a security deposit of $209. In contemplation of this agreement, the Company terminated its existing lease agreement.</w:t>
      </w:r>
    </w:p>
    <w:p>
      <w:pPr>
        <w:spacing w:after="0" w:line="18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On January 19, 2018, the Company entered into a stock purchase agreement for the sale of 28,285,557 shares of Series B Preferred Stock for $2.1389 per share. The total gross proceeds received were $60,500. In addition, the Company issued 233,765 shares of Series B Preferred Stock to BioMarin as required by the Company’s license agreement with BioMarin (Note 11). The rights and preferences of the Series B Preferred Stock are similar to the Company’s Series A Preferred Stock, in that holders of outstanding Series B Preferred Stock have priority and preference to Series Seed Preferred Stock and common stock in the case of a liquidation or redemption event. The issue price of the Series B Preferred Stock is $2.1389 per share, and each share of Series B Preferred Stock is convertible into 0.242 shares of common stock.</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January 2018, the Company granted 753,789 stock options with an exercise price of $5.00 per share.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 Subsequent Events Through June 11, 2018</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On June 1, 2018, the Board approved a 1-for-4.312 reverse stock split of the Company’s common stock. The reverse stock split was approved by the stockholders on June 7, 2018 and became effective on June 8 2018. Stockholders entitled to fractional shares as a result of the reverse stock split will receive a cash payment in lieu of receiving fractional shares. All share and per share data shown in the accompanying consolidated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and the respective conversion prices were proportionately increased.</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Stock Option and Incentive Plan</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AVROBIO, Inc. 2018 Stock Option and Incentive Plan (the 2018 Plan) was adopted by the Board June 1, 2018 and approved by stockholders on June 7, 2018 and will become effective upon the effectiveness of the Company’s Registration Statement on Form S-1. The 2018 Plan will replace the 2015 Plan as the Board determined not to make additional awards under the 2015 Plan following the pricing of the Company’s IPO. The 2018 Plan allows the compensation committee to make equity-based and cash-based incentive awards to our officers, employees, directors and other key persons (including consultants).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00"/>
          </w:cols>
          <w:pgMar w:left="24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Years ended December 31, 2016 and 2017</w:t>
      </w:r>
    </w:p>
    <w:p>
      <w:pPr>
        <w:spacing w:after="0" w:line="13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Subsequent Events (continued)</w:t>
      </w:r>
    </w:p>
    <w:p>
      <w:pPr>
        <w:spacing w:after="0" w:line="13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Company initially reserved 616,300 shares of our common stock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our compensation committee. This number is subject to adjustment in the event of a stock split, stock dividend or other change in our capitalization.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AVROBIO, Inc. 2018 Employee Stock Purchase Plan (the ESPP) was adopted by the Board on June 1, 2018 and approved by stockholders on June 7, 2018 and will become effective upon the effectiveness of the Company’s Registration Statement on Form S-1. The ESPP is intended to qualify as an “employee stock 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 on January 1, 2019 and each January 1 thereafter through January 1, 2028, by the least of</w:t>
      </w:r>
    </w:p>
    <w:p>
      <w:pPr>
        <w:spacing w:after="0" w:line="2" w:lineRule="exact"/>
        <w:rPr>
          <w:sz w:val="20"/>
          <w:szCs w:val="20"/>
          <w:color w:val="auto"/>
        </w:rPr>
      </w:pPr>
    </w:p>
    <w:p>
      <w:pPr>
        <w:jc w:val="both"/>
        <w:ind w:left="200" w:right="80" w:firstLine="4"/>
        <w:spacing w:after="0" w:line="255" w:lineRule="auto"/>
        <w:tabs>
          <w:tab w:leader="none" w:pos="41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1% of the outstanding number of shares of our common stock on the immediately preceding December 31; (ii) 1,115,700 shares or (iii) such number of shares as determined by the ESPP administrator. The number of shares reserved under the ESPP is subject to adjustment in the event of a stock split, stock dividend or other change in our capitalization.</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Fourth Amended and Restated Certificate of Incorporation</w:t>
      </w:r>
    </w:p>
    <w:p>
      <w:pPr>
        <w:spacing w:after="0" w:line="117"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On June 1, 2018, the Board also approved for filing immediately following the effectiveness of the Company’s registration statement in connection with its IPO, the Fourth Amended and Restated Certificate of Incorporation, which shall, among other matters: (i) authorize 150,000,000 shares of common stock, $0.0001 par value and (ii) create 10,000,000 shares of undesignated preferred stock.</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00"/>
          </w:cols>
          <w:pgMar w:left="24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940" w:type="dxa"/>
            <w:vAlign w:val="bottom"/>
            <w:gridSpan w:val="3"/>
            <w:vMerge w:val="restart"/>
          </w:tcPr>
          <w:p>
            <w:pPr>
              <w:jc w:val="right"/>
              <w:ind w:right="300"/>
              <w:spacing w:after="0"/>
              <w:rPr>
                <w:sz w:val="20"/>
                <w:szCs w:val="20"/>
                <w:color w:val="auto"/>
              </w:rPr>
            </w:pPr>
            <w:r>
              <w:rPr>
                <w:rFonts w:ascii="Arial" w:cs="Arial" w:eastAsia="Arial" w:hAnsi="Arial"/>
                <w:sz w:val="14"/>
                <w:szCs w:val="14"/>
                <w:b w:val="1"/>
                <w:bCs w:val="1"/>
                <w:color w:val="auto"/>
                <w:w w:val="95"/>
              </w:rPr>
              <w:t>March 31,</w:t>
            </w:r>
          </w:p>
        </w:tc>
        <w:tc>
          <w:tcPr>
            <w:tcW w:w="1020" w:type="dxa"/>
            <w:vAlign w:val="bottom"/>
            <w:gridSpan w:val="4"/>
          </w:tcPr>
          <w:p>
            <w:pPr>
              <w:ind w:left="2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57,928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58,481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60,216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Derivative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Deferred rent, net of current portion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Redeemable convertible preferred stock (Note 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26,500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87,500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00" w:type="dxa"/>
            <w:vAlign w:val="bottom"/>
          </w:tcPr>
          <w:p>
            <w:pPr>
              <w:ind w:left="340"/>
              <w:spacing w:after="0" w:line="201" w:lineRule="exact"/>
              <w:rPr>
                <w:sz w:val="20"/>
                <w:szCs w:val="20"/>
                <w:color w:val="auto"/>
              </w:rPr>
            </w:pPr>
            <w:r>
              <w:rPr>
                <w:rFonts w:ascii="Arial" w:cs="Arial" w:eastAsia="Arial" w:hAnsi="Arial"/>
                <w:sz w:val="18"/>
                <w:szCs w:val="18"/>
                <w:color w:val="auto"/>
              </w:rPr>
              <w:t>Common stock, $0.0001 par value; 51,000,000 and 82,000,000 shares authorized as of</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auto"/>
              </w:rPr>
              <w:t>December 31, 2017 and March 31, 2018, respectively; 2,581,474 shares issued as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auto"/>
                <w:w w:val="97"/>
              </w:rPr>
              <w:t>December 31, 2017 and March 31, 2018; 2,305,173 and 2,335,926 shares outstanding as of</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auto"/>
              </w:rPr>
              <w:t>December 31, 2017 and March 31, 2018, respectively; 17,901,687 shares issued and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520"/>
              <w:spacing w:after="0"/>
              <w:rPr>
                <w:sz w:val="20"/>
                <w:szCs w:val="20"/>
                <w:color w:val="auto"/>
              </w:rPr>
            </w:pPr>
            <w:r>
              <w:rPr>
                <w:rFonts w:ascii="Arial" w:cs="Arial" w:eastAsia="Arial" w:hAnsi="Arial"/>
                <w:sz w:val="18"/>
                <w:szCs w:val="18"/>
                <w:color w:val="auto"/>
              </w:rPr>
              <w:t>17,656,139 shares outstanding as of March 31, 2018 (pro forma)</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(23,474)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(33,620)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(33,620)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 equity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(23,135)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(33,511)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700"/>
              <w:spacing w:after="0"/>
              <w:rPr>
                <w:sz w:val="20"/>
                <w:szCs w:val="20"/>
                <w:color w:val="auto"/>
              </w:rPr>
            </w:pPr>
            <w:r>
              <w:rPr>
                <w:rFonts w:ascii="Arial" w:cs="Arial" w:eastAsia="Arial" w:hAnsi="Arial"/>
                <w:sz w:val="18"/>
                <w:szCs w:val="18"/>
                <w:color w:val="auto"/>
              </w:rPr>
              <w:t>Total liabilities, redeemable convertible preferred stock and stockholders’ (deficit) equity</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7,022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60,216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60,216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240" w:top="460"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5"/>
              <w:spacing w:after="0"/>
              <w:rPr>
                <w:sz w:val="20"/>
                <w:szCs w:val="20"/>
                <w:color w:val="auto"/>
              </w:rPr>
            </w:pPr>
            <w:r>
              <w:rPr>
                <w:rFonts w:ascii="Arial" w:cs="Arial" w:eastAsia="Arial" w:hAnsi="Arial"/>
                <w:sz w:val="14"/>
                <w:szCs w:val="14"/>
                <w:b w:val="1"/>
                <w:bCs w:val="1"/>
                <w:color w:val="auto"/>
                <w:w w:val="95"/>
              </w:rPr>
              <w:t>March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1,434</w:t>
            </w: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(7,788)</w:t>
            </w:r>
          </w:p>
        </w:tc>
        <w:tc>
          <w:tcPr>
            <w:tcW w:w="0" w:type="dxa"/>
            <w:vAlign w:val="bottom"/>
          </w:tcPr>
          <w:p>
            <w:pPr>
              <w:spacing w:after="0"/>
              <w:rPr>
                <w:sz w:val="1"/>
                <w:szCs w:val="1"/>
                <w:color w:val="auto"/>
              </w:rPr>
            </w:pP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Other expense</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 income, net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23"/>
        </w:trPr>
        <w:tc>
          <w:tcPr>
            <w:tcW w:w="80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Reconciliation of net loss to net loss attributable to common stockholders:</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40"/>
              <w:spacing w:after="0"/>
              <w:rPr>
                <w:sz w:val="20"/>
                <w:szCs w:val="20"/>
                <w:color w:val="auto"/>
              </w:rPr>
            </w:pPr>
            <w:r>
              <w:rPr>
                <w:rFonts w:ascii="Arial" w:cs="Arial" w:eastAsia="Arial" w:hAnsi="Arial"/>
                <w:sz w:val="18"/>
                <w:szCs w:val="18"/>
                <w:color w:val="auto"/>
              </w:rPr>
              <w:t>Accretion of issuance costs on redeemable convertible preferred stock</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(2,243)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stockholders—basic and diluted</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 stockholders—basic and diluted (Note 12)</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Weighted-average number of common shares used in computing net loss per share attributable to common</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2,181,715</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2,324,790</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Pro forma net loss per share attributable to common stockholders—basic and diluted (Note 12)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Pro forma weighted-average number of common shares used in computing pro forma net income (loss) per</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 attributable to common stockholders—basic and diluted</w:t>
            </w: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16,187,901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240" w:top="460" w:right="41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REDEEMABLE CONVERTIBLE PREFERRED STOCK AND STOCKHOLDERS’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(DEFICIT) EQUITY</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980" w:type="dxa"/>
            <w:vAlign w:val="bottom"/>
            <w:gridSpan w:val="4"/>
          </w:tcPr>
          <w:p>
            <w:pPr>
              <w:jc w:val="center"/>
              <w:ind w:left="231"/>
              <w:spacing w:after="0"/>
              <w:rPr>
                <w:sz w:val="20"/>
                <w:szCs w:val="20"/>
                <w:color w:val="auto"/>
              </w:rPr>
            </w:pPr>
            <w:r>
              <w:rPr>
                <w:rFonts w:ascii="Arial" w:cs="Arial" w:eastAsia="Arial" w:hAnsi="Arial"/>
                <w:sz w:val="13"/>
                <w:szCs w:val="13"/>
                <w:b w:val="1"/>
                <w:bCs w:val="1"/>
                <w:color w:val="auto"/>
                <w:w w:val="81"/>
              </w:rPr>
              <w:t>Series Seed</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4"/>
          </w:tcPr>
          <w:p>
            <w:pPr>
              <w:jc w:val="center"/>
              <w:ind w:left="391"/>
              <w:spacing w:after="0"/>
              <w:rPr>
                <w:sz w:val="20"/>
                <w:szCs w:val="20"/>
                <w:color w:val="auto"/>
              </w:rPr>
            </w:pPr>
            <w:r>
              <w:rPr>
                <w:rFonts w:ascii="Arial" w:cs="Arial" w:eastAsia="Arial" w:hAnsi="Arial"/>
                <w:sz w:val="13"/>
                <w:szCs w:val="13"/>
                <w:b w:val="1"/>
                <w:bCs w:val="1"/>
                <w:color w:val="auto"/>
                <w:w w:val="84"/>
              </w:rPr>
              <w:t>Series A</w:t>
            </w: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4"/>
          </w:tcPr>
          <w:p>
            <w:pPr>
              <w:jc w:val="center"/>
              <w:ind w:left="391"/>
              <w:spacing w:after="0"/>
              <w:rPr>
                <w:sz w:val="20"/>
                <w:szCs w:val="20"/>
                <w:color w:val="auto"/>
              </w:rPr>
            </w:pPr>
            <w:r>
              <w:rPr>
                <w:rFonts w:ascii="Arial" w:cs="Arial" w:eastAsia="Arial" w:hAnsi="Arial"/>
                <w:sz w:val="13"/>
                <w:szCs w:val="13"/>
                <w:b w:val="1"/>
                <w:bCs w:val="1"/>
                <w:color w:val="auto"/>
                <w:w w:val="84"/>
              </w:rPr>
              <w:t>Series B</w:t>
            </w:r>
          </w:p>
        </w:tc>
        <w:tc>
          <w:tcPr>
            <w:tcW w:w="46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80" w:type="dxa"/>
            <w:vAlign w:val="bottom"/>
            <w:gridSpan w:val="4"/>
          </w:tcPr>
          <w:p>
            <w:pPr>
              <w:jc w:val="center"/>
              <w:ind w:left="251"/>
              <w:spacing w:after="0" w:line="135" w:lineRule="exact"/>
              <w:rPr>
                <w:sz w:val="20"/>
                <w:szCs w:val="20"/>
                <w:color w:val="auto"/>
              </w:rPr>
            </w:pPr>
            <w:r>
              <w:rPr>
                <w:rFonts w:ascii="Arial" w:cs="Arial" w:eastAsia="Arial" w:hAnsi="Arial"/>
                <w:sz w:val="13"/>
                <w:szCs w:val="13"/>
                <w:b w:val="1"/>
                <w:bCs w:val="1"/>
                <w:color w:val="auto"/>
                <w:w w:val="86"/>
              </w:rPr>
              <w:t>Redeemable</w:t>
            </w: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20" w:type="dxa"/>
            <w:vAlign w:val="bottom"/>
            <w:gridSpan w:val="6"/>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Redeemable</w:t>
            </w:r>
          </w:p>
        </w:tc>
        <w:tc>
          <w:tcPr>
            <w:tcW w:w="1540" w:type="dxa"/>
            <w:vAlign w:val="bottom"/>
            <w:tcBorders>
              <w:right w:val="single" w:sz="8" w:color="auto"/>
            </w:tcBorders>
            <w:gridSpan w:val="6"/>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Redeemable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0"/>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80" w:type="dxa"/>
            <w:vAlign w:val="bottom"/>
            <w:gridSpan w:val="4"/>
          </w:tcPr>
          <w:p>
            <w:pPr>
              <w:jc w:val="center"/>
              <w:ind w:left="231"/>
              <w:spacing w:after="0" w:line="140" w:lineRule="exact"/>
              <w:rPr>
                <w:sz w:val="20"/>
                <w:szCs w:val="20"/>
                <w:color w:val="auto"/>
              </w:rPr>
            </w:pPr>
            <w:r>
              <w:rPr>
                <w:rFonts w:ascii="Arial" w:cs="Arial" w:eastAsia="Arial" w:hAnsi="Arial"/>
                <w:sz w:val="13"/>
                <w:szCs w:val="13"/>
                <w:b w:val="1"/>
                <w:bCs w:val="1"/>
                <w:color w:val="auto"/>
                <w:w w:val="89"/>
              </w:rPr>
              <w:t>Convertible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6"/>
          </w:tcPr>
          <w:p>
            <w:pPr>
              <w:jc w:val="center"/>
              <w:ind w:right="180"/>
              <w:spacing w:after="0" w:line="140" w:lineRule="exact"/>
              <w:rPr>
                <w:sz w:val="20"/>
                <w:szCs w:val="20"/>
                <w:color w:val="auto"/>
              </w:rPr>
            </w:pPr>
            <w:r>
              <w:rPr>
                <w:rFonts w:ascii="Arial" w:cs="Arial" w:eastAsia="Arial" w:hAnsi="Arial"/>
                <w:sz w:val="13"/>
                <w:szCs w:val="13"/>
                <w:b w:val="1"/>
                <w:bCs w:val="1"/>
                <w:color w:val="auto"/>
                <w:w w:val="89"/>
              </w:rPr>
              <w:t>Convertible</w:t>
            </w:r>
          </w:p>
        </w:tc>
        <w:tc>
          <w:tcPr>
            <w:tcW w:w="1540" w:type="dxa"/>
            <w:vAlign w:val="bottom"/>
            <w:tcBorders>
              <w:right w:val="single" w:sz="8" w:color="auto"/>
            </w:tcBorders>
            <w:gridSpan w:val="6"/>
          </w:tcPr>
          <w:p>
            <w:pPr>
              <w:jc w:val="center"/>
              <w:ind w:right="140"/>
              <w:spacing w:after="0" w:line="140" w:lineRule="exact"/>
              <w:rPr>
                <w:sz w:val="20"/>
                <w:szCs w:val="20"/>
                <w:color w:val="auto"/>
              </w:rPr>
            </w:pPr>
            <w:r>
              <w:rPr>
                <w:rFonts w:ascii="Arial" w:cs="Arial" w:eastAsia="Arial" w:hAnsi="Arial"/>
                <w:sz w:val="13"/>
                <w:szCs w:val="13"/>
                <w:b w:val="1"/>
                <w:bCs w:val="1"/>
                <w:color w:val="auto"/>
                <w:w w:val="89"/>
              </w:rPr>
              <w:t>Convertible</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4"/>
          </w:tcPr>
          <w:p>
            <w:pPr>
              <w:jc w:val="right"/>
              <w:ind w:right="120"/>
              <w:spacing w:after="0" w:line="140" w:lineRule="exact"/>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83"/>
              </w:rPr>
              <w:t>Total</w:t>
            </w:r>
          </w:p>
        </w:tc>
      </w:tr>
      <w:tr>
        <w:trPr>
          <w:trHeight w:val="149"/>
        </w:trPr>
        <w:tc>
          <w:tcPr>
            <w:tcW w:w="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8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86"/>
              </w:rPr>
              <w:t>Preferred Stock</w:t>
            </w:r>
          </w:p>
        </w:tc>
        <w:tc>
          <w:tcPr>
            <w:tcW w:w="162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88"/>
              </w:rPr>
              <w:t>Preferred Stock</w:t>
            </w:r>
          </w:p>
        </w:tc>
        <w:tc>
          <w:tcPr>
            <w:tcW w:w="1540" w:type="dxa"/>
            <w:vAlign w:val="bottom"/>
            <w:tcBorders>
              <w:right w:val="single" w:sz="8" w:color="auto"/>
            </w:tcBorders>
            <w:gridSpan w:val="6"/>
          </w:tcPr>
          <w:p>
            <w:pPr>
              <w:jc w:val="center"/>
              <w:ind w:right="160"/>
              <w:spacing w:after="0"/>
              <w:rPr>
                <w:sz w:val="20"/>
                <w:szCs w:val="20"/>
                <w:color w:val="auto"/>
              </w:rPr>
            </w:pPr>
            <w:r>
              <w:rPr>
                <w:rFonts w:ascii="Arial" w:cs="Arial" w:eastAsia="Arial" w:hAnsi="Arial"/>
                <w:sz w:val="13"/>
                <w:szCs w:val="13"/>
                <w:b w:val="1"/>
                <w:bCs w:val="1"/>
                <w:color w:val="auto"/>
                <w:w w:val="88"/>
              </w:rPr>
              <w:t>Preferred Stock</w:t>
            </w:r>
          </w:p>
        </w:tc>
        <w:tc>
          <w:tcPr>
            <w:tcW w:w="60" w:type="dxa"/>
            <w:vAlign w:val="bottom"/>
          </w:tcPr>
          <w:p>
            <w:pPr>
              <w:spacing w:after="0"/>
              <w:rPr>
                <w:sz w:val="12"/>
                <w:szCs w:val="12"/>
                <w:color w:val="auto"/>
              </w:rPr>
            </w:pPr>
          </w:p>
        </w:tc>
        <w:tc>
          <w:tcPr>
            <w:tcW w:w="1060" w:type="dxa"/>
            <w:vAlign w:val="bottom"/>
            <w:gridSpan w:val="3"/>
          </w:tcPr>
          <w:p>
            <w:pPr>
              <w:ind w:left="200"/>
              <w:spacing w:after="0"/>
              <w:rPr>
                <w:sz w:val="20"/>
                <w:szCs w:val="20"/>
                <w:color w:val="auto"/>
              </w:rPr>
            </w:pPr>
            <w:r>
              <w:rPr>
                <w:rFonts w:ascii="Arial" w:cs="Arial" w:eastAsia="Arial" w:hAnsi="Arial"/>
                <w:sz w:val="13"/>
                <w:szCs w:val="13"/>
                <w:b w:val="1"/>
                <w:bCs w:val="1"/>
                <w:color w:val="auto"/>
                <w:w w:val="88"/>
              </w:rPr>
              <w:t>Common Stock</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2"/>
              </w:rPr>
              <w:t>Paid-in</w:t>
            </w:r>
          </w:p>
        </w:tc>
        <w:tc>
          <w:tcPr>
            <w:tcW w:w="880" w:type="dxa"/>
            <w:vAlign w:val="bottom"/>
            <w:gridSpan w:val="4"/>
          </w:tcPr>
          <w:p>
            <w:pPr>
              <w:ind w:left="60"/>
              <w:spacing w:after="0"/>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12"/>
                <w:szCs w:val="12"/>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Stockholders’</w:t>
            </w:r>
          </w:p>
        </w:tc>
      </w:tr>
      <w:tr>
        <w:trPr>
          <w:trHeight w:val="129"/>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1"/>
                <w:szCs w:val="11"/>
                <w:color w:val="auto"/>
              </w:rPr>
            </w:pPr>
          </w:p>
        </w:tc>
        <w:tc>
          <w:tcPr>
            <w:tcW w:w="8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top w:val="single" w:sz="8" w:color="auto"/>
            </w:tcBorders>
          </w:tcPr>
          <w:p>
            <w:pPr>
              <w:jc w:val="right"/>
              <w:ind w:right="89"/>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3"/>
          </w:tcPr>
          <w:p>
            <w:pPr>
              <w:ind w:left="120"/>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right"/>
              <w:ind w:right="200"/>
              <w:spacing w:after="0" w:line="129" w:lineRule="exact"/>
              <w:rPr>
                <w:sz w:val="20"/>
                <w:szCs w:val="20"/>
                <w:color w:val="auto"/>
              </w:rPr>
            </w:pPr>
            <w:r>
              <w:rPr>
                <w:rFonts w:ascii="Arial" w:cs="Arial" w:eastAsia="Arial" w:hAnsi="Arial"/>
                <w:sz w:val="13"/>
                <w:szCs w:val="13"/>
                <w:b w:val="1"/>
                <w:bCs w:val="1"/>
                <w:color w:val="auto"/>
                <w:w w:val="92"/>
              </w:rPr>
              <w:t>Capital</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80"/>
              <w:spacing w:after="0" w:line="129" w:lineRule="exact"/>
              <w:rPr>
                <w:sz w:val="20"/>
                <w:szCs w:val="20"/>
                <w:color w:val="auto"/>
              </w:rPr>
            </w:pPr>
            <w:r>
              <w:rPr>
                <w:rFonts w:ascii="Arial" w:cs="Arial" w:eastAsia="Arial" w:hAnsi="Arial"/>
                <w:sz w:val="13"/>
                <w:szCs w:val="13"/>
                <w:b w:val="1"/>
                <w:bCs w:val="1"/>
                <w:color w:val="auto"/>
              </w:rPr>
              <w:t>Deficit</w:t>
            </w:r>
          </w:p>
        </w:tc>
        <w:tc>
          <w:tcPr>
            <w:tcW w:w="1020" w:type="dxa"/>
            <w:vAlign w:val="bottom"/>
            <w:gridSpan w:val="4"/>
          </w:tcPr>
          <w:p>
            <w:pPr>
              <w:jc w:val="center"/>
              <w:ind w:right="40"/>
              <w:spacing w:after="0" w:line="129" w:lineRule="exact"/>
              <w:rPr>
                <w:sz w:val="20"/>
                <w:szCs w:val="20"/>
                <w:color w:val="auto"/>
              </w:rPr>
            </w:pPr>
            <w:r>
              <w:rPr>
                <w:rFonts w:ascii="Arial" w:cs="Arial" w:eastAsia="Arial" w:hAnsi="Arial"/>
                <w:sz w:val="13"/>
                <w:szCs w:val="13"/>
                <w:b w:val="1"/>
                <w:bCs w:val="1"/>
                <w:color w:val="auto"/>
                <w:w w:val="89"/>
              </w:rPr>
              <w:t>(Deficit) Equity</w:t>
            </w:r>
          </w:p>
        </w:tc>
      </w:tr>
      <w:tr>
        <w:trPr>
          <w:trHeight w:val="142"/>
        </w:trPr>
        <w:tc>
          <w:tcPr>
            <w:tcW w:w="20" w:type="dxa"/>
            <w:vAlign w:val="bottom"/>
          </w:tcPr>
          <w:p>
            <w:pPr>
              <w:spacing w:after="0"/>
              <w:rPr>
                <w:sz w:val="12"/>
                <w:szCs w:val="12"/>
                <w:color w:val="auto"/>
              </w:rPr>
            </w:pPr>
          </w:p>
        </w:tc>
        <w:tc>
          <w:tcPr>
            <w:tcW w:w="23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as of December 31, 2017</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3,333,333</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1,500</w:t>
            </w: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31,450,499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25,000</w:t>
            </w:r>
          </w:p>
        </w:tc>
        <w:tc>
          <w:tcPr>
            <w:tcW w:w="18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right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2,305,173</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339</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(23,474)</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(23,135)</w:t>
            </w:r>
          </w:p>
        </w:tc>
        <w:tc>
          <w:tcPr>
            <w:tcW w:w="100" w:type="dxa"/>
            <w:vAlign w:val="bottom"/>
            <w:tcBorders>
              <w:top w:val="single" w:sz="8" w:color="CCEEFF"/>
            </w:tcBorders>
            <w:shd w:val="clear" w:color="auto" w:fill="CCEEFF"/>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2360" w:type="dxa"/>
            <w:vAlign w:val="bottom"/>
          </w:tcPr>
          <w:p>
            <w:pPr>
              <w:ind w:left="120"/>
              <w:spacing w:after="0" w:line="130" w:lineRule="exact"/>
              <w:rPr>
                <w:sz w:val="20"/>
                <w:szCs w:val="20"/>
                <w:color w:val="auto"/>
              </w:rPr>
            </w:pPr>
            <w:r>
              <w:rPr>
                <w:rFonts w:ascii="Arial" w:cs="Arial" w:eastAsia="Arial" w:hAnsi="Arial"/>
                <w:sz w:val="14"/>
                <w:szCs w:val="14"/>
                <w:color w:val="auto"/>
              </w:rPr>
              <w:t>Issuance of series B redeemable</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280"/>
              <w:spacing w:after="0" w:line="149" w:lineRule="exact"/>
              <w:rPr>
                <w:sz w:val="20"/>
                <w:szCs w:val="20"/>
                <w:color w:val="auto"/>
              </w:rPr>
            </w:pPr>
            <w:r>
              <w:rPr>
                <w:rFonts w:ascii="Arial" w:cs="Arial" w:eastAsia="Arial" w:hAnsi="Arial"/>
                <w:sz w:val="14"/>
                <w:szCs w:val="14"/>
                <w:color w:val="auto"/>
                <w:w w:val="99"/>
              </w:rPr>
              <w:t>convertible preferred stock, net of</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tcPr>
          <w:p>
            <w:pPr>
              <w:ind w:left="280"/>
              <w:spacing w:after="0"/>
              <w:rPr>
                <w:sz w:val="20"/>
                <w:szCs w:val="20"/>
                <w:color w:val="auto"/>
              </w:rPr>
            </w:pPr>
            <w:r>
              <w:rPr>
                <w:rFonts w:ascii="Arial" w:cs="Arial" w:eastAsia="Arial" w:hAnsi="Arial"/>
                <w:sz w:val="14"/>
                <w:szCs w:val="14"/>
                <w:color w:val="auto"/>
              </w:rPr>
              <w:t>issuance costs of $2,243</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28,285,557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58,257</w:t>
            </w: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Issuance of series B redeemable</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convertible preferred stock to</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settled accrued liability of license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cost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233,765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rPr>
              <w:t>Vesting of restricted stock awards</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30,753</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Accretion of issuance costs related</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to redeemable convertible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preferred stock</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2,243</w:t>
            </w:r>
          </w:p>
        </w:tc>
        <w:tc>
          <w:tcPr>
            <w:tcW w:w="14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(1,904)</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(2,243)</w:t>
            </w:r>
          </w:p>
        </w:tc>
      </w:tr>
      <w:tr>
        <w:trPr>
          <w:trHeight w:val="149"/>
        </w:trPr>
        <w:tc>
          <w:tcPr>
            <w:tcW w:w="20" w:type="dxa"/>
            <w:vAlign w:val="bottom"/>
          </w:tcPr>
          <w:p>
            <w:pPr>
              <w:spacing w:after="0"/>
              <w:rPr>
                <w:sz w:val="12"/>
                <w:szCs w:val="12"/>
                <w:color w:val="auto"/>
              </w:rPr>
            </w:pPr>
          </w:p>
        </w:tc>
        <w:tc>
          <w:tcPr>
            <w:tcW w:w="2360" w:type="dxa"/>
            <w:vAlign w:val="bottom"/>
          </w:tcPr>
          <w:p>
            <w:pPr>
              <w:ind w:left="120"/>
              <w:spacing w:after="0" w:line="149" w:lineRule="exact"/>
              <w:rPr>
                <w:sz w:val="20"/>
                <w:szCs w:val="20"/>
                <w:color w:val="auto"/>
              </w:rPr>
            </w:pPr>
            <w:r>
              <w:rPr>
                <w:rFonts w:ascii="Arial" w:cs="Arial" w:eastAsia="Arial" w:hAnsi="Arial"/>
                <w:sz w:val="14"/>
                <w:szCs w:val="14"/>
                <w:color w:val="auto"/>
                <w:w w:val="98"/>
              </w:rPr>
              <w:t>Stock-based compensation expense</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(8,242)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(8,242)</w:t>
            </w:r>
          </w:p>
        </w:tc>
      </w:tr>
      <w:tr>
        <w:trPr>
          <w:trHeight w:val="156"/>
        </w:trPr>
        <w:tc>
          <w:tcPr>
            <w:tcW w:w="2380" w:type="dxa"/>
            <w:vAlign w:val="bottom"/>
            <w:gridSpan w:val="2"/>
          </w:tcPr>
          <w:p>
            <w:pPr>
              <w:spacing w:after="0" w:line="155" w:lineRule="exact"/>
              <w:rPr>
                <w:sz w:val="20"/>
                <w:szCs w:val="20"/>
                <w:color w:val="auto"/>
              </w:rPr>
            </w:pPr>
            <w:r>
              <w:rPr>
                <w:rFonts w:ascii="Arial" w:cs="Arial" w:eastAsia="Arial" w:hAnsi="Arial"/>
                <w:sz w:val="14"/>
                <w:szCs w:val="14"/>
                <w:color w:val="auto"/>
              </w:rPr>
              <w:t>Balances as of March 31, 2018</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3,333,333</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5"/>
              </w:rPr>
              <w:t>1,500</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31,450,499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25,000</w:t>
            </w:r>
          </w:p>
        </w:tc>
        <w:tc>
          <w:tcPr>
            <w:tcW w:w="180" w:type="dxa"/>
            <w:vAlign w:val="bottom"/>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28,519,322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61,000</w:t>
            </w: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2,335,926</w:t>
            </w: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(33,620)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(33,511)</w:t>
            </w:r>
          </w:p>
        </w:tc>
        <w:tc>
          <w:tcPr>
            <w:tcW w:w="100" w:type="dxa"/>
            <w:vAlign w:val="bottom"/>
          </w:tcPr>
          <w:p>
            <w:pPr>
              <w:spacing w:after="0"/>
              <w:rPr>
                <w:sz w:val="13"/>
                <w:szCs w:val="13"/>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Reclassification of warrants to</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purchase shares of redeemable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convertible preferred stock into</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36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warrants to purchase common</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stock</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4"/>
                <w:szCs w:val="14"/>
                <w:color w:val="auto"/>
              </w:rPr>
            </w:pPr>
          </w:p>
        </w:tc>
      </w:tr>
      <w:tr>
        <w:trPr>
          <w:trHeight w:val="130"/>
        </w:trPr>
        <w:tc>
          <w:tcPr>
            <w:tcW w:w="20" w:type="dxa"/>
            <w:vAlign w:val="bottom"/>
          </w:tcPr>
          <w:p>
            <w:pPr>
              <w:spacing w:after="0"/>
              <w:rPr>
                <w:sz w:val="11"/>
                <w:szCs w:val="11"/>
                <w:color w:val="auto"/>
              </w:rPr>
            </w:pPr>
          </w:p>
        </w:tc>
        <w:tc>
          <w:tcPr>
            <w:tcW w:w="2360" w:type="dxa"/>
            <w:vAlign w:val="bottom"/>
          </w:tcPr>
          <w:p>
            <w:pPr>
              <w:ind w:left="120"/>
              <w:spacing w:after="0" w:line="130" w:lineRule="exact"/>
              <w:rPr>
                <w:sz w:val="20"/>
                <w:szCs w:val="20"/>
                <w:color w:val="auto"/>
              </w:rPr>
            </w:pPr>
            <w:r>
              <w:rPr>
                <w:rFonts w:ascii="Arial" w:cs="Arial" w:eastAsia="Arial" w:hAnsi="Arial"/>
                <w:sz w:val="14"/>
                <w:szCs w:val="14"/>
                <w:color w:val="auto"/>
              </w:rPr>
              <w:t>Conversion of redeemable</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60" w:type="dxa"/>
            <w:vAlign w:val="bottom"/>
          </w:tcPr>
          <w:p>
            <w:pPr>
              <w:ind w:left="280"/>
              <w:spacing w:after="0" w:line="149" w:lineRule="exact"/>
              <w:rPr>
                <w:sz w:val="20"/>
                <w:szCs w:val="20"/>
                <w:color w:val="auto"/>
              </w:rPr>
            </w:pPr>
            <w:r>
              <w:rPr>
                <w:rFonts w:ascii="Arial" w:cs="Arial" w:eastAsia="Arial" w:hAnsi="Arial"/>
                <w:sz w:val="14"/>
                <w:szCs w:val="14"/>
                <w:color w:val="auto"/>
              </w:rPr>
              <w:t>convertible preferred stock into</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4"/>
        </w:trPr>
        <w:tc>
          <w:tcPr>
            <w:tcW w:w="20" w:type="dxa"/>
            <w:vAlign w:val="bottom"/>
          </w:tcPr>
          <w:p>
            <w:pPr>
              <w:spacing w:after="0"/>
              <w:rPr>
                <w:sz w:val="15"/>
                <w:szCs w:val="15"/>
                <w:color w:val="auto"/>
              </w:rPr>
            </w:pPr>
          </w:p>
        </w:tc>
        <w:tc>
          <w:tcPr>
            <w:tcW w:w="2360" w:type="dxa"/>
            <w:vAlign w:val="bottom"/>
          </w:tcPr>
          <w:p>
            <w:pPr>
              <w:ind w:left="280"/>
              <w:spacing w:after="0"/>
              <w:rPr>
                <w:sz w:val="20"/>
                <w:szCs w:val="20"/>
                <w:color w:val="auto"/>
              </w:rPr>
            </w:pPr>
            <w:r>
              <w:rPr>
                <w:rFonts w:ascii="Arial" w:cs="Arial" w:eastAsia="Arial" w:hAnsi="Arial"/>
                <w:sz w:val="14"/>
                <w:szCs w:val="14"/>
                <w:color w:val="auto"/>
              </w:rPr>
              <w:t>common stock</w:t>
            </w: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w w:val="97"/>
              </w:rPr>
              <w:t>(3,333,333)</w:t>
            </w:r>
          </w:p>
        </w:tc>
        <w:tc>
          <w:tcPr>
            <w:tcW w:w="700" w:type="dxa"/>
            <w:vAlign w:val="bottom"/>
            <w:gridSpan w:val="4"/>
          </w:tcPr>
          <w:p>
            <w:pPr>
              <w:jc w:val="right"/>
              <w:ind w:right="140"/>
              <w:spacing w:after="0"/>
              <w:rPr>
                <w:sz w:val="20"/>
                <w:szCs w:val="20"/>
                <w:color w:val="auto"/>
              </w:rPr>
            </w:pPr>
            <w:r>
              <w:rPr>
                <w:rFonts w:ascii="Arial" w:cs="Arial" w:eastAsia="Arial" w:hAnsi="Arial"/>
                <w:sz w:val="14"/>
                <w:szCs w:val="14"/>
                <w:color w:val="auto"/>
              </w:rPr>
              <w:t>(1,500)</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(31,450,499)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(25,000)</w:t>
            </w:r>
          </w:p>
        </w:tc>
        <w:tc>
          <w:tcPr>
            <w:tcW w:w="820" w:type="dxa"/>
            <w:vAlign w:val="bottom"/>
            <w:gridSpan w:val="2"/>
          </w:tcPr>
          <w:p>
            <w:pPr>
              <w:jc w:val="right"/>
              <w:ind w:right="40"/>
              <w:spacing w:after="0"/>
              <w:rPr>
                <w:sz w:val="20"/>
                <w:szCs w:val="20"/>
                <w:color w:val="auto"/>
              </w:rPr>
            </w:pPr>
            <w:r>
              <w:rPr>
                <w:rFonts w:ascii="Arial" w:cs="Arial" w:eastAsia="Arial" w:hAnsi="Arial"/>
                <w:sz w:val="14"/>
                <w:szCs w:val="14"/>
                <w:color w:val="auto"/>
                <w:w w:val="95"/>
              </w:rPr>
              <w:t>(28,519,322)</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4"/>
                <w:szCs w:val="14"/>
                <w:color w:val="auto"/>
                <w:w w:val="91"/>
              </w:rPr>
              <w:t>(61,000)</w:t>
            </w:r>
          </w:p>
        </w:tc>
        <w:tc>
          <w:tcPr>
            <w:tcW w:w="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4"/>
              </w:rPr>
              <w:t>15,320,213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87,498</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87,500</w:t>
            </w:r>
          </w:p>
        </w:tc>
        <w:tc>
          <w:tcPr>
            <w:tcW w:w="100" w:type="dxa"/>
            <w:vAlign w:val="bottom"/>
          </w:tcPr>
          <w:p>
            <w:pPr>
              <w:spacing w:after="0"/>
              <w:rPr>
                <w:sz w:val="15"/>
                <w:szCs w:val="15"/>
                <w:color w:val="auto"/>
              </w:rPr>
            </w:pPr>
          </w:p>
        </w:tc>
      </w:tr>
      <w:tr>
        <w:trPr>
          <w:trHeight w:val="130"/>
        </w:trPr>
        <w:tc>
          <w:tcPr>
            <w:tcW w:w="20" w:type="dxa"/>
            <w:vAlign w:val="bottom"/>
          </w:tcPr>
          <w:p>
            <w:pPr>
              <w:spacing w:after="0"/>
              <w:rPr>
                <w:sz w:val="11"/>
                <w:szCs w:val="11"/>
                <w:color w:val="auto"/>
              </w:rPr>
            </w:pPr>
          </w:p>
        </w:tc>
        <w:tc>
          <w:tcPr>
            <w:tcW w:w="23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 forma balance as of March 31,</w:t>
            </w: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3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2018</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17,656,139</w:t>
            </w:r>
          </w:p>
        </w:tc>
        <w:tc>
          <w:tcPr>
            <w:tcW w:w="3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87,654</w:t>
            </w:r>
          </w:p>
        </w:tc>
        <w:tc>
          <w:tcPr>
            <w:tcW w:w="10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(33,620)</w:t>
            </w:r>
          </w:p>
        </w:tc>
        <w:tc>
          <w:tcPr>
            <w:tcW w:w="240" w:type="dxa"/>
            <w:vAlign w:val="bottom"/>
            <w:gridSpan w:val="2"/>
            <w:shd w:val="clear" w:color="auto" w:fill="CCEEFF"/>
          </w:tcPr>
          <w:p>
            <w:pPr>
              <w:jc w:val="right"/>
              <w:ind w:right="43"/>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54,036</w:t>
            </w:r>
          </w:p>
        </w:tc>
        <w:tc>
          <w:tcPr>
            <w:tcW w:w="100" w:type="dxa"/>
            <w:vAlign w:val="bottom"/>
            <w:shd w:val="clear" w:color="auto" w:fill="CCEEFF"/>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240" w:top="460" w:right="4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Three Months Ended</w:t>
      </w:r>
    </w:p>
    <w:p>
      <w:pPr>
        <w:jc w:val="center"/>
        <w:ind w:left="92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8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(2,077)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(8,242)</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Impairment loss of property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offering costs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Deferred rent expense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Change in fair value of derivative liability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w:t>
            </w:r>
          </w:p>
        </w:tc>
      </w:tr>
      <w:tr>
        <w:trPr>
          <w:trHeight w:val="216"/>
        </w:trPr>
        <w:tc>
          <w:tcPr>
            <w:tcW w:w="20" w:type="dxa"/>
            <w:vAlign w:val="bottom"/>
          </w:tcPr>
          <w:p>
            <w:pPr>
              <w:spacing w:after="0"/>
              <w:rPr>
                <w:sz w:val="18"/>
                <w:szCs w:val="18"/>
                <w:color w:val="auto"/>
              </w:rPr>
            </w:pPr>
          </w:p>
        </w:tc>
        <w:tc>
          <w:tcPr>
            <w:tcW w:w="780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1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(2,011)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(5,980)</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r>
      <w:tr>
        <w:trPr>
          <w:trHeight w:val="27"/>
        </w:trPr>
        <w:tc>
          <w:tcPr>
            <w:tcW w:w="2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w:t>
            </w: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58,263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Payments of initial public offering costs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58,208</w:t>
            </w:r>
          </w:p>
        </w:tc>
        <w:tc>
          <w:tcPr>
            <w:tcW w:w="120" w:type="dxa"/>
            <w:vAlign w:val="bottom"/>
            <w:shd w:val="clear" w:color="auto" w:fill="CCEEFF"/>
          </w:tcPr>
          <w:p>
            <w:pPr>
              <w:spacing w:after="0"/>
              <w:rPr>
                <w:sz w:val="18"/>
                <w:szCs w:val="18"/>
                <w:color w:val="auto"/>
              </w:rPr>
            </w:pP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1,421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51,965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5,357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20" w:type="dxa"/>
            <w:vAlign w:val="bottom"/>
            <w:shd w:val="clear" w:color="auto" w:fill="CCEEFF"/>
          </w:tcPr>
          <w:p>
            <w:pPr>
              <w:spacing w:after="0"/>
              <w:rPr>
                <w:sz w:val="18"/>
                <w:szCs w:val="18"/>
                <w:color w:val="auto"/>
              </w:rPr>
            </w:pPr>
          </w:p>
        </w:tc>
      </w:tr>
      <w:tr>
        <w:trPr>
          <w:trHeight w:val="223"/>
        </w:trPr>
        <w:tc>
          <w:tcPr>
            <w:tcW w:w="78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6,778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57,928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paid for by landlord</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Property and equipment held for sale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included in accrued expenses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Accretion of issuance costs related to redeemable convertible preferred stock</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2,240</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240" w:top="459" w:right="4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Nature of the Business</w:t>
      </w:r>
    </w:p>
    <w:p>
      <w:pPr>
        <w:spacing w:after="0" w:line="121"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 xml:space="preserve">AVROBIO, Inc. (the “Company” or “AVROBIO”) is a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 gene therapies to treat rare diseases following a single dose.</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Through March 31, 2018, the Company has funded its operations primarily with proceeds from the sale of series Seed redeemable convertible preferred stock (the “Series Seed Preferred Stock”), series A redeemable convertible preferred stock (the “Series A Preferred Stock”) and series B redeemable convertible preferred stock (the “Series B Preferred Stock”), (the Series Seed Preferred Stock, the Series A Preferred Stock and the Series B Preferred Stock are collectively referred to as the “Preferred Stock”). The Company has incurred recurring losses since its inception, including net losses of $8,242 for the three months ended March 31, 2018. In addition, as of March 31, 2018, the Company had an accumulated deficit of $33,621. The Company expects to continue to generate operating losses for the near future.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 current operating plan will be achieved or that additional funding will be available on terms acceptable to the Company, or at all.</w:t>
      </w:r>
    </w:p>
    <w:p>
      <w:pPr>
        <w:spacing w:after="0" w:line="18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Company believes the cash and cash equivalents on hand as of March 31, 2018 of $57,928 will be sufficient to fund its operations and capital expenditure requirements through at least May 11, 2019.</w:t>
      </w:r>
    </w:p>
    <w:p>
      <w:pPr>
        <w:spacing w:after="0" w:line="275" w:lineRule="exact"/>
        <w:rPr>
          <w:sz w:val="20"/>
          <w:szCs w:val="20"/>
          <w:color w:val="auto"/>
        </w:rPr>
      </w:pPr>
    </w:p>
    <w:p>
      <w:pPr>
        <w:ind w:left="640" w:right="7440" w:hanging="436"/>
        <w:spacing w:after="0" w:line="378" w:lineRule="auto"/>
        <w:tabs>
          <w:tab w:leader="none" w:pos="379"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200" w:right="120" w:firstLine="441"/>
        <w:spacing w:after="0" w:line="259"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of America (GAAP). Any reference in these notes to applicable guidance is meant to refer to the authoritative United States generally accepted accounting principles as found in the Accounting Standards Codification (ASC) and Accounting Standards Update (ASU) of the Financial Accounting Standards Board (FASB).</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The unaudited condensed consolidated interim financial statements have been prepared on the same basis as the audited annual consolidated financial statements as of and for the year ended December 31, 2017, and, in the opinion of management, reflect all adjustments, consisting of normal recurring adjustments, necessary for the fair presentation of the Company’s financial position as of March 31, 2018, and the results of its operations and its cash flows for the three months ended March 31, 2017 and 2018.</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00"/>
          </w:cols>
          <w:pgMar w:left="240" w:top="460"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135"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The results for the three months ended March 31, 2018 are not necessarily indicative of the results to be expected for the year ending December 31, 2018, any other interim periods, or any future year or period. These interim financial statements should be read in conjunction with the audited financial statements as of and for the year ended December 31, 2017, and the notes thereto, which are included elsewhere in the Company’s confidentially submitted Registration Statement on Form S-1.</w:t>
      </w:r>
    </w:p>
    <w:p>
      <w:pPr>
        <w:spacing w:after="0" w:line="18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2017 included in the Company’s Form S-1. Since the date of such consolidated financial statements, there have been no changes to the Company’s significant accounting policies.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Information</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accompanying unaudited pro forma condensed consolidated balance sheet and statement of redeemable convertible preferred stock and stockholders’ (deficit) equity as of March 31, 2018 has been prepared to give effect, upon the closing of a qualified initial public offering (“IPO”), to the conversion of all outstanding shares of redeemable convertible preferred stock into 15,320,213 shares of common stock and the conversion of the outstanding warrant to purchase shares of redeemable convertible preferred stock as of March 31, 2018 into a warrant to purchase shares of common stock as if the Company’s proposed IPO had occurred on March 31, 2018.</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the accompanying unaudited condensed consolidated statements of operations and comprehensive loss, the unaudited pro forma basic and diluted net loss per share attributable to common stockholders for the three months ended March 31, 2018 has been computed using the weighted-average number of common shares outstanding after giving pro forma effect to the conversion of all outstanding shares of redeemable convertible preferred stock into shares of common stock and the conversion of the outstanding warrant to purchase shares of redeemable convertible preferred stock as of March 31, 2018 into a warrant to purchase shares of common stock, as if such conversion had occurred at the beginning of the period presented or the date of original issuance, whichever is later. Accordingly, the effect of the accretion to redemption value of the redeemable convertible preferred stock has been excluded from the determination of pro forma basic and diluted loss per share attributable to common stockholders. Additionally, the changes in the fair value of the warrant to purchase redeemable convertible preferred stock has been excluded from the determination of pro forma basic and diluted net loss per share attributable to common stockholders as these instruments are not required be recorded at fair value once it becomes a warrant to purchase common stock.</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Subsequent Event Considerations</w:t>
      </w:r>
    </w:p>
    <w:p>
      <w:pPr>
        <w:spacing w:after="0" w:line="11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consolidated financial statements to provide additional evidence for certain estimates or to identify matters that require additional disclosure. Subsequent events have been evaluated as required. See Note 16.</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80"/>
          </w:cols>
          <w:pgMar w:left="240" w:top="460"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w:t>
      </w:r>
    </w:p>
    <w:p>
      <w:pPr>
        <w:spacing w:after="0" w:line="121"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The following table presents information about the Company’s financial assets and liabilities measured at fair value on a recurring basis and indicates the level of the fair value hierarchy utilized to determine such fair values as of December 31, 2017 and March 31, 2018, respectively:</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2"/>
              </w:rPr>
              <w:t>December 31, 2017 Using: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92"/>
              </w:rPr>
              <w:t>Level 2</w:t>
            </w:r>
          </w:p>
        </w:tc>
        <w:tc>
          <w:tcPr>
            <w:tcW w:w="360" w:type="dxa"/>
            <w:vAlign w:val="bottom"/>
          </w:tcPr>
          <w:p>
            <w:pPr>
              <w:spacing w:after="0"/>
              <w:rPr>
                <w:sz w:val="12"/>
                <w:szCs w:val="12"/>
                <w:color w:val="auto"/>
              </w:rPr>
            </w:pPr>
          </w:p>
        </w:tc>
        <w:tc>
          <w:tcPr>
            <w:tcW w:w="8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5,684</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5,684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371</w:t>
            </w:r>
          </w:p>
        </w:tc>
        <w:tc>
          <w:tcPr>
            <w:tcW w:w="3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371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0" w:type="dxa"/>
            <w:vAlign w:val="bottom"/>
            <w:gridSpan w:val="7"/>
          </w:tcPr>
          <w:p>
            <w:pPr>
              <w:jc w:val="center"/>
              <w:spacing w:after="0"/>
              <w:rPr>
                <w:sz w:val="20"/>
                <w:szCs w:val="20"/>
                <w:color w:val="auto"/>
              </w:rPr>
            </w:pPr>
            <w:r>
              <w:rPr>
                <w:rFonts w:ascii="Arial" w:cs="Arial" w:eastAsia="Arial" w:hAnsi="Arial"/>
                <w:sz w:val="14"/>
                <w:szCs w:val="14"/>
                <w:b w:val="1"/>
                <w:bCs w:val="1"/>
                <w:color w:val="auto"/>
                <w:w w:val="92"/>
              </w:rPr>
              <w:t>Fair Value Measurements as of</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center"/>
              <w:spacing w:after="0"/>
              <w:rPr>
                <w:sz w:val="20"/>
                <w:szCs w:val="20"/>
                <w:color w:val="auto"/>
              </w:rPr>
            </w:pPr>
            <w:r>
              <w:rPr>
                <w:rFonts w:ascii="Arial" w:cs="Arial" w:eastAsia="Arial" w:hAnsi="Arial"/>
                <w:sz w:val="14"/>
                <w:szCs w:val="14"/>
                <w:b w:val="1"/>
                <w:bCs w:val="1"/>
                <w:color w:val="auto"/>
                <w:w w:val="95"/>
              </w:rPr>
              <w:t>March 31, 2018 Using:</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Level 1</w:t>
            </w:r>
          </w:p>
        </w:tc>
        <w:tc>
          <w:tcPr>
            <w:tcW w:w="82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w w:val="92"/>
              </w:rPr>
              <w:t>Level 2</w:t>
            </w:r>
          </w:p>
        </w:tc>
        <w:tc>
          <w:tcPr>
            <w:tcW w:w="360" w:type="dxa"/>
            <w:vAlign w:val="bottom"/>
          </w:tcPr>
          <w:p>
            <w:pPr>
              <w:spacing w:after="0"/>
              <w:rPr>
                <w:sz w:val="12"/>
                <w:szCs w:val="12"/>
                <w:color w:val="auto"/>
              </w:rPr>
            </w:pPr>
          </w:p>
        </w:tc>
        <w:tc>
          <w:tcPr>
            <w:tcW w:w="8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7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57,459</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57,459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57,483</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57,483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Derivative liability</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958</w:t>
            </w:r>
          </w:p>
        </w:tc>
        <w:tc>
          <w:tcPr>
            <w:tcW w:w="3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958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Warrant to purchase redeemable convertible preferred stock</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1,005</w:t>
            </w: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During the three months ended March 31, 2017 and 2018, there were no transfers between Level 1, Level 2 and Level 3.</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the Warrant to Purchase Preferred Stock</w:t>
      </w:r>
    </w:p>
    <w:p>
      <w:pPr>
        <w:spacing w:after="0" w:line="117"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The warrant to purchase preferred stock liability in the table above is composed of the fair value of a warrant to purchase shares of Series A Preferred Stock that was issued to a lender in connection with a loan and security agreement in 2017. The fair value of the warrant to purchase preferred stock was determined based on significant inputs not observable in the market, which represents a Level 3 measurement within the fair value hierarchy.</w:t>
      </w:r>
    </w:p>
    <w:p>
      <w:pPr>
        <w:spacing w:after="0" w:line="14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In order to determine the fair value of the warrant to purchase preferred stock, the Company utilizes available facts and circumstances to estimate the number of shares of Series A Preferred Stock for which the warrant will ultimately be exercisable. The Company then used the Black-Scholes option-pricing model, which incorporates assumptions and estimates, to value the warrant to purchase preferred stock. Estimates and</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240" w:top="459" w:right="4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35" w:lineRule="exact"/>
        <w:rPr>
          <w:sz w:val="20"/>
          <w:szCs w:val="20"/>
          <w:color w:val="auto"/>
        </w:rPr>
      </w:pPr>
    </w:p>
    <w:p>
      <w:pPr>
        <w:ind w:left="200" w:right="80"/>
        <w:spacing w:after="0" w:line="291" w:lineRule="auto"/>
        <w:rPr>
          <w:sz w:val="20"/>
          <w:szCs w:val="20"/>
          <w:color w:val="auto"/>
        </w:rPr>
      </w:pPr>
      <w:r>
        <w:rPr>
          <w:rFonts w:ascii="Arial" w:cs="Arial" w:eastAsia="Arial" w:hAnsi="Arial"/>
          <w:sz w:val="16"/>
          <w:szCs w:val="16"/>
          <w:color w:val="auto"/>
        </w:rPr>
        <w:t>assumptions impacting the fair value measurement include the fair value of the underlying shares of Series A Preferred Stock, the remaining contractual term of the warrant, risk-free interest rate, expected dividend yield and expected volatility of the price of the underlying preferred stock. The Company determined the fair value of the underlying preferred stock based on various valuation methodologies. The Company lacks company-specific historical and implied volatility information of its stock. Therefore, it estimates its expected stock volatility based on the historical volatility of publicly traded guideline companies for a term equal to the remaining contractual term of the warrant. The risk-free interest rate is determined by reference to the U.S. Treasury yield curve for time periods approximately equal to the remaining contractual term of the warrant. The Company estimated no expected dividend yield based on the fact that the Company has never paid or declared dividends and does not intend to do so in the foreseeable future.</w:t>
      </w:r>
    </w:p>
    <w:p>
      <w:pPr>
        <w:spacing w:after="0" w:line="16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assumptions that the Company used to determine the fair value of the warrant to purchase preferred stock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3860" w:type="dxa"/>
            <w:vAlign w:val="bottom"/>
            <w:gridSpan w:val="4"/>
          </w:tcPr>
          <w:p>
            <w:pPr>
              <w:ind w:left="2000"/>
              <w:spacing w:after="0"/>
              <w:rPr>
                <w:sz w:val="20"/>
                <w:szCs w:val="20"/>
                <w:color w:val="auto"/>
              </w:rPr>
            </w:pPr>
            <w:r>
              <w:rPr>
                <w:rFonts w:ascii="Arial" w:cs="Arial" w:eastAsia="Arial" w:hAnsi="Arial"/>
                <w:sz w:val="14"/>
                <w:szCs w:val="14"/>
                <w:b w:val="1"/>
                <w:bCs w:val="1"/>
                <w:color w:val="auto"/>
              </w:rPr>
              <w:t>December 31, 2017</w:t>
            </w:r>
          </w:p>
        </w:tc>
        <w:tc>
          <w:tcPr>
            <w:tcW w:w="1720" w:type="dxa"/>
            <w:vAlign w:val="bottom"/>
            <w:gridSpan w:val="4"/>
          </w:tcPr>
          <w:p>
            <w:pPr>
              <w:ind w:left="540"/>
              <w:spacing w:after="0"/>
              <w:rPr>
                <w:sz w:val="20"/>
                <w:szCs w:val="20"/>
                <w:color w:val="auto"/>
              </w:rPr>
            </w:pPr>
            <w:r>
              <w:rPr>
                <w:rFonts w:ascii="Arial" w:cs="Arial" w:eastAsia="Arial" w:hAnsi="Arial"/>
                <w:sz w:val="14"/>
                <w:szCs w:val="14"/>
                <w:b w:val="1"/>
                <w:bCs w:val="1"/>
                <w:color w:val="auto"/>
              </w:rPr>
              <w:t>March 31, 2018</w:t>
            </w: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contractual term</w:t>
            </w:r>
          </w:p>
        </w:tc>
        <w:tc>
          <w:tcPr>
            <w:tcW w:w="2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7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2.40%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2.74%</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82.00%</w:t>
            </w: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82.00%</w:t>
            </w: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0%</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Series A Preferred Stock per share</w:t>
            </w:r>
          </w:p>
        </w:tc>
        <w:tc>
          <w:tcPr>
            <w:tcW w:w="242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7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following table sets forth a summary of changes in the fair value of the Company’s preferred stock warrant liability for which fair value is determined by Level 3 inputs: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Warrant</w:t>
            </w: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46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Liability</w:t>
            </w: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40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Change in fair value.</w:t>
            </w:r>
          </w:p>
        </w:tc>
        <w:tc>
          <w:tcPr>
            <w:tcW w:w="40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2018</w:t>
            </w:r>
          </w:p>
        </w:tc>
        <w:tc>
          <w:tcPr>
            <w:tcW w:w="422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Valuation of Derivative</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In January 2016, in connection with a license agreement entered into with University Health Network (“UHN”), and as part of the initial consideration for the license, the Company issued 1,161,665 shares of common stock to UHN pursuant to a stock purchase agreement (the “Stock Purchase Agreement”). The Stock Purchase Agreement contains a provision requiring the Company to make a cash payment to UHN of up to $2,000 if UHN’s fully diluted ownership is reduced within specified percentages as part of an IPO by the Company. The Company concluded the anti-dilution feature represented a derivative instrument and should be measured at fair value, with changes in fair value recognized as a gain or loss to other income (expense), net in the consolidated statements of operations and comprehensive loss. The initial fair value of the derivative of $49 was recorded as research and development expense in January 2016.</w:t>
      </w:r>
    </w:p>
    <w:p>
      <w:pPr>
        <w:spacing w:after="0" w:line="18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March 31, 2017 and 2018, the Company remeasured the fair value of the derivative, using current assumptions, resulting in an increase in fair value of $32 and $587, respectively, which was recorded in other expense in the accompanying condensed consolidated statements of operations and comprehensive loss for the three months ended March 31, 2017 and 2018. The Company will continue to re-measure the fair value of the liability at the end of each reporting period until the completion of an IPO.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of Financial Assets and Liabilities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a summary of changes in the fair value of the Company’s derivative liability for which fair value is determined by</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Level 3 inputs:</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gridSpan w:val="6"/>
          </w:tcPr>
          <w:p>
            <w:pPr>
              <w:ind w:left="40"/>
              <w:spacing w:after="0"/>
              <w:rPr>
                <w:sz w:val="20"/>
                <w:szCs w:val="20"/>
                <w:color w:val="auto"/>
              </w:rPr>
            </w:pPr>
            <w:r>
              <w:rPr>
                <w:rFonts w:ascii="Arial" w:cs="Arial" w:eastAsia="Arial" w:hAnsi="Arial"/>
                <w:sz w:val="14"/>
                <w:szCs w:val="14"/>
                <w:b w:val="1"/>
                <w:bCs w:val="1"/>
                <w:color w:val="auto"/>
              </w:rPr>
              <w:t>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4"/>
          </w:tcPr>
          <w:p>
            <w:pPr>
              <w:ind w:left="4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Change in fair value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March 31, 2018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Prepaid Expenses and Other Current Assets</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 consisted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6"/>
          </w:tcPr>
          <w:p>
            <w:pPr>
              <w:ind w:left="8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gridSpan w:val="5"/>
          </w:tcPr>
          <w:p>
            <w:pPr>
              <w:ind w:left="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Prepaid development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Prepaid 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122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345</w:t>
            </w: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 Net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8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862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260" w:type="dxa"/>
            <w:vAlign w:val="bottom"/>
            <w:gridSpan w:val="7"/>
          </w:tcPr>
          <w:p>
            <w:pPr>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7"/>
          </w:tcPr>
          <w:p>
            <w:pPr>
              <w:ind w:left="3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6"/>
              </w:rPr>
              <w:t>2017</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Laboratory and office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Depreciation and amortization expense for the three months ended March 31, 2017 and 2018 was $2 and $21,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40"/>
          </w:cols>
          <w:pgMar w:left="240" w:top="459" w:right="41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Accrued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consisted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1280" w:type="dxa"/>
            <w:vAlign w:val="bottom"/>
            <w:gridSpan w:val="4"/>
          </w:tcPr>
          <w:p>
            <w:pPr>
              <w:ind w:left="5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20" w:type="dxa"/>
            <w:vAlign w:val="bottom"/>
          </w:tcPr>
          <w:p>
            <w:pPr>
              <w:spacing w:after="0"/>
              <w:rPr>
                <w:sz w:val="14"/>
                <w:szCs w:val="14"/>
                <w:color w:val="auto"/>
              </w:rPr>
            </w:pPr>
          </w:p>
        </w:tc>
        <w:tc>
          <w:tcPr>
            <w:tcW w:w="89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Short-term deferred 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Consulting and professional fees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267</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532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issuance cost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Legal services fee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451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2,098</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3,009</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w:t>
      </w:r>
    </w:p>
    <w:p>
      <w:pPr>
        <w:spacing w:after="0" w:line="121"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color w:val="auto"/>
        </w:rPr>
        <w:t>On June 23, 2017, the Company entered into the Loan Agreement with a lender, which provided for the issuance of term loans of up to $10,000, subject to the achievement of various development and corporate milestones. Any outstanding principal amounts under the Loan Agreement will accrue interest at a floating per annum rate equal to the greater of 1% and the “prime rate,” as defined in the Loan Agreement, minus 3%.</w:t>
      </w:r>
    </w:p>
    <w:p>
      <w:pPr>
        <w:spacing w:after="0" w:line="14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Payments on the Loan Agreement are interest only, payable monthly in arrears, until November 1, 2018, which can be extended by six months if the third tranche is drawn. Thereafter, principal and interest amounts are repayable over a 30-month period, unless the third tranche is funded and the initial interest-only period is extended by six months, in which case principal and interest amounts are repayable over a 24-month period. As of March 31, 2018, the Company had not drawn down from the facility and $10,000 was available to the Company.</w:t>
      </w:r>
    </w:p>
    <w:p>
      <w:pPr>
        <w:spacing w:after="0" w:line="171"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The Loan Agreement contains customary indemnification obligations and customary events of default. In the event of default by the Company under the Loan Agreement, the lender would be entitled to exercise their remedies thereunder, including the right to accelerate the debt, upon which the Company may be required to repay all amounts then outstanding under the Loan Agreement or the lender may take possession of the collateral securing the Loan Agreement. No events of default had occurred through March 31, 2018.</w:t>
      </w:r>
    </w:p>
    <w:p>
      <w:pPr>
        <w:spacing w:after="0" w:line="18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Loan Agreement also includes certain restrictions on, among other things, the Company’s ability to incur additional indebtedness, change the name or location of its business, merge with or acquire other entities, pay dividends or make other distributions to holders of the Company’s capital stock, make certain investments, engage in transactions with affiliates, create liens, open new deposit accounts, sell assets or pay subordinated debt.</w:t>
      </w:r>
    </w:p>
    <w:p>
      <w:pPr>
        <w:spacing w:after="0" w:line="14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In connection with the Loan Agreement, the Company agreed to issue a warrant to the lender for the purchase of up to 188,702 shares of the Company’s Series A Preferred Stock with an exercise price of $0.7949 per share. The warrant expires on June 22, 2027. The warrant is initially exercisable for the purchase of up to 28,305 shares of Series A Preferred Stock and can become exercisable for up to an additional 160,397 shares of Series A Preferred Stock based on the amounts drawn under the Loan Agreement. On the issuance date of the warrant, the Company recorded a deferred financing cost and a liability for the warrant to purchase preferred stock in the Company’s consolidated balance sheet equal to the issuance-date fair value of the warrant. As of March 31, 2018, the warrant is exercisable for up to 28,305 shares of Series A Preferred Stock.</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40"/>
          </w:cols>
          <w:pgMar w:left="240" w:top="460" w:right="41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Loan Agreement and Warrant to Purchase Preferred Stock (continued)</w:t>
      </w:r>
    </w:p>
    <w:p>
      <w:pPr>
        <w:spacing w:after="0" w:line="13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On the date of issuance, the fair value of the warrant was determined to be $18. The Company remeasured the liability associated with the warrant as of December 31, 2017 and March 31, 2018, and determined that the fair value of the preferred stock warrant liability was $35 and $47, respectively. The Company recognized a loss of $12 in the condensed consolidated statements of operations and comprehensive loss for the three months ended March 31, 2018, related to the change in fair value of the warrant.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w:t>
      </w:r>
    </w:p>
    <w:p>
      <w:pPr>
        <w:spacing w:after="0" w:line="121" w:lineRule="exact"/>
        <w:rPr>
          <w:sz w:val="20"/>
          <w:szCs w:val="20"/>
          <w:color w:val="auto"/>
        </w:rPr>
      </w:pPr>
    </w:p>
    <w:p>
      <w:pPr>
        <w:ind w:left="200" w:right="240" w:firstLine="441"/>
        <w:spacing w:after="0" w:line="276" w:lineRule="auto"/>
        <w:rPr>
          <w:sz w:val="20"/>
          <w:szCs w:val="20"/>
          <w:color w:val="auto"/>
        </w:rPr>
      </w:pPr>
      <w:r>
        <w:rPr>
          <w:rFonts w:ascii="Arial" w:cs="Arial" w:eastAsia="Arial" w:hAnsi="Arial"/>
          <w:sz w:val="17"/>
          <w:szCs w:val="17"/>
          <w:color w:val="auto"/>
        </w:rPr>
        <w:t>As of March 31, 2018, the authorized capital stock of the Company included 63,491,857 shares of $0.0001 par value preferred stock, of which 3,333,333 shares have been designated as Series Seed redeemable convertible preferred stock (the “Series Seed Preferred Stock), 31,639,202 shares have been designated as Series A redeemable convertible preferred stock (the “Series A Preferred Stock) and 28,519,322 shares have been designated as Series B redeemable convertible preferred stock (the “Series B Preferred Stock) (the Series Seed Preferred Stock, the Series A Preferred Stock and the Series B Preferred Stock are collectively referred to as the “Preferred Stock”).</w:t>
      </w:r>
    </w:p>
    <w:p>
      <w:pPr>
        <w:spacing w:after="0" w:line="173"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January 2018, the Company issued and sold 28,519,322 shares of Series B Preferred Stock, at a price of $2.1389 per share, for total proceeds of $58,757, net of issuance costs of $2,243.</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and March 31, 2018, the Preferred Stock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2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5"/>
              </w:rPr>
              <w:t>Liquidation</w:t>
            </w: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Preference</w:t>
            </w:r>
          </w:p>
        </w:tc>
        <w:tc>
          <w:tcPr>
            <w:tcW w:w="2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31,639,202</w:t>
            </w:r>
          </w:p>
        </w:tc>
        <w:tc>
          <w:tcPr>
            <w:tcW w:w="2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31,450,499</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25,000,000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25,000,000</w:t>
            </w:r>
          </w:p>
        </w:tc>
        <w:tc>
          <w:tcPr>
            <w:tcW w:w="26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7,611,438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34,972,535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34,783,832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26,500,000</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26,500,000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8,418,149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March 31, 2018</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Preferred</w:t>
            </w:r>
          </w:p>
        </w:tc>
        <w:tc>
          <w:tcPr>
            <w:tcW w:w="2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Preferred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5"/>
              </w:rPr>
              <w:t>Liquidation</w:t>
            </w:r>
          </w:p>
        </w:tc>
        <w:tc>
          <w:tcPr>
            <w:tcW w:w="2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Issuable Upon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5"/>
              </w:rPr>
              <w:t>Authorized</w:t>
            </w:r>
          </w:p>
        </w:tc>
        <w:tc>
          <w:tcPr>
            <w:tcW w:w="2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37"/>
              <w:spacing w:after="0"/>
              <w:rPr>
                <w:sz w:val="20"/>
                <w:szCs w:val="20"/>
                <w:color w:val="auto"/>
              </w:rPr>
            </w:pPr>
            <w:r>
              <w:rPr>
                <w:rFonts w:ascii="Arial" w:cs="Arial" w:eastAsia="Arial" w:hAnsi="Arial"/>
                <w:sz w:val="14"/>
                <w:szCs w:val="14"/>
                <w:b w:val="1"/>
                <w:bCs w:val="1"/>
                <w:color w:val="auto"/>
                <w:w w:val="88"/>
              </w:rPr>
              <w:t>Preference</w:t>
            </w:r>
          </w:p>
        </w:tc>
        <w:tc>
          <w:tcPr>
            <w:tcW w:w="2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Conversion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Seed preferred stock</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Series A preferred stock</w:t>
            </w: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31,639,202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31,450,499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25,000,000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25,000,000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7,611,438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Series B preferred stock</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28,519,322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28,519,322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61,000,000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61,000,000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6,902,064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63,491,857</w:t>
            </w: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63,303,154</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87,500,000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87,500,000</w:t>
            </w:r>
          </w:p>
        </w:tc>
        <w:tc>
          <w:tcPr>
            <w:tcW w:w="2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15,320,213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of March 31, 2018, the rights and preferences of the holders of the Preferred Stock had not been changed since December 31, 2017, except for the following which were amended upon issuance of Series B Preferred Stock:</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Liquidation Rights—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the event of any voluntary or involuntary liquidation event, dissolution, winding up of the Company or upon the occurrence of certain events designated by a majority of the holders of the Preferred Stock to be a</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40"/>
          </w:cols>
          <w:pgMar w:left="240" w:top="460" w:right="41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deemed liquidation event, each holder of the then outstanding Series A Preferred Stock and Series B Preferred Stock will be entitled to receive, prior and in preference to any distributions to the holders of Series Seed Preferred Stock and common stock, an amount equal to the greater of (i) $0.7949 per share for Series A and $2.1389 per share for Series B Preferred Stock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88"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After the payment of all preferential amounts to the holders of Series A Preferred Stock and Series B Preferred Stock, each holder of the then outstanding Series Seed Preferred Stock will be entitled to receive, prior and in preference to any distributions to the holders of common stock, an amount equal to the greater of (i) $0.45 per share (adjusted in the event of any stock dividend, stock split, combination or other similar activity) plus any declared but unpaid dividends thereon, or (ii) the amount such holder would have received if such holder had converted its shares into common stock immediately prior to such liquidation event.</w:t>
      </w:r>
    </w:p>
    <w:p>
      <w:pPr>
        <w:spacing w:after="0" w:line="188" w:lineRule="exact"/>
        <w:rPr>
          <w:sz w:val="20"/>
          <w:szCs w:val="20"/>
          <w:color w:val="auto"/>
        </w:rPr>
      </w:pPr>
    </w:p>
    <w:p>
      <w:pPr>
        <w:ind w:left="200" w:right="760" w:firstLine="441"/>
        <w:spacing w:after="0" w:line="308" w:lineRule="auto"/>
        <w:rPr>
          <w:sz w:val="20"/>
          <w:szCs w:val="20"/>
          <w:color w:val="auto"/>
        </w:rPr>
      </w:pPr>
      <w:r>
        <w:rPr>
          <w:rFonts w:ascii="Arial" w:cs="Arial" w:eastAsia="Arial" w:hAnsi="Arial"/>
          <w:sz w:val="17"/>
          <w:szCs w:val="17"/>
          <w:color w:val="auto"/>
        </w:rPr>
        <w:t>After payments have been made in full to the holders of the Preferred Stock, then, to the extent available, the remaining amounts will be distributed among the holders of the shares of common stock, pro rata based on the number of shares held by each holder.</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Each share of Preferred Stock is convertible into common stock, at any time, at the option of the holder, and without the payment of additional consideration, at the applicable conversion ratio then in effect for each series of Preferred Stock, initially set to be one-for-one, and subject to adjustment in accordance with anti-dilution provisions. In addition, each share of Preferred Stock will be automatically converted into common stock at the applicable conversion ratio then in effect for each series of Preferred Stock upon the earlier of a qualified IPO which results in net proceeds of at least $50,000 with the issuance price at least 1.5 times the original issue price of Series B Preferred Stock and the listing of the Company’s common stock on the New York Stock Exchange or the Nasdaq Stock Market, or upon a vote of the holders of a majority of the outstanding Preferred Stock. As of March 31, 2018, each share of Preferred Stock was convertible into 0.242 shares of common stock and can be adjusted in the event of any stock dividend, stock split, combination or other similar recapitalization with respect to the Preferred Stock.</w:t>
      </w:r>
    </w:p>
    <w:p>
      <w:pPr>
        <w:spacing w:after="0" w:line="179"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Company evaluated each series of its Preferred Stock and determined that each individual series is considered an equity host. In making this determination, the Company’s analysis followed the whole instrument approach which compares an individual feature against the entire preferred stock instrument which includes that feature. The Company’s analysis was based on a consideration of the economic characteristics and risks of each series of Preferred Stock. More specifically, the Company evaluated all of the stated and implied substantive terms and features, including: (1) whether the Preferred Stock included redemption features, (2) how and when any redemption features could be exercised, (3) whether the holders of Preferred Stock were entitled to dividends, (4) the voting rights of the Preferred Stock and (5) the existence and nature of any conversion rights.</w:t>
      </w:r>
    </w:p>
    <w:p>
      <w:pPr>
        <w:spacing w:after="0" w:line="16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As a result of the Company’s conclusion that the Preferred Stock represents an equity host, the conversion feature of all series of Preferred Stock is considered to be clearly and closely related to the associated Preferred Stock host instrument. Accordingly, the conversion feature of all series of Preferred Stock is not considered an embedded derivative that requires bifurcation.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20"/>
          </w:cols>
          <w:pgMar w:left="240" w:top="460"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Redeemable Convertible Preferred Stock (continued)</w:t>
      </w:r>
    </w:p>
    <w:p>
      <w:pPr>
        <w:spacing w:after="0" w:line="13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accounts for potential beneficial conversion features at the time of issuance. The Company’s common stock into which each series of the Company’s Preferred Stock is convertible had an estimated fair value less than the effective conversion prices of the Preferred Stock at the time of each of the issuances of Preferred Stock. Therefore, there was no intrinsic value on the respective commitment dates. In addition, the Company considered the other features included within the Preferred Stock and determined that none of the other features required bifurcation and separate accounting.</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Redemption—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Series Seed Preferred Stock, Series A Preferred Stock and Series B Preferred Stock are redeemable at $0.45 per share, $0.7949 per share and $2.1389 per share, respectively, (adjusted in the event of any stock dividend, stock split, combination or other similar activity) plus any declared but unpaid dividends, on or after January 19, 2023 at the written election of at least a majority of the holders of Preferred Stock voting together as a single class. The redemption is paid in three annual installments. No bifurcation of the redemption feature was required as the feature does not contain the characteristics of a derivative instrument.</w:t>
      </w:r>
    </w:p>
    <w:p>
      <w:pPr>
        <w:spacing w:after="0" w:line="18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As the Preferred Stock is redeemable upon the passage of time, the Preferred Stock has been classified outside of permanent equity. The Company has elected to record the changes in the redemption value immediately as they occur.</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Common Stock</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As of March 31, 2018, the authorized capital stock of the Company included 82,000,000 shares of common stock, $0.0001 par value, respectively. The voting, dividend and liquidation rights of the holders of the Company’s common stock are subject to and qualified by the rights, powers and preferences of the holders of the Preferred Stock set forth above.</w:t>
      </w:r>
    </w:p>
    <w:p>
      <w:pPr>
        <w:spacing w:after="0" w:line="181"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Each share of common stock entitles the holder to one vote, together with the holders of the Preferred Stock, on all matters submitted to the stockholders for a vote. The holders of the Preferred Stock, voting as a single class, are entitled to elect three directors of the Company. The holders of common stock, together with the holders of the Preferred Stock and voting as a single class, are entitled to elect two directors of the Company. The holders of common stock and of any other class or series of voting stock (including the Preferred Stock), voting together as a single class, are entitled to elect the remaining directors of the Company. Common stockholders are entitled to receive dividends, as may be declared by the Board, if any, subject to the preferential dividend rights of the Preferred Stock. Through March 31 2018, no cash dividends have been declared or paid.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00"/>
          </w:cols>
          <w:pgMar w:left="240" w:top="460"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Common Stock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At December 31, 2017 and March 31, 2018, the Company has reserved the following shares of common stock for future issuance:</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0"/>
              </w:rPr>
              <w:t>December 31,</w:t>
            </w:r>
          </w:p>
        </w:tc>
        <w:tc>
          <w:tcPr>
            <w:tcW w:w="38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86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280" w:type="dxa"/>
            <w:vAlign w:val="bottom"/>
            <w:gridSpan w:val="2"/>
          </w:tcPr>
          <w:p>
            <w:pPr>
              <w:jc w:val="right"/>
              <w:ind w:right="23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reserved for Series Seed Preferred Stock outstanding</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3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806,711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Shares reserved for Series A Preferred Stock outstanding</w:t>
            </w:r>
          </w:p>
        </w:tc>
        <w:tc>
          <w:tcPr>
            <w:tcW w:w="860" w:type="dxa"/>
            <w:vAlign w:val="bottom"/>
          </w:tcPr>
          <w:p>
            <w:pPr>
              <w:jc w:val="right"/>
              <w:spacing w:after="0"/>
              <w:rPr>
                <w:sz w:val="20"/>
                <w:szCs w:val="20"/>
                <w:color w:val="auto"/>
              </w:rPr>
            </w:pPr>
            <w:r>
              <w:rPr>
                <w:rFonts w:ascii="Arial" w:cs="Arial" w:eastAsia="Arial" w:hAnsi="Arial"/>
                <w:sz w:val="18"/>
                <w:szCs w:val="18"/>
                <w:color w:val="auto"/>
              </w:rPr>
              <w:t>7,611,438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7,611,438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Series B Preferred Stock outstanding</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6,902,064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Shares reserved for vesting of restricted stock awards</w:t>
            </w:r>
          </w:p>
        </w:tc>
        <w:tc>
          <w:tcPr>
            <w:tcW w:w="860" w:type="dxa"/>
            <w:vAlign w:val="bottom"/>
          </w:tcPr>
          <w:p>
            <w:pPr>
              <w:jc w:val="right"/>
              <w:spacing w:after="0"/>
              <w:rPr>
                <w:sz w:val="20"/>
                <w:szCs w:val="20"/>
                <w:color w:val="auto"/>
              </w:rPr>
            </w:pPr>
            <w:r>
              <w:rPr>
                <w:rFonts w:ascii="Arial" w:cs="Arial" w:eastAsia="Arial" w:hAnsi="Arial"/>
                <w:sz w:val="18"/>
                <w:szCs w:val="18"/>
                <w:color w:val="auto"/>
              </w:rPr>
              <w:t>276,301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245,548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Shares reserved for exercise of outstanding stock 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1,034,961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1,788,750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Shares reserved for issuance under the 2015 Stock Option and Grant Plan</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143,717</w:t>
            </w:r>
          </w:p>
        </w:tc>
        <w:tc>
          <w:tcPr>
            <w:tcW w:w="3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of authorized common stock reserved for future issuance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9,873,128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17,412,983</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Amended and Restated 2015 Stock Option and Grant Plan</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Company’s Amended and Restated 2015 Stock Option and Grant Plan, (the “2015 Plan”) provides for the Company to issue restricted stock awards and restricted stock units, or to grant incentive stock options or non-statutory stock options. Incentive stock options may be granted only to the Company’s employees including officers and members of the Board who are also employees. Restricted stock awards and restricted stock units and non-statutory stock options may be granted to employees, members of the Board, outside advisors, and consultants of the Company.</w:t>
      </w:r>
    </w:p>
    <w:p>
      <w:pPr>
        <w:spacing w:after="0" w:line="154"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total number of common shares that may be issued under the 2015 Plan was 2,008,564 shares as of March 31, 2018, of which 58,472 shares remained available for future grant.</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Shares that expire, are terminated, surrendered or canceled under the 2015 Plan without having been fully exercised will be available for future awards. In addition, shares of common stock that are tendered to the Company by a participant to exercise an award are added to the number of shares of common stock available for future awards.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2015 Plan is administered by the Board. Equity awards granted to employees and members of the Board typically vest over four years.</w:t>
      </w:r>
    </w:p>
    <w:p>
      <w:pPr>
        <w:spacing w:after="0" w:line="23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During the three months ended March 31, 2018, the Company granted options to purchase 753,789 shares of common stock to employees and members of the Board. No options were granted by the Company during the three months ended March 31, 2017.</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240" w:top="459" w:right="41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assumptions that the Company used to determine the grant-date fair value of stock options granted to employees and members of the Board were as follows, presented on a weighted-average basis: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6"/>
          </w:tcPr>
          <w:p>
            <w:pPr>
              <w:jc w:val="center"/>
              <w:ind w:left="585"/>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Borders>
              <w:bottom w:val="single" w:sz="8" w:color="CCEEFF"/>
            </w:tcBorders>
          </w:tcPr>
          <w:p>
            <w:pPr>
              <w:spacing w:after="0"/>
              <w:rPr>
                <w:sz w:val="14"/>
                <w:szCs w:val="14"/>
                <w:color w:val="auto"/>
              </w:rPr>
            </w:pPr>
          </w:p>
        </w:tc>
        <w:tc>
          <w:tcPr>
            <w:tcW w:w="80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4"/>
              </w:rPr>
              <w:t>March 31,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(years)</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73"/>
              <w:spacing w:after="0"/>
              <w:rPr>
                <w:sz w:val="20"/>
                <w:szCs w:val="20"/>
                <w:color w:val="auto"/>
              </w:rPr>
            </w:pPr>
            <w:r>
              <w:rPr>
                <w:rFonts w:ascii="Arial" w:cs="Arial" w:eastAsia="Arial" w:hAnsi="Arial"/>
                <w:sz w:val="18"/>
                <w:szCs w:val="18"/>
                <w:color w:val="auto"/>
              </w:rPr>
              <w:t>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3"/>
          </w:tcPr>
          <w:p>
            <w:pPr>
              <w:jc w:val="right"/>
              <w:ind w:right="33"/>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84.00%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820" w:type="dxa"/>
            <w:vAlign w:val="bottom"/>
            <w:gridSpan w:val="6"/>
          </w:tcPr>
          <w:p>
            <w:pPr>
              <w:ind w:left="420"/>
              <w:spacing w:after="0"/>
              <w:rPr>
                <w:sz w:val="20"/>
                <w:szCs w:val="20"/>
                <w:color w:val="auto"/>
              </w:rPr>
            </w:pPr>
            <w:r>
              <w:rPr>
                <w:rFonts w:ascii="Arial" w:cs="Arial" w:eastAsia="Arial" w:hAnsi="Arial"/>
                <w:sz w:val="18"/>
                <w:szCs w:val="18"/>
                <w:color w:val="auto"/>
                <w:w w:val="93"/>
              </w:rPr>
              <w:t>The following table summarizes the Company’s stock option activity for the three months ended March 31, 2018:</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2"/>
                <w:szCs w:val="12"/>
                <w:color w:val="auto"/>
              </w:rPr>
            </w:pPr>
          </w:p>
        </w:tc>
        <w:tc>
          <w:tcPr>
            <w:tcW w:w="7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0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240" w:type="dxa"/>
            <w:vAlign w:val="bottom"/>
            <w:gridSpan w:val="4"/>
            <w:vMerge w:val="restart"/>
          </w:tcPr>
          <w:p>
            <w:pPr>
              <w:jc w:val="right"/>
              <w:ind w:righ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54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Contractual</w:t>
            </w:r>
          </w:p>
        </w:tc>
        <w:tc>
          <w:tcPr>
            <w:tcW w:w="12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200" w:type="dxa"/>
            <w:vAlign w:val="bottom"/>
          </w:tcPr>
          <w:p>
            <w:pPr>
              <w:spacing w:after="0"/>
              <w:rPr>
                <w:sz w:val="12"/>
                <w:szCs w:val="12"/>
                <w:color w:val="auto"/>
              </w:rPr>
            </w:pP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Term</w:t>
            </w:r>
          </w:p>
        </w:tc>
        <w:tc>
          <w:tcPr>
            <w:tcW w:w="5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800" w:type="dxa"/>
            <w:vAlign w:val="bottom"/>
          </w:tcPr>
          <w:p>
            <w:pPr>
              <w:jc w:val="right"/>
              <w:ind w:right="74"/>
              <w:spacing w:after="0"/>
              <w:rPr>
                <w:sz w:val="20"/>
                <w:szCs w:val="20"/>
                <w:color w:val="auto"/>
              </w:rPr>
            </w:pPr>
            <w:r>
              <w:rPr>
                <w:rFonts w:ascii="Arial" w:cs="Arial" w:eastAsia="Arial" w:hAnsi="Arial"/>
                <w:sz w:val="14"/>
                <w:szCs w:val="14"/>
                <w:b w:val="1"/>
                <w:bCs w:val="1"/>
                <w:color w:val="auto"/>
              </w:rPr>
              <w:t>Options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Price</w:t>
            </w: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1,034,961</w:t>
            </w:r>
          </w:p>
        </w:tc>
        <w:tc>
          <w:tcPr>
            <w:tcW w:w="5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spacing w:after="0"/>
              <w:rPr>
                <w:sz w:val="20"/>
                <w:szCs w:val="20"/>
                <w:color w:val="auto"/>
              </w:rPr>
            </w:pPr>
            <w:r>
              <w:rPr>
                <w:rFonts w:ascii="Arial" w:cs="Arial" w:eastAsia="Arial" w:hAnsi="Arial"/>
                <w:sz w:val="18"/>
                <w:szCs w:val="18"/>
                <w:color w:val="auto"/>
              </w:rPr>
              <w:t>753,789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5.00</w:t>
            </w:r>
          </w:p>
        </w:tc>
        <w:tc>
          <w:tcPr>
            <w:tcW w:w="34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9.96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Cancelled or forfeited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March 31, 2018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1,788,750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660" w:type="dxa"/>
            <w:vAlign w:val="bottom"/>
            <w:gridSpan w:val="2"/>
            <w:shd w:val="clear" w:color="auto" w:fill="CCEEFF"/>
          </w:tcPr>
          <w:p>
            <w:pPr>
              <w:jc w:val="center"/>
              <w:ind w:left="41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March 31, 2018</w:t>
            </w:r>
          </w:p>
        </w:tc>
        <w:tc>
          <w:tcPr>
            <w:tcW w:w="800" w:type="dxa"/>
            <w:vAlign w:val="bottom"/>
            <w:tcBorders>
              <w:bottom w:val="single" w:sz="8" w:color="auto"/>
            </w:tcBorders>
          </w:tcPr>
          <w:p>
            <w:pPr>
              <w:spacing w:after="0" w:line="20" w:lineRule="exact"/>
              <w:rPr>
                <w:sz w:val="1"/>
                <w:szCs w:val="1"/>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0.68</w:t>
            </w:r>
          </w:p>
        </w:tc>
        <w:tc>
          <w:tcPr>
            <w:tcW w:w="340" w:type="dxa"/>
            <w:vAlign w:val="bottom"/>
          </w:tcPr>
          <w:p>
            <w:pPr>
              <w:spacing w:after="0" w:line="20" w:lineRule="exact"/>
              <w:rPr>
                <w:sz w:val="1"/>
                <w:szCs w:val="1"/>
                <w:color w:val="auto"/>
              </w:rPr>
            </w:pPr>
          </w:p>
        </w:tc>
        <w:tc>
          <w:tcPr>
            <w:tcW w:w="960" w:type="dxa"/>
            <w:vAlign w:val="bottom"/>
            <w:gridSpan w:val="3"/>
            <w:vMerge w:val="restart"/>
          </w:tcPr>
          <w:p>
            <w:pPr>
              <w:jc w:val="right"/>
              <w:spacing w:after="0"/>
              <w:rPr>
                <w:sz w:val="20"/>
                <w:szCs w:val="20"/>
                <w:color w:val="auto"/>
              </w:rPr>
            </w:pPr>
            <w:r>
              <w:rPr>
                <w:rFonts w:ascii="Arial" w:cs="Arial" w:eastAsia="Arial" w:hAnsi="Arial"/>
                <w:sz w:val="18"/>
                <w:szCs w:val="18"/>
                <w:color w:val="auto"/>
              </w:rPr>
              <w:t>8.22</w:t>
            </w:r>
          </w:p>
        </w:tc>
        <w:tc>
          <w:tcPr>
            <w:tcW w:w="660" w:type="dxa"/>
            <w:vAlign w:val="bottom"/>
            <w:gridSpan w:val="2"/>
            <w:vMerge w:val="restart"/>
          </w:tcPr>
          <w:p>
            <w:pPr>
              <w:jc w:val="center"/>
              <w:ind w:left="414"/>
              <w:spacing w:after="0"/>
              <w:rPr>
                <w:sz w:val="20"/>
                <w:szCs w:val="20"/>
                <w:color w:val="auto"/>
              </w:rPr>
            </w:pPr>
            <w:r>
              <w:rPr>
                <w:rFonts w:ascii="Arial" w:cs="Arial" w:eastAsia="Arial" w:hAnsi="Arial"/>
                <w:sz w:val="18"/>
                <w:szCs w:val="18"/>
                <w:color w:val="auto"/>
                <w:w w:val="79"/>
              </w:rPr>
              <w:t>$</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1,194</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2"/>
            <w:vMerge w:val="continue"/>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222,905</w:t>
            </w:r>
          </w:p>
        </w:tc>
        <w:tc>
          <w:tcPr>
            <w:tcW w:w="64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3"/>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Unvested as of March 31, 2018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1,565,845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660" w:type="dxa"/>
            <w:vAlign w:val="bottom"/>
            <w:gridSpan w:val="2"/>
            <w:shd w:val="clear" w:color="auto" w:fill="CCEEFF"/>
          </w:tcPr>
          <w:p>
            <w:pPr>
              <w:jc w:val="center"/>
              <w:ind w:left="414"/>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The aggregate intrinsic value of stock options is calculated as the difference between the exercise price of the underlying stock options and the estimated fair value of the Company’s common stock for those stock options that had exercise prices lower than the estimated fair value of the Company’s common stock at March 31, 2018.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weighted-average grant-date fair value of the Company’s stock options granted during the three months ended March 31, 2018 was $4.53.</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Company’s restricted common stock activity for the three months ended March 31, 2018:</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w:t>
            </w:r>
          </w:p>
        </w:tc>
        <w:tc>
          <w:tcPr>
            <w:tcW w:w="1580" w:type="dxa"/>
            <w:vAlign w:val="bottom"/>
            <w:gridSpan w:val="4"/>
          </w:tcPr>
          <w:p>
            <w:pPr>
              <w:jc w:val="center"/>
              <w:ind w:left="228"/>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of Shares</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Issued and unvested as of December 31, 2017</w:t>
            </w:r>
          </w:p>
        </w:tc>
        <w:tc>
          <w:tcPr>
            <w:tcW w:w="40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276,301</w:t>
            </w: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Vested</w:t>
            </w:r>
          </w:p>
        </w:tc>
        <w:tc>
          <w:tcPr>
            <w:tcW w:w="5140" w:type="dxa"/>
            <w:vAlign w:val="bottom"/>
            <w:gridSpan w:val="3"/>
          </w:tcPr>
          <w:p>
            <w:pPr>
              <w:jc w:val="right"/>
              <w:ind w:right="380"/>
              <w:spacing w:after="0"/>
              <w:rPr>
                <w:sz w:val="20"/>
                <w:szCs w:val="20"/>
                <w:color w:val="auto"/>
              </w:rPr>
            </w:pPr>
            <w:r>
              <w:rPr>
                <w:rFonts w:ascii="Arial" w:cs="Arial" w:eastAsia="Arial" w:hAnsi="Arial"/>
                <w:sz w:val="18"/>
                <w:szCs w:val="18"/>
                <w:color w:val="auto"/>
              </w:rPr>
              <w:t>(30,753)</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Forfeited, canceled or expired</w:t>
            </w:r>
          </w:p>
        </w:tc>
        <w:tc>
          <w:tcPr>
            <w:tcW w:w="40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Issued an unvested as of March 31, 2018</w:t>
            </w:r>
          </w:p>
        </w:tc>
        <w:tc>
          <w:tcPr>
            <w:tcW w:w="40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245,548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140" w:type="dxa"/>
            <w:vAlign w:val="bottom"/>
            <w:gridSpan w:val="3"/>
          </w:tcPr>
          <w:p>
            <w:pPr>
              <w:jc w:val="right"/>
              <w:ind w:right="3780"/>
              <w:spacing w:after="0"/>
              <w:rPr>
                <w:sz w:val="20"/>
                <w:szCs w:val="20"/>
                <w:color w:val="auto"/>
              </w:rPr>
            </w:pPr>
            <w:r>
              <w:rPr>
                <w:rFonts w:ascii="Arial" w:cs="Arial" w:eastAsia="Arial" w:hAnsi="Arial"/>
                <w:sz w:val="18"/>
                <w:szCs w:val="18"/>
                <w:color w:val="auto"/>
              </w:rPr>
              <w:t>F-52</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Stock-Based Compensation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total fair value of restricted common stock vested during the three months ended March 31, 2017 and 2018 was $9 and $13, respectively.</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Stock-based compensation expense was allocated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March 31,</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80" w:type="dxa"/>
            <w:vAlign w:val="bottom"/>
            <w:tcBorders>
              <w:bottom w:val="single" w:sz="8" w:color="CCEEFF"/>
            </w:tcBorders>
          </w:tcPr>
          <w:p>
            <w:pPr>
              <w:spacing w:after="0"/>
              <w:rPr>
                <w:sz w:val="12"/>
                <w:szCs w:val="12"/>
                <w:color w:val="auto"/>
              </w:rPr>
            </w:pPr>
          </w:p>
        </w:tc>
        <w:tc>
          <w:tcPr>
            <w:tcW w:w="3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2017</w:t>
            </w:r>
          </w:p>
        </w:tc>
        <w:tc>
          <w:tcPr>
            <w:tcW w:w="5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stock based compensation expense</w:t>
            </w:r>
          </w:p>
        </w:tc>
        <w:tc>
          <w:tcPr>
            <w:tcW w:w="3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As of March 31, 2018, total unrecognized compensation cost related to the unvested stock-based awards was $4,201, which is expected to be recognized over a weighted-average period of 3.75 years.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with UHN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Fabry License Agreement—</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On January 27, 2016, the Company entered into an agreement with UHN, pursuant to which UHN granted the Company an option to enter into an exclusive license under the UHN intellectual property related to Fabry disease in accordance with the pre-negotiated licensing terms. On November 4, 2016, the Company exercised its option and entered into a license agreement with UHN, pursuant to which UHN granted the Company an exclusive worldwide license under certain intellectual property rights and a non-exclusive worldwide license under certain know-how, in each case subject to certain retained rights, to develop, commercialize and sell products for use in the treatment of Fabry disease. In addition, for three years following the execution of the agreement, UHN granted the Company an exclusive option to obtain a license under certain improvements to the licensed intellectual property rights as well as an option to negotiate a license under certain other improvements.</w:t>
      </w:r>
    </w:p>
    <w:p>
      <w:pPr>
        <w:spacing w:after="0" w:line="178"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Under this agreement, the Company paid an option fee of CAD $20, an upfront license fee of CAD $75, plus the annual license maintenance fee for the first year. Thereafter, the Company is also required to pay UHN future annual license maintenance fees until the first sale of a licensed product in certain markets. The Company is also obligated to make future milestone payments in an aggregate amount of up to CAD $2,450 upon the achievement of specified milestones as well as royalties on a country-by-country basis of a low to mid-single digit percentage of annual net sales of licensed products and a lower single-digit royalty percentage in certain circumstances. Additionally, the Company has agreed to pay a low double-digit royalty percentage of all sublicensing revenue. The agreement requires the Company to meet certain performance milestones within specified timeframes.</w:t>
      </w:r>
    </w:p>
    <w:p>
      <w:pPr>
        <w:spacing w:after="0" w:line="165"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UHN may terminate the agreement if the Company fails to meet these performance milestones despite using commercially reasonable efforts and the Company is unable to reach agreement with UHN on revised timeframes. The Company’s royalty obligation expires on a licensed product-by-licensed product and</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240" w:top="460" w:right="4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jc w:val="both"/>
        <w:ind w:left="200" w:right="80"/>
        <w:spacing w:after="0" w:line="264" w:lineRule="auto"/>
        <w:rPr>
          <w:sz w:val="20"/>
          <w:szCs w:val="20"/>
          <w:color w:val="auto"/>
        </w:rPr>
      </w:pPr>
      <w:r>
        <w:rPr>
          <w:rFonts w:ascii="Arial" w:cs="Arial" w:eastAsia="Arial" w:hAnsi="Arial"/>
          <w:sz w:val="18"/>
          <w:szCs w:val="18"/>
          <w:color w:val="auto"/>
        </w:rPr>
        <w:t>country-by-country basis upon the latest to occur of the expiration or termination of the last valid claim under the licensed intellectual property rights in such country, the tenth anniversary of the first commercial sale of such licensed product in such country and the expiration of any applicable regulatory exclusivity in such country.</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Unless terminated earlier, the agreement expires upon the expiration of the Company’s royalty obligation for all licensed products. UHN can terminate the agreement if the Company fails to make any payments within a specified period after receiving written notice of such failure, or in the event that the Company fails to obtain or maintain insurance. Either the Company or UHN may terminate the license agreement in the event of a material breach by the other party and failure to cure such breach within a certain period of time. The Company can voluntarily terminate the agreement with prior notice to UHN.</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three months ended March 31, 2017 and 2018, no upfront fee and maintenance fees were incurred related to Fabry license agreement.</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Interleukin 12 License Agreement—</w:t>
      </w:r>
    </w:p>
    <w:p>
      <w:pPr>
        <w:spacing w:after="0" w:line="117"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On January 27, 2016, the Company entered into an exclusive license agreement with UHN, pursuant to which UHN granted the Company a license to certain patent rights for the commercial development, manufacture, distribution and use of any products or processes resulting from development of those patent rights related to Interleukin 12. Upon execution of this agreement, the Company paid an upfront license fee of CAD $264. In addition, as part of the initial consideration for the license, the Company issued to UHN 1,161,665 shares of the Company’s common stock. The fair value of the shares issued to UHN of $480 and the upfront fee was expensed upon the execution of the agreement. In addition, the Company agreed to pay UHN up to $2,000 upon the closing of an IPO if certain criteria are met. This obligation is considered a derivative instrument and was initially recorded at fair value of $49. The Company is also required to pay UHN future annual license maintenance fees of CAD $50 on each anniversary of the effective date of the license agreement prior to expiration or termination and potential future milestone payments of up to CAD $19,275 upon the achievement of specified clinical and regulatory milestones. The Company also agreed to pay UHN royalties of a low single digit percentage of net sales of licensed products sold by the Company. If the Company grants any sublicense rights under the license agreement, the Company has agreed to pay UHN a low double-digit royalty percentage of any sublicense income received by the Company.</w:t>
      </w:r>
    </w:p>
    <w:p>
      <w:pPr>
        <w:spacing w:after="0" w:line="173"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agreement requires the Company to meet certain due diligence requirements based upon specified milestones. The agreement expires on the later of the date the last patent rights expire in the last country or ten years from the date of first sale. UHN can terminate the agreement if the Company fails to make any payments within a specified period after receiving written notice of such failure, or in the event that the Company fails to obtain or maintain insurance. The Company can voluntarily terminate the agreement with prior notice to UHN. Either the Company or UHN may terminate the license agreement in the event of a material breach by the other party and failure to cure such breach within a certain period of time.</w:t>
      </w:r>
    </w:p>
    <w:p>
      <w:pPr>
        <w:spacing w:after="0" w:line="158"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For the three months ended March 31, 2017 and 2018, the Company recorded research and development expense related to this agreement with UHN of $151 and $41, respectively, which consists of upfront fees, the fair value of the shares and derivative instrument issued to UHN, and license maintenance fees and development milestone payments.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20"/>
          </w:cols>
          <w:pgMar w:left="240" w:top="460"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BioMarin Pharmaceutical Inc. (“BioMarin”)</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On August 31, 2017, the Company entered into a license agreement with BioMarin, pursuant to which BioMarin granted the Company an exclusive worldwide license under certain intellectual property rights owned or controlled by BioMarin to develop, commercialize and sell products for use in the treatment of Pompe disease. As consideration for this agreement, the Company paid an upfront license fee of $500 in cash and issued 233,765 shares of Series B Preferred Stock to BioMarin at the time of our Series B Preferred Stock financing in January 2018. Both the upfront cash payment of $500 and the value of the shares Series B Preferred Stock issued of $500 were recorded as research and development expense during the year ended December 31, 2017. The Company is also obligated to make future milestone payments of up to $13,000 upon the achievement of certain specified milestones and agreed to pay BioMarin royalties of a low single-digit percentage of net sales of licensed products sold by the Company or its affiliates covered by patent rights in a relevant country. No upfront fees related to the license were recorded for the three months ended March 31, 2018.</w:t>
      </w:r>
    </w:p>
    <w:p>
      <w:pPr>
        <w:spacing w:after="0" w:line="166"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Unless terminated earlier, the agreement expires upon the expiration of the Company’s royalty obligation for all licensed products throughout the world. BioMarin and the Company can terminate the agreement in the event of a material breach by the other party and failure to cure such breach within a certain period of time. The Company may terminate the agreement at will upon written notice to BioMarin. BioMarin has the right to terminate the agreement upon the Company’s bankruptcy or insolvency, or in the event of any challenge or opposition to the licensed patent rights or related actions brought by the Company or its affiliates or sublicensees, or if the Company, its affiliates or sublicensees knowingly assist a third-party in challenging or otherwise opposing the licensed patent rights, except as required under a court order or subpoena.</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GenStem Therapeutics, Inc. (“GenStem”)</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On October 2, 2017, the Company entered into a license agreement with GenStem, pursuant to which GenStem granted the Company an exclusive worldwide license, subject to certain retained rights, under certain intellectual property rights owned or controlled by GenStem to develop, commercialize and sell products for use in the treatment of cystinosis. Under this agreement, the Company paid an upfront license fee of $1,000 and is required to make payments upon completion of certain milestones up to an aggregate of $16,000. The Company also agreed to pay GenStem a tiered mid to high single-digit royalty percentage on annual net sales of licensed products as well as a low double-digit percentage of sublicense income received from certain third party licensees. The Company’s royalty obligation expires on a licensed product-by-licensed product and country-by-country basis on the eleventh anniversary of the first commercial sale of such licensed product in such country or the expiration of the last valid claim under the licensed patent rights covering such licensed product in such country, whichever is later. Unless terminated earlier, the agreement expires upon the expiration of the Company’s royalty obligation for all licensed products throughout the world. GenStem and the Company can terminate the agreement in the event of a material breach by the other party and failure to cure such breach within a certain period of time. The Company may terminate the agreement at will upon the specified prior written notice to GenStem. No upfront fees related to the license were recorded for the three months ended March 31, 2018.</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 with Lund University Rights Holders</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On November 17, 2016, the Company entered into a license agreement with affiliates of Lund University, along with certain other relevant rights holders that may be added from time to time, pursuant to which such</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00"/>
          </w:cols>
          <w:pgMar w:left="24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License Agreements (continued)</w:t>
      </w:r>
    </w:p>
    <w:p>
      <w:pPr>
        <w:spacing w:after="0" w:line="135" w:lineRule="exact"/>
        <w:rPr>
          <w:sz w:val="20"/>
          <w:szCs w:val="20"/>
          <w:color w:val="auto"/>
        </w:rPr>
      </w:pPr>
    </w:p>
    <w:p>
      <w:pPr>
        <w:ind w:left="200" w:right="100"/>
        <w:spacing w:after="0" w:line="285" w:lineRule="auto"/>
        <w:rPr>
          <w:sz w:val="20"/>
          <w:szCs w:val="20"/>
          <w:color w:val="auto"/>
        </w:rPr>
      </w:pPr>
      <w:r>
        <w:rPr>
          <w:rFonts w:ascii="Arial" w:cs="Arial" w:eastAsia="Arial" w:hAnsi="Arial"/>
          <w:sz w:val="16"/>
          <w:szCs w:val="16"/>
          <w:color w:val="auto"/>
        </w:rPr>
        <w:t>rights holders granted to the Company an exclusive worldwide license, subject to certain retained rights, under certain intellectual property rights to develop, commercialize and sell products in any and all uses relevant to Gaucher disease. As consideration for the license, the Company is required to make payments in connection with the achievement of certain milestones up to an aggregate of $550. The agreement expires on the latest of (i) the twentieth anniversary of the end of a certain research project the Company is funding pursuant to an agreement with Lund University, (ii) the expiration of the term of any patent filed on the licensed rights that covers a licensed product, (iii) the expiration of any applicable marketing exclusivity right and</w:t>
      </w:r>
    </w:p>
    <w:p>
      <w:pPr>
        <w:spacing w:after="0" w:line="2" w:lineRule="exact"/>
        <w:rPr>
          <w:sz w:val="20"/>
          <w:szCs w:val="20"/>
          <w:color w:val="auto"/>
        </w:rPr>
      </w:pPr>
    </w:p>
    <w:p>
      <w:pPr>
        <w:jc w:val="both"/>
        <w:ind w:left="200" w:right="40" w:firstLine="4"/>
        <w:spacing w:after="0" w:line="273" w:lineRule="auto"/>
        <w:tabs>
          <w:tab w:leader="none" w:pos="50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such time that neither the Company nor any sublicensees, partners or contractors are commercializing a licensed product. Either the Company or the rights holders acting together may terminate the license agreement if the other such party commits a material breach and fails to cure such breach within a certain period of time, or if the other party enters into liquidation, becomes insolvent, or enters into composition or statutory reorganization proceedings. No upfront fees related to the license were recorded for the three months ended March 31, 2017 and 2018.</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Net Loss per Share and Unaudited Pro Forma Net Loss per Share</w:t>
      </w:r>
    </w:p>
    <w:p>
      <w:pPr>
        <w:spacing w:after="0" w:line="12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For purposes of the diluted net loss per share calculation, stock options, unvested restricted stock, the warrant to purchase shares of Series A Preferred Stock and Preferred Stock are considered to be common stock equivalents but have been excluded from the calculation of diluted net loss per share, as their effect would be anti-dilutive for all periods presented. Therefore, the weighted-average number of common shares outstanding used to calculate both basic and diluted net loss per share attributable to common stockholders is the same.</w:t>
      </w:r>
    </w:p>
    <w:p>
      <w:pPr>
        <w:spacing w:after="0" w:line="17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following potentially dilutive common stock equivalents, presented based on amounts outstanding at each period end, were excluded from the computation of diluted net loss per share attributable to common stockholders for the periods indicated because including them would have had an anti-dilutive effect:</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1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20" w:type="dxa"/>
            <w:vAlign w:val="bottom"/>
          </w:tcPr>
          <w:p>
            <w:pPr>
              <w:spacing w:after="0"/>
              <w:rPr>
                <w:sz w:val="14"/>
                <w:szCs w:val="14"/>
                <w:color w:val="auto"/>
              </w:rPr>
            </w:pPr>
          </w:p>
        </w:tc>
        <w:tc>
          <w:tcPr>
            <w:tcW w:w="8900" w:type="dxa"/>
            <w:vAlign w:val="bottom"/>
          </w:tcPr>
          <w:p>
            <w:pPr>
              <w:spacing w:after="0"/>
              <w:rPr>
                <w:sz w:val="14"/>
                <w:szCs w:val="14"/>
                <w:color w:val="auto"/>
              </w:rPr>
            </w:pPr>
          </w:p>
        </w:tc>
        <w:tc>
          <w:tcPr>
            <w:tcW w:w="21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20" w:type="dxa"/>
            <w:vAlign w:val="bottom"/>
          </w:tcPr>
          <w:p>
            <w:pPr>
              <w:spacing w:after="0"/>
              <w:rPr>
                <w:sz w:val="12"/>
                <w:szCs w:val="12"/>
                <w:color w:val="auto"/>
              </w:rPr>
            </w:pPr>
          </w:p>
        </w:tc>
        <w:tc>
          <w:tcPr>
            <w:tcW w:w="890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599,439</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1,788,750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Restricted common stock</w:t>
            </w:r>
          </w:p>
        </w:tc>
        <w:tc>
          <w:tcPr>
            <w:tcW w:w="840" w:type="dxa"/>
            <w:vAlign w:val="bottom"/>
          </w:tcPr>
          <w:p>
            <w:pPr>
              <w:jc w:val="right"/>
              <w:spacing w:after="0"/>
              <w:rPr>
                <w:sz w:val="20"/>
                <w:szCs w:val="20"/>
                <w:color w:val="auto"/>
              </w:rPr>
            </w:pPr>
            <w:r>
              <w:rPr>
                <w:rFonts w:ascii="Arial" w:cs="Arial" w:eastAsia="Arial" w:hAnsi="Arial"/>
                <w:sz w:val="18"/>
                <w:szCs w:val="18"/>
                <w:color w:val="auto"/>
              </w:rPr>
              <w:t>388,735</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245,548</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 (as converted to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4,155,742</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15,320,213</w:t>
            </w: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00" w:type="dxa"/>
            <w:vAlign w:val="bottom"/>
          </w:tcPr>
          <w:p>
            <w:pPr>
              <w:spacing w:after="0"/>
              <w:rPr>
                <w:sz w:val="20"/>
                <w:szCs w:val="20"/>
                <w:color w:val="auto"/>
              </w:rPr>
            </w:pPr>
            <w:r>
              <w:rPr>
                <w:rFonts w:ascii="Arial" w:cs="Arial" w:eastAsia="Arial" w:hAnsi="Arial"/>
                <w:sz w:val="18"/>
                <w:szCs w:val="18"/>
                <w:color w:val="auto"/>
              </w:rPr>
              <w:t>Warrants to purchase redeemable convertible preferred stock (as converted to common stock)</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6,850</w:t>
            </w:r>
          </w:p>
        </w:tc>
        <w:tc>
          <w:tcPr>
            <w:tcW w:w="80" w:type="dxa"/>
            <w:vAlign w:val="bottom"/>
          </w:tcPr>
          <w:p>
            <w:pPr>
              <w:spacing w:after="0"/>
              <w:rPr>
                <w:sz w:val="20"/>
                <w:szCs w:val="20"/>
                <w:color w:val="auto"/>
              </w:rPr>
            </w:pP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Unaudited Pro Forma Net Loss per Share Attributable to Common Stockholders</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The unaudited pro forma basic and diluted net loss per share attributable to common stockholders for the three months ended March 31, 2018 has been prepared to give effect to adjustments arising upon the closing of a qualified IPO. The unaudited pro forma net loss attributable to common stockholders used in the calculation of unaudited pro forma basic and diluted net loss per share attributable to common stockholders does not include the effects of the accretion of Preferred Stock to redemption value or the change in fair value of the warrant to purchase shares of Series A Preferred Stock because the calculation gives effect to the conversion of shares of Preferred Stock outstanding as of March 31, 2018 into common stock and the conversion of the warrant to purchase shares of Series A Preferred Stock outstanding as of March 31, 2018 into a warrant to purchase shares of common stock, as if such conversion had occurred at the beginning of the period presented or the date of original issuance, whichever is later.</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240" w:top="460" w:right="4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12. Net Loss per Share and Unaudited Pro Forma Net Loss per Share (continued)</w:t>
      </w:r>
    </w:p>
    <w:p>
      <w:pPr>
        <w:spacing w:after="0" w:line="135"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 reconciliation of pro forma net loss and the pro forma weighted-average number of common shares used in computing pro forma basic and diluted net loss per share applicable to common stockholders is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March 31,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(10,485)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Accretion of issuance cost on redeemable convertible preferred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ind w:left="340"/>
              <w:spacing w:after="0"/>
              <w:rPr>
                <w:sz w:val="20"/>
                <w:szCs w:val="20"/>
                <w:color w:val="auto"/>
              </w:rPr>
            </w:pPr>
            <w:r>
              <w:rPr>
                <w:rFonts w:ascii="Arial" w:cs="Arial" w:eastAsia="Arial" w:hAnsi="Arial"/>
                <w:sz w:val="18"/>
                <w:szCs w:val="18"/>
                <w:color w:val="auto"/>
              </w:rPr>
              <w:t>Change in fair value of preferred stock warrant liability</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 forma net loss attributable to common stockholders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(8,230)</w:t>
            </w:r>
          </w:p>
        </w:tc>
        <w:tc>
          <w:tcPr>
            <w:tcW w:w="0" w:type="dxa"/>
            <w:vAlign w:val="bottom"/>
          </w:tcPr>
          <w:p>
            <w:pPr>
              <w:spacing w:after="0"/>
              <w:rPr>
                <w:sz w:val="1"/>
                <w:szCs w:val="1"/>
                <w:color w:val="auto"/>
              </w:rPr>
            </w:pPr>
          </w:p>
        </w:tc>
      </w:tr>
      <w:tr>
        <w:trPr>
          <w:trHeight w:val="223"/>
        </w:trPr>
        <w:tc>
          <w:tcPr>
            <w:tcW w:w="9560" w:type="dxa"/>
            <w:vAlign w:val="bottom"/>
            <w:gridSpan w:val="2"/>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number of common shares used in computing net loss per share attributable to common</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stockholders—basic and diluted</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2,324,790</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40" w:type="dxa"/>
            <w:vAlign w:val="bottom"/>
          </w:tcPr>
          <w:p>
            <w:pPr>
              <w:spacing w:after="0"/>
              <w:rPr>
                <w:sz w:val="20"/>
                <w:szCs w:val="20"/>
                <w:color w:val="auto"/>
              </w:rPr>
            </w:pPr>
            <w:r>
              <w:rPr>
                <w:rFonts w:ascii="Arial" w:cs="Arial" w:eastAsia="Arial" w:hAnsi="Arial"/>
                <w:sz w:val="18"/>
                <w:szCs w:val="18"/>
                <w:color w:val="auto"/>
              </w:rPr>
              <w:t>Pro forma adjustment to reflect assumed conversion of redeemable convertible preferred stock into common stock</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13,863,111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 forma weighted-average number of common shares used in computing pro forma net loss per share attributable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common stockholders—basic and diluted</w:t>
            </w: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16,187,901</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560" w:type="dxa"/>
            <w:vAlign w:val="bottom"/>
            <w:gridSpan w:val="2"/>
            <w:vMerge w:val="restart"/>
          </w:tcPr>
          <w:p>
            <w:pPr>
              <w:spacing w:after="0"/>
              <w:rPr>
                <w:sz w:val="20"/>
                <w:szCs w:val="20"/>
                <w:color w:val="auto"/>
              </w:rPr>
            </w:pPr>
            <w:r>
              <w:rPr>
                <w:rFonts w:ascii="Arial" w:cs="Arial" w:eastAsia="Arial" w:hAnsi="Arial"/>
                <w:sz w:val="18"/>
                <w:szCs w:val="18"/>
                <w:color w:val="auto"/>
              </w:rPr>
              <w:t>Pro forma net loss per share attributable to common stockholders—basic and diluted</w:t>
            </w:r>
          </w:p>
        </w:tc>
        <w:tc>
          <w:tcPr>
            <w:tcW w:w="1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6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640" w:right="8220" w:hanging="436"/>
        <w:spacing w:after="0" w:line="425" w:lineRule="auto"/>
        <w:tabs>
          <w:tab w:leader="none" w:pos="469"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Lease Agreements</w:t>
      </w:r>
    </w:p>
    <w:p>
      <w:pPr>
        <w:spacing w:after="0" w:line="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On January 12, 2018, the Company entered into a lease agreement for office space located in Cambridge, Massachusetts. The lease agreement expires in January 2023, with a landlord who is an affiliate of the landlord of the Company’s current lease facility. The annual lease payments are subject to a 3% increase each year. The Company recognizes rent expense on a straight-line basis over the lease period and has recorded deferred rent for rent expense incurred but not yet paid. The Company received a tenant incentive allowance of $181 in 2018. Such incentive allowance is being amortized as a reduction of rent expense on a straight-line basis over the lease period. In accordance with the lease agreement, the Company is required to maintain a security deposit of $209, which was recorded in other assets. In contemplation of this agreement, the Company terminated its existing lease agreement.</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recorded rent expense of $57 and $171 during the three months ended March 31, 2017 and 2018, respectively.</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three months ended March 31, 2017 and 2018, and, to the best of its knowledge, no material legal proceedings are currently pending or threatened.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Company is also party to various agreements, principally relating to licensed technology, that require future payments relating to milestones not met at December 31, 2017 and March 31, 2018, or royalties on future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240" w:top="459" w:right="41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Commitments and Contingencies (continued)</w:t>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sales of specified products. No milestone or royalty payments under these agreements are expected to be payable in the immediate future.</w:t>
      </w:r>
    </w:p>
    <w:p>
      <w:pPr>
        <w:spacing w:after="0" w:line="23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The Company enters into standard indemnification agreements in the ordinary course of business. Pursuant to the agreements, the Company agrees to indemnify, hold harmless, and to reimburse the indemnified party for losses suffered or incurred by the indemnified party, generally the Company’s business partners, in connection with any U.S. patent or any copyright or other intellectual property infringement claim by any third-party with respect to the Company’s products. The term of these indemnification agreements is generally perpetual any time after execution of the agreement. The maximum potential amount of future payments the Company could be required to make under these indemnification agreements is unlimited. The Company has never incurred costs to defend lawsuits or settle claims related to these indemnification agreements.</w:t>
      </w:r>
    </w:p>
    <w:p>
      <w:pPr>
        <w:spacing w:after="0" w:line="269" w:lineRule="exact"/>
        <w:rPr>
          <w:sz w:val="20"/>
          <w:szCs w:val="20"/>
          <w:color w:val="auto"/>
        </w:rPr>
      </w:pPr>
    </w:p>
    <w:p>
      <w:pPr>
        <w:ind w:left="480" w:hanging="276"/>
        <w:spacing w:after="0"/>
        <w:tabs>
          <w:tab w:leader="none" w:pos="4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UHN</w:t>
      </w:r>
    </w:p>
    <w:p>
      <w:pPr>
        <w:spacing w:after="0" w:line="117"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In connection with the Company’s entry into a license agreement with UHN on January 27, 2016, the Company issued UHN 1,161,665 shares of its common stock. As a result of the issuance of common stock, UHN owned 9.65% and 5.90% of the Company’s fully diluted equity as of December 31, 2017 and March 31, 2018, respectively. Upon the closing of the sale of shares of common stock in an IPO, if UHN’s fully-diluted percentage ownership of the Company is reduced within a range of specified percentages, then the Company is obligated to pay UHN an amount up to $2,000. See Note 3 for further discussion on the accounting treatment for this provision.</w:t>
      </w:r>
    </w:p>
    <w:p>
      <w:pPr>
        <w:spacing w:after="0" w:line="173"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During the three months ended March 31, 2017 and 2018, the Company recognized $151 and $41 respectively, of research and development expense related to the license agreements with UHN.</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Company recorded research and development expenses of $7 and $3 related to participation on the scientific advisory board and consulting services performed by a member of the Board who is affiliated with UHN during the years ended December 31, 2016 and 2017, respectively. As of December 31, 2016 and 2017, there was $7 and $10, respectively, included in accrued expenses on the Company’s consolidated balance sheets related to these services.</w:t>
      </w:r>
    </w:p>
    <w:p>
      <w:pPr>
        <w:spacing w:after="0" w:line="18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For the years ended December 31, 2016 and 2017 the Company recorded expenses of $13 and $86, respectively, related to consulting services provided by an entity affiliated with an officer of the Company and a member of the Board. The entity is also a shareholder of the Company and owned 2.25% and 1.00% of the Company’s fully diluted equity as of December 31, 2016 and 2017, respectively.</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For the three months ended March 31, 2017, the Company recorded expenses of $15 related to services provided by an entity affiliated with a member of the Board and the use of office space. The lease was terminated in February 2017.</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Recently Issued Accounting Pronouncements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Earnings Per Share (Topic 260), Distinguishing Liabilities from Equity (Topic 480), 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(Topic 815) I. Accounting for Certain Financial Instruments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00"/>
          </w:cols>
          <w:pgMar w:left="240" w:top="460" w:right="45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Recently Issued Accounting Pronouncements (continued)</w:t>
      </w:r>
    </w:p>
    <w:p>
      <w:pPr>
        <w:spacing w:after="0" w:line="135"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i w:val="1"/>
          <w:iCs w:val="1"/>
          <w:color w:val="auto"/>
        </w:rPr>
        <w:t>with Down Round Features II. Replacement of the Indefinite Deferral for Mandatorily Redeemable Financial Instruments of Certain Nonpublic Entities and Certain Mandatorily Redeemable Noncontrolling Interests with a Scope Exception</w:t>
      </w:r>
      <w:r>
        <w:rPr>
          <w:rFonts w:ascii="Arial" w:cs="Arial" w:eastAsia="Arial" w:hAnsi="Arial"/>
          <w:sz w:val="16"/>
          <w:szCs w:val="16"/>
          <w:color w:val="auto"/>
        </w:rPr>
        <w:t>. Part I applies to entities that issue financial instruments such as</w:t>
      </w:r>
      <w:r>
        <w:rPr>
          <w:rFonts w:ascii="Arial" w:cs="Arial" w:eastAsia="Arial" w:hAnsi="Arial"/>
          <w:sz w:val="16"/>
          <w:szCs w:val="16"/>
          <w:i w:val="1"/>
          <w:iCs w:val="1"/>
          <w:color w:val="auto"/>
        </w:rPr>
        <w:t xml:space="preserve"> </w:t>
      </w:r>
      <w:r>
        <w:rPr>
          <w:rFonts w:ascii="Arial" w:cs="Arial" w:eastAsia="Arial" w:hAnsi="Arial"/>
          <w:sz w:val="16"/>
          <w:szCs w:val="16"/>
          <w:color w:val="auto"/>
        </w:rPr>
        <w:t>warrants, convertible debt or convertible preferred stock that contain down-round features. Part II replaces the indefinite deferral for certain mandatorily redeemable noncontrolling interests and mandatorily redeemable financial instruments of nonpublic entities contained within ASC Topic 480 with a scope exception and does not impact the accounting for these mandatorily redeemable instruments. For public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The Company is currently evaluating the impact that the adoption of ASU 2017-11 will have on its consolidated financial statements.</w:t>
      </w:r>
    </w:p>
    <w:p>
      <w:pPr>
        <w:spacing w:after="0" w:line="16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which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standard is effective for annual periods beginning after December 15, 2017. Early adoption is permitted, including adoption in any interim period, for (1) public business entities for reporting periods for which financial statements have not yet been issued and (2) all other entities for reporting periods for which financial statements have not yet been made available for issuance. The Company is currently evaluating the impact that the adoption of ASU 2017-09 will have on its consolidated financial statements.</w:t>
      </w:r>
    </w:p>
    <w:p>
      <w:pPr>
        <w:spacing w:after="0" w:line="16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which requires restricted cash to be presented with cash and cash equivalents on the statement of cash flows and disclosure of how the statement of cash flows reconciles to the balance sheet if restricted cash is shown separately from cash and cash equivalents on the balance sheet. For public entities, the standard is effective for annual periods beginning after December 15, 2017, including interim periods within those fiscal years. For all other entities, the standard is effective for annual periods beginning after December 15, 2018, including interim periods within fiscal years beginning after December 15, 2019. Early adoption is permitted. The Company is currently evaluating the impact that the adoption of ASU 2016-18 will have on its consolidated financial statements.</w:t>
      </w:r>
    </w:p>
    <w:p>
      <w:pPr>
        <w:spacing w:after="0" w:line="189"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Classification of Certain Cash Receipts and Cash Payments</w:t>
      </w:r>
      <w:r>
        <w:rPr>
          <w:rFonts w:ascii="Arial" w:cs="Arial" w:eastAsia="Arial" w:hAnsi="Arial"/>
          <w:sz w:val="18"/>
          <w:szCs w:val="18"/>
          <w:color w:val="auto"/>
        </w:rPr>
        <w:t xml:space="preserve"> (“ASU 2016-15”), to address diversity in practice in how certain cash receipts and cash payments are presented and classified in the statement of cash flows. For public entities, the standard is effective for annual periods beginning after December 15, 2017, including interim periods within those fiscal years. For all other entities, the standard is effective for fiscal years beginning after December 15, 2018, and interim periods within fiscal years beginning after December 15, 2019. The Company is currently evaluating the impact that the adoption of ASU 2016-15 will have on its consolidated financial statements.</w:t>
      </w:r>
    </w:p>
    <w:p>
      <w:pPr>
        <w:spacing w:after="0" w:line="193"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w:t>
      </w:r>
    </w:p>
    <w:p>
      <w:pPr>
        <w:spacing w:after="0" w:line="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80"/>
          </w:cols>
          <w:pgMar w:left="240" w:top="460" w:right="4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Recently Issued Accounting Pronouncements (continued)</w:t>
      </w:r>
    </w:p>
    <w:p>
      <w:pPr>
        <w:spacing w:after="0" w:line="135" w:lineRule="exact"/>
        <w:rPr>
          <w:sz w:val="20"/>
          <w:szCs w:val="20"/>
          <w:color w:val="auto"/>
        </w:rPr>
      </w:pPr>
    </w:p>
    <w:p>
      <w:pPr>
        <w:ind w:left="200" w:right="60"/>
        <w:spacing w:after="0" w:line="291" w:lineRule="auto"/>
        <w:rPr>
          <w:sz w:val="20"/>
          <w:szCs w:val="20"/>
          <w:color w:val="auto"/>
        </w:rPr>
      </w:pPr>
      <w:r>
        <w:rPr>
          <w:rFonts w:ascii="Arial" w:cs="Arial" w:eastAsia="Arial" w:hAnsi="Arial"/>
          <w:sz w:val="16"/>
          <w:szCs w:val="16"/>
          <w:color w:val="auto"/>
        </w:rPr>
        <w:t>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w:t>
      </w:r>
    </w:p>
    <w:p>
      <w:pPr>
        <w:ind w:left="200"/>
        <w:spacing w:after="0" w:line="292" w:lineRule="auto"/>
        <w:rPr>
          <w:sz w:val="20"/>
          <w:szCs w:val="20"/>
          <w:color w:val="auto"/>
        </w:rPr>
      </w:pPr>
      <w:r>
        <w:rPr>
          <w:rFonts w:ascii="Arial" w:cs="Arial" w:eastAsia="Arial" w:hAnsi="Arial"/>
          <w:sz w:val="16"/>
          <w:szCs w:val="16"/>
          <w:color w:val="auto"/>
        </w:rPr>
        <w:t>12 months regardless of their classification. Leases with a term of 12 months or less may be accounted for similar to existing guidance for operating leases today. ASU 2016-02 supersedes the previous leases standard, ASC 840, Leases. For public entities, not-for-profit entities and an employee benefit plan that files financial statements with the U.S. Securities and Exchange Commission (SEC), the standard is effective for public entities for annual periods beginning after December 15, 2018 including interim periods within those fiscal years. For all other entities, the standard is effective for fiscal years beginning after December 15, 2019, and interim periods within fiscal years beginning after December 15, 2020. Early adoption is permitted.</w:t>
      </w:r>
    </w:p>
    <w:p>
      <w:pPr>
        <w:spacing w:after="0" w:line="163"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 xml:space="preserve">In September 2017, the FASB issued ASU No. 2017-13, </w:t>
      </w:r>
      <w:r>
        <w:rPr>
          <w:rFonts w:ascii="Arial" w:cs="Arial" w:eastAsia="Arial" w:hAnsi="Arial"/>
          <w:sz w:val="18"/>
          <w:szCs w:val="18"/>
          <w:i w:val="1"/>
          <w:iCs w:val="1"/>
          <w:color w:val="auto"/>
        </w:rPr>
        <w:t>Revenue Recognition (Topic 605), Revenue from Contracts with Customers (Topic 606),</w:t>
      </w:r>
      <w:r>
        <w:rPr>
          <w:rFonts w:ascii="Arial" w:cs="Arial" w:eastAsia="Arial" w:hAnsi="Arial"/>
          <w:sz w:val="18"/>
          <w:szCs w:val="18"/>
          <w:color w:val="auto"/>
        </w:rPr>
        <w:t xml:space="preserve"> </w:t>
      </w:r>
      <w:r>
        <w:rPr>
          <w:rFonts w:ascii="Arial" w:cs="Arial" w:eastAsia="Arial" w:hAnsi="Arial"/>
          <w:sz w:val="18"/>
          <w:szCs w:val="18"/>
          <w:i w:val="1"/>
          <w:iCs w:val="1"/>
          <w:color w:val="auto"/>
        </w:rPr>
        <w:t>Leases (Topic 840), and Leases (Topic 842)</w:t>
      </w:r>
      <w:r>
        <w:rPr>
          <w:rFonts w:ascii="Arial" w:cs="Arial" w:eastAsia="Arial" w:hAnsi="Arial"/>
          <w:sz w:val="18"/>
          <w:szCs w:val="18"/>
          <w:color w:val="auto"/>
        </w:rPr>
        <w:t>, which provides additional clarification and implementation guidance related to ASU 2016-02 and has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effective date and transition requirements as ASU 2016-02. The Company is currently evaluating the impact that the adoption of ASU 2016-02 will have on its consolidated financial statements.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Subsequent Events</w:t>
      </w:r>
    </w:p>
    <w:p>
      <w:pPr>
        <w:spacing w:after="0" w:line="12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Company has completed an evaluation of all subsequent events after the unaudited balance sheet date of March 31, 2018 through the filing date of this Registration Statement on Form S-1 with the SEC, to ensure that these consolidated financial statements include appropriate disclosure of events both recognized in the consolidated financial statements as of March 31, 2018, and events which occurred subsequently but were not recognized in the consolidated financial statements. The Company has concluded that no subsequent events have occurred that require disclosure, except as disclosed within these unaudited condensed consolidated financial statements.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On June 1, 2018, the Board approved a 1-for-4.312 reverse stock split of the Company’s common stock. The reverse stock split was approved by the stockholders on June 7, 2018 and became effective on June 7, 2018. Stockholders entitled to fractional shares as a result of the reverse stock split will receive a cash payment in lieu of receiving fractional shares. All share and per share data shown in the accompanying unaudited condensed consolidated financial statements and related notes have been retroactively revised to reflect the reverse stock split. Shares of common stock underlying outstanding stock options and other equity instruments were proportionately reduced and the respective exercise prices, if applicable, were proportionately increased in accordance with the terms of the agreements governing such securities. Shares of common stock reserved for issuance upon the conversion of the Company’s Preferred Stock were proportionately reduced and the respective conversion prices were proportionately increased.</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Stock Option and Incentive Plan</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The AVROBIO, Inc. 2018 Stock Option and Incentive Plan (the 2018 Plan) was adopted by the Board June 1, 2018 and approved by stockholders on June 7, 2018 and will become effective upon the effectiveness of the Company’s Registration Statement on Form S-1. The 2018 Plan will replace the 2015 Plan as the Board determined not to make additional awards under the 2015 Plan following the pricing of the Company’s IPO.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00"/>
          </w:cols>
          <w:pgMar w:left="24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AVROBIO,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NOTES TO UNAUDITED CONDENSED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Three Months Ended March 31, 2017 and 2018</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Subsequent Events (continued)</w:t>
      </w:r>
    </w:p>
    <w:p>
      <w:pPr>
        <w:spacing w:after="0" w:line="135"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2018 Plan allows the compensation committee to make equity-based and cash-based incentive awards to our officers, employees, directors and other key persons (including consultants).</w:t>
      </w:r>
    </w:p>
    <w:p>
      <w:pPr>
        <w:spacing w:after="0" w:line="17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Company initially reserved 616,300 shares of our common stock for the issuance of awards under the 2018 Plan. The 2018 Plan provides that the number of shares reserved and available for issuance under the plan will automatically increase each January 1, beginning on January 1, 2019, by 4% of the outstanding number of shares of our common stock on the immediately preceding December 31, or such lesser number of shares as determined by our compensation committee. This number is subject to adjustment in the event of a stock split, stock dividend or other change in our capitalization.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The AVROBIO, Inc. 2018 Employee Stock Purchase Plan (the ESPP) was adopted by the Board on June 1, 2018 and approved by stockholders on June 7, 2018 and will become effective upon the effectiveness of the Company’s Registration Statement on Form S-1. The ESPP is intended to qualify as an “employee stock purchase plan” within the meaning of Section 423(b) of the Code. The ESPP initially reserves and authorizes the issuance of up to a total of 223,200 shares of common stock to participating employees. The ESPP provides that the number of shares reserved and available for issuance will automatically increase each January 1, beginning on January 1, 2019 and each January 1 thereafter through January 1, 2028, by the least of</w:t>
      </w:r>
    </w:p>
    <w:p>
      <w:pPr>
        <w:spacing w:after="0" w:line="2" w:lineRule="exact"/>
        <w:rPr>
          <w:sz w:val="20"/>
          <w:szCs w:val="20"/>
          <w:color w:val="auto"/>
        </w:rPr>
      </w:pPr>
    </w:p>
    <w:p>
      <w:pPr>
        <w:jc w:val="both"/>
        <w:ind w:left="200" w:right="80" w:firstLine="4"/>
        <w:spacing w:after="0" w:line="255" w:lineRule="auto"/>
        <w:tabs>
          <w:tab w:leader="none" w:pos="41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1% of the outstanding number of shares of our common stock on the immediately preceding December 31; (ii) 1,115,700 shares or (iii) such number of shares as determined by the ESPP administrator. The number of shares reserved under the ESPP is subject to adjustment in the event of a stock split, stock dividend or other change in our capitalization.</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Fourth Amended and Restated Certificate of Incorporation</w:t>
      </w:r>
    </w:p>
    <w:p>
      <w:pPr>
        <w:spacing w:after="0" w:line="117" w:lineRule="exact"/>
        <w:rPr>
          <w:sz w:val="20"/>
          <w:szCs w:val="20"/>
          <w:color w:val="auto"/>
        </w:rPr>
      </w:pPr>
    </w:p>
    <w:p>
      <w:pPr>
        <w:ind w:left="200" w:right="300" w:firstLine="441"/>
        <w:spacing w:after="0" w:line="286" w:lineRule="auto"/>
        <w:rPr>
          <w:sz w:val="20"/>
          <w:szCs w:val="20"/>
          <w:color w:val="auto"/>
        </w:rPr>
      </w:pPr>
      <w:r>
        <w:rPr>
          <w:rFonts w:ascii="Arial" w:cs="Arial" w:eastAsia="Arial" w:hAnsi="Arial"/>
          <w:sz w:val="17"/>
          <w:szCs w:val="17"/>
          <w:color w:val="auto"/>
        </w:rPr>
        <w:t>On June 1, 2018, the Board also approved for filing immediately following the effectiveness of the Company’s registration statement in connection with its IPO, the Fourth Amended and Restated Certificate of Incorporation, which shall, among other matters: (i) authorize 150,000,000 shares of common stock, $0.0001 par value and (ii) create 10,000,000 shares of undesignated preferred stock.</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00"/>
          </w:cols>
          <w:pgMar w:left="240" w:top="460"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right"/>
        <w:ind w:right="3379"/>
        <w:spacing w:after="0"/>
        <w:rPr>
          <w:sz w:val="20"/>
          <w:szCs w:val="20"/>
          <w:color w:val="auto"/>
        </w:rPr>
      </w:pPr>
      <w:r>
        <w:rPr>
          <w:rFonts w:ascii="Arial" w:cs="Arial" w:eastAsia="Arial" w:hAnsi="Arial"/>
          <w:sz w:val="32"/>
          <w:szCs w:val="32"/>
          <w:i w:val="1"/>
          <w:iCs w:val="1"/>
          <w:color w:val="auto"/>
        </w:rPr>
        <w:t>4,412,000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2651760</wp:posOffset>
            </wp:positionV>
            <wp:extent cx="1551940" cy="3943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55194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740"/>
        <w:spacing w:after="0"/>
        <w:rPr>
          <w:sz w:val="20"/>
          <w:szCs w:val="20"/>
          <w:color w:val="auto"/>
        </w:rPr>
      </w:pPr>
      <w:r>
        <w:rPr>
          <w:rFonts w:ascii="Arial" w:cs="Arial" w:eastAsia="Arial" w:hAnsi="Arial"/>
          <w:sz w:val="30"/>
          <w:szCs w:val="30"/>
          <w:i w:val="1"/>
          <w:iCs w:val="1"/>
          <w:color w:val="auto"/>
        </w:rPr>
        <w:t>Common Stock</w:t>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340"/>
        <w:spacing w:after="0"/>
        <w:rPr>
          <w:sz w:val="20"/>
          <w:szCs w:val="20"/>
          <w:color w:val="auto"/>
        </w:rPr>
      </w:pPr>
      <w:r>
        <w:rPr>
          <w:rFonts w:ascii="Arial" w:cs="Arial" w:eastAsia="Arial" w:hAnsi="Arial"/>
          <w:sz w:val="19"/>
          <w:szCs w:val="19"/>
          <w:i w:val="1"/>
          <w:iCs w:val="1"/>
          <w:color w:val="auto"/>
        </w:rPr>
        <w:t>PRELIMINARY PROSPECTUS</w:t>
      </w:r>
    </w:p>
    <w:p>
      <w:pPr>
        <w:sectPr>
          <w:pgSz w:w="11900" w:h="16838" w:orient="portrait"/>
          <w:cols w:equalWidth="0" w:num="1">
            <w:col w:w="10219"/>
          </w:cols>
          <w:pgMar w:left="240" w:top="459" w:right="1440" w:bottom="1440" w:gutter="0" w:footer="0" w:header="0"/>
          <w:type w:val="continuous"/>
        </w:sectPr>
      </w:pPr>
    </w:p>
    <w:bookmarkStart w:id="237" w:name="page238"/>
    <w:bookmarkEnd w:id="237"/>
    <w:p>
      <w:pPr>
        <w:jc w:val="center"/>
        <w:spacing w:after="0"/>
        <w:rPr>
          <w:sz w:val="20"/>
          <w:szCs w:val="20"/>
          <w:color w:val="auto"/>
        </w:rPr>
      </w:pPr>
      <w:r>
        <w:rPr>
          <w:rFonts w:ascii="Arial" w:cs="Arial" w:eastAsia="Arial" w:hAnsi="Arial"/>
          <w:sz w:val="36"/>
          <w:szCs w:val="36"/>
          <w:i w:val="1"/>
          <w:iCs w:val="1"/>
          <w:color w:val="auto"/>
        </w:rPr>
        <w:t>MORGAN STANLEY</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36"/>
          <w:szCs w:val="36"/>
          <w:i w:val="1"/>
          <w:iCs w:val="1"/>
          <w:color w:val="auto"/>
        </w:rPr>
        <w:t>COWEN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32"/>
          <w:szCs w:val="32"/>
          <w:i w:val="1"/>
          <w:iCs w:val="1"/>
          <w:color w:val="auto"/>
        </w:rPr>
        <w:t>WELLS FARGO SECURITIES</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36"/>
          <w:szCs w:val="36"/>
          <w:i w:val="1"/>
          <w:iCs w:val="1"/>
          <w:color w:val="auto"/>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560"/>
        <w:spacing w:after="0"/>
        <w:rPr>
          <w:sz w:val="20"/>
          <w:szCs w:val="20"/>
          <w:color w:val="auto"/>
        </w:rPr>
      </w:pPr>
      <w:r>
        <w:rPr>
          <w:rFonts w:ascii="Arial" w:cs="Arial" w:eastAsia="Arial" w:hAnsi="Arial"/>
          <w:sz w:val="18"/>
          <w:szCs w:val="18"/>
          <w:i w:val="1"/>
          <w:iCs w:val="1"/>
          <w:color w:val="auto"/>
        </w:rPr>
        <w:t>, 2018</w:t>
      </w:r>
    </w:p>
    <w:p>
      <w:pPr>
        <w:sectPr>
          <w:pgSz w:w="11900" w:h="16838" w:orient="portrait"/>
          <w:cols w:equalWidth="0" w:num="1">
            <w:col w:w="9019"/>
          </w:cols>
          <w:pgMar w:left="1440" w:top="111" w:right="1440"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200" w:right="760" w:firstLine="441"/>
        <w:spacing w:after="0" w:line="277" w:lineRule="auto"/>
        <w:rPr>
          <w:sz w:val="20"/>
          <w:szCs w:val="20"/>
          <w:color w:val="auto"/>
        </w:rPr>
      </w:pPr>
      <w:r>
        <w:rPr>
          <w:rFonts w:ascii="Arial" w:cs="Arial" w:eastAsia="Arial" w:hAnsi="Arial"/>
          <w:sz w:val="18"/>
          <w:szCs w:val="18"/>
          <w:color w:val="auto"/>
        </w:rPr>
        <w:t>The following table sets forth the fees and expenses, other than underwriting discounts and commissions, payable in connection with the registration of the common stock hereunder. All amounts are estimates except the SEC registration fee.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r>
      <w:tr>
        <w:trPr>
          <w:trHeight w:val="210"/>
        </w:trPr>
        <w:tc>
          <w:tcPr>
            <w:tcW w:w="20" w:type="dxa"/>
            <w:vAlign w:val="bottom"/>
          </w:tcPr>
          <w:p>
            <w:pPr>
              <w:spacing w:after="0"/>
              <w:rPr>
                <w:sz w:val="18"/>
                <w:szCs w:val="18"/>
                <w:color w:val="auto"/>
              </w:rPr>
            </w:pPr>
          </w:p>
        </w:tc>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11,371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FINRA filing fee</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14,200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Printing and mailing</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3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Transfer agent and registrar fees and expenses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Miscellaneous</w:t>
            </w:r>
          </w:p>
        </w:tc>
        <w:tc>
          <w:tcPr>
            <w:tcW w:w="3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75,429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2,276,000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66"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We have adopted provisions in our certificate of incorporation and bylaws to be in effect upon the closing of this offering that limit or eliminate the personal liability of our directors to the fullest extent permitted by the DGCL, as it now exists or may in the future be amended. Consequently, a director will not be personally liable to us or our stockholders for monetary damages or breach of fiduciary duty as a director, except for liability for:</w:t>
      </w:r>
    </w:p>
    <w:p>
      <w:pPr>
        <w:spacing w:after="0" w:line="52" w:lineRule="exact"/>
        <w:rPr>
          <w:sz w:val="20"/>
          <w:szCs w:val="20"/>
          <w:color w:val="auto"/>
        </w:rPr>
      </w:pPr>
    </w:p>
    <w:p>
      <w:pPr>
        <w:ind w:left="1060" w:hanging="424"/>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unlawful payments related to dividends or unlawful stock purchases, redemptions or other distributions;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These limitations of liability do not alter director liability under the federal securities laws and do not affect the availability of equitable remedies such as an injunction or rescission.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240" w:top="460" w:right="41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our bylaws provide that:</w:t>
      </w:r>
    </w:p>
    <w:p>
      <w:pPr>
        <w:spacing w:after="0" w:line="131" w:lineRule="exact"/>
        <w:rPr>
          <w:sz w:val="20"/>
          <w:szCs w:val="20"/>
          <w:color w:val="auto"/>
        </w:rPr>
      </w:pPr>
    </w:p>
    <w:p>
      <w:pPr>
        <w:ind w:left="1060" w:right="40" w:hanging="424"/>
        <w:spacing w:after="0" w:line="277"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we will indemnify our directors, officers and, in the discretion of our board of directors, certain employees to the fullest extent permitted by the DGCL, as it now exists or may in the future be amended; and</w:t>
      </w:r>
    </w:p>
    <w:p>
      <w:pPr>
        <w:spacing w:after="0" w:line="75" w:lineRule="exact"/>
        <w:rPr>
          <w:rFonts w:ascii="Arial" w:cs="Arial" w:eastAsia="Arial" w:hAnsi="Arial"/>
          <w:sz w:val="18"/>
          <w:szCs w:val="18"/>
          <w:color w:val="auto"/>
        </w:rPr>
      </w:pPr>
    </w:p>
    <w:p>
      <w:pPr>
        <w:jc w:val="both"/>
        <w:ind w:left="1060" w:right="480" w:hanging="424"/>
        <w:spacing w:after="0" w:line="264" w:lineRule="auto"/>
        <w:tabs>
          <w:tab w:leader="none" w:pos="1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entered into indemnification agreements with each of our directors and intend to enter into such agreements with our executive officers. These agreements provide that we will indemnify each of our directors, certain of our executive officers and, at times, their affiliates to the fullest extent permitted by Delaware law. We will advance expenses, including attorneys’ fees (but excluding judgments, fines and settlement amounts), to each indemnified director or executive officer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78"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or the Securities Act.</w:t>
      </w:r>
    </w:p>
    <w:p>
      <w:pPr>
        <w:spacing w:after="0" w:line="124"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underwriting agreement filed as Exhibit 1.1 to this registration statement provides for indemnification of us and our directors and officers by the underwriters against certain liabilities under the Securities Act and the Securities Exchange Act of 1934.</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the three years preceding the filing of this registration statement, we have issued the following securities that were not registered under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Securities Act:</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Issuances of Capital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November 2015, we sold an aggregate of 1,258,467 shares of common stock to our three founders and a consultant for nominal value.</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January 2016, we sold an aggregate of 1,161,665 shares of common stock to one stockholder for nominal value.</w:t>
      </w:r>
    </w:p>
    <w:p>
      <w:pPr>
        <w:spacing w:after="0" w:line="225"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In January 2016, we sold an aggregate of 3,333,333 shares of our Series Seed preferred stock to one investor for aggregate consideration of approximately $1.5 million.</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In July 2016, with subsequent closings in March 2017 and October 2017, we sold an aggregate of 31,450,499 shares of our Series A preferred stock to 4 investors for aggregate consideration of approximately $25 million.</w:t>
      </w:r>
    </w:p>
    <w:p>
      <w:pPr>
        <w:spacing w:after="0" w:line="170"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In January 2018, we sold an aggregate of 28,285,557 shares of our Series B preferred stock to 15 investors for aggregate consideration of approximately $60.5 million and issued an additional 233,765 shares of our Series B preferred stock to one investor as partial consideration under a license agreement.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60"/>
          </w:cols>
          <w:pgMar w:left="240" w:top="459" w:right="49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No underwriters were involved in the foregoing sales of securities. The sales of securities described above were deemed to be exempt from registration pursuant to Section 4(a)(2) of the Securities Act, including Regulation D and Rule 506 promulgated thereunder, as transactions by an issuer not involving a public offering. All of the purchasers in these transactions represented to us in connection with their purchase that they were acquiring the securities for investment and not distribution, that they could bear the risks of the investment and could hold the securities for an indefinite period of time. Such purchasers received written disclosures that the securities had not been registered under the Securities Act and that any resale must be made pursuant to a registration or an available exemption from such registration. All of the foregoing securities are deemed restricted securities for the purposes of the Securities Act.</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Grants and Exercises of Stock Options and Restricted Stock Awards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have granted stock options to purchase an aggregate of 1,788,750 shares of our common stock, with exercise prices ranging from $0.41 to</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$5.00 per share, to employees, directors and consultants pursuant to the Amended and Restated 2015 Stock Option and Grant Plan, or the 2015 Plan. No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shares of common stock have been issued upon the exercise of stock options pursuant to the 2015 Plan.</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April 2016, we issued an aggregate of 161,342 shares of restricted stock to one employee under the 2015 Plan.</w:t>
      </w:r>
    </w:p>
    <w:p>
      <w:pPr>
        <w:spacing w:after="0" w:line="225"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The issuances of the securities described above were deemed to be exempt from registration pursuant to Section 4(a)(2) of the Securities Act or Rule 701 promulgated under the Securities Act as transactions pursuant to compensatory benefit plans. The shares of common stock issued upon the exercise of options are deemed to be restricted securities for purposes of the Securities Act.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Issuance of Warrant</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In June 2017, we issued a warrant to purchase an aggregate of 28,305 shares of our Series A preferred stock, with an exercise price of $0.7949 per share, to Silicon Valley Bank. No shares of Series A preferred stock have been issued upon the exercise of this warrant. The issuance of this warrant was deemed to be exempt from registration pursuant to Section 4(a)(2) of the Securities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480" w:type="dxa"/>
            <w:vAlign w:val="bottom"/>
            <w:gridSpan w:val="3"/>
          </w:tcPr>
          <w:p>
            <w:pPr>
              <w:jc w:val="center"/>
              <w:ind w:right="860"/>
              <w:spacing w:after="0"/>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40" w:type="dxa"/>
            <w:vAlign w:val="bottom"/>
            <w:gridSpan w:val="7"/>
            <w:vMerge w:val="restart"/>
          </w:tcPr>
          <w:p>
            <w:pPr>
              <w:ind w:left="80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130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rPr>
              <w:t>NO.</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14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4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1040" w:type="dxa"/>
            <w:vAlign w:val="bottom"/>
          </w:tcPr>
          <w:p>
            <w:pPr>
              <w:spacing w:after="0"/>
              <w:rPr>
                <w:sz w:val="22"/>
                <w:szCs w:val="22"/>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0000EE"/>
              </w:rPr>
              <w:t>Form of Underwriting Agreement</w:t>
            </w:r>
          </w:p>
        </w:tc>
        <w:tc>
          <w:tcPr>
            <w:tcW w:w="0" w:type="dxa"/>
            <w:vAlign w:val="bottom"/>
          </w:tcPr>
          <w:p>
            <w:pPr>
              <w:spacing w:after="0"/>
              <w:rPr>
                <w:sz w:val="1"/>
                <w:szCs w:val="1"/>
                <w:color w:val="auto"/>
              </w:rPr>
            </w:pPr>
          </w:p>
        </w:tc>
      </w:tr>
      <w:tr>
        <w:trPr>
          <w:trHeight w:val="20"/>
        </w:trPr>
        <w:tc>
          <w:tcPr>
            <w:tcW w:w="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3.1*</w:t>
            </w:r>
          </w:p>
        </w:tc>
        <w:tc>
          <w:tcPr>
            <w:tcW w:w="1040" w:type="dxa"/>
            <w:vAlign w:val="bottom"/>
          </w:tcPr>
          <w:p>
            <w:pPr>
              <w:spacing w:after="0"/>
              <w:rPr>
                <w:sz w:val="24"/>
                <w:szCs w:val="24"/>
                <w:color w:val="auto"/>
              </w:rPr>
            </w:pPr>
          </w:p>
        </w:tc>
        <w:tc>
          <w:tcPr>
            <w:tcW w:w="6960" w:type="dxa"/>
            <w:vAlign w:val="bottom"/>
            <w:tcBorders>
              <w:bottom w:val="single" w:sz="8" w:color="0000EE"/>
            </w:tcBorders>
            <w:gridSpan w:val="9"/>
          </w:tcPr>
          <w:p>
            <w:pPr>
              <w:spacing w:after="0"/>
              <w:rPr>
                <w:rFonts w:ascii="Arial" w:cs="Arial" w:eastAsia="Arial" w:hAnsi="Arial"/>
                <w:sz w:val="18"/>
                <w:szCs w:val="18"/>
                <w:color w:val="0000EE"/>
                <w:w w:val="91"/>
              </w:rPr>
            </w:pPr>
            <w:hyperlink r:id="rId313">
              <w:r>
                <w:rPr>
                  <w:rFonts w:ascii="Arial" w:cs="Arial" w:eastAsia="Arial" w:hAnsi="Arial"/>
                  <w:sz w:val="18"/>
                  <w:szCs w:val="18"/>
                  <w:color w:val="0000EE"/>
                  <w:w w:val="91"/>
                </w:rPr>
                <w:t>Third Amended and Restated Certificate of Incorporation of the Registrant, as currently in effect</w:t>
              </w:r>
            </w:hyperlink>
          </w:p>
        </w:tc>
        <w:tc>
          <w:tcPr>
            <w:tcW w:w="26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040" w:type="dxa"/>
            <w:vAlign w:val="bottom"/>
          </w:tcPr>
          <w:p>
            <w:pPr>
              <w:spacing w:after="0"/>
              <w:rPr>
                <w:sz w:val="24"/>
                <w:szCs w:val="24"/>
                <w:color w:val="auto"/>
              </w:rPr>
            </w:pPr>
          </w:p>
        </w:tc>
        <w:tc>
          <w:tcPr>
            <w:tcW w:w="65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1"/>
              </w:rPr>
              <w:t>Amendment to Third Amended and Restated Certificate of Incorporation of the Registrant</w:t>
            </w:r>
          </w:p>
        </w:tc>
        <w:tc>
          <w:tcPr>
            <w:tcW w:w="30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1040" w:type="dxa"/>
            <w:vAlign w:val="bottom"/>
          </w:tcPr>
          <w:p>
            <w:pPr>
              <w:spacing w:after="0"/>
              <w:rPr>
                <w:sz w:val="24"/>
                <w:szCs w:val="24"/>
                <w:color w:val="auto"/>
              </w:rPr>
            </w:pPr>
          </w:p>
        </w:tc>
        <w:tc>
          <w:tcPr>
            <w:tcW w:w="896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1"/>
              </w:rPr>
              <w:t>Form of Fourth Amended and Restated Certificate of Incorporation of the Registrant (to be effective upon the closing of this</w:t>
            </w:r>
          </w:p>
        </w:tc>
        <w:tc>
          <w:tcPr>
            <w:tcW w:w="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3"/>
              </w:rPr>
              <w:t>offering)</w:t>
            </w:r>
          </w:p>
        </w:tc>
        <w:tc>
          <w:tcPr>
            <w:tcW w:w="89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3.4*</w:t>
            </w:r>
          </w:p>
        </w:tc>
        <w:tc>
          <w:tcPr>
            <w:tcW w:w="1040" w:type="dxa"/>
            <w:vAlign w:val="bottom"/>
          </w:tcPr>
          <w:p>
            <w:pPr>
              <w:spacing w:after="0"/>
              <w:rPr>
                <w:sz w:val="24"/>
                <w:szCs w:val="24"/>
                <w:color w:val="auto"/>
              </w:rPr>
            </w:pPr>
          </w:p>
        </w:tc>
        <w:tc>
          <w:tcPr>
            <w:tcW w:w="3420" w:type="dxa"/>
            <w:vAlign w:val="bottom"/>
            <w:tcBorders>
              <w:bottom w:val="single" w:sz="8" w:color="0000EE"/>
            </w:tcBorders>
            <w:gridSpan w:val="5"/>
          </w:tcPr>
          <w:p>
            <w:pPr>
              <w:spacing w:after="0"/>
              <w:rPr>
                <w:rFonts w:ascii="Arial" w:cs="Arial" w:eastAsia="Arial" w:hAnsi="Arial"/>
                <w:sz w:val="18"/>
                <w:szCs w:val="18"/>
                <w:color w:val="0000EE"/>
                <w:w w:val="91"/>
              </w:rPr>
            </w:pPr>
            <w:hyperlink r:id="rId314">
              <w:r>
                <w:rPr>
                  <w:rFonts w:ascii="Arial" w:cs="Arial" w:eastAsia="Arial" w:hAnsi="Arial"/>
                  <w:sz w:val="18"/>
                  <w:szCs w:val="18"/>
                  <w:color w:val="0000EE"/>
                  <w:w w:val="91"/>
                </w:rPr>
                <w:t>By-laws of the Registrant, as currently in effect</w:t>
              </w:r>
            </w:hyperlink>
          </w:p>
        </w:tc>
        <w:tc>
          <w:tcPr>
            <w:tcW w:w="61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ind w:left="100"/>
              <w:spacing w:after="0"/>
              <w:rPr>
                <w:sz w:val="20"/>
                <w:szCs w:val="20"/>
                <w:color w:val="auto"/>
              </w:rPr>
            </w:pPr>
            <w:r>
              <w:rPr>
                <w:rFonts w:ascii="Arial" w:cs="Arial" w:eastAsia="Arial" w:hAnsi="Arial"/>
                <w:sz w:val="18"/>
                <w:szCs w:val="18"/>
                <w:color w:val="auto"/>
              </w:rPr>
              <w:t>3.5</w:t>
            </w:r>
          </w:p>
        </w:tc>
        <w:tc>
          <w:tcPr>
            <w:tcW w:w="1040" w:type="dxa"/>
            <w:vAlign w:val="bottom"/>
          </w:tcPr>
          <w:p>
            <w:pPr>
              <w:spacing w:after="0"/>
              <w:rPr>
                <w:sz w:val="24"/>
                <w:szCs w:val="24"/>
                <w:color w:val="auto"/>
              </w:rPr>
            </w:pPr>
          </w:p>
        </w:tc>
        <w:tc>
          <w:tcPr>
            <w:tcW w:w="9560" w:type="dxa"/>
            <w:vAlign w:val="bottom"/>
            <w:gridSpan w:val="12"/>
          </w:tcPr>
          <w:p>
            <w:pPr>
              <w:spacing w:after="0"/>
              <w:rPr>
                <w:sz w:val="20"/>
                <w:szCs w:val="20"/>
                <w:color w:val="auto"/>
              </w:rPr>
            </w:pPr>
            <w:r>
              <w:rPr>
                <w:rFonts w:ascii="Arial" w:cs="Arial" w:eastAsia="Arial" w:hAnsi="Arial"/>
                <w:sz w:val="18"/>
                <w:szCs w:val="18"/>
                <w:color w:val="0000EE"/>
              </w:rPr>
              <w:t>Form of Amended and Restated By-laws (to be effective upon the closing of this offering)</w:t>
            </w:r>
          </w:p>
        </w:tc>
        <w:tc>
          <w:tcPr>
            <w:tcW w:w="0" w:type="dxa"/>
            <w:vAlign w:val="bottom"/>
          </w:tcPr>
          <w:p>
            <w:pPr>
              <w:spacing w:after="0"/>
              <w:rPr>
                <w:sz w:val="1"/>
                <w:szCs w:val="1"/>
                <w:color w:val="auto"/>
              </w:rPr>
            </w:pPr>
          </w:p>
        </w:tc>
      </w:tr>
      <w:tr>
        <w:trPr>
          <w:trHeight w:val="304"/>
        </w:trPr>
        <w:tc>
          <w:tcPr>
            <w:tcW w:w="44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1040" w:type="dxa"/>
            <w:vAlign w:val="bottom"/>
          </w:tcPr>
          <w:p>
            <w:pPr>
              <w:spacing w:after="0"/>
              <w:rPr>
                <w:sz w:val="24"/>
                <w:szCs w:val="24"/>
                <w:color w:val="auto"/>
              </w:rPr>
            </w:pPr>
          </w:p>
        </w:tc>
        <w:tc>
          <w:tcPr>
            <w:tcW w:w="332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1"/>
              </w:rPr>
              <w:t>Form of Specimen Common Stock Certificate</w:t>
            </w:r>
          </w:p>
        </w:tc>
        <w:tc>
          <w:tcPr>
            <w:tcW w:w="3160" w:type="dxa"/>
            <w:vAlign w:val="bottom"/>
            <w:tcBorders>
              <w:top w:val="single" w:sz="8" w:color="0000EE"/>
            </w:tcBorders>
            <w:gridSpan w:val="3"/>
          </w:tcPr>
          <w:p>
            <w:pPr>
              <w:spacing w:after="0"/>
              <w:rPr>
                <w:sz w:val="24"/>
                <w:szCs w:val="24"/>
                <w:color w:val="auto"/>
              </w:rPr>
            </w:pPr>
          </w:p>
        </w:tc>
        <w:tc>
          <w:tcPr>
            <w:tcW w:w="30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4.2*</w:t>
            </w:r>
          </w:p>
        </w:tc>
        <w:tc>
          <w:tcPr>
            <w:tcW w:w="104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w w:val="90"/>
              </w:rPr>
            </w:pPr>
            <w:hyperlink r:id="rId315">
              <w:r>
                <w:rPr>
                  <w:rFonts w:ascii="Arial" w:cs="Arial" w:eastAsia="Arial" w:hAnsi="Arial"/>
                  <w:sz w:val="18"/>
                  <w:szCs w:val="18"/>
                  <w:color w:val="0000EE"/>
                  <w:w w:val="90"/>
                </w:rPr>
                <w:t>Second Amended and Restated Investors’ Rights Agreement among the Registrant and certain of its stockholders, dated January 9,</w:t>
              </w:r>
            </w:hyperlink>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315">
              <w:r>
                <w:rPr>
                  <w:rFonts w:ascii="Arial" w:cs="Arial" w:eastAsia="Arial" w:hAnsi="Arial"/>
                  <w:sz w:val="18"/>
                  <w:szCs w:val="18"/>
                  <w:color w:val="0000EE"/>
                  <w:w w:val="84"/>
                </w:rPr>
                <w:t>2018</w:t>
              </w:r>
            </w:hyperlink>
          </w:p>
        </w:tc>
        <w:tc>
          <w:tcPr>
            <w:tcW w:w="28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1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40" w:type="dxa"/>
            <w:vAlign w:val="bottom"/>
            <w:gridSpan w:val="2"/>
          </w:tcPr>
          <w:p>
            <w:pPr>
              <w:ind w:left="100"/>
              <w:spacing w:after="0"/>
              <w:rPr>
                <w:sz w:val="20"/>
                <w:szCs w:val="20"/>
                <w:color w:val="auto"/>
              </w:rPr>
            </w:pPr>
            <w:r>
              <w:rPr>
                <w:rFonts w:ascii="Arial" w:cs="Arial" w:eastAsia="Arial" w:hAnsi="Arial"/>
                <w:sz w:val="18"/>
                <w:szCs w:val="18"/>
                <w:color w:val="auto"/>
                <w:w w:val="99"/>
              </w:rPr>
              <w:t>4.3*</w:t>
            </w:r>
          </w:p>
        </w:tc>
        <w:tc>
          <w:tcPr>
            <w:tcW w:w="1040" w:type="dxa"/>
            <w:vAlign w:val="bottom"/>
          </w:tcPr>
          <w:p>
            <w:pPr>
              <w:spacing w:after="0"/>
              <w:rPr>
                <w:sz w:val="24"/>
                <w:szCs w:val="24"/>
                <w:color w:val="auto"/>
              </w:rPr>
            </w:pPr>
          </w:p>
        </w:tc>
        <w:tc>
          <w:tcPr>
            <w:tcW w:w="9560" w:type="dxa"/>
            <w:vAlign w:val="bottom"/>
            <w:gridSpan w:val="12"/>
          </w:tcPr>
          <w:p>
            <w:pPr>
              <w:spacing w:after="0"/>
              <w:rPr>
                <w:rFonts w:ascii="Arial" w:cs="Arial" w:eastAsia="Arial" w:hAnsi="Arial"/>
                <w:sz w:val="18"/>
                <w:szCs w:val="18"/>
                <w:color w:val="0000EE"/>
              </w:rPr>
            </w:pPr>
            <w:hyperlink r:id="rId316">
              <w:r>
                <w:rPr>
                  <w:rFonts w:ascii="Arial" w:cs="Arial" w:eastAsia="Arial" w:hAnsi="Arial"/>
                  <w:sz w:val="18"/>
                  <w:szCs w:val="18"/>
                  <w:color w:val="0000EE"/>
                </w:rPr>
                <w:t>Warrant to Purchase Stock issued to Silicon Valley Bank, dated June 23, 2017</w:t>
              </w:r>
            </w:hyperlink>
          </w:p>
        </w:tc>
        <w:tc>
          <w:tcPr>
            <w:tcW w:w="0" w:type="dxa"/>
            <w:vAlign w:val="bottom"/>
          </w:tcPr>
          <w:p>
            <w:pPr>
              <w:spacing w:after="0"/>
              <w:rPr>
                <w:sz w:val="1"/>
                <w:szCs w:val="1"/>
                <w:color w:val="auto"/>
              </w:rPr>
            </w:pPr>
          </w:p>
        </w:tc>
      </w:tr>
      <w:tr>
        <w:trPr>
          <w:trHeight w:val="385"/>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0" w:type="dxa"/>
            <w:vAlign w:val="bottom"/>
            <w:tcBorders>
              <w:top w:val="single" w:sz="8" w:color="0000EE"/>
            </w:tcBorders>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180" w:type="dxa"/>
            <w:vAlign w:val="bottom"/>
            <w:tcBorders>
              <w:top w:val="single" w:sz="8" w:color="0000EE"/>
            </w:tcBorders>
          </w:tcPr>
          <w:p>
            <w:pPr>
              <w:ind w:left="480"/>
              <w:spacing w:after="0"/>
              <w:rPr>
                <w:sz w:val="20"/>
                <w:szCs w:val="20"/>
                <w:color w:val="auto"/>
              </w:rPr>
            </w:pPr>
            <w:r>
              <w:rPr>
                <w:rFonts w:ascii="Arial" w:cs="Arial" w:eastAsia="Arial" w:hAnsi="Arial"/>
                <w:sz w:val="18"/>
                <w:szCs w:val="18"/>
                <w:color w:val="auto"/>
              </w:rPr>
              <w:t>II-3</w:t>
            </w:r>
          </w:p>
        </w:tc>
        <w:tc>
          <w:tcPr>
            <w:tcW w:w="39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22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EXHIBIT</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80" w:type="dxa"/>
            <w:vAlign w:val="bottom"/>
            <w:gridSpan w:val="13"/>
            <w:vMerge w:val="restart"/>
          </w:tcPr>
          <w:p>
            <w:pPr>
              <w:ind w:left="100"/>
              <w:spacing w:after="0"/>
              <w:rPr>
                <w:sz w:val="20"/>
                <w:szCs w:val="20"/>
                <w:color w:val="auto"/>
              </w:rPr>
            </w:pPr>
            <w:r>
              <w:rPr>
                <w:rFonts w:ascii="Arial" w:cs="Arial" w:eastAsia="Arial" w:hAnsi="Arial"/>
                <w:sz w:val="14"/>
                <w:szCs w:val="14"/>
                <w:b w:val="1"/>
                <w:bCs w:val="1"/>
                <w:color w:val="auto"/>
              </w:rPr>
              <w:t>EXHIBIT INDEX</w:t>
            </w:r>
          </w:p>
        </w:tc>
        <w:tc>
          <w:tcPr>
            <w:tcW w:w="0" w:type="dxa"/>
            <w:vAlign w:val="bottom"/>
          </w:tcPr>
          <w:p>
            <w:pPr>
              <w:spacing w:after="0"/>
              <w:rPr>
                <w:sz w:val="1"/>
                <w:szCs w:val="1"/>
                <w:color w:val="auto"/>
              </w:rPr>
            </w:pPr>
          </w:p>
        </w:tc>
      </w:tr>
      <w:tr>
        <w:trPr>
          <w:trHeight w:val="171"/>
        </w:trPr>
        <w:tc>
          <w:tcPr>
            <w:tcW w:w="220" w:type="dxa"/>
            <w:vAlign w:val="bottom"/>
          </w:tcPr>
          <w:p>
            <w:pPr>
              <w:spacing w:after="0"/>
              <w:rPr>
                <w:sz w:val="14"/>
                <w:szCs w:val="14"/>
                <w:color w:val="auto"/>
              </w:rPr>
            </w:pPr>
          </w:p>
        </w:tc>
        <w:tc>
          <w:tcPr>
            <w:tcW w:w="10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6"/>
              </w:rPr>
              <w:t>NO.</w:t>
            </w: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580" w:type="dxa"/>
            <w:vAlign w:val="bottom"/>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7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6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2"/>
                <w:szCs w:val="22"/>
                <w:color w:val="auto"/>
              </w:rPr>
            </w:pPr>
          </w:p>
        </w:tc>
        <w:tc>
          <w:tcPr>
            <w:tcW w:w="9820" w:type="dxa"/>
            <w:vAlign w:val="bottom"/>
            <w:gridSpan w:val="23"/>
          </w:tcPr>
          <w:p>
            <w:pPr>
              <w:spacing w:after="0"/>
              <w:rPr>
                <w:sz w:val="20"/>
                <w:szCs w:val="20"/>
                <w:color w:val="auto"/>
              </w:rPr>
            </w:pPr>
            <w:r>
              <w:rPr>
                <w:rFonts w:ascii="Arial" w:cs="Arial" w:eastAsia="Arial" w:hAnsi="Arial"/>
                <w:sz w:val="18"/>
                <w:szCs w:val="18"/>
                <w:color w:val="0000EE"/>
              </w:rPr>
              <w:t>Opinion of Goodwin Procter LLP</w:t>
            </w: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w:t>
            </w:r>
          </w:p>
        </w:tc>
        <w:tc>
          <w:tcPr>
            <w:tcW w:w="9820" w:type="dxa"/>
            <w:vAlign w:val="bottom"/>
            <w:gridSpan w:val="23"/>
          </w:tcPr>
          <w:p>
            <w:pPr>
              <w:spacing w:after="0"/>
              <w:rPr>
                <w:rFonts w:ascii="Arial" w:cs="Arial" w:eastAsia="Arial" w:hAnsi="Arial"/>
                <w:sz w:val="18"/>
                <w:szCs w:val="18"/>
                <w:color w:val="0000EE"/>
              </w:rPr>
            </w:pPr>
            <w:hyperlink r:id="rId318">
              <w:r>
                <w:rPr>
                  <w:rFonts w:ascii="Arial" w:cs="Arial" w:eastAsia="Arial" w:hAnsi="Arial"/>
                  <w:sz w:val="18"/>
                  <w:szCs w:val="18"/>
                  <w:color w:val="0000EE"/>
                </w:rPr>
                <w:t>2015 Amended and Restated Stock Option and Grant Plan, as amended, and forms of award agreements thereunder</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10.2</w:t>
            </w:r>
          </w:p>
        </w:tc>
        <w:tc>
          <w:tcPr>
            <w:tcW w:w="760" w:type="dxa"/>
            <w:vAlign w:val="bottom"/>
          </w:tcPr>
          <w:p>
            <w:pPr>
              <w:spacing w:after="0"/>
              <w:rPr>
                <w:sz w:val="24"/>
                <w:szCs w:val="24"/>
                <w:color w:val="auto"/>
              </w:rPr>
            </w:pPr>
          </w:p>
        </w:tc>
        <w:tc>
          <w:tcPr>
            <w:tcW w:w="91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0"/>
              </w:rPr>
              <w:t>2018 Stock Option and Incentive Plan and forms of award agreements thereunder (to be effective upon the effectiveness of this</w:t>
            </w:r>
          </w:p>
        </w:tc>
        <w:tc>
          <w:tcPr>
            <w:tcW w:w="6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registration statement)</w:t>
            </w:r>
          </w:p>
        </w:tc>
        <w:tc>
          <w:tcPr>
            <w:tcW w:w="82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10.3#</w:t>
            </w:r>
          </w:p>
        </w:tc>
        <w:tc>
          <w:tcPr>
            <w:tcW w:w="76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Arial" w:cs="Arial" w:eastAsia="Arial" w:hAnsi="Arial"/>
                <w:sz w:val="18"/>
                <w:szCs w:val="18"/>
                <w:color w:val="0000EE"/>
              </w:rPr>
              <w:t>Senior Executive Cash Incentive Bonus Plan</w:t>
            </w: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10.4</w:t>
            </w:r>
          </w:p>
        </w:tc>
        <w:tc>
          <w:tcPr>
            <w:tcW w:w="760" w:type="dxa"/>
            <w:vAlign w:val="bottom"/>
          </w:tcPr>
          <w:p>
            <w:pPr>
              <w:spacing w:after="0"/>
              <w:rPr>
                <w:sz w:val="24"/>
                <w:szCs w:val="24"/>
                <w:color w:val="auto"/>
              </w:rPr>
            </w:pPr>
          </w:p>
        </w:tc>
        <w:tc>
          <w:tcPr>
            <w:tcW w:w="322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0000EE"/>
              </w:rPr>
              <w:t>Form of Indemnification Agreement</w:t>
            </w:r>
          </w:p>
        </w:tc>
        <w:tc>
          <w:tcPr>
            <w:tcW w:w="66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10.5†*</w:t>
            </w:r>
          </w:p>
        </w:tc>
        <w:tc>
          <w:tcPr>
            <w:tcW w:w="9820" w:type="dxa"/>
            <w:vAlign w:val="bottom"/>
            <w:gridSpan w:val="23"/>
          </w:tcPr>
          <w:p>
            <w:pPr>
              <w:spacing w:after="0"/>
              <w:rPr>
                <w:rFonts w:ascii="Arial" w:cs="Arial" w:eastAsia="Arial" w:hAnsi="Arial"/>
                <w:sz w:val="18"/>
                <w:szCs w:val="18"/>
                <w:color w:val="0000EE"/>
                <w:w w:val="92"/>
              </w:rPr>
            </w:pPr>
            <w:hyperlink r:id="rId319">
              <w:r>
                <w:rPr>
                  <w:rFonts w:ascii="Arial" w:cs="Arial" w:eastAsia="Arial" w:hAnsi="Arial"/>
                  <w:sz w:val="18"/>
                  <w:szCs w:val="18"/>
                  <w:color w:val="0000EE"/>
                  <w:w w:val="92"/>
                </w:rPr>
                <w:t>Exclusive License Agreement, by and between the Registrant and University Health Network, dated November 4, 2016, as amended</w:t>
              </w:r>
            </w:hyperlink>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10.6†</w:t>
            </w:r>
          </w:p>
        </w:tc>
        <w:tc>
          <w:tcPr>
            <w:tcW w:w="792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90"/>
              </w:rPr>
              <w:t>License Agreement, by and between the Registrant and BioMarin Pharmaceutical Inc., dated August 31, 2017</w:t>
            </w:r>
          </w:p>
        </w:tc>
        <w:tc>
          <w:tcPr>
            <w:tcW w:w="1620" w:type="dxa"/>
            <w:vAlign w:val="bottom"/>
            <w:tcBorders>
              <w:top w:val="single" w:sz="8" w:color="0000EE"/>
            </w:tcBorders>
            <w:gridSpan w:val="5"/>
          </w:tcPr>
          <w:p>
            <w:pPr>
              <w:spacing w:after="0"/>
              <w:rPr>
                <w:sz w:val="24"/>
                <w:szCs w:val="24"/>
                <w:color w:val="auto"/>
              </w:rPr>
            </w:pPr>
          </w:p>
        </w:tc>
        <w:tc>
          <w:tcPr>
            <w:tcW w:w="2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10.7†*</w:t>
            </w:r>
          </w:p>
        </w:tc>
        <w:tc>
          <w:tcPr>
            <w:tcW w:w="9820" w:type="dxa"/>
            <w:vAlign w:val="bottom"/>
            <w:gridSpan w:val="23"/>
          </w:tcPr>
          <w:p>
            <w:pPr>
              <w:spacing w:after="0"/>
              <w:rPr>
                <w:rFonts w:ascii="Arial" w:cs="Arial" w:eastAsia="Arial" w:hAnsi="Arial"/>
                <w:sz w:val="18"/>
                <w:szCs w:val="18"/>
                <w:color w:val="0000EE"/>
              </w:rPr>
            </w:pPr>
            <w:hyperlink r:id="rId320">
              <w:r>
                <w:rPr>
                  <w:rFonts w:ascii="Arial" w:cs="Arial" w:eastAsia="Arial" w:hAnsi="Arial"/>
                  <w:sz w:val="18"/>
                  <w:szCs w:val="18"/>
                  <w:color w:val="0000EE"/>
                </w:rPr>
                <w:t>Exclusive License Agreement, by and among the Registrant, Stefan Karlsson and Maria Dahl, dated January 30, 2017</w:t>
              </w:r>
            </w:hyperlink>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10.8†*</w:t>
            </w:r>
          </w:p>
        </w:tc>
        <w:tc>
          <w:tcPr>
            <w:tcW w:w="8480" w:type="dxa"/>
            <w:vAlign w:val="bottom"/>
            <w:tcBorders>
              <w:top w:val="single" w:sz="8" w:color="0000EE"/>
            </w:tcBorders>
            <w:gridSpan w:val="17"/>
          </w:tcPr>
          <w:p>
            <w:pPr>
              <w:spacing w:after="0"/>
              <w:rPr>
                <w:rFonts w:ascii="Arial" w:cs="Arial" w:eastAsia="Arial" w:hAnsi="Arial"/>
                <w:sz w:val="18"/>
                <w:szCs w:val="18"/>
                <w:color w:val="0000EE"/>
                <w:w w:val="98"/>
              </w:rPr>
            </w:pPr>
            <w:hyperlink r:id="rId321">
              <w:r>
                <w:rPr>
                  <w:rFonts w:ascii="Arial" w:cs="Arial" w:eastAsia="Arial" w:hAnsi="Arial"/>
                  <w:sz w:val="18"/>
                  <w:szCs w:val="18"/>
                  <w:color w:val="0000EE"/>
                  <w:w w:val="98"/>
                </w:rPr>
                <w:t>License Agreement, by and between the Registrant and GenStem Therapeutics, Inc., dated October 2, 2017</w:t>
              </w:r>
            </w:hyperlink>
          </w:p>
        </w:tc>
        <w:tc>
          <w:tcPr>
            <w:tcW w:w="13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w w:val="97"/>
              </w:rPr>
              <w:t>10.9#</w:t>
            </w:r>
          </w:p>
        </w:tc>
        <w:tc>
          <w:tcPr>
            <w:tcW w:w="76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Arial" w:cs="Arial" w:eastAsia="Arial" w:hAnsi="Arial"/>
                <w:sz w:val="18"/>
                <w:szCs w:val="18"/>
                <w:color w:val="0000EE"/>
                <w:w w:val="91"/>
              </w:rPr>
              <w:t>Amended and Restated Employment Agreement, by and between the Registrant and Geoff MacKay (to be effective upon the closing of</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4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this offering)</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10.10#</w:t>
            </w:r>
          </w:p>
        </w:tc>
        <w:tc>
          <w:tcPr>
            <w:tcW w:w="94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0"/>
              </w:rPr>
              <w:t>Amended and Restated Employment Agreement, by and between the Registrant and Nerissa Kreher, M.D. (to be effective upon the</w:t>
            </w:r>
          </w:p>
        </w:tc>
        <w:tc>
          <w:tcPr>
            <w:tcW w:w="3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820" w:type="dxa"/>
            <w:vAlign w:val="bottom"/>
            <w:gridSpan w:val="23"/>
          </w:tcPr>
          <w:p>
            <w:pPr>
              <w:spacing w:after="0" w:line="196" w:lineRule="exact"/>
              <w:rPr>
                <w:sz w:val="20"/>
                <w:szCs w:val="20"/>
                <w:color w:val="auto"/>
              </w:rPr>
            </w:pPr>
            <w:r>
              <w:rPr>
                <w:rFonts w:ascii="Arial" w:cs="Arial" w:eastAsia="Arial" w:hAnsi="Arial"/>
                <w:sz w:val="18"/>
                <w:szCs w:val="18"/>
                <w:color w:val="0000EE"/>
              </w:rPr>
              <w:t>closing of this offering)</w:t>
            </w: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10.11#</w:t>
            </w:r>
          </w:p>
        </w:tc>
        <w:tc>
          <w:tcPr>
            <w:tcW w:w="9820" w:type="dxa"/>
            <w:vAlign w:val="bottom"/>
            <w:gridSpan w:val="23"/>
          </w:tcPr>
          <w:p>
            <w:pPr>
              <w:spacing w:after="0"/>
              <w:rPr>
                <w:sz w:val="20"/>
                <w:szCs w:val="20"/>
                <w:color w:val="auto"/>
              </w:rPr>
            </w:pPr>
            <w:r>
              <w:rPr>
                <w:rFonts w:ascii="Arial" w:cs="Arial" w:eastAsia="Arial" w:hAnsi="Arial"/>
                <w:sz w:val="18"/>
                <w:szCs w:val="18"/>
                <w:color w:val="0000EE"/>
                <w:w w:val="91"/>
              </w:rPr>
              <w:t>Amended and Restated Employment Agreement, by and between the Registrant and Katina Dorton (to be effective upon the closing of</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0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this offering)</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10.12*</w:t>
            </w:r>
          </w:p>
        </w:tc>
        <w:tc>
          <w:tcPr>
            <w:tcW w:w="8300" w:type="dxa"/>
            <w:vAlign w:val="bottom"/>
            <w:tcBorders>
              <w:bottom w:val="single" w:sz="8" w:color="0000EE"/>
            </w:tcBorders>
            <w:gridSpan w:val="16"/>
          </w:tcPr>
          <w:p>
            <w:pPr>
              <w:spacing w:after="0"/>
              <w:rPr>
                <w:rFonts w:ascii="Arial" w:cs="Arial" w:eastAsia="Arial" w:hAnsi="Arial"/>
                <w:sz w:val="18"/>
                <w:szCs w:val="18"/>
                <w:color w:val="0000EE"/>
                <w:w w:val="90"/>
              </w:rPr>
            </w:pPr>
            <w:hyperlink r:id="rId322">
              <w:r>
                <w:rPr>
                  <w:rFonts w:ascii="Arial" w:cs="Arial" w:eastAsia="Arial" w:hAnsi="Arial"/>
                  <w:sz w:val="18"/>
                  <w:szCs w:val="18"/>
                  <w:color w:val="0000EE"/>
                  <w:w w:val="90"/>
                </w:rPr>
                <w:t>Lease Agreement, dated as of January 12, 2018, by and between the Registrant and ARE-MA Region No. 59, LLC</w:t>
              </w:r>
            </w:hyperlink>
          </w:p>
        </w:tc>
        <w:tc>
          <w:tcPr>
            <w:tcW w:w="15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10.13*</w:t>
            </w:r>
          </w:p>
        </w:tc>
        <w:tc>
          <w:tcPr>
            <w:tcW w:w="9820" w:type="dxa"/>
            <w:vAlign w:val="bottom"/>
            <w:gridSpan w:val="23"/>
          </w:tcPr>
          <w:p>
            <w:pPr>
              <w:spacing w:after="0"/>
              <w:rPr>
                <w:rFonts w:ascii="Arial" w:cs="Arial" w:eastAsia="Arial" w:hAnsi="Arial"/>
                <w:sz w:val="18"/>
                <w:szCs w:val="18"/>
                <w:color w:val="0000EE"/>
              </w:rPr>
            </w:pPr>
            <w:hyperlink r:id="rId323">
              <w:r>
                <w:rPr>
                  <w:rFonts w:ascii="Arial" w:cs="Arial" w:eastAsia="Arial" w:hAnsi="Arial"/>
                  <w:sz w:val="18"/>
                  <w:szCs w:val="18"/>
                  <w:color w:val="0000EE"/>
                </w:rPr>
                <w:t>Loan and Security Agreement, by and among the Registrant and Silicon Valley Bank, dated June 23, 2017</w:t>
              </w:r>
            </w:hyperlink>
          </w:p>
        </w:tc>
        <w:tc>
          <w:tcPr>
            <w:tcW w:w="0" w:type="dxa"/>
            <w:vAlign w:val="bottom"/>
          </w:tcPr>
          <w:p>
            <w:pPr>
              <w:spacing w:after="0"/>
              <w:rPr>
                <w:sz w:val="1"/>
                <w:szCs w:val="1"/>
                <w:color w:val="auto"/>
              </w:rPr>
            </w:pPr>
          </w:p>
        </w:tc>
      </w:tr>
      <w:tr>
        <w:trPr>
          <w:trHeight w:val="304"/>
        </w:trPr>
        <w:tc>
          <w:tcPr>
            <w:tcW w:w="1220" w:type="dxa"/>
            <w:vAlign w:val="bottom"/>
            <w:gridSpan w:val="3"/>
          </w:tcPr>
          <w:p>
            <w:pPr>
              <w:spacing w:after="0"/>
              <w:rPr>
                <w:sz w:val="20"/>
                <w:szCs w:val="20"/>
                <w:color w:val="auto"/>
              </w:rPr>
            </w:pPr>
            <w:r>
              <w:rPr>
                <w:rFonts w:ascii="Arial" w:cs="Arial" w:eastAsia="Arial" w:hAnsi="Arial"/>
                <w:sz w:val="18"/>
                <w:szCs w:val="18"/>
                <w:color w:val="auto"/>
              </w:rPr>
              <w:t>10.14#</w:t>
            </w:r>
          </w:p>
        </w:tc>
        <w:tc>
          <w:tcPr>
            <w:tcW w:w="760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EE"/>
                <w:w w:val="89"/>
              </w:rPr>
              <w:t>2018 Employee Stock Purchase Plan (to be effective upon the effectiveness of this registration statement)</w:t>
            </w:r>
          </w:p>
        </w:tc>
        <w:tc>
          <w:tcPr>
            <w:tcW w:w="40" w:type="dxa"/>
            <w:vAlign w:val="bottom"/>
            <w:tcBorders>
              <w:top w:val="single" w:sz="8" w:color="0000EE"/>
            </w:tcBorders>
          </w:tcPr>
          <w:p>
            <w:pPr>
              <w:spacing w:after="0"/>
              <w:rPr>
                <w:sz w:val="24"/>
                <w:szCs w:val="24"/>
                <w:color w:val="auto"/>
              </w:rPr>
            </w:pPr>
          </w:p>
        </w:tc>
        <w:tc>
          <w:tcPr>
            <w:tcW w:w="21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21.1*</w:t>
            </w:r>
          </w:p>
        </w:tc>
        <w:tc>
          <w:tcPr>
            <w:tcW w:w="760" w:type="dxa"/>
            <w:vAlign w:val="bottom"/>
          </w:tcPr>
          <w:p>
            <w:pPr>
              <w:spacing w:after="0"/>
              <w:rPr>
                <w:sz w:val="24"/>
                <w:szCs w:val="24"/>
                <w:color w:val="auto"/>
              </w:rPr>
            </w:pPr>
          </w:p>
        </w:tc>
        <w:tc>
          <w:tcPr>
            <w:tcW w:w="9820" w:type="dxa"/>
            <w:vAlign w:val="bottom"/>
            <w:gridSpan w:val="23"/>
          </w:tcPr>
          <w:p>
            <w:pPr>
              <w:spacing w:after="0"/>
              <w:rPr>
                <w:rFonts w:ascii="Arial" w:cs="Arial" w:eastAsia="Arial" w:hAnsi="Arial"/>
                <w:sz w:val="18"/>
                <w:szCs w:val="18"/>
                <w:color w:val="0000EE"/>
              </w:rPr>
            </w:pPr>
            <w:hyperlink r:id="rId324">
              <w:r>
                <w:rPr>
                  <w:rFonts w:ascii="Arial" w:cs="Arial" w:eastAsia="Arial" w:hAnsi="Arial"/>
                  <w:sz w:val="18"/>
                  <w:szCs w:val="18"/>
                  <w:color w:val="0000EE"/>
                </w:rPr>
                <w:t>Subsidiaries of the Registrant</w:t>
              </w:r>
            </w:hyperlink>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23.1</w:t>
            </w:r>
          </w:p>
        </w:tc>
        <w:tc>
          <w:tcPr>
            <w:tcW w:w="760" w:type="dxa"/>
            <w:vAlign w:val="bottom"/>
          </w:tcPr>
          <w:p>
            <w:pPr>
              <w:spacing w:after="0"/>
              <w:rPr>
                <w:sz w:val="24"/>
                <w:szCs w:val="24"/>
                <w:color w:val="auto"/>
              </w:rPr>
            </w:pPr>
          </w:p>
        </w:tc>
        <w:tc>
          <w:tcPr>
            <w:tcW w:w="584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1"/>
              </w:rPr>
              <w:t>Consent of Ernst &amp; Young LLP, Independent Registered Public Accounting Firm</w:t>
            </w:r>
          </w:p>
        </w:tc>
        <w:tc>
          <w:tcPr>
            <w:tcW w:w="39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23.2</w:t>
            </w:r>
          </w:p>
        </w:tc>
        <w:tc>
          <w:tcPr>
            <w:tcW w:w="760" w:type="dxa"/>
            <w:vAlign w:val="bottom"/>
          </w:tcPr>
          <w:p>
            <w:pPr>
              <w:spacing w:after="0"/>
              <w:rPr>
                <w:sz w:val="24"/>
                <w:szCs w:val="24"/>
                <w:color w:val="auto"/>
              </w:rPr>
            </w:pPr>
          </w:p>
        </w:tc>
        <w:tc>
          <w:tcPr>
            <w:tcW w:w="9820" w:type="dxa"/>
            <w:vAlign w:val="bottom"/>
            <w:gridSpan w:val="23"/>
          </w:tcPr>
          <w:p>
            <w:pPr>
              <w:spacing w:after="0"/>
              <w:rPr>
                <w:sz w:val="20"/>
                <w:szCs w:val="20"/>
                <w:color w:val="auto"/>
              </w:rPr>
            </w:pPr>
            <w:r>
              <w:rPr>
                <w:rFonts w:ascii="Arial" w:cs="Arial" w:eastAsia="Arial" w:hAnsi="Arial"/>
                <w:sz w:val="18"/>
                <w:szCs w:val="18"/>
                <w:color w:val="0000EE"/>
              </w:rPr>
              <w:t>Consent of Goodwin Procter LLP (included in Exhibit 5.1)</w:t>
            </w: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24.1*</w:t>
            </w:r>
          </w:p>
        </w:tc>
        <w:tc>
          <w:tcPr>
            <w:tcW w:w="76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r:id="rId325">
              <w:r>
                <w:rPr>
                  <w:rFonts w:ascii="Arial" w:cs="Arial" w:eastAsia="Arial" w:hAnsi="Arial"/>
                  <w:sz w:val="18"/>
                  <w:szCs w:val="18"/>
                  <w:color w:val="0000EE"/>
                  <w:w w:val="92"/>
                </w:rPr>
                <w:t>Power of Attorney</w:t>
              </w:r>
            </w:hyperlink>
          </w:p>
        </w:tc>
        <w:tc>
          <w:tcPr>
            <w:tcW w:w="2900" w:type="dxa"/>
            <w:vAlign w:val="bottom"/>
            <w:tcBorders>
              <w:top w:val="single" w:sz="8" w:color="0000EE"/>
            </w:tcBorders>
            <w:gridSpan w:val="8"/>
          </w:tcPr>
          <w:p>
            <w:pPr>
              <w:spacing w:after="0"/>
              <w:rPr>
                <w:sz w:val="24"/>
                <w:szCs w:val="24"/>
                <w:color w:val="auto"/>
              </w:rPr>
            </w:pPr>
          </w:p>
        </w:tc>
        <w:tc>
          <w:tcPr>
            <w:tcW w:w="55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21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1"/>
              </w:rPr>
              <w:t>Consent of Director Nominee</w:t>
            </w:r>
          </w:p>
        </w:tc>
        <w:tc>
          <w:tcPr>
            <w:tcW w:w="768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640" w:hanging="436"/>
        <w:spacing w:after="0"/>
        <w:tabs>
          <w:tab w:leader="none" w:pos="6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640" w:right="460" w:hanging="436"/>
        <w:spacing w:after="0" w:line="265" w:lineRule="auto"/>
        <w:tabs>
          <w:tab w:leader="none" w:pos="6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Application has been made to the Securities and Exchange Commission for confidential treatment of certain provisions. Omitted material for which confidential treatment has been requested has been filed separately with the Securities and Exchange Commission.</w:t>
      </w:r>
    </w:p>
    <w:p>
      <w:pPr>
        <w:ind w:left="5580" w:right="4520" w:hanging="5376"/>
        <w:spacing w:after="0" w:line="517" w:lineRule="auto"/>
        <w:tabs>
          <w:tab w:leader="none" w:pos="637" w:val="left"/>
        </w:tabs>
        <w:numPr>
          <w:ilvl w:val="0"/>
          <w:numId w:val="124"/>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II-4</w:t>
      </w:r>
    </w:p>
    <w:p>
      <w:pPr>
        <w:sectPr>
          <w:pgSz w:w="11900" w:h="16838" w:orient="portrait"/>
          <w:cols w:equalWidth="0" w:num="1">
            <w:col w:w="11240"/>
          </w:cols>
          <w:pgMar w:left="240" w:top="459" w:right="41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Registrant hereby undertakes that:</w:t>
      </w:r>
    </w:p>
    <w:p>
      <w:pPr>
        <w:spacing w:after="0" w:line="131" w:lineRule="exact"/>
        <w:rPr>
          <w:sz w:val="20"/>
          <w:szCs w:val="20"/>
          <w:color w:val="auto"/>
        </w:rPr>
      </w:pPr>
    </w:p>
    <w:p>
      <w:pPr>
        <w:ind w:left="1060" w:right="140" w:hanging="299"/>
        <w:spacing w:after="0" w:line="277"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 will provide to the underwriter at the closing as specified in the underwriting agreement, certificates in such denominations and registered in such names as required by the underwriter to permit prompt delivery to each purchaser.</w:t>
      </w:r>
    </w:p>
    <w:p>
      <w:pPr>
        <w:spacing w:after="0" w:line="75" w:lineRule="exact"/>
        <w:rPr>
          <w:rFonts w:ascii="Arial" w:cs="Arial" w:eastAsia="Arial" w:hAnsi="Arial"/>
          <w:sz w:val="18"/>
          <w:szCs w:val="18"/>
          <w:color w:val="auto"/>
        </w:rPr>
      </w:pPr>
    </w:p>
    <w:p>
      <w:pPr>
        <w:ind w:left="1060" w:right="120" w:hanging="310"/>
        <w:spacing w:after="0" w:line="259"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as amended, the information omitted from a form of prospectus filed as part of this registration statement in reliance upon Rule 430A and contained in the form of prospectus filed by the Registrant pursuant to Rule 424(b)(1) or (4) or 497(h) under the Securities Act of 1933, as amended, shall be deemed to be part of this registration statement as of the time it was declared effective.</w:t>
      </w:r>
    </w:p>
    <w:p>
      <w:pPr>
        <w:spacing w:after="0" w:line="92" w:lineRule="exact"/>
        <w:rPr>
          <w:rFonts w:ascii="Arial" w:cs="Arial" w:eastAsia="Arial" w:hAnsi="Arial"/>
          <w:sz w:val="18"/>
          <w:szCs w:val="18"/>
          <w:color w:val="auto"/>
        </w:rPr>
      </w:pPr>
    </w:p>
    <w:p>
      <w:pPr>
        <w:ind w:left="1060" w:right="220" w:hanging="299"/>
        <w:spacing w:after="0" w:line="264" w:lineRule="auto"/>
        <w:tabs>
          <w:tab w:leader="none" w:pos="10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80"/>
          </w:cols>
          <w:pgMar w:left="240" w:top="460" w:right="4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20" w:firstLine="441"/>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on Form S-1 to be signed on its behalf by the undersigned, thereunto duly authorized, in the City of Cambridge, Commonwealth of Massachusetts, on the 11th day of June, 2018.</w:t>
      </w:r>
    </w:p>
    <w:p>
      <w:pPr>
        <w:spacing w:after="0" w:line="147"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5715</wp:posOffset>
            </wp:positionV>
            <wp:extent cx="256413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Geoff MacKay</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President, Chief Executive Officer, and Principal</w:t>
      </w:r>
    </w:p>
    <w:p>
      <w:pPr>
        <w:spacing w:after="0" w:line="9" w:lineRule="exact"/>
        <w:rPr>
          <w:sz w:val="20"/>
          <w:szCs w:val="20"/>
          <w:color w:val="auto"/>
        </w:rPr>
      </w:pPr>
    </w:p>
    <w:p>
      <w:pPr>
        <w:ind w:left="7180"/>
        <w:spacing w:after="0"/>
        <w:rPr>
          <w:sz w:val="20"/>
          <w:szCs w:val="20"/>
          <w:color w:val="auto"/>
        </w:rPr>
      </w:pPr>
      <w:r>
        <w:rPr>
          <w:rFonts w:ascii="Arial" w:cs="Arial" w:eastAsia="Arial" w:hAnsi="Arial"/>
          <w:sz w:val="18"/>
          <w:szCs w:val="18"/>
          <w:i w:val="1"/>
          <w:iCs w:val="1"/>
          <w:color w:val="auto"/>
        </w:rPr>
        <w:t>Executive Officer</w:t>
      </w: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and Power of Attorney has been signed by the following person in the capacities and on the date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50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spacing w:after="0"/>
              <w:rPr>
                <w:sz w:val="16"/>
                <w:szCs w:val="16"/>
                <w:color w:val="auto"/>
              </w:rPr>
            </w:pPr>
          </w:p>
        </w:tc>
        <w:tc>
          <w:tcPr>
            <w:tcW w:w="232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152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rPr>
              <w:t>DATE</w:t>
            </w:r>
          </w:p>
        </w:tc>
      </w:tr>
      <w:tr>
        <w:trPr>
          <w:trHeight w:val="20"/>
        </w:trPr>
        <w:tc>
          <w:tcPr>
            <w:tcW w:w="224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99"/>
        </w:trPr>
        <w:tc>
          <w:tcPr>
            <w:tcW w:w="2240" w:type="dxa"/>
            <w:vAlign w:val="bottom"/>
            <w:gridSpan w:val="3"/>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 President, Chief Executive Officer, and</w:t>
            </w:r>
          </w:p>
        </w:tc>
        <w:tc>
          <w:tcPr>
            <w:tcW w:w="15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June 11,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4"/>
              </w:rPr>
              <w:t>Geoff MacKay</w:t>
            </w: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Principal Executive Officer</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Chief Financial Officer and Principal Financial</w:t>
            </w:r>
          </w:p>
        </w:tc>
        <w:tc>
          <w:tcPr>
            <w:tcW w:w="15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June 11,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4"/>
              </w:rPr>
              <w:t>Katina Dorton</w:t>
            </w: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and Accounting Officer</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Chairman of the Board of Director</w:t>
            </w:r>
            <w:r>
              <w:rPr>
                <w:rFonts w:ascii="Arial" w:cs="Arial" w:eastAsia="Arial" w:hAnsi="Arial"/>
                <w:sz w:val="18"/>
                <w:szCs w:val="18"/>
                <w:color w:val="auto"/>
              </w:rPr>
              <w:t>s</w:t>
            </w:r>
          </w:p>
        </w:tc>
        <w:tc>
          <w:tcPr>
            <w:tcW w:w="15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June 11,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3"/>
              </w:rPr>
              <w:t>Bruce Booth, D.Phil.</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5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June 11,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2"/>
              </w:rPr>
              <w:t>Ian T. Clark</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5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June 11,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0"/>
              </w:rPr>
              <w:t>Annalisa Jenkins, M.B.B.S., F.R.C.P</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5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June 11,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90"/>
              </w:rPr>
              <w:t>Christopher Paige, Ph.D.</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5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June 11,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20"/>
              <w:spacing w:after="0"/>
              <w:rPr>
                <w:sz w:val="20"/>
                <w:szCs w:val="20"/>
                <w:color w:val="auto"/>
              </w:rPr>
            </w:pPr>
            <w:r>
              <w:rPr>
                <w:rFonts w:ascii="Arial" w:cs="Arial" w:eastAsia="Arial" w:hAnsi="Arial"/>
                <w:sz w:val="18"/>
                <w:szCs w:val="18"/>
                <w:color w:val="auto"/>
                <w:w w:val="89"/>
              </w:rPr>
              <w:t>Scott G. Requadt</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31"/>
        </w:trPr>
        <w:tc>
          <w:tcPr>
            <w:tcW w:w="2680" w:type="dxa"/>
            <w:vAlign w:val="bottom"/>
            <w:gridSpan w:val="4"/>
          </w:tcPr>
          <w:p>
            <w:pPr>
              <w:jc w:val="center"/>
              <w:ind w:left="2150"/>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gridSpan w:val="3"/>
          </w:tcPr>
          <w:p>
            <w:pPr>
              <w:ind w:left="100"/>
              <w:spacing w:after="0"/>
              <w:rPr>
                <w:sz w:val="20"/>
                <w:szCs w:val="20"/>
                <w:color w:val="auto"/>
              </w:rPr>
            </w:pPr>
            <w:r>
              <w:rPr>
                <w:rFonts w:ascii="Arial" w:cs="Arial" w:eastAsia="Arial" w:hAnsi="Arial"/>
                <w:sz w:val="18"/>
                <w:szCs w:val="18"/>
                <w:i w:val="1"/>
                <w:iCs w:val="1"/>
                <w:color w:val="auto"/>
              </w:rPr>
              <w:t>Director</w:t>
            </w:r>
          </w:p>
        </w:tc>
        <w:tc>
          <w:tcPr>
            <w:tcW w:w="1520" w:type="dxa"/>
            <w:vAlign w:val="bottom"/>
            <w:gridSpan w:val="3"/>
          </w:tcPr>
          <w:p>
            <w:pPr>
              <w:jc w:val="center"/>
              <w:ind w:left="432"/>
              <w:spacing w:after="0"/>
              <w:rPr>
                <w:sz w:val="20"/>
                <w:szCs w:val="20"/>
                <w:color w:val="auto"/>
              </w:rPr>
            </w:pPr>
            <w:r>
              <w:rPr>
                <w:rFonts w:ascii="Arial" w:cs="Arial" w:eastAsia="Arial" w:hAnsi="Arial"/>
                <w:sz w:val="18"/>
                <w:szCs w:val="18"/>
                <w:color w:val="auto"/>
                <w:w w:val="87"/>
              </w:rPr>
              <w:t>June 11, 2018</w:t>
            </w:r>
          </w:p>
        </w:tc>
      </w:tr>
      <w:tr>
        <w:trPr>
          <w:trHeight w:val="224"/>
        </w:trPr>
        <w:tc>
          <w:tcPr>
            <w:tcW w:w="2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500" w:type="dxa"/>
            <w:vAlign w:val="bottom"/>
            <w:tcBorders>
              <w:top w:val="single" w:sz="8" w:color="auto"/>
            </w:tcBorders>
            <w:gridSpan w:val="4"/>
          </w:tcPr>
          <w:p>
            <w:pPr>
              <w:jc w:val="center"/>
              <w:ind w:right="440"/>
              <w:spacing w:after="0"/>
              <w:rPr>
                <w:sz w:val="20"/>
                <w:szCs w:val="20"/>
                <w:color w:val="auto"/>
              </w:rPr>
            </w:pPr>
            <w:r>
              <w:rPr>
                <w:rFonts w:ascii="Arial" w:cs="Arial" w:eastAsia="Arial" w:hAnsi="Arial"/>
                <w:sz w:val="18"/>
                <w:szCs w:val="18"/>
                <w:color w:val="auto"/>
                <w:w w:val="90"/>
              </w:rPr>
              <w:t>Joshua Resnick, M.D.</w:t>
            </w:r>
          </w:p>
        </w:tc>
        <w:tc>
          <w:tcPr>
            <w:tcW w:w="1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674"/>
        </w:trPr>
        <w:tc>
          <w:tcPr>
            <w:tcW w:w="4920" w:type="dxa"/>
            <w:vAlign w:val="bottom"/>
            <w:gridSpan w:val="6"/>
          </w:tcPr>
          <w:p>
            <w:pPr>
              <w:spacing w:after="0"/>
              <w:rPr>
                <w:sz w:val="20"/>
                <w:szCs w:val="20"/>
                <w:color w:val="auto"/>
              </w:rPr>
            </w:pPr>
            <w:r>
              <w:rPr>
                <w:rFonts w:ascii="Arial" w:cs="Arial" w:eastAsia="Arial" w:hAnsi="Arial"/>
                <w:sz w:val="18"/>
                <w:szCs w:val="18"/>
                <w:color w:val="auto"/>
              </w:rPr>
              <w:t>*By:  /s/ Geoff MacKay</w:t>
            </w: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0" w:type="dxa"/>
            <w:vAlign w:val="bottom"/>
            <w:tcBorders>
              <w:top w:val="single" w:sz="8" w:color="auto"/>
            </w:tcBorders>
            <w:gridSpan w:val="3"/>
          </w:tcPr>
          <w:p>
            <w:pPr>
              <w:ind w:left="80"/>
              <w:spacing w:after="0" w:line="195" w:lineRule="exact"/>
              <w:rPr>
                <w:sz w:val="20"/>
                <w:szCs w:val="20"/>
                <w:color w:val="auto"/>
              </w:rPr>
            </w:pPr>
            <w:r>
              <w:rPr>
                <w:rFonts w:ascii="Arial" w:cs="Arial" w:eastAsia="Arial" w:hAnsi="Arial"/>
                <w:sz w:val="18"/>
                <w:szCs w:val="18"/>
                <w:color w:val="auto"/>
              </w:rPr>
              <w:t>Geoff MacKay</w:t>
            </w:r>
          </w:p>
        </w:tc>
        <w:tc>
          <w:tcPr>
            <w:tcW w:w="5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00" w:type="dxa"/>
            <w:vAlign w:val="bottom"/>
            <w:gridSpan w:val="4"/>
          </w:tcPr>
          <w:p>
            <w:pPr>
              <w:ind w:left="80"/>
              <w:spacing w:after="0"/>
              <w:rPr>
                <w:sz w:val="20"/>
                <w:szCs w:val="20"/>
                <w:color w:val="auto"/>
              </w:rPr>
            </w:pPr>
            <w:r>
              <w:rPr>
                <w:rFonts w:ascii="Arial" w:cs="Arial" w:eastAsia="Arial" w:hAnsi="Arial"/>
                <w:sz w:val="18"/>
                <w:szCs w:val="18"/>
                <w:i w:val="1"/>
                <w:iCs w:val="1"/>
                <w:color w:val="auto"/>
              </w:rPr>
              <w:t>Attorney-in-fact</w:t>
            </w:r>
          </w:p>
        </w:tc>
        <w:tc>
          <w:tcPr>
            <w:tcW w:w="1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80" w:type="dxa"/>
            <w:vAlign w:val="bottom"/>
            <w:gridSpan w:val="3"/>
          </w:tcPr>
          <w:p>
            <w:pPr>
              <w:ind w:left="460"/>
              <w:spacing w:after="0"/>
              <w:rPr>
                <w:sz w:val="20"/>
                <w:szCs w:val="20"/>
                <w:color w:val="auto"/>
              </w:rPr>
            </w:pPr>
            <w:r>
              <w:rPr>
                <w:rFonts w:ascii="Arial" w:cs="Arial" w:eastAsia="Arial" w:hAnsi="Arial"/>
                <w:sz w:val="18"/>
                <w:szCs w:val="18"/>
                <w:color w:val="auto"/>
              </w:rPr>
              <w:t>II-6</w:t>
            </w: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160"/>
          </w:cols>
          <w:pgMar w:left="240" w:top="460" w:right="49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ind w:left="5560" w:hanging="218"/>
        <w:spacing w:after="0"/>
        <w:tabs>
          <w:tab w:leader="none" w:pos="55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225" w:lineRule="exact"/>
        <w:rPr>
          <w:rFonts w:ascii="Arial" w:cs="Arial" w:eastAsia="Arial" w:hAnsi="Arial"/>
          <w:sz w:val="18"/>
          <w:szCs w:val="18"/>
          <w:b w:val="1"/>
          <w:bCs w:val="1"/>
          <w:color w:val="auto"/>
        </w:rPr>
      </w:pPr>
    </w:p>
    <w:p>
      <w:pPr>
        <w:ind w:left="50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2018</w:t>
      </w:r>
    </w:p>
    <w:p>
      <w:pPr>
        <w:sectPr>
          <w:pgSz w:w="11900" w:h="16838" w:orient="portrait"/>
          <w:cols w:equalWidth="0" w:num="1">
            <w:col w:w="11420"/>
          </w:cols>
          <w:pgMar w:left="240" w:top="121"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color w:val="auto"/>
        </w:rPr>
        <w:t>,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599 Lexington Avenue, 27th Floor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Wells Fargo Securities,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375 Park Avenue, 7th Floor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10152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AVROBIO,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proposes to issue and sell to the several Underwriters named in Schedule I hereto (the “</w:t>
      </w:r>
      <w:r>
        <w:rPr>
          <w:rFonts w:ascii="Arial" w:cs="Arial" w:eastAsia="Arial" w:hAnsi="Arial"/>
          <w:sz w:val="18"/>
          <w:szCs w:val="18"/>
          <w:b w:val="1"/>
          <w:bCs w:val="1"/>
          <w:color w:val="auto"/>
        </w:rPr>
        <w:t>Underwriters</w:t>
      </w:r>
      <w:r>
        <w:rPr>
          <w:rFonts w:ascii="Arial" w:cs="Arial" w:eastAsia="Arial" w:hAnsi="Arial"/>
          <w:sz w:val="18"/>
          <w:szCs w:val="18"/>
          <w:color w:val="auto"/>
        </w:rPr>
        <w:t>”), for whom Morgan Stanley &amp; Co. LLC, Cowen and Company, LLC and Wells Fargo Securities, LLC are acting as representatives (the “</w:t>
      </w:r>
      <w:r>
        <w:rPr>
          <w:rFonts w:ascii="Arial" w:cs="Arial" w:eastAsia="Arial" w:hAnsi="Arial"/>
          <w:sz w:val="18"/>
          <w:szCs w:val="18"/>
          <w:b w:val="1"/>
          <w:bCs w:val="1"/>
          <w:color w:val="auto"/>
        </w:rPr>
        <w:t>Representatives</w:t>
      </w:r>
      <w:r>
        <w:rPr>
          <w:rFonts w:ascii="Arial" w:cs="Arial" w:eastAsia="Arial" w:hAnsi="Arial"/>
          <w:sz w:val="18"/>
          <w:szCs w:val="18"/>
          <w:color w:val="auto"/>
        </w:rPr>
        <w:t>”), [•] shares of its common stock, par value $0.0001 per share (the “</w:t>
      </w:r>
      <w:r>
        <w:rPr>
          <w:rFonts w:ascii="Arial" w:cs="Arial" w:eastAsia="Arial" w:hAnsi="Arial"/>
          <w:sz w:val="18"/>
          <w:szCs w:val="18"/>
          <w:b w:val="1"/>
          <w:bCs w:val="1"/>
          <w:color w:val="auto"/>
        </w:rPr>
        <w:t>Firm Shares</w:t>
      </w:r>
      <w:r>
        <w:rPr>
          <w:rFonts w:ascii="Arial" w:cs="Arial" w:eastAsia="Arial" w:hAnsi="Arial"/>
          <w:sz w:val="18"/>
          <w:szCs w:val="18"/>
          <w:color w:val="auto"/>
        </w:rPr>
        <w:t>”). The Company also proposes to issue and sell to the Underwriters not more than an additional [•] shares of its common stock, par value $0.0001 per share (the “</w:t>
      </w:r>
      <w:r>
        <w:rPr>
          <w:rFonts w:ascii="Arial" w:cs="Arial" w:eastAsia="Arial" w:hAnsi="Arial"/>
          <w:sz w:val="18"/>
          <w:szCs w:val="18"/>
          <w:b w:val="1"/>
          <w:bCs w:val="1"/>
          <w:color w:val="auto"/>
        </w:rPr>
        <w:t>Additional Shares</w:t>
      </w:r>
      <w:r>
        <w:rPr>
          <w:rFonts w:ascii="Arial" w:cs="Arial" w:eastAsia="Arial" w:hAnsi="Arial"/>
          <w:sz w:val="18"/>
          <w:szCs w:val="18"/>
          <w:color w:val="auto"/>
        </w:rPr>
        <w:t>”), if and to the extent that the Representatives shall have determined to exercise, on behalf of the Underwriters, the right to purchase such shares of common stock granted to the Underwriters in Section 2 hereof. The Firm Shares and the Additional Shares are hereinafter collectively referred to as the “</w:t>
      </w:r>
      <w:r>
        <w:rPr>
          <w:rFonts w:ascii="Arial" w:cs="Arial" w:eastAsia="Arial" w:hAnsi="Arial"/>
          <w:sz w:val="18"/>
          <w:szCs w:val="18"/>
          <w:b w:val="1"/>
          <w:bCs w:val="1"/>
          <w:color w:val="auto"/>
        </w:rPr>
        <w:t>Shares.</w:t>
      </w:r>
      <w:r>
        <w:rPr>
          <w:rFonts w:ascii="Arial" w:cs="Arial" w:eastAsia="Arial" w:hAnsi="Arial"/>
          <w:sz w:val="18"/>
          <w:szCs w:val="18"/>
          <w:color w:val="auto"/>
        </w:rPr>
        <w:t>” The shares of common stock, par value $0.0001 per share, of the Company to be outstanding after giving effect to the sales contemplated hereby are hereinafter referred to as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Company has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Shares. The registration statement as amended at the time it becomes effective, including the information (if any) deemed to be part of the registration statement at the time of effectiveness pursuant to Rule 430A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is hereinafter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the prospectus in the form first used to confirm sales of the Shares (or in the form first made available to the Underwriters by the Company to meet requests of purchasers pursuant to Rule 173 under the Securities Act) is hereinafter referred to as the “</w:t>
      </w:r>
      <w:r>
        <w:rPr>
          <w:rFonts w:ascii="Arial" w:cs="Arial" w:eastAsia="Arial" w:hAnsi="Arial"/>
          <w:sz w:val="16"/>
          <w:szCs w:val="16"/>
          <w:b w:val="1"/>
          <w:bCs w:val="1"/>
          <w:color w:val="auto"/>
        </w:rPr>
        <w:t>Prospectus.</w:t>
      </w:r>
      <w:r>
        <w:rPr>
          <w:rFonts w:ascii="Arial" w:cs="Arial" w:eastAsia="Arial" w:hAnsi="Arial"/>
          <w:sz w:val="16"/>
          <w:szCs w:val="16"/>
          <w:color w:val="auto"/>
        </w:rPr>
        <w:t>” If the</w:t>
      </w:r>
    </w:p>
    <w:p>
      <w:pPr>
        <w:sectPr>
          <w:pgSz w:w="11900" w:h="16838" w:orient="portrait"/>
          <w:cols w:equalWidth="0" w:num="1">
            <w:col w:w="11420"/>
          </w:cols>
          <w:pgMar w:left="240" w:top="270" w:right="239" w:bottom="1440" w:gutter="0" w:footer="0" w:header="0"/>
        </w:sectPr>
      </w:pPr>
    </w:p>
    <w:bookmarkStart w:id="246" w:name="page247"/>
    <w:bookmarkEnd w:id="24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has filed an abbreviated registration statement to register additional shares of Common Stock pursuant to Rule 462(b) under the Securities Act (a</w:t>
      </w:r>
    </w:p>
    <w:p>
      <w:pPr>
        <w:spacing w:after="0" w:line="4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462 Registration Statement</w:t>
      </w:r>
      <w:r>
        <w:rPr>
          <w:rFonts w:ascii="Arial" w:cs="Arial" w:eastAsia="Arial" w:hAnsi="Arial"/>
          <w:sz w:val="18"/>
          <w:szCs w:val="18"/>
          <w:color w:val="auto"/>
        </w:rPr>
        <w:t>”), then any reference herein to the term “</w:t>
      </w:r>
      <w:r>
        <w:rPr>
          <w:rFonts w:ascii="Arial" w:cs="Arial" w:eastAsia="Arial" w:hAnsi="Arial"/>
          <w:sz w:val="18"/>
          <w:szCs w:val="18"/>
          <w:b w:val="1"/>
          <w:bCs w:val="1"/>
          <w:color w:val="auto"/>
        </w:rPr>
        <w:t>Registration Statement</w:t>
      </w:r>
      <w:r>
        <w:rPr>
          <w:rFonts w:ascii="Arial" w:cs="Arial" w:eastAsia="Arial" w:hAnsi="Arial"/>
          <w:sz w:val="18"/>
          <w:szCs w:val="18"/>
          <w:color w:val="auto"/>
        </w:rPr>
        <w:t>” shall be deemed to include such Rule 462 Registration Statement.</w:t>
      </w:r>
    </w:p>
    <w:p>
      <w:pPr>
        <w:spacing w:after="0" w:line="18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purposes of this Agreement, “</w:t>
      </w:r>
      <w:r>
        <w:rPr>
          <w:rFonts w:ascii="Arial" w:cs="Arial" w:eastAsia="Arial" w:hAnsi="Arial"/>
          <w:sz w:val="18"/>
          <w:szCs w:val="18"/>
          <w:b w:val="1"/>
          <w:bCs w:val="1"/>
          <w:color w:val="auto"/>
        </w:rPr>
        <w:t>free writing prospectus</w:t>
      </w:r>
      <w:r>
        <w:rPr>
          <w:rFonts w:ascii="Arial" w:cs="Arial" w:eastAsia="Arial" w:hAnsi="Arial"/>
          <w:sz w:val="18"/>
          <w:szCs w:val="18"/>
          <w:color w:val="auto"/>
        </w:rPr>
        <w:t>” has the meaning set forth in Rule 405 under the Securities Act, “</w:t>
      </w:r>
      <w:r>
        <w:rPr>
          <w:rFonts w:ascii="Arial" w:cs="Arial" w:eastAsia="Arial" w:hAnsi="Arial"/>
          <w:sz w:val="18"/>
          <w:szCs w:val="18"/>
          <w:b w:val="1"/>
          <w:bCs w:val="1"/>
          <w:color w:val="auto"/>
        </w:rPr>
        <w:t>Time of Sale Prospectus</w:t>
      </w:r>
      <w:r>
        <w:rPr>
          <w:rFonts w:ascii="Arial" w:cs="Arial" w:eastAsia="Arial" w:hAnsi="Arial"/>
          <w:sz w:val="18"/>
          <w:szCs w:val="18"/>
          <w:color w:val="auto"/>
        </w:rPr>
        <w:t>” means the preliminary prospectus contained in the Registration Statement at the time of its effectiveness together with the documents and pricing information and free writing prospectuses, if any, set forth in Schedule II hereto, and “</w:t>
      </w:r>
      <w:r>
        <w:rPr>
          <w:rFonts w:ascii="Arial" w:cs="Arial" w:eastAsia="Arial" w:hAnsi="Arial"/>
          <w:sz w:val="18"/>
          <w:szCs w:val="18"/>
          <w:b w:val="1"/>
          <w:bCs w:val="1"/>
          <w:color w:val="auto"/>
        </w:rPr>
        <w:t>broadly available road show</w:t>
      </w:r>
      <w:r>
        <w:rPr>
          <w:rFonts w:ascii="Arial" w:cs="Arial" w:eastAsia="Arial" w:hAnsi="Arial"/>
          <w:sz w:val="18"/>
          <w:szCs w:val="18"/>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 incorporated by reference therein as of the date hereof.</w:t>
      </w:r>
    </w:p>
    <w:p>
      <w:pPr>
        <w:spacing w:after="0" w:line="192" w:lineRule="exact"/>
        <w:rPr>
          <w:sz w:val="20"/>
          <w:szCs w:val="20"/>
          <w:color w:val="auto"/>
        </w:rPr>
      </w:pPr>
    </w:p>
    <w:p>
      <w:pPr>
        <w:ind w:left="640" w:hanging="176"/>
        <w:spacing w:after="0"/>
        <w:tabs>
          <w:tab w:leader="none" w:pos="640" w:val="left"/>
        </w:tabs>
        <w:numPr>
          <w:ilvl w:val="0"/>
          <w:numId w:val="127"/>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w:t>
      </w:r>
      <w:r>
        <w:rPr>
          <w:rFonts w:ascii="Arial" w:cs="Arial" w:eastAsia="Arial" w:hAnsi="Arial"/>
          <w:sz w:val="18"/>
          <w:szCs w:val="18"/>
          <w:color w:val="auto"/>
        </w:rPr>
        <w:t>. The Company represents and warrants to and agrees with each of the Underwriters that:</w:t>
      </w:r>
    </w:p>
    <w:p>
      <w:pPr>
        <w:spacing w:after="0" w:line="117" w:lineRule="exact"/>
        <w:rPr>
          <w:rFonts w:ascii="Arial" w:cs="Arial" w:eastAsia="Arial" w:hAnsi="Arial"/>
          <w:sz w:val="18"/>
          <w:szCs w:val="18"/>
          <w:color w:val="auto"/>
        </w:rPr>
      </w:pPr>
    </w:p>
    <w:p>
      <w:pPr>
        <w:ind w:left="460" w:right="80" w:firstLine="443"/>
        <w:spacing w:after="0" w:line="277" w:lineRule="auto"/>
        <w:tabs>
          <w:tab w:leader="none" w:pos="1143" w:val="left"/>
        </w:tabs>
        <w:numPr>
          <w:ilvl w:val="1"/>
          <w:numId w:val="127"/>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are pending before or, to the Company’s knowledge, threatened by the Commission.</w:t>
      </w:r>
    </w:p>
    <w:p>
      <w:pPr>
        <w:spacing w:after="0" w:line="62" w:lineRule="exact"/>
        <w:rPr>
          <w:rFonts w:ascii="Arial" w:cs="Arial" w:eastAsia="Arial" w:hAnsi="Arial"/>
          <w:sz w:val="18"/>
          <w:szCs w:val="18"/>
          <w:color w:val="auto"/>
        </w:rPr>
      </w:pPr>
    </w:p>
    <w:p>
      <w:pPr>
        <w:ind w:left="460" w:right="20" w:firstLine="443"/>
        <w:spacing w:after="0" w:line="283" w:lineRule="auto"/>
        <w:tabs>
          <w:tab w:leader="none" w:pos="1153" w:val="left"/>
        </w:tabs>
        <w:numPr>
          <w:ilvl w:val="1"/>
          <w:numId w:val="127"/>
        </w:numPr>
        <w:rPr>
          <w:rFonts w:ascii="Arial" w:cs="Arial" w:eastAsia="Arial" w:hAnsi="Arial"/>
          <w:sz w:val="16"/>
          <w:szCs w:val="16"/>
          <w:color w:val="auto"/>
        </w:rPr>
      </w:pPr>
      <w:r>
        <w:rPr>
          <w:rFonts w:ascii="Arial" w:cs="Arial" w:eastAsia="Arial" w:hAnsi="Arial"/>
          <w:sz w:val="16"/>
          <w:szCs w:val="16"/>
          <w:color w:val="auto"/>
        </w:rPr>
        <w:t>(i) The Registration Statement, when it became effective, did not contain and, as amended or supplemented, if applicable, as of the date of such amendment or supplement, will not contain any untrue statement of a material fact or omit to state a material fact required to be stated therein or necessary to make the statements therein not misleading, (ii) the Registration Statement and the Prospectus comply and, as amended or supplemented, if applicable, as of the date of such amendment or supplement, will comply in all material respects with the Securities Act and the applicable rules and regulations of the Commission thereunder, (iii) the Time of Sale Prospectus does not, and at the time of each sale of the Shares in connection with the offering when the Prospectus is not yet available to prospective purchasers and at the Closing Date (as defined in Section 4),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w:t>
      </w:r>
    </w:p>
    <w:p>
      <w:pPr>
        <w:spacing w:after="0" w:line="5" w:lineRule="exact"/>
        <w:rPr>
          <w:rFonts w:ascii="Arial" w:cs="Arial" w:eastAsia="Arial" w:hAnsi="Arial"/>
          <w:sz w:val="16"/>
          <w:szCs w:val="16"/>
          <w:color w:val="auto"/>
        </w:rPr>
      </w:pPr>
    </w:p>
    <w:p>
      <w:pPr>
        <w:ind w:left="460"/>
        <w:spacing w:after="0" w:line="255" w:lineRule="auto"/>
        <w:rPr>
          <w:rFonts w:ascii="Arial" w:cs="Arial" w:eastAsia="Arial" w:hAnsi="Arial"/>
          <w:sz w:val="16"/>
          <w:szCs w:val="16"/>
          <w:color w:val="auto"/>
        </w:rPr>
      </w:pPr>
      <w:r>
        <w:rPr>
          <w:rFonts w:ascii="Arial" w:cs="Arial" w:eastAsia="Arial" w:hAnsi="Arial"/>
          <w:sz w:val="18"/>
          <w:szCs w:val="18"/>
          <w:color w:val="auto"/>
        </w:rPr>
        <w:t>(v) the Prospectus, as of its date, does not contain and, as amended or supplemented, if applicable, as of the date of such amendment or supplement, and as of the Closing Date, will not contain any untrue statement of a material fact or omit to state a material fact necessary to make the statements therein, in the light of the</w:t>
      </w:r>
    </w:p>
    <w:p>
      <w:pPr>
        <w:sectPr>
          <w:pgSz w:w="11900" w:h="16838" w:orient="portrait"/>
          <w:cols w:equalWidth="0" w:num="1">
            <w:col w:w="11420"/>
          </w:cols>
          <w:pgMar w:left="240" w:top="274" w:right="239" w:bottom="1440" w:gutter="0" w:footer="0" w:header="0"/>
        </w:sectPr>
      </w:pPr>
    </w:p>
    <w:bookmarkStart w:id="247" w:name="page248"/>
    <w:bookmarkEnd w:id="247"/>
    <w:p>
      <w:pPr>
        <w:ind w:right="2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any Underwriter furnished to the Company in writing by such Underwriter through the Representatives expressly for use therein.</w:t>
      </w:r>
    </w:p>
    <w:p>
      <w:pPr>
        <w:spacing w:after="0" w:line="57" w:lineRule="exact"/>
        <w:rPr>
          <w:sz w:val="20"/>
          <w:szCs w:val="20"/>
          <w:color w:val="auto"/>
        </w:rPr>
      </w:pPr>
    </w:p>
    <w:p>
      <w:pPr>
        <w:ind w:right="20" w:firstLine="443"/>
        <w:spacing w:after="0" w:line="290" w:lineRule="auto"/>
        <w:tabs>
          <w:tab w:leader="none" w:pos="68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will comply in all material respects with the requirements of the Securities Act and the applicable rules and regulations of the Commission thereunder. Except for the free writing prospectuses, if any, identified in Schedule II hereto, and electronic road shows, if any, each furnished to each of the Representatives before first use, the Company has not prepared, used or referred to, and will not, without the prior consent of each of the Representatives, prepare, use or refer to, any free writing prospectus.</w:t>
      </w:r>
    </w:p>
    <w:p>
      <w:pPr>
        <w:spacing w:after="0" w:line="58" w:lineRule="exact"/>
        <w:rPr>
          <w:rFonts w:ascii="Arial" w:cs="Arial" w:eastAsia="Arial" w:hAnsi="Arial"/>
          <w:sz w:val="16"/>
          <w:szCs w:val="16"/>
          <w:color w:val="auto"/>
        </w:rPr>
      </w:pPr>
    </w:p>
    <w:p>
      <w:pPr>
        <w:ind w:firstLine="443"/>
        <w:spacing w:after="0" w:line="276" w:lineRule="auto"/>
        <w:tabs>
          <w:tab w:leader="none" w:pos="693"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Company has been duly incorporated, is validly existing as a corporation in good standing under the laws of the jurisdiction of its incorporation, has the corporate power and authority to own or lease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likely to have a material adverse effect on the Company and the Subsidiaries (as defined in Section 1(e)), taken as a whole.</w:t>
      </w:r>
    </w:p>
    <w:p>
      <w:pPr>
        <w:spacing w:after="0" w:line="60" w:lineRule="exact"/>
        <w:rPr>
          <w:rFonts w:ascii="Arial" w:cs="Arial" w:eastAsia="Arial" w:hAnsi="Arial"/>
          <w:sz w:val="17"/>
          <w:szCs w:val="17"/>
          <w:color w:val="auto"/>
        </w:rPr>
      </w:pPr>
    </w:p>
    <w:p>
      <w:pPr>
        <w:ind w:firstLine="443"/>
        <w:spacing w:after="0" w:line="291" w:lineRule="auto"/>
        <w:tabs>
          <w:tab w:leader="none" w:pos="68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Each of AVROBIO, Inc., a Canadian corporation, and AVROBIO Australia Pty Ltd, an Australian company, (each a “</w:t>
      </w:r>
      <w:r>
        <w:rPr>
          <w:rFonts w:ascii="Arial" w:cs="Arial" w:eastAsia="Arial" w:hAnsi="Arial"/>
          <w:sz w:val="16"/>
          <w:szCs w:val="16"/>
          <w:b w:val="1"/>
          <w:bCs w:val="1"/>
          <w:color w:val="auto"/>
        </w:rPr>
        <w:t>Subsidiary</w:t>
      </w:r>
      <w:r>
        <w:rPr>
          <w:rFonts w:ascii="Arial" w:cs="Arial" w:eastAsia="Arial" w:hAnsi="Arial"/>
          <w:sz w:val="16"/>
          <w:szCs w:val="16"/>
          <w:color w:val="auto"/>
        </w:rPr>
        <w:t>” and together, the “</w:t>
      </w:r>
      <w:r>
        <w:rPr>
          <w:rFonts w:ascii="Arial" w:cs="Arial" w:eastAsia="Arial" w:hAnsi="Arial"/>
          <w:sz w:val="16"/>
          <w:szCs w:val="16"/>
          <w:b w:val="1"/>
          <w:bCs w:val="1"/>
          <w:color w:val="auto"/>
        </w:rPr>
        <w:t>Subsidiaries</w:t>
      </w:r>
      <w:r>
        <w:rPr>
          <w:rFonts w:ascii="Arial" w:cs="Arial" w:eastAsia="Arial" w:hAnsi="Arial"/>
          <w:sz w:val="16"/>
          <w:szCs w:val="16"/>
          <w:color w:val="auto"/>
        </w:rPr>
        <w:t>”) has been duly incorporated, is validly existing as a corporation in good standing under the laws of the jurisdiction of its incorporation, has the corporate power and authority to own or lease its property and to conduct its business as described in the Time of Sale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reasonably be likely to have a material adverse effect on the Company and the Subsidiaries, taken as a whole. All of the issued shares of capital stock of each Subsidiary have been duly and validly authorized and issued, are fully paid and non-assessable (to the extent that such concepts are applicable in such jurisdiction) and are owned directly by the Company, free and clear of all liens, encumbrances, equities or claims, other than as disclosed in the Registration Statement.</w:t>
      </w:r>
    </w:p>
    <w:p>
      <w:pPr>
        <w:sectPr>
          <w:pgSz w:w="11900" w:h="16838" w:orient="portrait"/>
          <w:cols w:equalWidth="0" w:num="1">
            <w:col w:w="10940"/>
          </w:cols>
          <w:pgMar w:left="700" w:top="274" w:right="259" w:bottom="1440" w:gutter="0" w:footer="0" w:header="0"/>
        </w:sectPr>
      </w:pPr>
    </w:p>
    <w:bookmarkStart w:id="248" w:name="page249"/>
    <w:bookmarkEnd w:id="248"/>
    <w:p>
      <w:pPr>
        <w:ind w:left="217" w:hanging="217"/>
        <w:spacing w:after="0"/>
        <w:tabs>
          <w:tab w:leader="none" w:pos="217"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Agreement has been duly authorized, executed and delivered by the Company.</w:t>
      </w:r>
    </w:p>
    <w:p>
      <w:pPr>
        <w:spacing w:after="0" w:line="117" w:lineRule="exact"/>
        <w:rPr>
          <w:rFonts w:ascii="Arial" w:cs="Arial" w:eastAsia="Arial" w:hAnsi="Arial"/>
          <w:sz w:val="18"/>
          <w:szCs w:val="18"/>
          <w:color w:val="auto"/>
        </w:rPr>
      </w:pPr>
    </w:p>
    <w:p>
      <w:pPr>
        <w:ind w:left="-443" w:right="340" w:firstLine="443"/>
        <w:spacing w:after="0" w:line="277" w:lineRule="auto"/>
        <w:tabs>
          <w:tab w:leader="none" w:pos="25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authorized capital stock of the Company conforms as to legal matters to the description thereof contained in each of the Time of Sale Prospectus and the Prospectus.</w:t>
      </w:r>
    </w:p>
    <w:p>
      <w:pPr>
        <w:spacing w:after="0" w:line="62" w:lineRule="exact"/>
        <w:rPr>
          <w:rFonts w:ascii="Arial" w:cs="Arial" w:eastAsia="Arial" w:hAnsi="Arial"/>
          <w:sz w:val="18"/>
          <w:szCs w:val="18"/>
          <w:color w:val="auto"/>
        </w:rPr>
      </w:pPr>
    </w:p>
    <w:p>
      <w:pPr>
        <w:ind w:left="-443" w:right="100" w:firstLine="443"/>
        <w:spacing w:after="0" w:line="277" w:lineRule="auto"/>
        <w:tabs>
          <w:tab w:leader="none" w:pos="25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shares of Common Stock outstanding prior to the issuance of the Shares have been duly authorized and are validly issued, fully paid and non-assessable.</w:t>
      </w:r>
    </w:p>
    <w:p>
      <w:pPr>
        <w:spacing w:after="0" w:line="62" w:lineRule="exact"/>
        <w:rPr>
          <w:rFonts w:ascii="Arial" w:cs="Arial" w:eastAsia="Arial" w:hAnsi="Arial"/>
          <w:sz w:val="18"/>
          <w:szCs w:val="18"/>
          <w:color w:val="auto"/>
        </w:rPr>
      </w:pPr>
    </w:p>
    <w:p>
      <w:pPr>
        <w:ind w:left="-443" w:firstLine="443"/>
        <w:spacing w:after="0" w:line="264" w:lineRule="auto"/>
        <w:tabs>
          <w:tab w:leader="none" w:pos="21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Shares have been duly authorized and, when issued, delivered and paid for in accordance with the terms of this Agreement, will be validly issued, fully paid and non-assessable, and the issuance of such Shares will not be subject to any preemptive or similar rights that have not been validly waived.</w:t>
      </w:r>
    </w:p>
    <w:p>
      <w:pPr>
        <w:spacing w:after="0" w:line="73" w:lineRule="exact"/>
        <w:rPr>
          <w:rFonts w:ascii="Arial" w:cs="Arial" w:eastAsia="Arial" w:hAnsi="Arial"/>
          <w:sz w:val="18"/>
          <w:szCs w:val="18"/>
          <w:color w:val="auto"/>
        </w:rPr>
      </w:pPr>
    </w:p>
    <w:p>
      <w:pPr>
        <w:ind w:left="-443" w:right="20" w:firstLine="443"/>
        <w:spacing w:after="0" w:line="289" w:lineRule="auto"/>
        <w:tabs>
          <w:tab w:leader="none" w:pos="21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execution and delivery by the Company of, and the performance by the Company of its obligations under, this Agreement will not contravene any provision of (i) applicable law, (ii) the certificate of incorporation or by-laws of the Company, (iii) any agreement or other instrument binding upon the Company or any Subsidiary that is material to the Company and the Subsidiaries, taken as a whole, or (iv) any judgment, order or decree of any governmental body, agency or court having jurisdiction over the Company or the Subsidiaries, except, in the case of clauses (i), (iii) and (iv), as would not, individually or in the aggregate, reasonably be expected to have a material adverse effect on the Company and its Subsidiaries, taken as a whole, or on the power and ability of the Company to perform its obligations under this Agreement. No consent, approval, authorization or order of, or qualification with, any governmental body or agency is required for the performance by the Company of its obligations under this Agreement, except such as may be required by the securities or Blue Sky laws of the various states or foreign jurisdictions or the rules and regulations of the Financial Industry Regulatory Authority (“</w:t>
      </w:r>
      <w:r>
        <w:rPr>
          <w:rFonts w:ascii="Arial" w:cs="Arial" w:eastAsia="Arial" w:hAnsi="Arial"/>
          <w:sz w:val="16"/>
          <w:szCs w:val="16"/>
          <w:b w:val="1"/>
          <w:bCs w:val="1"/>
          <w:color w:val="auto"/>
        </w:rPr>
        <w:t>FINRA</w:t>
      </w:r>
      <w:r>
        <w:rPr>
          <w:rFonts w:ascii="Arial" w:cs="Arial" w:eastAsia="Arial" w:hAnsi="Arial"/>
          <w:sz w:val="16"/>
          <w:szCs w:val="16"/>
          <w:color w:val="auto"/>
        </w:rPr>
        <w:t>”) or The Nasdaq Global Market in connection with the offer and sale of the Shares.</w:t>
      </w:r>
    </w:p>
    <w:p>
      <w:pPr>
        <w:spacing w:after="0" w:line="58" w:lineRule="exact"/>
        <w:rPr>
          <w:rFonts w:ascii="Arial" w:cs="Arial" w:eastAsia="Arial" w:hAnsi="Arial"/>
          <w:sz w:val="16"/>
          <w:szCs w:val="16"/>
          <w:color w:val="auto"/>
        </w:rPr>
      </w:pPr>
    </w:p>
    <w:p>
      <w:pPr>
        <w:ind w:left="-443" w:right="20" w:firstLine="443"/>
        <w:spacing w:after="0" w:line="264" w:lineRule="auto"/>
        <w:tabs>
          <w:tab w:leader="none" w:pos="25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There has not occurred any material adverse change, or any development that, singly or in the aggregate, would reasonably be expected to result in a material adverse change in the condition, financial or otherwise, or in the earnings, business, prospects or operations of the Company and the Subsidiaries, taken as a whole, from that set forth in the Time of Sale Prospectus.</w:t>
      </w:r>
    </w:p>
    <w:p>
      <w:pPr>
        <w:sectPr>
          <w:pgSz w:w="11900" w:h="16838" w:orient="portrait"/>
          <w:cols w:equalWidth="0" w:num="1">
            <w:col w:w="10497"/>
          </w:cols>
          <w:pgMar w:left="1143" w:top="274" w:right="259" w:bottom="1440" w:gutter="0" w:footer="0" w:header="0"/>
        </w:sectPr>
      </w:pPr>
    </w:p>
    <w:bookmarkStart w:id="249" w:name="page250"/>
    <w:bookmarkEnd w:id="249"/>
    <w:p>
      <w:pPr>
        <w:ind w:left="-443" w:firstLine="443"/>
        <w:spacing w:after="0" w:line="271" w:lineRule="auto"/>
        <w:tabs>
          <w:tab w:leader="none" w:pos="210" w:val="left"/>
        </w:tabs>
        <w:numPr>
          <w:ilvl w:val="0"/>
          <w:numId w:val="13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are no legal or governmental proceedings pending or, to the knowledge of the Company, threatened to which the Company or any Subsidiary is a party or to which any of the properties of the Company or any Subsidiary is subject (i) other than proceedings accurately described in all material respects in the Time of Sale Prospectus and proceedings that would not reasonably be expected to have a material adverse effect on the Company and the Subsidiaries, taken as a whole, or on the power or ability of the Company to perform its obligations under this Agreement or to consummate the transactions contemplated by the Time of Sale Prospectus or (ii) that are required to be described in the Registration Statement or the Prospectus and are not so described in all material respects. There are no statutes, regulations, contracts or other documents that are required to be described in the Registration Statement or the Prospectus or to be filed as exhibits to the Registration Statement that are not described in all material respects or filed as required.</w:t>
      </w:r>
    </w:p>
    <w:p>
      <w:pPr>
        <w:spacing w:after="0" w:line="70" w:lineRule="exact"/>
        <w:rPr>
          <w:rFonts w:ascii="Arial" w:cs="Arial" w:eastAsia="Arial" w:hAnsi="Arial"/>
          <w:sz w:val="17"/>
          <w:szCs w:val="17"/>
          <w:color w:val="auto"/>
        </w:rPr>
      </w:pPr>
    </w:p>
    <w:p>
      <w:pPr>
        <w:jc w:val="both"/>
        <w:ind w:left="-443" w:right="460" w:firstLine="443"/>
        <w:spacing w:after="0" w:line="264" w:lineRule="auto"/>
        <w:tabs>
          <w:tab w:leader="none" w:pos="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73" w:lineRule="exact"/>
        <w:rPr>
          <w:rFonts w:ascii="Arial" w:cs="Arial" w:eastAsia="Arial" w:hAnsi="Arial"/>
          <w:sz w:val="18"/>
          <w:szCs w:val="18"/>
          <w:color w:val="auto"/>
        </w:rPr>
      </w:pPr>
    </w:p>
    <w:p>
      <w:pPr>
        <w:ind w:left="-443" w:right="180" w:firstLine="443"/>
        <w:spacing w:after="0" w:line="264" w:lineRule="auto"/>
        <w:tabs>
          <w:tab w:leader="none" w:pos="25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Shares and the application of the proceeds thereof as described in the Prospectus will not be, required to register as an “investment company” as such term is defined in the Investment Company Act of 1940, as amended.</w:t>
      </w:r>
    </w:p>
    <w:p>
      <w:pPr>
        <w:spacing w:after="0" w:line="73" w:lineRule="exact"/>
        <w:rPr>
          <w:rFonts w:ascii="Arial" w:cs="Arial" w:eastAsia="Arial" w:hAnsi="Arial"/>
          <w:sz w:val="18"/>
          <w:szCs w:val="18"/>
          <w:color w:val="auto"/>
        </w:rPr>
      </w:pPr>
    </w:p>
    <w:p>
      <w:pPr>
        <w:ind w:left="-443" w:right="40" w:firstLine="443"/>
        <w:spacing w:after="0" w:line="255" w:lineRule="auto"/>
        <w:tabs>
          <w:tab w:leader="none" w:pos="25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and the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Arial" w:cs="Arial" w:eastAsia="Arial" w:hAnsi="Arial"/>
          <w:sz w:val="18"/>
          <w:szCs w:val="18"/>
          <w:b w:val="1"/>
          <w:bCs w:val="1"/>
          <w:color w:val="auto"/>
        </w:rPr>
        <w:t>Environmental Laws</w:t>
      </w:r>
      <w:r>
        <w:rPr>
          <w:rFonts w:ascii="Arial" w:cs="Arial" w:eastAsia="Arial" w:hAnsi="Arial"/>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the Subsidiaries, taken as a whole.</w:t>
      </w:r>
    </w:p>
    <w:p>
      <w:pPr>
        <w:spacing w:after="0" w:line="81" w:lineRule="exact"/>
        <w:rPr>
          <w:rFonts w:ascii="Arial" w:cs="Arial" w:eastAsia="Arial" w:hAnsi="Arial"/>
          <w:sz w:val="18"/>
          <w:szCs w:val="18"/>
          <w:color w:val="auto"/>
        </w:rPr>
      </w:pPr>
    </w:p>
    <w:p>
      <w:pPr>
        <w:ind w:left="-443" w:right="400" w:firstLine="443"/>
        <w:spacing w:after="0" w:line="259" w:lineRule="auto"/>
        <w:tabs>
          <w:tab w:leader="none" w:pos="25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singly or in the aggregate, reasonably be expected to have a material adverse effect on the Company and the Subsidiaries, taken as a whole.</w:t>
      </w:r>
    </w:p>
    <w:p>
      <w:pPr>
        <w:sectPr>
          <w:pgSz w:w="11900" w:h="16838" w:orient="portrait"/>
          <w:cols w:equalWidth="0" w:num="1">
            <w:col w:w="10497"/>
          </w:cols>
          <w:pgMar w:left="1143" w:top="274" w:right="259" w:bottom="1440" w:gutter="0" w:footer="0" w:header="0"/>
        </w:sectPr>
      </w:pPr>
    </w:p>
    <w:bookmarkStart w:id="250" w:name="page251"/>
    <w:bookmarkEnd w:id="250"/>
    <w:p>
      <w:pPr>
        <w:ind w:left="-443" w:right="40" w:firstLine="443"/>
        <w:spacing w:after="0" w:line="259" w:lineRule="auto"/>
        <w:tabs>
          <w:tab w:leader="none" w:pos="250" w:val="left"/>
        </w:tabs>
        <w:numPr>
          <w:ilvl w:val="0"/>
          <w:numId w:val="1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described in the Time of Sale Prospectus and the Prospectus or as have been waived with respect to the Registration Statement, 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w:t>
      </w:r>
    </w:p>
    <w:p>
      <w:pPr>
        <w:spacing w:after="0" w:line="78" w:lineRule="exact"/>
        <w:rPr>
          <w:rFonts w:ascii="Arial" w:cs="Arial" w:eastAsia="Arial" w:hAnsi="Arial"/>
          <w:sz w:val="18"/>
          <w:szCs w:val="18"/>
          <w:color w:val="auto"/>
        </w:rPr>
      </w:pPr>
    </w:p>
    <w:p>
      <w:pPr>
        <w:ind w:left="-443" w:firstLine="443"/>
        <w:spacing w:after="0" w:line="269" w:lineRule="auto"/>
        <w:tabs>
          <w:tab w:leader="none" w:pos="22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Neither the Company nor the Subsidiaries or the Company’s controlled affiliates, nor any director, officer or employee thereof, nor, to the Company’s knowledge, any agent or representative of the Company, the Subsidiaries or controlled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in order to influence official action, or to any person in violation of any applicable anti-corruption laws. The Company, the Subsidiaries and the Company’s controlled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Neither the Company nor the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74" w:lineRule="exact"/>
        <w:rPr>
          <w:rFonts w:ascii="Arial" w:cs="Arial" w:eastAsia="Arial" w:hAnsi="Arial"/>
          <w:sz w:val="17"/>
          <w:szCs w:val="17"/>
          <w:color w:val="auto"/>
        </w:rPr>
      </w:pPr>
    </w:p>
    <w:p>
      <w:pPr>
        <w:ind w:left="-443" w:right="20" w:firstLine="443"/>
        <w:spacing w:after="0" w:line="291" w:lineRule="auto"/>
        <w:tabs>
          <w:tab w:leader="none" w:pos="23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operations of the Company and the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or any Subsidiary conduct business, the rules and regulations thereunder and any related or similar rules, regulations or guidelines, issued, administered or enforced by any governmental agency (collectively, the “</w:t>
      </w:r>
      <w:r>
        <w:rPr>
          <w:rFonts w:ascii="Arial" w:cs="Arial" w:eastAsia="Arial" w:hAnsi="Arial"/>
          <w:sz w:val="16"/>
          <w:szCs w:val="16"/>
          <w:b w:val="1"/>
          <w:bCs w:val="1"/>
          <w:color w:val="auto"/>
        </w:rPr>
        <w:t>Anti-Money Laundering</w:t>
      </w:r>
      <w:r>
        <w:rPr>
          <w:rFonts w:ascii="Arial" w:cs="Arial" w:eastAsia="Arial" w:hAnsi="Arial"/>
          <w:sz w:val="16"/>
          <w:szCs w:val="16"/>
          <w:color w:val="auto"/>
        </w:rPr>
        <w:t xml:space="preserve"> </w:t>
      </w:r>
      <w:r>
        <w:rPr>
          <w:rFonts w:ascii="Arial" w:cs="Arial" w:eastAsia="Arial" w:hAnsi="Arial"/>
          <w:sz w:val="16"/>
          <w:szCs w:val="16"/>
          <w:b w:val="1"/>
          <w:bCs w:val="1"/>
          <w:color w:val="auto"/>
        </w:rPr>
        <w:t>Laws</w:t>
      </w:r>
      <w:r>
        <w:rPr>
          <w:rFonts w:ascii="Arial" w:cs="Arial" w:eastAsia="Arial" w:hAnsi="Arial"/>
          <w:sz w:val="16"/>
          <w:szCs w:val="16"/>
          <w:color w:val="auto"/>
        </w:rPr>
        <w:t>”), and no action, suit or proceeding by or before any court or governmental agency, authority or body or any arbitrator involving the Company or</w:t>
      </w:r>
      <w:r>
        <w:rPr>
          <w:rFonts w:ascii="Arial" w:cs="Arial" w:eastAsia="Arial" w:hAnsi="Arial"/>
          <w:sz w:val="16"/>
          <w:szCs w:val="16"/>
          <w:b w:val="1"/>
          <w:bCs w:val="1"/>
          <w:color w:val="auto"/>
        </w:rPr>
        <w:t xml:space="preserve"> </w:t>
      </w:r>
      <w:r>
        <w:rPr>
          <w:rFonts w:ascii="Arial" w:cs="Arial" w:eastAsia="Arial" w:hAnsi="Arial"/>
          <w:sz w:val="16"/>
          <w:szCs w:val="16"/>
          <w:color w:val="auto"/>
        </w:rPr>
        <w:t>any Subsidiary with respect to the Anti-Money Laundering Laws is pending or, to the knowledge of the Company, threatened.</w:t>
      </w:r>
    </w:p>
    <w:p>
      <w:pPr>
        <w:spacing w:after="0" w:line="59" w:lineRule="exact"/>
        <w:rPr>
          <w:rFonts w:ascii="Arial" w:cs="Arial" w:eastAsia="Arial" w:hAnsi="Arial"/>
          <w:sz w:val="16"/>
          <w:szCs w:val="16"/>
          <w:color w:val="auto"/>
        </w:rPr>
      </w:pPr>
    </w:p>
    <w:p>
      <w:pPr>
        <w:ind w:left="-443" w:right="40" w:firstLine="443"/>
        <w:spacing w:after="0" w:line="264" w:lineRule="auto"/>
        <w:tabs>
          <w:tab w:leader="none" w:pos="21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 None of the Company, the Subsidiaries or any director, officer or employee thereof, or, to the Company’s knowledge, any agent, affiliate or representative of the Company or any Subsidiary, is an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that is, or is owned or controlled by one or more Persons that are:</w:t>
      </w:r>
    </w:p>
    <w:p>
      <w:pPr>
        <w:sectPr>
          <w:pgSz w:w="11900" w:h="16838" w:orient="portrait"/>
          <w:cols w:equalWidth="0" w:num="1">
            <w:col w:w="10497"/>
          </w:cols>
          <w:pgMar w:left="1143" w:top="274" w:right="259" w:bottom="1440" w:gutter="0" w:footer="0" w:header="0"/>
        </w:sectPr>
      </w:pPr>
    </w:p>
    <w:bookmarkStart w:id="251" w:name="page252"/>
    <w:bookmarkEnd w:id="251"/>
    <w:p>
      <w:pPr>
        <w:ind w:left="597" w:right="560" w:firstLine="389"/>
        <w:spacing w:after="0" w:line="264" w:lineRule="auto"/>
        <w:tabs>
          <w:tab w:leader="none" w:pos="1289" w:val="left"/>
        </w:tabs>
        <w:numPr>
          <w:ilvl w:val="2"/>
          <w:numId w:val="1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subject of any sanctions administered or enforced by the U.S. Department of the Treasury’s Office of Foreign Assets Control, the United Nations Security Council, the European Union, Her Majesty’s Treasury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w:t>
      </w:r>
    </w:p>
    <w:p>
      <w:pPr>
        <w:spacing w:after="0" w:line="73" w:lineRule="exact"/>
        <w:rPr>
          <w:rFonts w:ascii="Arial" w:cs="Arial" w:eastAsia="Arial" w:hAnsi="Arial"/>
          <w:sz w:val="18"/>
          <w:szCs w:val="18"/>
          <w:color w:val="auto"/>
        </w:rPr>
      </w:pPr>
    </w:p>
    <w:p>
      <w:pPr>
        <w:ind w:left="597" w:right="300" w:firstLine="389"/>
        <w:spacing w:after="0" w:line="277" w:lineRule="auto"/>
        <w:tabs>
          <w:tab w:leader="none" w:pos="1279" w:val="left"/>
        </w:tabs>
        <w:numPr>
          <w:ilvl w:val="2"/>
          <w:numId w:val="132"/>
        </w:numPr>
        <w:rPr>
          <w:rFonts w:ascii="Arial" w:cs="Arial" w:eastAsia="Arial" w:hAnsi="Arial"/>
          <w:sz w:val="18"/>
          <w:szCs w:val="18"/>
          <w:color w:val="auto"/>
        </w:rPr>
      </w:pPr>
      <w:r>
        <w:rPr>
          <w:rFonts w:ascii="Arial" w:cs="Arial" w:eastAsia="Arial" w:hAnsi="Arial"/>
          <w:sz w:val="18"/>
          <w:szCs w:val="18"/>
          <w:color w:val="auto"/>
        </w:rPr>
        <w:t>located, organized or resident in a country or territory that is the subject of Sanctions (including, without limitation, Crimea, Cuba, Iran, North Korea, Sudan and Syria).</w:t>
      </w:r>
    </w:p>
    <w:p>
      <w:pPr>
        <w:spacing w:after="0" w:line="62" w:lineRule="exact"/>
        <w:rPr>
          <w:rFonts w:ascii="Arial" w:cs="Arial" w:eastAsia="Arial" w:hAnsi="Arial"/>
          <w:sz w:val="18"/>
          <w:szCs w:val="18"/>
          <w:color w:val="auto"/>
        </w:rPr>
      </w:pPr>
    </w:p>
    <w:p>
      <w:pPr>
        <w:ind w:left="17" w:right="400" w:firstLine="421"/>
        <w:spacing w:after="0" w:line="277" w:lineRule="auto"/>
        <w:tabs>
          <w:tab w:leader="none" w:pos="70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Company will not, directly or indirectly, use the proceeds of the offering, or lend, contribute or otherwise make available such proceeds to any direct or indirect subsidiary, joint venture partner or other Person:</w:t>
      </w:r>
    </w:p>
    <w:p>
      <w:pPr>
        <w:spacing w:after="0" w:line="62" w:lineRule="exact"/>
        <w:rPr>
          <w:rFonts w:ascii="Arial" w:cs="Arial" w:eastAsia="Arial" w:hAnsi="Arial"/>
          <w:sz w:val="18"/>
          <w:szCs w:val="18"/>
          <w:color w:val="auto"/>
        </w:rPr>
      </w:pPr>
    </w:p>
    <w:p>
      <w:pPr>
        <w:ind w:left="597" w:right="540" w:firstLine="389"/>
        <w:spacing w:after="0" w:line="277" w:lineRule="auto"/>
        <w:tabs>
          <w:tab w:leader="none" w:pos="1289"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to fund or facilitate any activities or business of or with any Person or in any country or territory that, at the time of such funding or facilitation, is the subject of Sanctions; or</w:t>
      </w:r>
    </w:p>
    <w:p>
      <w:pPr>
        <w:spacing w:after="0" w:line="62" w:lineRule="exact"/>
        <w:rPr>
          <w:rFonts w:ascii="Arial" w:cs="Arial" w:eastAsia="Arial" w:hAnsi="Arial"/>
          <w:sz w:val="18"/>
          <w:szCs w:val="18"/>
          <w:color w:val="auto"/>
        </w:rPr>
      </w:pPr>
    </w:p>
    <w:p>
      <w:pPr>
        <w:ind w:left="597" w:firstLine="389"/>
        <w:spacing w:after="0" w:line="277" w:lineRule="auto"/>
        <w:tabs>
          <w:tab w:leader="none" w:pos="1279" w:val="left"/>
        </w:tabs>
        <w:numPr>
          <w:ilvl w:val="2"/>
          <w:numId w:val="133"/>
        </w:numPr>
        <w:rPr>
          <w:rFonts w:ascii="Arial" w:cs="Arial" w:eastAsia="Arial" w:hAnsi="Arial"/>
          <w:sz w:val="18"/>
          <w:szCs w:val="18"/>
          <w:color w:val="auto"/>
        </w:rPr>
      </w:pPr>
      <w:r>
        <w:rPr>
          <w:rFonts w:ascii="Arial" w:cs="Arial" w:eastAsia="Arial" w:hAnsi="Arial"/>
          <w:sz w:val="18"/>
          <w:szCs w:val="18"/>
          <w:color w:val="auto"/>
        </w:rPr>
        <w:t>in any other manner that will result in a violation of Sanctions by any Person (including any Person participating in the offering, whether as underwriter, advisor, investor or otherwise).</w:t>
      </w:r>
    </w:p>
    <w:p>
      <w:pPr>
        <w:spacing w:after="0" w:line="62" w:lineRule="exact"/>
        <w:rPr>
          <w:rFonts w:ascii="Arial" w:cs="Arial" w:eastAsia="Arial" w:hAnsi="Arial"/>
          <w:sz w:val="18"/>
          <w:szCs w:val="18"/>
          <w:color w:val="auto"/>
        </w:rPr>
      </w:pPr>
    </w:p>
    <w:p>
      <w:pPr>
        <w:ind w:left="17" w:right="300" w:firstLine="421"/>
        <w:spacing w:after="0" w:line="264" w:lineRule="auto"/>
        <w:tabs>
          <w:tab w:leader="none" w:pos="752"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Company and the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73" w:lineRule="exact"/>
        <w:rPr>
          <w:rFonts w:ascii="Arial" w:cs="Arial" w:eastAsia="Arial" w:hAnsi="Arial"/>
          <w:sz w:val="18"/>
          <w:szCs w:val="18"/>
          <w:color w:val="auto"/>
        </w:rPr>
      </w:pPr>
    </w:p>
    <w:p>
      <w:pPr>
        <w:ind w:left="-443" w:right="20" w:firstLine="443"/>
        <w:spacing w:after="0" w:line="291" w:lineRule="auto"/>
        <w:tabs>
          <w:tab w:leader="none" w:pos="25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Subsequent to the respective dates as of which information is given in each of the Registration Statement, the Time of Sale Prospectus and the Prospectus, (i) the Company and the Subsidiaries have not incurred any material liability or obligation, direct or contingent, nor entered into any material transaction; (ii) the Company has not purchased any of its outstanding capital stock (other than from its employees or other service providers in connection with the termination of their service pursuant to equity compensation plans or agreements, as applicable, described in the Time of Sale Prospectus), nor declared, paid or otherwise made any dividend or distribution of any kind on its capital stock other than ordinary and customary dividends; and (iii) there has not been any material change in the capital stock, short-term debt or long-term debt of the Company and the Subsidiaries, except in each case as described in each of the Registration Statement, the Time of Sale Prospectus and the Prospectus, respectively.</w:t>
      </w:r>
    </w:p>
    <w:p>
      <w:pPr>
        <w:sectPr>
          <w:pgSz w:w="11900" w:h="16838" w:orient="portrait"/>
          <w:cols w:equalWidth="0" w:num="1">
            <w:col w:w="10497"/>
          </w:cols>
          <w:pgMar w:left="1143" w:top="274" w:right="259" w:bottom="1440" w:gutter="0" w:footer="0" w:header="0"/>
        </w:sectPr>
      </w:pPr>
    </w:p>
    <w:bookmarkStart w:id="252" w:name="page253"/>
    <w:bookmarkEnd w:id="252"/>
    <w:p>
      <w:pPr>
        <w:ind w:left="-443" w:right="20" w:firstLine="443"/>
        <w:spacing w:after="0" w:line="291" w:lineRule="auto"/>
        <w:tabs>
          <w:tab w:leader="none" w:pos="250" w:val="left"/>
        </w:tabs>
        <w:numPr>
          <w:ilvl w:val="0"/>
          <w:numId w:val="1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and the Subsidiaries do not own any real property. The Company and the Subsidiaries have good and marketable title to all personal property owned by them which is material to the business of the Company and the Subsidiaries, in each case free and clear of all liens, encumbrances and defects except such as are described in the Time of Sale Prospectus or such as do not materially affect the value of such property and do not interfere with the use made and proposed to be made of such property by the Company and the Subsidiaries. Any real property and buildings held under lease by the Company or any Subsidiary are held by them, as applicable, under valid, subsisting and, to the Company’s knowledge, enforceable leases with such exceptions as are not material and do not materially interfere with the use made and proposed to be made of such property and buildings by the Company and the Subsidiaries, in each case except as described in the Time of Sale Prospectus.</w:t>
      </w:r>
    </w:p>
    <w:p>
      <w:pPr>
        <w:spacing w:after="0" w:line="59" w:lineRule="exact"/>
        <w:rPr>
          <w:rFonts w:ascii="Arial" w:cs="Arial" w:eastAsia="Arial" w:hAnsi="Arial"/>
          <w:sz w:val="16"/>
          <w:szCs w:val="16"/>
          <w:color w:val="auto"/>
        </w:rPr>
      </w:pPr>
    </w:p>
    <w:p>
      <w:pPr>
        <w:ind w:left="-443" w:firstLine="443"/>
        <w:spacing w:after="0" w:line="285" w:lineRule="auto"/>
        <w:tabs>
          <w:tab w:leader="none" w:pos="29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Company and the Subsidiaries have valid, binding and enforceable licenses under all patents, patent applications, patent rights, licenses, inventions, copyrights, know-how (including trade secrets and other unpatented and/or unpatentable proprietary or confidential information, systems or procedures), trademarks, service marks, trade names and other intellectual property used in or necessary for the conduct of the business of the Company and the Subsidiaries in the manner described in the Time of Sale Prospectus (collectively, the “</w:t>
      </w:r>
      <w:r>
        <w:rPr>
          <w:rFonts w:ascii="Arial" w:cs="Arial" w:eastAsia="Arial" w:hAnsi="Arial"/>
          <w:sz w:val="16"/>
          <w:szCs w:val="16"/>
          <w:b w:val="1"/>
          <w:bCs w:val="1"/>
          <w:color w:val="auto"/>
        </w:rPr>
        <w:t>Intellectual Property</w:t>
      </w:r>
      <w:r>
        <w:rPr>
          <w:rFonts w:ascii="Arial" w:cs="Arial" w:eastAsia="Arial" w:hAnsi="Arial"/>
          <w:sz w:val="16"/>
          <w:szCs w:val="16"/>
          <w:color w:val="auto"/>
        </w:rPr>
        <w:t>”), except as enforceability of any licenses may be limited by bankruptcy and other similar laws affecting the rights of creditors generally and general principles of equity. To the knowledge of the Company, the patents, trademarks and copyrights, if any, included within the Intellectual Property are valid, enforceable and subsisting, other than as disclosed in the Time of Sale Prospectus. (i) Except as disclosed in the Time of Sale Prospectus, neither the Company nor any Subsidiary is obligated to pay a material royalty, grant a license to or provide other material consideration to any third party in connection with the Intellectual Property; (ii) neither the Company nor any Subsidiary has received any notice of any claim of infringement, misappropriation of or conflict with asserted rights of others with respect to any of the Company’s or any Subsidiary’s product candidates, processes or Intellectual Property; (iii) no action, suit, claim or other proceeding is pending or, to the knowledge of the Company, is threatened, challenging the Company’s or any Subsidiary’s rights in or to any Intellectual Property or challenging the validity, enforceability or scope of any Intellectual Property; (iv) except as disclosed in the Time of Sale Prospectus, none of the development, manufacture, sale or use of any of the discoveries, inventions, product candidates or processes of the Company referred to in the Time of Sale Prospectus do or will infringe or violate any right or issued patent claim of any third party in any material respect; (v) no third party has any ownership right in or to any Intellectual Property that is owned by the Company other than any co-owner of any patent constituting Intellectual Property who is listed on the records of the U.S. Patent and Trademark Office and any co-owner of any patent application constituting Intellectual Property who is named in such patent application; (vi) except as disclosed in the Time of Sale Prospectus or as would not, singly or in the aggregate, have a material adverse effect on the Company and the Subsidiaries, taken as a whole, the Intellectual Property owned by the Company or any</w:t>
      </w:r>
    </w:p>
    <w:p>
      <w:pPr>
        <w:sectPr>
          <w:pgSz w:w="11900" w:h="16838" w:orient="portrait"/>
          <w:cols w:equalWidth="0" w:num="1">
            <w:col w:w="10517"/>
          </w:cols>
          <w:pgMar w:left="1143" w:top="274" w:right="239" w:bottom="1440" w:gutter="0" w:footer="0" w:header="0"/>
        </w:sectPr>
      </w:pPr>
    </w:p>
    <w:bookmarkStart w:id="253" w:name="page254"/>
    <w:bookmarkEnd w:id="25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Subsidiary is free and clear of all liens or encumbrances; (vii) none of the technology employed by the Company or any Subsidiary in the conduct of the business in the manner described in the Time of Sale Prospectus has been obtained or is being used by the Company or any Subsidiary in material violation of any contractual obligation binding on the Company or, to the knowledge of the Company, upon any of its officers, consultants, directors or employees and (viii) the Company has taken reasonable measures to protect its confidential information and trade secrets and to maintain and safeguard the Intellectual Property.</w:t>
      </w:r>
    </w:p>
    <w:p>
      <w:pPr>
        <w:spacing w:after="0" w:line="80" w:lineRule="exact"/>
        <w:rPr>
          <w:sz w:val="20"/>
          <w:szCs w:val="20"/>
          <w:color w:val="auto"/>
        </w:rPr>
      </w:pPr>
    </w:p>
    <w:p>
      <w:pPr>
        <w:ind w:right="60" w:firstLine="443"/>
        <w:spacing w:after="0" w:line="277" w:lineRule="auto"/>
        <w:tabs>
          <w:tab w:leader="none" w:pos="69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the knowledge of the Company, all patent and patent applications licensed to the Company or any Subsidiary have been duly and properly filed, prosecuted and maintained in all material respects.</w:t>
      </w:r>
    </w:p>
    <w:p>
      <w:pPr>
        <w:spacing w:after="0" w:line="62" w:lineRule="exact"/>
        <w:rPr>
          <w:rFonts w:ascii="Arial" w:cs="Arial" w:eastAsia="Arial" w:hAnsi="Arial"/>
          <w:sz w:val="18"/>
          <w:szCs w:val="18"/>
          <w:color w:val="auto"/>
        </w:rPr>
      </w:pPr>
    </w:p>
    <w:p>
      <w:pPr>
        <w:ind w:firstLine="443"/>
        <w:spacing w:after="0" w:line="267" w:lineRule="auto"/>
        <w:tabs>
          <w:tab w:leader="none" w:pos="693"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Company and the Subsidiaries have operated and currently are in compliance in all material respects with all applicable laws, rules and regulations of the jurisdictions in which they are conducting business. The Company and each Subsidiary (i) is and at all times has been in material compliance with all statutes, rules or regulations applicable to the ownership, testing, development, manufacture, packaging, processing, use, distribution, marketing, labeling, promotion, sale, offer for sale, storage, import, export or disposal of any product candidate under development, manufactured or distributed by the Company (“</w:t>
      </w:r>
      <w:r>
        <w:rPr>
          <w:rFonts w:ascii="Arial" w:cs="Arial" w:eastAsia="Arial" w:hAnsi="Arial"/>
          <w:sz w:val="17"/>
          <w:szCs w:val="17"/>
          <w:b w:val="1"/>
          <w:bCs w:val="1"/>
          <w:color w:val="auto"/>
        </w:rPr>
        <w:t>Applicable Laws</w:t>
      </w:r>
      <w:r>
        <w:rPr>
          <w:rFonts w:ascii="Arial" w:cs="Arial" w:eastAsia="Arial" w:hAnsi="Arial"/>
          <w:sz w:val="17"/>
          <w:szCs w:val="17"/>
          <w:color w:val="auto"/>
        </w:rPr>
        <w:t>”); (ii) has not received any FDA Form 483, notice of adverse finding, warning letter, untitled letter or other written correspondence or notice from the U.S. Food and Drug Administration (the “</w:t>
      </w:r>
      <w:r>
        <w:rPr>
          <w:rFonts w:ascii="Arial" w:cs="Arial" w:eastAsia="Arial" w:hAnsi="Arial"/>
          <w:sz w:val="17"/>
          <w:szCs w:val="17"/>
          <w:b w:val="1"/>
          <w:bCs w:val="1"/>
          <w:color w:val="auto"/>
        </w:rPr>
        <w:t>FDA</w:t>
      </w:r>
      <w:r>
        <w:rPr>
          <w:rFonts w:ascii="Arial" w:cs="Arial" w:eastAsia="Arial" w:hAnsi="Arial"/>
          <w:sz w:val="17"/>
          <w:szCs w:val="17"/>
          <w:color w:val="auto"/>
        </w:rPr>
        <w:t>”) or any other federal, state, local or foreign governmental or regulatory authority alleging or asserting material noncompliance with any Applicable Laws or any licenses, certificates, approvals, clearances, authorizations, permits and supplements or amendments thereto required by any Applicable Laws to conduct the Company’s business as described in Time of Sale Prospectus (“</w:t>
      </w:r>
      <w:r>
        <w:rPr>
          <w:rFonts w:ascii="Arial" w:cs="Arial" w:eastAsia="Arial" w:hAnsi="Arial"/>
          <w:sz w:val="17"/>
          <w:szCs w:val="17"/>
          <w:b w:val="1"/>
          <w:bCs w:val="1"/>
          <w:color w:val="auto"/>
        </w:rPr>
        <w:t>Authorizations</w:t>
      </w:r>
      <w:r>
        <w:rPr>
          <w:rFonts w:ascii="Arial" w:cs="Arial" w:eastAsia="Arial" w:hAnsi="Arial"/>
          <w:sz w:val="17"/>
          <w:szCs w:val="17"/>
          <w:color w:val="auto"/>
        </w:rPr>
        <w:t>”); (iii) possesses all material Authorizations and such Authorizations are valid and in full force and effect and neither the Company nor any Subsidiary is in material violation of any such Authorizations; (iv) has not received notice of any pending or completed claim, action, suit, proceeding, hearing, enforcement, investigation, arbitration or other action from the FDA or any other federal, state, local or foreign governmental or regulatory authority or third party alleging that any product candidate operation or activity is in material violation of any Applicable Laws or Authorizations and the Company has no knowledge that the FDA or any other federal, state, local or foreign governmental or regulatory authority or third party is considering any such claim, litigation, arbitration, action, suit, investigation or proceeding; (v) has not received notice that the FDA or any other federal, state, local or foreign governmental or regulatory authority has taken, is taking or intends to take action to limit, suspend, modify or revoke any material Authorizations and has no knowledge that the FDA or any other federal, state, local or foreign governmental or regulatory authority is considering such action; (vi) has filed, obtained, maintained or submitted all material reports, documents, forms, notices, applications, records, claims,</w:t>
      </w:r>
    </w:p>
    <w:p>
      <w:pPr>
        <w:sectPr>
          <w:pgSz w:w="11900" w:h="16838" w:orient="portrait"/>
          <w:cols w:equalWidth="0" w:num="1">
            <w:col w:w="10940"/>
          </w:cols>
          <w:pgMar w:left="700" w:top="274" w:right="259" w:bottom="1440" w:gutter="0" w:footer="0" w:header="0"/>
        </w:sectPr>
      </w:pPr>
    </w:p>
    <w:bookmarkStart w:id="254" w:name="page255"/>
    <w:bookmarkEnd w:id="254"/>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submissions and supplements or amendments as required by any Applicable Laws or Authorizations and all such reports, documents, forms, notices, applications, records, claims, submissions and supplements or amendments were materially complete and correct on the date filed (or were corrected or supplemented by a subsequent submission) and (vii) has not, either voluntarily or involuntarily, initiated, conducted or issued or caused to be initiated, conducted or issued, any recall, market withdrawal or replacement, safety alert, “dear doctor” letter or other notice or action relating to the alleged lack of safety or efficacy of any product candidate or any alleged product candidate defect or violation and, to the Company’s knowledge, no third party has initiated, conducted or intends to initiate any such notice or action.</w:t>
      </w:r>
    </w:p>
    <w:p>
      <w:pPr>
        <w:spacing w:after="0" w:line="70" w:lineRule="exact"/>
        <w:rPr>
          <w:sz w:val="20"/>
          <w:szCs w:val="20"/>
          <w:color w:val="auto"/>
        </w:rPr>
      </w:pPr>
    </w:p>
    <w:p>
      <w:pPr>
        <w:ind w:right="80" w:firstLine="443"/>
        <w:spacing w:after="0" w:line="287" w:lineRule="auto"/>
        <w:tabs>
          <w:tab w:leader="none" w:pos="683"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studies, tests and preclinical and clinical trials conducted by the Company that are described in the Registration Statement, the Time of Sale Prospectus and the Prospectus, and, to the Company’s knowledge, those studies, tests and preclinical and clinical trials conducted on behalf of the Company, were and, if still pending, are being conducted in all material respects in accordance with experimental protocols, procedures and controls pursuant to accepted professional scientific standards and all Applicable Laws and Authorizations, including, without limitation, the Federal Food, Drug and Cosmetic Act and the rules and regulations promulgated thereunder. The descriptions of the results of such studies, tests and trials contained in the Registration Statement, the Time of Sale Prospectus and the Prospectus are accurate and complete and fairly present the data derived from such studies, tests and trials in all material respects. The Company is not aware of any studies, tests or trials, the results of which the Company believes are materially inconsistent with the study, test or trial results described or referred to in the Registration Statement, the Time of Sale Prospectus and the Prospectus when viewed in the context in which such results are described and the clinical state of development. The Company has not received any notices or written correspondence from the FDA or any other federal, state, local or foreign governmental or regulatory authority requiring the termination, suspension or material modification of any studies, tests or preclinical or clinical trials conducted by or on behalf of the Company.</w:t>
      </w:r>
    </w:p>
    <w:p>
      <w:pPr>
        <w:spacing w:after="0" w:line="65" w:lineRule="exact"/>
        <w:rPr>
          <w:sz w:val="20"/>
          <w:szCs w:val="20"/>
          <w:color w:val="auto"/>
        </w:rPr>
      </w:pPr>
    </w:p>
    <w:p>
      <w:pPr>
        <w:ind w:firstLine="443"/>
        <w:spacing w:after="0" w:line="253" w:lineRule="auto"/>
        <w:tabs>
          <w:tab w:leader="none" w:pos="763"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Company and each Subsidiary has filed and received approval of all Authorizations issued by, and have made all declarations and filings with, the FDA or any other federal, state, local or foreign governmental or regulatory authority that are necessary for the ownership or lease of their respective properties or the conduct of their respective businesses as described in the Time of Sale Prospectus, or to permit all clinical and nonclinical studies and trials conducted by or on behalf of the Company or any Subsidiary, including, without limitation, all necessary FDA and applicable foreign regulatory agency approvals. The Company and each Subsidiary is in compliance with and are not in violation of, or in default under, any such Authorization. To the knowledge of the Company, no event has occurred which allows, or after notice or lapse of time would allow, revocation, termination or modification of any Authorization or result in any other material impairment of the rights of the holder of any Authorization and the Company does not have any reason to believe that any Authorization will not be renewed in the ordinary course. All Authorizations are in full force and effect.</w:t>
      </w:r>
    </w:p>
    <w:p>
      <w:pPr>
        <w:sectPr>
          <w:pgSz w:w="11900" w:h="16838" w:orient="portrait"/>
          <w:cols w:equalWidth="0" w:num="1">
            <w:col w:w="10940"/>
          </w:cols>
          <w:pgMar w:left="700" w:top="274" w:right="259" w:bottom="1440" w:gutter="0" w:footer="0" w:header="0"/>
        </w:sectPr>
      </w:pPr>
    </w:p>
    <w:bookmarkStart w:id="255" w:name="page256"/>
    <w:bookmarkEnd w:id="255"/>
    <w:p>
      <w:pPr>
        <w:ind w:left="-443" w:firstLine="443"/>
        <w:spacing w:after="0" w:line="259" w:lineRule="auto"/>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Company nor, to the knowledge of the Company, any of its officers, directors or managing employees (as defined in 42 U.S.C. § 1320a-5(b)) is or has been excluded, suspended or debarred from participation in any state or federal health care program, or made subject to any pending or, to the Company’s knowledge, threatened or contemplated action which could reasonably be expected to result in such exclusion, suspension or debarment.</w:t>
      </w:r>
    </w:p>
    <w:p>
      <w:pPr>
        <w:spacing w:after="0" w:line="78" w:lineRule="exact"/>
        <w:rPr>
          <w:rFonts w:ascii="Arial" w:cs="Arial" w:eastAsia="Arial" w:hAnsi="Arial"/>
          <w:sz w:val="18"/>
          <w:szCs w:val="18"/>
          <w:color w:val="auto"/>
        </w:rPr>
      </w:pPr>
    </w:p>
    <w:p>
      <w:pPr>
        <w:ind w:left="-443" w:right="400" w:firstLine="443"/>
        <w:spacing w:after="0" w:line="277" w:lineRule="auto"/>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To the knowledge of the Company, the manufacturing facilities and operations of its suppliers are operated in compliance in all material respects with all Applicable Laws.</w:t>
      </w:r>
    </w:p>
    <w:p>
      <w:pPr>
        <w:spacing w:after="0" w:line="62" w:lineRule="exact"/>
        <w:rPr>
          <w:rFonts w:ascii="Arial" w:cs="Arial" w:eastAsia="Arial" w:hAnsi="Arial"/>
          <w:sz w:val="18"/>
          <w:szCs w:val="18"/>
          <w:color w:val="auto"/>
        </w:rPr>
      </w:pPr>
    </w:p>
    <w:p>
      <w:pPr>
        <w:ind w:left="-443" w:right="140" w:firstLine="443"/>
        <w:spacing w:after="0" w:line="277" w:lineRule="auto"/>
        <w:tabs>
          <w:tab w:leader="none" w:pos="3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None of the Company’s or any Subsidiary’s product candidates have received marketing approval from the FDA or any other federal, state, local or foreign governmental or regulatory authority.</w:t>
      </w:r>
    </w:p>
    <w:p>
      <w:pPr>
        <w:spacing w:after="0" w:line="62" w:lineRule="exact"/>
        <w:rPr>
          <w:rFonts w:ascii="Arial" w:cs="Arial" w:eastAsia="Arial" w:hAnsi="Arial"/>
          <w:sz w:val="18"/>
          <w:szCs w:val="18"/>
          <w:color w:val="auto"/>
        </w:rPr>
      </w:pPr>
    </w:p>
    <w:p>
      <w:pPr>
        <w:ind w:left="-443" w:right="20" w:firstLine="443"/>
        <w:spacing w:after="0" w:line="259" w:lineRule="auto"/>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No material labor dispute with the employees of the Company or any Subsidiary exists, except as described in the Time of Sale Prospectus, or, to the knowledge of the Company, is imminent. The Company is not aware of any existing, threatened or imminent labor disturbance by the employees of any of its principal suppliers, manufacturers or contractors that could have a material adverse effect on the Company and the Subsidiaries, taken as a whole.</w:t>
      </w:r>
    </w:p>
    <w:p>
      <w:pPr>
        <w:spacing w:after="0" w:line="78" w:lineRule="exact"/>
        <w:rPr>
          <w:rFonts w:ascii="Arial" w:cs="Arial" w:eastAsia="Arial" w:hAnsi="Arial"/>
          <w:sz w:val="18"/>
          <w:szCs w:val="18"/>
          <w:color w:val="auto"/>
        </w:rPr>
      </w:pPr>
    </w:p>
    <w:p>
      <w:pPr>
        <w:ind w:left="-443" w:right="80" w:firstLine="443"/>
        <w:spacing w:after="0" w:line="273" w:lineRule="auto"/>
        <w:tabs>
          <w:tab w:leader="none" w:pos="277"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Except (i) as described in the Time of Sale Prospectus or (ii) as would not, singly or in the aggregate, have, or reasonably be expected to have, a material adverse effect on the Company and the Subsidiaries, taken as a whole, each employee benefit plan, within the meaning of Section 3(3) of the Employee Retirement Income Security Act of 1974, as amended (“</w:t>
      </w:r>
      <w:r>
        <w:rPr>
          <w:rFonts w:ascii="Arial" w:cs="Arial" w:eastAsia="Arial" w:hAnsi="Arial"/>
          <w:sz w:val="17"/>
          <w:szCs w:val="17"/>
          <w:b w:val="1"/>
          <w:bCs w:val="1"/>
          <w:color w:val="auto"/>
        </w:rPr>
        <w:t>ERISA</w:t>
      </w:r>
      <w:r>
        <w:rPr>
          <w:rFonts w:ascii="Arial" w:cs="Arial" w:eastAsia="Arial" w:hAnsi="Arial"/>
          <w:sz w:val="17"/>
          <w:szCs w:val="17"/>
          <w:color w:val="auto"/>
        </w:rPr>
        <w:t>”), that the Company or any member of its “Controlled Group” (defined as any organization which is under common control with the Company within the meaning of Section 414 of the Internal Revenue Code of 1986, as amended (the “</w:t>
      </w:r>
      <w:r>
        <w:rPr>
          <w:rFonts w:ascii="Arial" w:cs="Arial" w:eastAsia="Arial" w:hAnsi="Arial"/>
          <w:sz w:val="17"/>
          <w:szCs w:val="17"/>
          <w:b w:val="1"/>
          <w:bCs w:val="1"/>
          <w:color w:val="auto"/>
        </w:rPr>
        <w:t>Code</w:t>
      </w:r>
      <w:r>
        <w:rPr>
          <w:rFonts w:ascii="Arial" w:cs="Arial" w:eastAsia="Arial" w:hAnsi="Arial"/>
          <w:sz w:val="17"/>
          <w:szCs w:val="17"/>
          <w:color w:val="auto"/>
        </w:rPr>
        <w:t>”)) sponsors or maintains has been maintained in compliance with its terms and the requirements of any applicable statutes, orders, rules and regulations, including but not limited to ERISA and the Code.</w:t>
      </w:r>
    </w:p>
    <w:p>
      <w:pPr>
        <w:spacing w:after="0" w:line="70" w:lineRule="exact"/>
        <w:rPr>
          <w:rFonts w:ascii="Arial" w:cs="Arial" w:eastAsia="Arial" w:hAnsi="Arial"/>
          <w:sz w:val="17"/>
          <w:szCs w:val="17"/>
          <w:color w:val="auto"/>
        </w:rPr>
      </w:pPr>
    </w:p>
    <w:p>
      <w:pPr>
        <w:ind w:left="-443" w:firstLine="443"/>
        <w:spacing w:after="0" w:line="273" w:lineRule="auto"/>
        <w:tabs>
          <w:tab w:leader="none" w:pos="34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The Company and each Subsidiary is insured by insurers of recognized financial responsibility against such losses and risks and in such amounts as, in the Company’s reasonable judgment, are prudent and customary in the businesses in which they are engaged. Neither the Company nor any Subsidiary has been refused any insurance coverage sought or applied for. Neither the Company nor any Subsidiary has any reason to believe that it will not be able to renew its existing insurance coverage as and when such coverage expires or to obtain similar coverage from similar insurers as may be necessary to continue its business at a cost that would not reasonably be expected to have a material adverse effect on the Company and the Subsidiaries, taken as a whole, except as described in the Time of Sale Prospectus.</w:t>
      </w:r>
    </w:p>
    <w:p>
      <w:pPr>
        <w:sectPr>
          <w:pgSz w:w="11900" w:h="16838" w:orient="portrait"/>
          <w:cols w:equalWidth="0" w:num="1">
            <w:col w:w="10517"/>
          </w:cols>
          <w:pgMar w:left="1143" w:top="274" w:right="239" w:bottom="1440" w:gutter="0" w:footer="0" w:header="0"/>
        </w:sectPr>
      </w:pPr>
    </w:p>
    <w:bookmarkStart w:id="256" w:name="page257"/>
    <w:bookmarkEnd w:id="256"/>
    <w:p>
      <w:pPr>
        <w:ind w:left="-443" w:right="120" w:firstLine="443"/>
        <w:spacing w:after="0" w:line="293" w:lineRule="auto"/>
        <w:tabs>
          <w:tab w:leader="none" w:pos="340" w:val="left"/>
        </w:tabs>
        <w:numPr>
          <w:ilvl w:val="0"/>
          <w:numId w:val="1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the Subsidiaries possess all certificates, authorizations and permits issued by the appropriate federal, state or foreign regulatory authorities necessary to conduct their respective businesses, except where the failure to possess such certificates, authorizations or permits, individually or in the aggregate, would not reasonably be expected to have a material adverse effect on the Company and the Subsidiaries, taken as a whole, and neither the Company nor any Subsidiary has received any notice of proceedings relating to the revocation or modification of any such certificate, authorization or permit which, singly or in the aggregate, if the subject of an unfavorable decision, ruling or finding, would reasonably be expected to have a material adverse effect on the Company and the Subsidiaries, taken as a whole, except as described in the Time of Sale Prospectus.</w:t>
      </w:r>
    </w:p>
    <w:p>
      <w:pPr>
        <w:spacing w:after="0" w:line="56" w:lineRule="exact"/>
        <w:rPr>
          <w:rFonts w:ascii="Arial" w:cs="Arial" w:eastAsia="Arial" w:hAnsi="Arial"/>
          <w:sz w:val="16"/>
          <w:szCs w:val="16"/>
          <w:color w:val="auto"/>
        </w:rPr>
      </w:pPr>
    </w:p>
    <w:p>
      <w:pPr>
        <w:ind w:left="-443" w:right="340" w:firstLine="443"/>
        <w:spacing w:after="0" w:line="264" w:lineRule="auto"/>
        <w:tabs>
          <w:tab w:leader="none" w:pos="2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Ernst &amp; Young LLP, which has certified certain financial statements of the Company and the Subsidiaries, is an independent public accountant as required by the Securities Act and the rules and regulations of the Commission thereunder and the rules and regulations of the Public Company Accounting Oversight Board (United States).</w:t>
      </w:r>
    </w:p>
    <w:p>
      <w:pPr>
        <w:spacing w:after="0" w:line="73" w:lineRule="exact"/>
        <w:rPr>
          <w:rFonts w:ascii="Arial" w:cs="Arial" w:eastAsia="Arial" w:hAnsi="Arial"/>
          <w:sz w:val="18"/>
          <w:szCs w:val="18"/>
          <w:color w:val="auto"/>
        </w:rPr>
      </w:pPr>
    </w:p>
    <w:p>
      <w:pPr>
        <w:ind w:left="-443" w:firstLine="443"/>
        <w:spacing w:after="0" w:line="268" w:lineRule="auto"/>
        <w:tabs>
          <w:tab w:leader="none" w:pos="26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consolidated financial statements of the Company included in the Registration Statement, the Time of Sale Prospectus and the Prospectus, together with the related notes, present fairly in all material respects the financial position of the Company and its consolidated Subsidiaries at the dates indicated therein and, in the case of the statements of operations, stockholders’ equity and cash flows of the Company and its consolidated Subsidiaries, for the periods specified therein. The consolidated financial statements of the Company included in the Registration Statement, the Time of Sale Prospectus and the Prospectus comply in all material respects with the applicable requirements of the Securities Act and have been prepared in conformity with U.S.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applied on a consistent basis throughout the periods involved except (i) the unaudited, interim financial statements, which are subject to normal year-end adjustments and do not contain certain footnotes as permitted by the applicable rules of the Commission and (ii) as otherwise disclosed therein. Except as included therein, no historical or pro forma financial statements or supporting schedules are required to be included or incorporated by reference in the Registration Statement, the Time of Sale Prospectus or the Prospectus under the Securities Act and the rules and regulations of the Commission thereunder. To the extent included in the Registration Statement, the Time of Sale Prospectus and the Prospectus, the pro forma financial information and the related notes thereto included therein have been prepared in accordance with the applicable requirements of the Securities Act and comply with Regulation G of the Securities Exchange Act of 1934, as amended (the “</w:t>
      </w:r>
      <w:r>
        <w:rPr>
          <w:rFonts w:ascii="Arial" w:cs="Arial" w:eastAsia="Arial" w:hAnsi="Arial"/>
          <w:sz w:val="17"/>
          <w:szCs w:val="17"/>
          <w:b w:val="1"/>
          <w:bCs w:val="1"/>
          <w:color w:val="auto"/>
        </w:rPr>
        <w:t>Exchange Act</w:t>
      </w:r>
      <w:r>
        <w:rPr>
          <w:rFonts w:ascii="Arial" w:cs="Arial" w:eastAsia="Arial" w:hAnsi="Arial"/>
          <w:sz w:val="17"/>
          <w:szCs w:val="17"/>
          <w:color w:val="auto"/>
        </w:rPr>
        <w:t>”), and Item 10 of Regulation S-K of the Securities Act, to the extent applicable, and the assumptions underlying such pro forma financial</w:t>
      </w:r>
    </w:p>
    <w:p>
      <w:pPr>
        <w:sectPr>
          <w:pgSz w:w="11900" w:h="16838" w:orient="portrait"/>
          <w:cols w:equalWidth="0" w:num="1">
            <w:col w:w="10497"/>
          </w:cols>
          <w:pgMar w:left="1143" w:top="274" w:right="259" w:bottom="1440" w:gutter="0" w:footer="0" w:header="0"/>
        </w:sectPr>
      </w:pPr>
    </w:p>
    <w:bookmarkStart w:id="257" w:name="page258"/>
    <w:bookmarkEnd w:id="25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are reasonable and are set forth in the Registration Statement, the Time of Sale Prospectus and the Prospectus in all material respects. All other information regarding the financial condition or results of operations of the Company or the Subsidiaries included in the Registration Statement, the Time of Sale Prospectus and the Prospectus has been derived from the accounting records of the Company and its consolidated Subsidiaries and presents fairly in all material respects the information shown thereby.</w:t>
      </w:r>
    </w:p>
    <w:p>
      <w:pPr>
        <w:spacing w:after="0" w:line="79" w:lineRule="exact"/>
        <w:rPr>
          <w:sz w:val="20"/>
          <w:szCs w:val="20"/>
          <w:color w:val="auto"/>
        </w:rPr>
      </w:pPr>
    </w:p>
    <w:p>
      <w:pPr>
        <w:ind w:left="780" w:hanging="337"/>
        <w:spacing w:after="0"/>
        <w:tabs>
          <w:tab w:leader="none" w:pos="78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The Company and each Subsidiary maintain a system of internal accounting controls sufficient to provide reasonable assurance that</w:t>
      </w:r>
    </w:p>
    <w:p>
      <w:pPr>
        <w:spacing w:after="0" w:line="34" w:lineRule="exact"/>
        <w:rPr>
          <w:rFonts w:ascii="Arial" w:cs="Arial" w:eastAsia="Arial" w:hAnsi="Arial"/>
          <w:sz w:val="17"/>
          <w:szCs w:val="17"/>
          <w:color w:val="auto"/>
        </w:rPr>
      </w:pPr>
    </w:p>
    <w:p>
      <w:pPr>
        <w:ind w:right="20" w:firstLine="4"/>
        <w:spacing w:after="0" w:line="288" w:lineRule="auto"/>
        <w:tabs>
          <w:tab w:leader="none" w:pos="215"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described in the Time of Sale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adversely affected, or is reasonably likely to materially adversely affect, the Company’s internal control over financial reporting.</w:t>
      </w:r>
    </w:p>
    <w:p>
      <w:pPr>
        <w:spacing w:after="0" w:line="60" w:lineRule="exact"/>
        <w:rPr>
          <w:rFonts w:ascii="Arial" w:cs="Arial" w:eastAsia="Arial" w:hAnsi="Arial"/>
          <w:sz w:val="16"/>
          <w:szCs w:val="16"/>
          <w:color w:val="auto"/>
        </w:rPr>
      </w:pPr>
    </w:p>
    <w:p>
      <w:pPr>
        <w:jc w:val="both"/>
        <w:ind w:right="20" w:firstLine="443"/>
        <w:spacing w:after="0" w:line="312" w:lineRule="auto"/>
        <w:tabs>
          <w:tab w:leader="none" w:pos="703" w:val="left"/>
        </w:tabs>
        <w:numPr>
          <w:ilvl w:val="1"/>
          <w:numId w:val="142"/>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is made known to the Company’s principal executive officer and principal financial officer by others within the Company.</w:t>
      </w:r>
    </w:p>
    <w:p>
      <w:pPr>
        <w:spacing w:after="0" w:line="38" w:lineRule="exact"/>
        <w:rPr>
          <w:rFonts w:ascii="Arial" w:cs="Arial" w:eastAsia="Arial" w:hAnsi="Arial"/>
          <w:sz w:val="16"/>
          <w:szCs w:val="16"/>
          <w:color w:val="auto"/>
        </w:rPr>
      </w:pPr>
    </w:p>
    <w:p>
      <w:pPr>
        <w:ind w:right="140" w:firstLine="443"/>
        <w:spacing w:after="0" w:line="259" w:lineRule="auto"/>
        <w:tabs>
          <w:tab w:leader="none" w:pos="88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Except as described in the Time of Sale Prospectus, the Company has not sold, issued or distributed any shares of Common Stock during the six-month period preceding the date hereof, including any sales pursuant to Rule 144A under, or Regulations D or S of, the Securities Act, other than shares issued pursuant to employee benefit plans, qualified stock option plans or other employee compensation plans or pursuant to outstanding options, rights or warrants.</w:t>
      </w:r>
    </w:p>
    <w:p>
      <w:pPr>
        <w:spacing w:after="0" w:line="78" w:lineRule="exact"/>
        <w:rPr>
          <w:rFonts w:ascii="Arial" w:cs="Arial" w:eastAsia="Arial" w:hAnsi="Arial"/>
          <w:sz w:val="18"/>
          <w:szCs w:val="18"/>
          <w:color w:val="auto"/>
        </w:rPr>
      </w:pPr>
    </w:p>
    <w:p>
      <w:pPr>
        <w:ind w:firstLine="443"/>
        <w:spacing w:after="0" w:line="277" w:lineRule="auto"/>
        <w:tabs>
          <w:tab w:leader="none" w:pos="78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Neither the Company nor any Subsidiary has any securities rated by any “nationally recognized statistical rating organization,” as such term is defined in Section 3(a)(62) of the Exchange Act.</w:t>
      </w:r>
    </w:p>
    <w:p>
      <w:pPr>
        <w:spacing w:after="0" w:line="62" w:lineRule="exact"/>
        <w:rPr>
          <w:rFonts w:ascii="Arial" w:cs="Arial" w:eastAsia="Arial" w:hAnsi="Arial"/>
          <w:sz w:val="18"/>
          <w:szCs w:val="18"/>
          <w:color w:val="auto"/>
        </w:rPr>
      </w:pPr>
    </w:p>
    <w:p>
      <w:pPr>
        <w:ind w:right="140" w:firstLine="443"/>
        <w:spacing w:after="0" w:line="264" w:lineRule="auto"/>
        <w:tabs>
          <w:tab w:leader="none" w:pos="783"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Company and each Subsidiary has filed all federal, state, local and foreign tax returns required to be filed by them through the date of this Agreement or have requested extensions thereof (except where the failure to file would not, individually or in the aggregate, reasonably be expected to have a</w:t>
      </w:r>
    </w:p>
    <w:p>
      <w:pPr>
        <w:sectPr>
          <w:pgSz w:w="11900" w:h="16838" w:orient="portrait"/>
          <w:cols w:equalWidth="0" w:num="1">
            <w:col w:w="10880"/>
          </w:cols>
          <w:pgMar w:left="700" w:top="274" w:right="319" w:bottom="1440" w:gutter="0" w:footer="0" w:header="0"/>
        </w:sectPr>
      </w:pPr>
    </w:p>
    <w:bookmarkStart w:id="258" w:name="page259"/>
    <w:bookmarkEnd w:id="258"/>
    <w:p>
      <w:pPr>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material adverse effect) and have paid all taxes required to be paid thereon (except for cases in which the failure to file or pay would not have a material adverse effect, or, except as currently being contested in good faith and for which reserves required by GAAP have been created in the financial statements of the Company), and no tax deficiency has been determined adversely to the Company or any Subsidiary which has had (nor does the Company nor any Subsidiary have any notice or knowledge of any tax deficiency which could reasonably be expected to be determined adversely to the Company or the Subsidiaries and which could reasonably be expected to have) a material adverse effect.</w:t>
      </w:r>
    </w:p>
    <w:p>
      <w:pPr>
        <w:spacing w:after="0" w:line="64" w:lineRule="exact"/>
        <w:rPr>
          <w:sz w:val="20"/>
          <w:szCs w:val="20"/>
          <w:color w:val="auto"/>
        </w:rPr>
      </w:pPr>
    </w:p>
    <w:p>
      <w:pPr>
        <w:ind w:right="160" w:firstLine="443"/>
        <w:spacing w:after="0" w:line="264" w:lineRule="auto"/>
        <w:tabs>
          <w:tab w:leader="none" w:pos="78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Shares have been approved for listing and admitted and authorized for trading, subject to official notice of issuance, on the Nasdaq Stock Market LLC (the “</w:t>
      </w:r>
      <w:r>
        <w:rPr>
          <w:rFonts w:ascii="Arial" w:cs="Arial" w:eastAsia="Arial" w:hAnsi="Arial"/>
          <w:sz w:val="18"/>
          <w:szCs w:val="18"/>
          <w:b w:val="1"/>
          <w:bCs w:val="1"/>
          <w:color w:val="auto"/>
        </w:rPr>
        <w:t>Exchange</w:t>
      </w:r>
      <w:r>
        <w:rPr>
          <w:rFonts w:ascii="Arial" w:cs="Arial" w:eastAsia="Arial" w:hAnsi="Arial"/>
          <w:sz w:val="18"/>
          <w:szCs w:val="18"/>
          <w:color w:val="auto"/>
        </w:rPr>
        <w:t>”). On the date the Registration Statement became effective, the Company’s registration statement on Form 8-A or other applicable form under the Exchange Act became effective.</w:t>
      </w:r>
    </w:p>
    <w:p>
      <w:pPr>
        <w:spacing w:after="0" w:line="73" w:lineRule="exact"/>
        <w:rPr>
          <w:rFonts w:ascii="Arial" w:cs="Arial" w:eastAsia="Arial" w:hAnsi="Arial"/>
          <w:sz w:val="18"/>
          <w:szCs w:val="18"/>
          <w:color w:val="auto"/>
        </w:rPr>
      </w:pPr>
    </w:p>
    <w:p>
      <w:pPr>
        <w:ind w:right="80" w:firstLine="443"/>
        <w:spacing w:after="0" w:line="277" w:lineRule="auto"/>
        <w:tabs>
          <w:tab w:leader="none" w:pos="78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Other than the Subsidiaries, the Company, directly or indirectly, owns no capital stock or other equity or ownership or proprietary interest in any corporation, partnership, association, trust or other entity.</w:t>
      </w:r>
    </w:p>
    <w:p>
      <w:pPr>
        <w:spacing w:after="0" w:line="62" w:lineRule="exact"/>
        <w:rPr>
          <w:rFonts w:ascii="Arial" w:cs="Arial" w:eastAsia="Arial" w:hAnsi="Arial"/>
          <w:sz w:val="18"/>
          <w:szCs w:val="18"/>
          <w:color w:val="auto"/>
        </w:rPr>
      </w:pPr>
    </w:p>
    <w:p>
      <w:pPr>
        <w:ind w:firstLine="443"/>
        <w:spacing w:after="0" w:line="257" w:lineRule="auto"/>
        <w:tabs>
          <w:tab w:leader="none" w:pos="72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From the time of initial confidential submission of the Registration Statement to the Commission (or, if earlier, the first date on which the Company engaged directly or through any person authorized to act on its behalf in any Testing-the-Waters Communication) through the date hereof, the Company has been and is an “emerging growth company,” as defined in Section 2(a) of the Securities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 “</w:t>
      </w:r>
      <w:r>
        <w:rPr>
          <w:rFonts w:ascii="Arial" w:cs="Arial" w:eastAsia="Arial" w:hAnsi="Arial"/>
          <w:sz w:val="18"/>
          <w:szCs w:val="18"/>
          <w:b w:val="1"/>
          <w:bCs w:val="1"/>
          <w:color w:val="auto"/>
        </w:rPr>
        <w:t>Testing-the-Waters Communication</w:t>
      </w:r>
      <w:r>
        <w:rPr>
          <w:rFonts w:ascii="Arial" w:cs="Arial" w:eastAsia="Arial" w:hAnsi="Arial"/>
          <w:sz w:val="18"/>
          <w:szCs w:val="18"/>
          <w:color w:val="auto"/>
        </w:rPr>
        <w:t>” means any oral or written communication with potential investors undertaken in reliance on Section 5(d) of the Securities Act.</w:t>
      </w:r>
    </w:p>
    <w:p>
      <w:pPr>
        <w:spacing w:after="0" w:line="80" w:lineRule="exact"/>
        <w:rPr>
          <w:rFonts w:ascii="Arial" w:cs="Arial" w:eastAsia="Arial" w:hAnsi="Arial"/>
          <w:sz w:val="18"/>
          <w:szCs w:val="18"/>
          <w:color w:val="auto"/>
        </w:rPr>
      </w:pPr>
    </w:p>
    <w:p>
      <w:pPr>
        <w:ind w:right="60" w:firstLine="443"/>
        <w:spacing w:after="0" w:line="272" w:lineRule="auto"/>
        <w:tabs>
          <w:tab w:leader="none" w:pos="743"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The Company (i) has not alone engaged in any Testing-the-Waters Communication other than Testing-the-Waters Communications with the consent of each of the Representatives with entities that are qualified institutional buyers within the meaning of Rule 144A under the Securities Act or institutions that are accredited investors within the meaning of Rule 501 under the Securities Act and (ii)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w:t>
      </w:r>
      <w:r>
        <w:rPr>
          <w:rFonts w:ascii="Arial" w:cs="Arial" w:eastAsia="Arial" w:hAnsi="Arial"/>
          <w:sz w:val="17"/>
          <w:szCs w:val="17"/>
          <w:u w:val="single" w:color="auto"/>
          <w:color w:val="auto"/>
        </w:rPr>
        <w:t>Schedule III</w:t>
      </w:r>
      <w:r>
        <w:rPr>
          <w:rFonts w:ascii="Arial" w:cs="Arial" w:eastAsia="Arial" w:hAnsi="Arial"/>
          <w:sz w:val="17"/>
          <w:szCs w:val="17"/>
          <w:color w:val="auto"/>
        </w:rPr>
        <w:t xml:space="preserve"> hereto. “</w:t>
      </w:r>
      <w:r>
        <w:rPr>
          <w:rFonts w:ascii="Arial" w:cs="Arial" w:eastAsia="Arial" w:hAnsi="Arial"/>
          <w:sz w:val="17"/>
          <w:szCs w:val="17"/>
          <w:b w:val="1"/>
          <w:bCs w:val="1"/>
          <w:color w:val="auto"/>
        </w:rPr>
        <w:t>Written Testing-the-Waters Communication</w:t>
      </w:r>
      <w:r>
        <w:rPr>
          <w:rFonts w:ascii="Arial" w:cs="Arial" w:eastAsia="Arial" w:hAnsi="Arial"/>
          <w:sz w:val="17"/>
          <w:szCs w:val="17"/>
          <w:color w:val="auto"/>
        </w:rPr>
        <w:t>” means any Testing-the-Waters Communication that is a written communication within the meaning of Rule 405 under the Securities Act.</w:t>
      </w:r>
    </w:p>
    <w:p>
      <w:pPr>
        <w:spacing w:after="0" w:line="69" w:lineRule="exact"/>
        <w:rPr>
          <w:rFonts w:ascii="Arial" w:cs="Arial" w:eastAsia="Arial" w:hAnsi="Arial"/>
          <w:sz w:val="17"/>
          <w:szCs w:val="17"/>
          <w:color w:val="auto"/>
        </w:rPr>
      </w:pPr>
    </w:p>
    <w:p>
      <w:pPr>
        <w:ind w:right="240" w:firstLine="443"/>
        <w:spacing w:after="0" w:line="264" w:lineRule="auto"/>
        <w:tabs>
          <w:tab w:leader="none" w:pos="703"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As of the time of each sale of the Shares in connection with the offering when the Prospectus is not yet available to prospective purchasers, none of (i) the Time of Sale Prospectus, (ii) any free writing prospectus, when considered together with the Time of Sale Prospectus and (iii) any individual</w:t>
      </w:r>
    </w:p>
    <w:p>
      <w:pPr>
        <w:sectPr>
          <w:pgSz w:w="11900" w:h="16838" w:orient="portrait"/>
          <w:cols w:equalWidth="0" w:num="1">
            <w:col w:w="10960"/>
          </w:cols>
          <w:pgMar w:left="700" w:top="274" w:right="239" w:bottom="1440" w:gutter="0" w:footer="0" w:header="0"/>
        </w:sectPr>
      </w:pPr>
    </w:p>
    <w:bookmarkStart w:id="259" w:name="page260"/>
    <w:bookmarkEnd w:id="259"/>
    <w:p>
      <w:pPr>
        <w:jc w:val="both"/>
        <w:ind w:left="460"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Written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81" w:lineRule="exact"/>
        <w:rPr>
          <w:sz w:val="20"/>
          <w:szCs w:val="20"/>
          <w:color w:val="auto"/>
        </w:rPr>
      </w:pPr>
    </w:p>
    <w:p>
      <w:pPr>
        <w:ind w:right="500" w:firstLine="464"/>
        <w:spacing w:after="0" w:line="312" w:lineRule="auto"/>
        <w:tabs>
          <w:tab w:leader="none" w:pos="636" w:val="left"/>
        </w:tabs>
        <w:numPr>
          <w:ilvl w:val="0"/>
          <w:numId w:val="144"/>
        </w:numPr>
        <w:rPr>
          <w:rFonts w:ascii="Arial" w:cs="Arial" w:eastAsia="Arial" w:hAnsi="Arial"/>
          <w:sz w:val="16"/>
          <w:szCs w:val="16"/>
          <w:color w:val="auto"/>
        </w:rPr>
      </w:pPr>
      <w:r>
        <w:rPr>
          <w:rFonts w:ascii="Arial" w:cs="Arial" w:eastAsia="Arial" w:hAnsi="Arial"/>
          <w:sz w:val="16"/>
          <w:szCs w:val="16"/>
          <w:i w:val="1"/>
          <w:iCs w:val="1"/>
          <w:color w:val="auto"/>
        </w:rPr>
        <w:t xml:space="preserve">Agreements to Sell and Purchase. </w:t>
      </w:r>
      <w:r>
        <w:rPr>
          <w:rFonts w:ascii="Arial" w:cs="Arial" w:eastAsia="Arial" w:hAnsi="Arial"/>
          <w:sz w:val="16"/>
          <w:szCs w:val="16"/>
          <w:color w:val="auto"/>
        </w:rPr>
        <w:t>The Company hereby agrees to sell to the several Underwriters, and each Underwriter, upon the basis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representations and warranties herein contained, but subject to the conditions hereinafter stated, agrees, severally and not jointly, to purchase from the Company the respective numbers of Firm Shares set forth in Schedule I hereto opposite its name at $[•] a share (the “</w:t>
      </w:r>
      <w:r>
        <w:rPr>
          <w:rFonts w:ascii="Arial" w:cs="Arial" w:eastAsia="Arial" w:hAnsi="Arial"/>
          <w:sz w:val="16"/>
          <w:szCs w:val="16"/>
          <w:b w:val="1"/>
          <w:bCs w:val="1"/>
          <w:color w:val="auto"/>
        </w:rPr>
        <w:t>Purchase Price</w:t>
      </w:r>
      <w:r>
        <w:rPr>
          <w:rFonts w:ascii="Arial" w:cs="Arial" w:eastAsia="Arial" w:hAnsi="Arial"/>
          <w:sz w:val="16"/>
          <w:szCs w:val="16"/>
          <w:color w:val="auto"/>
        </w:rPr>
        <w:t>”).</w:t>
      </w:r>
    </w:p>
    <w:p>
      <w:pPr>
        <w:spacing w:after="0" w:line="147" w:lineRule="exact"/>
        <w:rPr>
          <w:sz w:val="20"/>
          <w:szCs w:val="20"/>
          <w:color w:val="auto"/>
        </w:rPr>
      </w:pPr>
    </w:p>
    <w:p>
      <w:pPr>
        <w:ind w:right="60" w:firstLine="456"/>
        <w:spacing w:after="0" w:line="268" w:lineRule="auto"/>
        <w:rPr>
          <w:sz w:val="20"/>
          <w:szCs w:val="20"/>
          <w:color w:val="auto"/>
        </w:rPr>
      </w:pPr>
      <w:r>
        <w:rPr>
          <w:rFonts w:ascii="Arial" w:cs="Arial" w:eastAsia="Arial" w:hAnsi="Arial"/>
          <w:sz w:val="17"/>
          <w:szCs w:val="17"/>
          <w:color w:val="auto"/>
        </w:rPr>
        <w:t>On the basis of the representations and warranties contained in this Agreement, and subject to its terms and conditions, the Company agrees to sell to the Underwriters the Additional Shares, and the Underwriters shall have the right to purchase, severally and not jointly, up to [•] Additional Shares at the Purchase Price, provided, however, that the amount paid by the Underwriters for any Additional Shares shall be reduced by an amount per share equal to any dividends declared by the Company and payable on the Firm Shares but not payable on such Additional Shares. The Representatives may exercise this right on behalf of the Underwriters in whole or from time to time in part by giving written notice to the Company not later than 30 days after the date of this Agreement. Any exercise notice shall specify the number of Additional Shares to be purchased by the Underwriters and the date on which such shares are to be purchased. Each purchase date must be at least one business day after the written notice is given and may not be earlier than the closing date for the Firm Shares nor later than ten business days after the date of such notice. Additional Shares may be purchased as provided in Section 4 hereof solely for the purpose of covering over-allotments made in connection with the offering of the Firm Shares. On each day, if any, that Additional Shares are to be purchased (an “</w:t>
      </w:r>
      <w:r>
        <w:rPr>
          <w:rFonts w:ascii="Arial" w:cs="Arial" w:eastAsia="Arial" w:hAnsi="Arial"/>
          <w:sz w:val="17"/>
          <w:szCs w:val="17"/>
          <w:b w:val="1"/>
          <w:bCs w:val="1"/>
          <w:color w:val="auto"/>
        </w:rPr>
        <w:t>Option Closing Date</w:t>
      </w:r>
      <w:r>
        <w:rPr>
          <w:rFonts w:ascii="Arial" w:cs="Arial" w:eastAsia="Arial" w:hAnsi="Arial"/>
          <w:sz w:val="17"/>
          <w:szCs w:val="17"/>
          <w:color w:val="auto"/>
        </w:rPr>
        <w:t>”), each Underwriter agrees, severally and not jointly, to purchase the number of Additional Shares (subject to such adjustments to eliminate fractional shares as the Representatives may determine) that bears the same proportion to the total number of Additional Shares to be purchased on such Option Closing Date as the number of Firm Shares set forth in Schedule I hereto opposite the name of such Underwriter bears to the total number of Firm Shares.</w:t>
      </w:r>
    </w:p>
    <w:p>
      <w:pPr>
        <w:spacing w:after="0" w:line="188" w:lineRule="exact"/>
        <w:rPr>
          <w:sz w:val="20"/>
          <w:szCs w:val="20"/>
          <w:color w:val="auto"/>
        </w:rPr>
      </w:pPr>
    </w:p>
    <w:p>
      <w:pPr>
        <w:ind w:firstLine="464"/>
        <w:spacing w:after="0" w:line="297" w:lineRule="auto"/>
        <w:tabs>
          <w:tab w:leader="none" w:pos="636" w:val="left"/>
        </w:tabs>
        <w:numPr>
          <w:ilvl w:val="0"/>
          <w:numId w:val="145"/>
        </w:numPr>
        <w:rPr>
          <w:rFonts w:ascii="Arial" w:cs="Arial" w:eastAsia="Arial" w:hAnsi="Arial"/>
          <w:sz w:val="16"/>
          <w:szCs w:val="16"/>
          <w:color w:val="auto"/>
        </w:rPr>
      </w:pPr>
      <w:r>
        <w:rPr>
          <w:rFonts w:ascii="Arial" w:cs="Arial" w:eastAsia="Arial" w:hAnsi="Arial"/>
          <w:sz w:val="16"/>
          <w:szCs w:val="16"/>
          <w:i w:val="1"/>
          <w:iCs w:val="1"/>
          <w:color w:val="auto"/>
        </w:rPr>
        <w:t>Terms of Public Offering</w:t>
      </w:r>
      <w:r>
        <w:rPr>
          <w:rFonts w:ascii="Arial" w:cs="Arial" w:eastAsia="Arial" w:hAnsi="Arial"/>
          <w:sz w:val="16"/>
          <w:szCs w:val="16"/>
          <w:color w:val="auto"/>
        </w:rPr>
        <w:t>. The Company is advised by the Representatives that the Underwriters propose to make a public offering of their respective</w:t>
      </w:r>
      <w:r>
        <w:rPr>
          <w:rFonts w:ascii="Arial" w:cs="Arial" w:eastAsia="Arial" w:hAnsi="Arial"/>
          <w:sz w:val="16"/>
          <w:szCs w:val="16"/>
          <w:i w:val="1"/>
          <w:iCs w:val="1"/>
          <w:color w:val="auto"/>
        </w:rPr>
        <w:t xml:space="preserve"> </w:t>
      </w:r>
      <w:r>
        <w:rPr>
          <w:rFonts w:ascii="Arial" w:cs="Arial" w:eastAsia="Arial" w:hAnsi="Arial"/>
          <w:sz w:val="16"/>
          <w:szCs w:val="16"/>
          <w:color w:val="auto"/>
        </w:rPr>
        <w:t>portions of the Shares as soon after the Registration Statement and this Agreement have become effective as in the Representatives’ judgment is advisable. The Company is further advised by the Representatives that the Shares are to be offered to the public initially at $[•] a share (the “</w:t>
      </w:r>
      <w:r>
        <w:rPr>
          <w:rFonts w:ascii="Arial" w:cs="Arial" w:eastAsia="Arial" w:hAnsi="Arial"/>
          <w:sz w:val="16"/>
          <w:szCs w:val="16"/>
          <w:b w:val="1"/>
          <w:bCs w:val="1"/>
          <w:color w:val="auto"/>
        </w:rPr>
        <w:t>Public Offering Price</w:t>
      </w:r>
      <w:r>
        <w:rPr>
          <w:rFonts w:ascii="Arial" w:cs="Arial" w:eastAsia="Arial" w:hAnsi="Arial"/>
          <w:sz w:val="16"/>
          <w:szCs w:val="16"/>
          <w:color w:val="auto"/>
        </w:rPr>
        <w:t>”) and to certain dealers selected by the Representatives at a price that represents a concession not in excess of $[•] a share under the Public Offering Price, and that any Underwriter may allow, and such dealers may reallow, a concession, not in excess of $[•] a share, to any Underwriter or to certain other dealers.</w:t>
      </w:r>
    </w:p>
    <w:p>
      <w:pPr>
        <w:sectPr>
          <w:pgSz w:w="11900" w:h="16838" w:orient="portrait"/>
          <w:cols w:equalWidth="0" w:num="1">
            <w:col w:w="11380"/>
          </w:cols>
          <w:pgMar w:left="240" w:top="274" w:right="279" w:bottom="1440" w:gutter="0" w:footer="0" w:header="0"/>
        </w:sectPr>
      </w:pPr>
    </w:p>
    <w:bookmarkStart w:id="260" w:name="page261"/>
    <w:bookmarkEnd w:id="260"/>
    <w:p>
      <w:pPr>
        <w:ind w:firstLine="464"/>
        <w:spacing w:after="0" w:line="259" w:lineRule="auto"/>
        <w:tabs>
          <w:tab w:leader="none" w:pos="636" w:val="left"/>
        </w:tabs>
        <w:numPr>
          <w:ilvl w:val="0"/>
          <w:numId w:val="14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Payment and Delivery. </w:t>
      </w:r>
      <w:r>
        <w:rPr>
          <w:rFonts w:ascii="Arial" w:cs="Arial" w:eastAsia="Arial" w:hAnsi="Arial"/>
          <w:sz w:val="18"/>
          <w:szCs w:val="18"/>
          <w:color w:val="auto"/>
        </w:rPr>
        <w:t>Payment for the Firm Shares shall be made to the Company in Federal or other funds immediately available in New York City</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delivery of such Firm Shares for the respective accounts of the several Underwriters at 10:00 a.m., New York City time, on [•], 2018, or at such other time on the same or such other date, not later than [•], 2018, as shall be designated in writing by the Representatives. The time and date of such payment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Payment for any Additional Shares shall be made to the Company in Federal or other funds immediately available in New York City against delivery of such Additional Shares for the respective accounts of the several Underwriters at 10:00 a.m., New York City time, on the date specified in the corresponding notice described in Section 2 or at such other time on the same or on such other date, in any event not later than [•], 2018, as shall be designated in writing by the Representatives.</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Firm Shares and Additional Shares shall be registered in such names and in such denominations as the Representatives shall request in writing not later than one full business day prior to the Closing Date or the applicable Option Closing Date, as the case may be. The Firm Shares and Additional Shares shall be delivered to the Representatives on the Closing Date or an Option Closing Date, as the case may be, for the respective accounts of the several Underwriters, with transfer taxes payable in connection with the transfer of the Shares to the Underwriters, if any, duly paid, against payment of the Purchase Price therefor.</w:t>
      </w:r>
    </w:p>
    <w:p>
      <w:pPr>
        <w:spacing w:after="0" w:line="188" w:lineRule="exact"/>
        <w:rPr>
          <w:sz w:val="20"/>
          <w:szCs w:val="20"/>
          <w:color w:val="auto"/>
        </w:rPr>
      </w:pPr>
    </w:p>
    <w:p>
      <w:pPr>
        <w:ind w:firstLine="464"/>
        <w:spacing w:after="0" w:line="264" w:lineRule="auto"/>
        <w:tabs>
          <w:tab w:leader="none" w:pos="636" w:val="left"/>
        </w:tabs>
        <w:numPr>
          <w:ilvl w:val="0"/>
          <w:numId w:val="147"/>
        </w:numPr>
        <w:rPr>
          <w:rFonts w:ascii="Arial" w:cs="Arial" w:eastAsia="Arial" w:hAnsi="Arial"/>
          <w:sz w:val="18"/>
          <w:szCs w:val="18"/>
          <w:color w:val="auto"/>
        </w:rPr>
      </w:pPr>
      <w:r>
        <w:rPr>
          <w:rFonts w:ascii="Arial" w:cs="Arial" w:eastAsia="Arial" w:hAnsi="Arial"/>
          <w:sz w:val="18"/>
          <w:szCs w:val="18"/>
          <w:i w:val="1"/>
          <w:iCs w:val="1"/>
          <w:color w:val="auto"/>
        </w:rPr>
        <w:t>Conditions to the Underwriters’ Obligations</w:t>
      </w:r>
      <w:r>
        <w:rPr>
          <w:rFonts w:ascii="Arial" w:cs="Arial" w:eastAsia="Arial" w:hAnsi="Arial"/>
          <w:sz w:val="18"/>
          <w:szCs w:val="18"/>
          <w:color w:val="auto"/>
        </w:rPr>
        <w:t>. The obligations of the Company to sell the Shares to the Underwriters and the several obligations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Underwriters to purchase and pay for the Shares on the Closing Date are subject to the condition that the Registration Statement shall have become effective not later than [•], New York City time, on the date hereof.</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several obligations of the Underwriters are subject to the following further conditions:</w:t>
      </w:r>
    </w:p>
    <w:p>
      <w:pPr>
        <w:spacing w:after="0" w:line="117" w:lineRule="exact"/>
        <w:rPr>
          <w:sz w:val="20"/>
          <w:szCs w:val="20"/>
          <w:color w:val="auto"/>
        </w:rPr>
      </w:pPr>
    </w:p>
    <w:p>
      <w:pPr>
        <w:ind w:left="460" w:right="40" w:firstLine="443"/>
        <w:spacing w:after="0" w:line="257" w:lineRule="auto"/>
        <w:tabs>
          <w:tab w:leader="none" w:pos="114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Subsequent to the execution and delivery of this Agreement and prior to the Closing Date, there shall not have occurred any change, or any development involving a prospective change, in the condition, financial or otherwise, or in the earnings, business, prospects or operations of the Company and the Subsidiaries, taken as a whole, from that set forth in the Time of Sale Prospectus that, in the Representatives’ judgment, is material and adverse and that makes it, in the Representatives’ judgment, impracticable to market the Shares on the terms and in the manner contemplated in the Time of Sale Prospectus.</w:t>
      </w:r>
    </w:p>
    <w:p>
      <w:pPr>
        <w:spacing w:after="0" w:line="80" w:lineRule="exact"/>
        <w:rPr>
          <w:rFonts w:ascii="Arial" w:cs="Arial" w:eastAsia="Arial" w:hAnsi="Arial"/>
          <w:sz w:val="18"/>
          <w:szCs w:val="18"/>
          <w:color w:val="auto"/>
        </w:rPr>
      </w:pPr>
    </w:p>
    <w:p>
      <w:pPr>
        <w:ind w:left="460" w:right="40" w:firstLine="443"/>
        <w:spacing w:after="0" w:line="259" w:lineRule="auto"/>
        <w:tabs>
          <w:tab w:leader="none" w:pos="1153"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 certificate, dated the Closing Date and signed by an executive officer of the Company, to the effect that the representations and warranties of the Company contained in this Agreement are true and correct as of the Closing Date and that the Company has complied with all of the agreements and satisfied all of the conditions on its part to be performed or satisfied hereunder on or before the Closing Date.</w:t>
      </w:r>
    </w:p>
    <w:p>
      <w:pPr>
        <w:sectPr>
          <w:pgSz w:w="11900" w:h="16838" w:orient="portrait"/>
          <w:cols w:equalWidth="0" w:num="1">
            <w:col w:w="11420"/>
          </w:cols>
          <w:pgMar w:left="240" w:top="274" w:right="239" w:bottom="1440" w:gutter="0" w:footer="0" w:header="0"/>
        </w:sectPr>
      </w:pPr>
    </w:p>
    <w:bookmarkStart w:id="261" w:name="page262"/>
    <w:bookmarkEnd w:id="26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officer signing and delivering such certificate may rely upon the best of his or her knowledge as to proceedings threatened.</w:t>
      </w:r>
    </w:p>
    <w:p>
      <w:pPr>
        <w:spacing w:after="0" w:line="117" w:lineRule="exact"/>
        <w:rPr>
          <w:sz w:val="20"/>
          <w:szCs w:val="20"/>
          <w:color w:val="auto"/>
        </w:rPr>
      </w:pPr>
    </w:p>
    <w:p>
      <w:pPr>
        <w:ind w:left="460" w:right="200" w:firstLine="443"/>
        <w:spacing w:after="0" w:line="277" w:lineRule="auto"/>
        <w:tabs>
          <w:tab w:leader="none" w:pos="114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Goodwin Procter LLP, outside counsel for the Company, dated the Closing Date, in form and substance reasonably satisfactory to the Underwriters.</w:t>
      </w:r>
    </w:p>
    <w:p>
      <w:pPr>
        <w:spacing w:after="0" w:line="62" w:lineRule="exact"/>
        <w:rPr>
          <w:rFonts w:ascii="Arial" w:cs="Arial" w:eastAsia="Arial" w:hAnsi="Arial"/>
          <w:sz w:val="18"/>
          <w:szCs w:val="18"/>
          <w:color w:val="auto"/>
        </w:rPr>
      </w:pPr>
    </w:p>
    <w:p>
      <w:pPr>
        <w:ind w:left="460" w:right="80" w:firstLine="443"/>
        <w:spacing w:after="0" w:line="308" w:lineRule="auto"/>
        <w:tabs>
          <w:tab w:leader="none" w:pos="1153"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Underwriters shall have received on the Closing Date an opinion of Clark + Elbing LLP, special counsel to the Company with respect to certain intellectual property matters, dated the Closing Date, in form and substance reasonably satisfactory to the Underwriters.</w:t>
      </w:r>
    </w:p>
    <w:p>
      <w:pPr>
        <w:spacing w:after="0" w:line="38" w:lineRule="exact"/>
        <w:rPr>
          <w:rFonts w:ascii="Arial" w:cs="Arial" w:eastAsia="Arial" w:hAnsi="Arial"/>
          <w:sz w:val="17"/>
          <w:szCs w:val="17"/>
          <w:color w:val="auto"/>
        </w:rPr>
      </w:pPr>
    </w:p>
    <w:p>
      <w:pPr>
        <w:ind w:left="460" w:right="100" w:firstLine="443"/>
        <w:spacing w:after="0" w:line="277" w:lineRule="auto"/>
        <w:tabs>
          <w:tab w:leader="none" w:pos="114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Underwriters shall have received on the Closing Date an opinion of Ropes &amp; Gray LLP, counsel for the Underwriters, dated the Closing Date, in form and substance reasonably satisfactory to the Underwriters.</w:t>
      </w:r>
    </w:p>
    <w:p>
      <w:pPr>
        <w:spacing w:after="0" w:line="170"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With respect to Sections 5(c) and 5(e) above, Goodwin Procter LLP and Ropes &amp; Gray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w:t>
      </w:r>
    </w:p>
    <w:p>
      <w:pPr>
        <w:spacing w:after="0" w:line="14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opinions of Goodwin Procter LLP and Clark + Elbing LLP described in Section 5(c) and 5(d) above shall be rendered to the Underwriters at the request of the Company and shall so state therein.</w:t>
      </w:r>
    </w:p>
    <w:p>
      <w:pPr>
        <w:spacing w:after="0" w:line="62" w:lineRule="exact"/>
        <w:rPr>
          <w:sz w:val="20"/>
          <w:szCs w:val="20"/>
          <w:color w:val="auto"/>
        </w:rPr>
      </w:pPr>
    </w:p>
    <w:p>
      <w:pPr>
        <w:ind w:left="460" w:firstLine="443"/>
        <w:spacing w:after="0" w:line="257" w:lineRule="auto"/>
        <w:tabs>
          <w:tab w:leader="none" w:pos="112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The Underwriters shall have received, on each of the date hereof and the Closing Date, a letter dated the date hereof or the Closing Date, as the case may be, in form and substance satisfactory to the Underwriters, from Ernst &amp; Young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letter delivered on the Closing Date shall use a “cut-off date” not earlier than the date hereof.</w:t>
      </w:r>
    </w:p>
    <w:p>
      <w:pPr>
        <w:spacing w:after="0" w:line="80" w:lineRule="exact"/>
        <w:rPr>
          <w:rFonts w:ascii="Arial" w:cs="Arial" w:eastAsia="Arial" w:hAnsi="Arial"/>
          <w:sz w:val="18"/>
          <w:szCs w:val="18"/>
          <w:color w:val="auto"/>
        </w:rPr>
      </w:pPr>
    </w:p>
    <w:p>
      <w:pPr>
        <w:ind w:left="460" w:right="200" w:firstLine="443"/>
        <w:spacing w:after="0" w:line="312" w:lineRule="auto"/>
        <w:tabs>
          <w:tab w:leader="none" w:pos="1153"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“lock-up” agreements, each substantially in the form of Exhibit A hereto, among the Representatives and certain shareholders, officers and directors of the Company relating to sales and certain other dispositions of shares of Common Stock or certain other securities, delivered to the Representatives on or before the date hereof (the “</w:t>
      </w:r>
      <w:r>
        <w:rPr>
          <w:rFonts w:ascii="Arial" w:cs="Arial" w:eastAsia="Arial" w:hAnsi="Arial"/>
          <w:sz w:val="16"/>
          <w:szCs w:val="16"/>
          <w:b w:val="1"/>
          <w:bCs w:val="1"/>
          <w:color w:val="auto"/>
        </w:rPr>
        <w:t>Lock-up Agreements</w:t>
      </w:r>
      <w:r>
        <w:rPr>
          <w:rFonts w:ascii="Arial" w:cs="Arial" w:eastAsia="Arial" w:hAnsi="Arial"/>
          <w:sz w:val="16"/>
          <w:szCs w:val="16"/>
          <w:color w:val="auto"/>
        </w:rPr>
        <w:t>”), shall be in full force and effect on the Closing Date.</w:t>
      </w:r>
    </w:p>
    <w:p>
      <w:pPr>
        <w:sectPr>
          <w:pgSz w:w="11900" w:h="16838" w:orient="portrait"/>
          <w:cols w:equalWidth="0" w:num="1">
            <w:col w:w="11360"/>
          </w:cols>
          <w:pgMar w:left="240" w:top="274" w:right="299" w:bottom="1440" w:gutter="0" w:footer="0" w:header="0"/>
        </w:sectPr>
      </w:pPr>
    </w:p>
    <w:bookmarkStart w:id="262" w:name="page263"/>
    <w:bookmarkEnd w:id="262"/>
    <w:p>
      <w:pPr>
        <w:ind w:left="-4" w:right="240" w:firstLine="443"/>
        <w:spacing w:after="0" w:line="277" w:lineRule="auto"/>
        <w:tabs>
          <w:tab w:leader="none" w:pos="689" w:val="left"/>
        </w:tabs>
        <w:numPr>
          <w:ilvl w:val="1"/>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several obligations of the Underwriters to purchase Additional Shares hereunder are subject to the delivery to the Underwriters on the applicable Option Closing Date of the following:</w:t>
      </w:r>
    </w:p>
    <w:p>
      <w:pPr>
        <w:spacing w:after="0" w:line="62" w:lineRule="exact"/>
        <w:rPr>
          <w:rFonts w:ascii="Arial" w:cs="Arial" w:eastAsia="Arial" w:hAnsi="Arial"/>
          <w:sz w:val="18"/>
          <w:szCs w:val="18"/>
          <w:color w:val="auto"/>
        </w:rPr>
      </w:pPr>
    </w:p>
    <w:p>
      <w:pPr>
        <w:ind w:left="456" w:firstLine="421"/>
        <w:spacing w:after="0" w:line="277" w:lineRule="auto"/>
        <w:tabs>
          <w:tab w:leader="none" w:pos="109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a certificate, dated the Option Closing Date and signed by an executive officer of the Company, confirming that the certificate delivered on the Closing Date pursuant to Section 5(b) hereof remains true and correct as of such Option Closing Date;</w:t>
      </w:r>
    </w:p>
    <w:p>
      <w:pPr>
        <w:spacing w:after="0" w:line="62" w:lineRule="exact"/>
        <w:rPr>
          <w:rFonts w:ascii="Arial" w:cs="Arial" w:eastAsia="Arial" w:hAnsi="Arial"/>
          <w:sz w:val="18"/>
          <w:szCs w:val="18"/>
          <w:color w:val="auto"/>
        </w:rPr>
      </w:pPr>
    </w:p>
    <w:p>
      <w:pPr>
        <w:ind w:left="456" w:firstLine="421"/>
        <w:spacing w:after="0" w:line="308" w:lineRule="auto"/>
        <w:tabs>
          <w:tab w:leader="none" w:pos="1140" w:val="left"/>
        </w:tabs>
        <w:numPr>
          <w:ilvl w:val="2"/>
          <w:numId w:val="151"/>
        </w:numPr>
        <w:rPr>
          <w:rFonts w:ascii="Arial" w:cs="Arial" w:eastAsia="Arial" w:hAnsi="Arial"/>
          <w:sz w:val="17"/>
          <w:szCs w:val="17"/>
          <w:color w:val="auto"/>
        </w:rPr>
      </w:pPr>
      <w:r>
        <w:rPr>
          <w:rFonts w:ascii="Arial" w:cs="Arial" w:eastAsia="Arial" w:hAnsi="Arial"/>
          <w:sz w:val="17"/>
          <w:szCs w:val="17"/>
          <w:color w:val="auto"/>
        </w:rPr>
        <w:t>an opinion of Goodwin Procter LLP, outside counsel for the Company, dated the Option Closing Date, relating to the Additional Shares to be purchased on such Option Closing Date and otherwise to the same effect as the opinion required by Section 5(c) hereof;</w:t>
      </w:r>
    </w:p>
    <w:p>
      <w:pPr>
        <w:spacing w:after="0" w:line="38" w:lineRule="exact"/>
        <w:rPr>
          <w:rFonts w:ascii="Arial" w:cs="Arial" w:eastAsia="Arial" w:hAnsi="Arial"/>
          <w:sz w:val="17"/>
          <w:szCs w:val="17"/>
          <w:color w:val="auto"/>
        </w:rPr>
      </w:pPr>
    </w:p>
    <w:p>
      <w:pPr>
        <w:ind w:left="456" w:right="420" w:firstLine="421"/>
        <w:spacing w:after="0" w:line="277" w:lineRule="auto"/>
        <w:tabs>
          <w:tab w:leader="none" w:pos="119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an opinion of Clark + Elbing LLP, special counsel to the Company with respect to certain intellectual property matters, dated the Option Closing Date and otherwise to the same effect as the opinion required by Section 5(d) hereof;</w:t>
      </w:r>
    </w:p>
    <w:p>
      <w:pPr>
        <w:spacing w:after="0" w:line="62" w:lineRule="exact"/>
        <w:rPr>
          <w:rFonts w:ascii="Arial" w:cs="Arial" w:eastAsia="Arial" w:hAnsi="Arial"/>
          <w:sz w:val="18"/>
          <w:szCs w:val="18"/>
          <w:color w:val="auto"/>
        </w:rPr>
      </w:pPr>
    </w:p>
    <w:p>
      <w:pPr>
        <w:ind w:left="456" w:right="40" w:firstLine="421"/>
        <w:spacing w:after="0" w:line="308" w:lineRule="auto"/>
        <w:tabs>
          <w:tab w:leader="none" w:pos="1180" w:val="left"/>
        </w:tabs>
        <w:numPr>
          <w:ilvl w:val="2"/>
          <w:numId w:val="151"/>
        </w:numPr>
        <w:rPr>
          <w:rFonts w:ascii="Arial" w:cs="Arial" w:eastAsia="Arial" w:hAnsi="Arial"/>
          <w:sz w:val="17"/>
          <w:szCs w:val="17"/>
          <w:color w:val="auto"/>
        </w:rPr>
      </w:pPr>
      <w:r>
        <w:rPr>
          <w:rFonts w:ascii="Arial" w:cs="Arial" w:eastAsia="Arial" w:hAnsi="Arial"/>
          <w:sz w:val="17"/>
          <w:szCs w:val="17"/>
          <w:color w:val="auto"/>
        </w:rPr>
        <w:t>an opinion of Ropes &amp; Gray LLP, counsel for the Underwriters, dated the Option Closing Date, relating to the Additional Shares to be purchased on such Option Closing Date and otherwise to the same effect as the opinion required by Section 5(e) hereof;</w:t>
      </w:r>
    </w:p>
    <w:p>
      <w:pPr>
        <w:spacing w:after="0" w:line="38" w:lineRule="exact"/>
        <w:rPr>
          <w:rFonts w:ascii="Arial" w:cs="Arial" w:eastAsia="Arial" w:hAnsi="Arial"/>
          <w:sz w:val="17"/>
          <w:szCs w:val="17"/>
          <w:color w:val="auto"/>
        </w:rPr>
      </w:pPr>
    </w:p>
    <w:p>
      <w:pPr>
        <w:ind w:left="456" w:right="140" w:firstLine="421"/>
        <w:spacing w:after="0" w:line="259" w:lineRule="auto"/>
        <w:tabs>
          <w:tab w:leader="none" w:pos="113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 xml:space="preserve">a letter dated the Option Closing Date, in form and substance satisfactory to the Underwriters, from Ernst &amp; Young LLP, independent public accountants, substantially in the same form and substance as the letter furnished to the Underwriters pursuant to Section 5(f) hereof;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letter delivered on the Option Closing Date shall use a “cut-off date” not earlier than two business days prior to such Option</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Date; and</w:t>
      </w:r>
    </w:p>
    <w:p>
      <w:pPr>
        <w:spacing w:after="0" w:line="78" w:lineRule="exact"/>
        <w:rPr>
          <w:rFonts w:ascii="Arial" w:cs="Arial" w:eastAsia="Arial" w:hAnsi="Arial"/>
          <w:sz w:val="18"/>
          <w:szCs w:val="18"/>
          <w:color w:val="auto"/>
        </w:rPr>
      </w:pPr>
    </w:p>
    <w:p>
      <w:pPr>
        <w:ind w:left="456" w:right="320" w:firstLine="421"/>
        <w:spacing w:after="0" w:line="264" w:lineRule="auto"/>
        <w:tabs>
          <w:tab w:leader="none" w:pos="1180" w:val="left"/>
        </w:tabs>
        <w:numPr>
          <w:ilvl w:val="2"/>
          <w:numId w:val="151"/>
        </w:numPr>
        <w:rPr>
          <w:rFonts w:ascii="Arial" w:cs="Arial" w:eastAsia="Arial" w:hAnsi="Arial"/>
          <w:sz w:val="18"/>
          <w:szCs w:val="18"/>
          <w:color w:val="auto"/>
        </w:rPr>
      </w:pPr>
      <w:r>
        <w:rPr>
          <w:rFonts w:ascii="Arial" w:cs="Arial" w:eastAsia="Arial" w:hAnsi="Arial"/>
          <w:sz w:val="18"/>
          <w:szCs w:val="18"/>
          <w:color w:val="auto"/>
        </w:rPr>
        <w:t>such other documents as the Representatives may reasonably request with respect to the good standing of the Company, the due authorization and issuance of the Additional Shares to be sold on such Option Closing Date and other matters related to the issuance of such Additional Shares.</w:t>
      </w:r>
    </w:p>
    <w:p>
      <w:pPr>
        <w:spacing w:after="0" w:line="181" w:lineRule="exact"/>
        <w:rPr>
          <w:rFonts w:ascii="Arial" w:cs="Arial" w:eastAsia="Arial" w:hAnsi="Arial"/>
          <w:sz w:val="18"/>
          <w:szCs w:val="18"/>
          <w:color w:val="auto"/>
        </w:rPr>
      </w:pPr>
    </w:p>
    <w:p>
      <w:pPr>
        <w:ind w:left="176" w:hanging="176"/>
        <w:spacing w:after="0"/>
        <w:tabs>
          <w:tab w:leader="none" w:pos="176"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Covenants of the Company</w:t>
      </w:r>
      <w:r>
        <w:rPr>
          <w:rFonts w:ascii="Arial" w:cs="Arial" w:eastAsia="Arial" w:hAnsi="Arial"/>
          <w:sz w:val="18"/>
          <w:szCs w:val="18"/>
          <w:color w:val="auto"/>
        </w:rPr>
        <w:t>. The Company covenants with each Underwriter as follows:</w:t>
      </w:r>
    </w:p>
    <w:p>
      <w:pPr>
        <w:spacing w:after="0" w:line="117" w:lineRule="exact"/>
        <w:rPr>
          <w:rFonts w:ascii="Arial" w:cs="Arial" w:eastAsia="Arial" w:hAnsi="Arial"/>
          <w:sz w:val="18"/>
          <w:szCs w:val="18"/>
          <w:color w:val="auto"/>
        </w:rPr>
      </w:pPr>
    </w:p>
    <w:p>
      <w:pPr>
        <w:ind w:left="-4" w:firstLine="443"/>
        <w:spacing w:after="0" w:line="276" w:lineRule="auto"/>
        <w:tabs>
          <w:tab w:leader="none" w:pos="679" w:val="left"/>
        </w:tabs>
        <w:numPr>
          <w:ilvl w:val="1"/>
          <w:numId w:val="152"/>
        </w:numPr>
        <w:rPr>
          <w:rFonts w:ascii="Arial" w:cs="Arial" w:eastAsia="Arial" w:hAnsi="Arial"/>
          <w:sz w:val="17"/>
          <w:szCs w:val="17"/>
          <w:color w:val="auto"/>
        </w:rPr>
      </w:pPr>
      <w:r>
        <w:rPr>
          <w:rFonts w:ascii="Arial" w:cs="Arial" w:eastAsia="Arial" w:hAnsi="Arial"/>
          <w:sz w:val="17"/>
          <w:szCs w:val="17"/>
          <w:color w:val="auto"/>
        </w:rPr>
        <w:t>To furnish to the Representatives, without charge, five conformed copies of the Registration Statement (including exhibits thereto) and for delivery to each other Underwriter a conformed copy of the Registration Statement (without exhibits thereto) and to furnish to the Representatives in New York City, without charge, prior to 10:00 a.m. New York City time on the business day next succeeding the date of this Agreement and during the period mentioned in Section 6(e) or 6(f) below, as many copies of the Time of Sale Prospectus, the Prospectus and any supplements and amendments thereto or to the Registration Statement as the Representatives may reasonably request.</w:t>
      </w:r>
    </w:p>
    <w:p>
      <w:pPr>
        <w:sectPr>
          <w:pgSz w:w="11900" w:h="16838" w:orient="portrait"/>
          <w:cols w:equalWidth="0" w:num="1">
            <w:col w:w="10876"/>
          </w:cols>
          <w:pgMar w:left="704" w:top="274" w:right="319" w:bottom="1440" w:gutter="0" w:footer="0" w:header="0"/>
        </w:sectPr>
      </w:pPr>
    </w:p>
    <w:bookmarkStart w:id="263" w:name="page264"/>
    <w:bookmarkEnd w:id="263"/>
    <w:p>
      <w:pPr>
        <w:ind w:left="-443" w:right="140" w:firstLine="443"/>
        <w:spacing w:after="0" w:line="259" w:lineRule="auto"/>
        <w:tabs>
          <w:tab w:leader="none" w:pos="250" w:val="left"/>
        </w:tabs>
        <w:numPr>
          <w:ilvl w:val="0"/>
          <w:numId w:val="1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Before amending or supplementing the Registration Statement, the Time of Sale Prospectus or the Prospectus, to furnish to the Representatives a copy of each such proposed amendment or supplement and not to file any such proposed amendment or supplement to which the Representatives reasonably object, and to file with the Commission within the applicable period specified in Rule 424(b) under the Securities Act any prospectus required to be filed pursuant to such rule.</w:t>
      </w:r>
    </w:p>
    <w:p>
      <w:pPr>
        <w:spacing w:after="0" w:line="78" w:lineRule="exact"/>
        <w:rPr>
          <w:rFonts w:ascii="Arial" w:cs="Arial" w:eastAsia="Arial" w:hAnsi="Arial"/>
          <w:sz w:val="18"/>
          <w:szCs w:val="18"/>
          <w:color w:val="auto"/>
        </w:rPr>
      </w:pPr>
    </w:p>
    <w:p>
      <w:pPr>
        <w:ind w:left="-443" w:right="80" w:firstLine="443"/>
        <w:spacing w:after="0" w:line="308" w:lineRule="auto"/>
        <w:tabs>
          <w:tab w:leader="none" w:pos="2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To furnish to the Representatives a copy of each proposed free writing prospectus to be prepared by or on behalf of, used by, or referred to by the Company and not to use or refer to any proposed free writing prospectus to which the Representatives reasonably object.</w:t>
      </w:r>
    </w:p>
    <w:p>
      <w:pPr>
        <w:spacing w:after="0" w:line="38" w:lineRule="exact"/>
        <w:rPr>
          <w:rFonts w:ascii="Arial" w:cs="Arial" w:eastAsia="Arial" w:hAnsi="Arial"/>
          <w:sz w:val="17"/>
          <w:szCs w:val="17"/>
          <w:color w:val="auto"/>
        </w:rPr>
      </w:pPr>
    </w:p>
    <w:p>
      <w:pPr>
        <w:ind w:left="-443" w:right="240" w:firstLine="443"/>
        <w:spacing w:after="0" w:line="264" w:lineRule="auto"/>
        <w:tabs>
          <w:tab w:leader="none" w:pos="25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73" w:lineRule="exact"/>
        <w:rPr>
          <w:rFonts w:ascii="Arial" w:cs="Arial" w:eastAsia="Arial" w:hAnsi="Arial"/>
          <w:sz w:val="18"/>
          <w:szCs w:val="18"/>
          <w:color w:val="auto"/>
        </w:rPr>
      </w:pPr>
    </w:p>
    <w:p>
      <w:pPr>
        <w:ind w:left="-443" w:firstLine="443"/>
        <w:spacing w:after="0" w:line="270" w:lineRule="auto"/>
        <w:tabs>
          <w:tab w:leader="none" w:pos="24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Underwriters, it is necessary to amend or supplement the Time of Sale Prospectus to comply with applicable law, forthwith to prepare, file with the Commission and furnish, at its own expense, to the Underwriters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69" w:lineRule="exact"/>
        <w:rPr>
          <w:rFonts w:ascii="Arial" w:cs="Arial" w:eastAsia="Arial" w:hAnsi="Arial"/>
          <w:sz w:val="17"/>
          <w:szCs w:val="17"/>
          <w:color w:val="auto"/>
        </w:rPr>
      </w:pPr>
    </w:p>
    <w:p>
      <w:pPr>
        <w:ind w:left="-443" w:right="200" w:firstLine="443"/>
        <w:spacing w:after="0" w:line="259" w:lineRule="auto"/>
        <w:tabs>
          <w:tab w:leader="none" w:pos="2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If, during such period after the first date of the public offering of the Shares as in the opinion of counsel for the Underwriters the 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w:t>
      </w:r>
    </w:p>
    <w:p>
      <w:pPr>
        <w:sectPr>
          <w:pgSz w:w="11900" w:h="16838" w:orient="portrait"/>
          <w:cols w:equalWidth="0" w:num="1">
            <w:col w:w="10497"/>
          </w:cols>
          <w:pgMar w:left="1143" w:top="274" w:right="259" w:bottom="1440" w:gutter="0" w:footer="0" w:header="0"/>
        </w:sectPr>
      </w:pPr>
    </w:p>
    <w:bookmarkStart w:id="264" w:name="page265"/>
    <w:bookmarkEnd w:id="264"/>
    <w:p>
      <w:pPr>
        <w:ind w:right="1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circumstances when the Prospectus (or in lieu thereof the notice referred to in Rule 173(a) of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Representatives will furnish to the Company) to which Shares may have been sold by the Representatives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59" w:lineRule="exact"/>
        <w:rPr>
          <w:sz w:val="20"/>
          <w:szCs w:val="20"/>
          <w:color w:val="auto"/>
        </w:rPr>
      </w:pPr>
    </w:p>
    <w:p>
      <w:pPr>
        <w:ind w:right="60" w:firstLine="443"/>
        <w:spacing w:after="0" w:line="312" w:lineRule="auto"/>
        <w:tabs>
          <w:tab w:leader="none" w:pos="69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To endeavor to qualify the Shares for offer and sale under the securities or Blue Sky laws of such jurisdictions as the Representatives shall reasonably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contained herein shall require the Company to qualify to do business in any jurisdiction, to execute a general consent to service of process in any jurisdiction or to subject itself to taxation in any jurisdiction in which it is not otherwise subject.</w:t>
      </w:r>
    </w:p>
    <w:p>
      <w:pPr>
        <w:spacing w:after="0" w:line="38" w:lineRule="exact"/>
        <w:rPr>
          <w:rFonts w:ascii="Arial" w:cs="Arial" w:eastAsia="Arial" w:hAnsi="Arial"/>
          <w:sz w:val="16"/>
          <w:szCs w:val="16"/>
          <w:color w:val="auto"/>
        </w:rPr>
      </w:pPr>
    </w:p>
    <w:p>
      <w:pPr>
        <w:ind w:right="380" w:firstLine="443"/>
        <w:spacing w:after="0" w:line="257" w:lineRule="auto"/>
        <w:tabs>
          <w:tab w:leader="none" w:pos="69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 xml:space="preserve">To make generally available to the Company’s security holders and to the Representatives as soon as practicable an earnings statement covering a period of at least twelve months beginning with the first fiscal quarter of the Company occurring after the date of this Agreement which shall satisfy the provisions of Section 11(a) of the Securities Act and the rules and regulations of the Commission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will be deemed to have furnished such statement to its security holders to the extent it is filed on the Commission’s Electronic Data Gathering, Analysis and Retrieval System.</w:t>
      </w:r>
    </w:p>
    <w:p>
      <w:pPr>
        <w:spacing w:after="0" w:line="80" w:lineRule="exact"/>
        <w:rPr>
          <w:rFonts w:ascii="Arial" w:cs="Arial" w:eastAsia="Arial" w:hAnsi="Arial"/>
          <w:sz w:val="18"/>
          <w:szCs w:val="18"/>
          <w:color w:val="auto"/>
        </w:rPr>
      </w:pPr>
    </w:p>
    <w:p>
      <w:pPr>
        <w:ind w:firstLine="443"/>
        <w:spacing w:after="0" w:line="289" w:lineRule="auto"/>
        <w:tabs>
          <w:tab w:leader="none" w:pos="653" w:val="left"/>
        </w:tabs>
        <w:numPr>
          <w:ilvl w:val="0"/>
          <w:numId w:val="154"/>
        </w:numPr>
        <w:rPr>
          <w:rFonts w:ascii="Arial" w:cs="Arial" w:eastAsia="Arial" w:hAnsi="Arial"/>
          <w:sz w:val="16"/>
          <w:szCs w:val="16"/>
          <w:color w:val="auto"/>
        </w:rPr>
      </w:pPr>
      <w:r>
        <w:rPr>
          <w:rFonts w:ascii="Arial" w:cs="Arial" w:eastAsia="Arial" w:hAnsi="Arial"/>
          <w:sz w:val="16"/>
          <w:szCs w:val="16"/>
          <w:color w:val="auto"/>
        </w:rPr>
        <w:t>Whether or not the transactions contemplated in this Agreement are consummated or this Agreement is terminated, the Company agrees to pay or cause to be paid all expenses incident to the performance of its obligations under this Agreement, including: (i) the fees, disbursements and expenses of the Company’s counsel and the Company’s accountants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Underwriters and dealers, in the quantities hereinabove specified, (ii) all costs and expenses related to the transfer and delivery of the Shares to the Underwriters, including transfer or other taxes, if any, payable thereon, (iii) the cost of printing or producing any Blue Sky or Legal Investment memorandum in connection with the offer and sale of the Shares under state securities laws and all expenses in connection with the qualification of</w:t>
      </w:r>
    </w:p>
    <w:p>
      <w:pPr>
        <w:sectPr>
          <w:pgSz w:w="11900" w:h="16838" w:orient="portrait"/>
          <w:cols w:equalWidth="0" w:num="1">
            <w:col w:w="10960"/>
          </w:cols>
          <w:pgMar w:left="700" w:top="274" w:right="239" w:bottom="1440" w:gutter="0" w:footer="0" w:header="0"/>
        </w:sectPr>
      </w:pPr>
    </w:p>
    <w:bookmarkStart w:id="265" w:name="page266"/>
    <w:bookmarkEnd w:id="265"/>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Shares for offer and sale under state securities laws as provided in Section 6(g) hereof, including filing fees and the reasonably incurred and documented fees and disbursements of counsel for the Underwriters in connection with such qualification and in connection with the Blue Sky or Legal Investment memorandum (</w:t>
      </w:r>
      <w:r>
        <w:rPr>
          <w:rFonts w:ascii="Arial" w:cs="Arial" w:eastAsia="Arial" w:hAnsi="Arial"/>
          <w:sz w:val="16"/>
          <w:szCs w:val="16"/>
          <w:i w:val="1"/>
          <w:iCs w:val="1"/>
          <w:color w:val="auto"/>
        </w:rPr>
        <w:t>provided</w:t>
      </w:r>
      <w:r>
        <w:rPr>
          <w:rFonts w:ascii="Arial" w:cs="Arial" w:eastAsia="Arial" w:hAnsi="Arial"/>
          <w:sz w:val="16"/>
          <w:szCs w:val="16"/>
          <w:color w:val="auto"/>
        </w:rPr>
        <w:t>, that, the amount payable by the Company with respect to fees and disbursements of counsel for the Underwriters pursuant to this subsection (iii) shall not exceed $10,000), (iv) all filing fees and the reasonable fees and disbursements of counsel to the Underwriters incurred in connection with the review and qualification of the offering of the Shares by FINRA (</w:t>
      </w:r>
      <w:r>
        <w:rPr>
          <w:rFonts w:ascii="Arial" w:cs="Arial" w:eastAsia="Arial" w:hAnsi="Arial"/>
          <w:sz w:val="16"/>
          <w:szCs w:val="16"/>
          <w:i w:val="1"/>
          <w:iCs w:val="1"/>
          <w:color w:val="auto"/>
        </w:rPr>
        <w:t>provided</w:t>
      </w:r>
      <w:r>
        <w:rPr>
          <w:rFonts w:ascii="Arial" w:cs="Arial" w:eastAsia="Arial" w:hAnsi="Arial"/>
          <w:sz w:val="16"/>
          <w:szCs w:val="16"/>
          <w:color w:val="auto"/>
        </w:rPr>
        <w:t>, that, the amount payable by the Company with respect to fees and disbursements of counsel for the Underwriters pursuant to this subsection (iv) shall not exceed $30,000), (v) all fees and expenses in connection with the preparation and filing of the registration statement on Form 8-A relating to the Common Stock and all costs and expenses incident to listing the Shares on the Exchange, (vi) the cost of printing certificates representing the Shares, (vii) the costs and charges of any transfer agent, registrar or depositary,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(the remaining 50% of the cost of such aircraft, as well as any other travel and lodging expenses of the Underwriters in connection with the road show, to be paid by the Underwriters),</w:t>
      </w:r>
    </w:p>
    <w:p>
      <w:pPr>
        <w:spacing w:after="0" w:line="2" w:lineRule="exact"/>
        <w:rPr>
          <w:sz w:val="20"/>
          <w:szCs w:val="20"/>
          <w:color w:val="auto"/>
        </w:rPr>
      </w:pPr>
    </w:p>
    <w:p>
      <w:pPr>
        <w:ind w:right="220" w:firstLine="4"/>
        <w:spacing w:after="0" w:line="271" w:lineRule="auto"/>
        <w:tabs>
          <w:tab w:leader="none" w:pos="30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document production charges and expenses associated with printing this Agreement and (x) all other costs and expenses incident to the performance of the obligations of the Company hereunder for which provision is not otherwise made in this Section. It is understood, however, that except as provided in this Section, Section 8 entitled “Indemnity and Contribution” and the last paragraph of Section 11 below, the Underwriters will pay all of their costs and expenses, including fees and disbursements of their counsel, stock transfer taxes payable on resale of any of the Shares by them and any advertising expenses connected with any offers they may make.</w:t>
      </w:r>
    </w:p>
    <w:p>
      <w:pPr>
        <w:spacing w:after="0" w:line="70" w:lineRule="exact"/>
        <w:rPr>
          <w:rFonts w:ascii="Arial" w:cs="Arial" w:eastAsia="Arial" w:hAnsi="Arial"/>
          <w:sz w:val="17"/>
          <w:szCs w:val="17"/>
          <w:color w:val="auto"/>
        </w:rPr>
      </w:pPr>
    </w:p>
    <w:p>
      <w:pPr>
        <w:ind w:right="60" w:firstLine="443"/>
        <w:spacing w:after="0" w:line="264" w:lineRule="auto"/>
        <w:tabs>
          <w:tab w:leader="none" w:pos="65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Representatives if the Company ceases to be an Emerging Growth Company at any time prior to the later of (i) completion of the distribution of the Shares within the meaning of the Securities Act and (ii) completion of the Restricted Period (as defined in this Section 6).</w:t>
      </w:r>
    </w:p>
    <w:p>
      <w:pPr>
        <w:spacing w:after="0" w:line="73" w:lineRule="exact"/>
        <w:rPr>
          <w:rFonts w:ascii="Arial" w:cs="Arial" w:eastAsia="Arial" w:hAnsi="Arial"/>
          <w:sz w:val="18"/>
          <w:szCs w:val="18"/>
          <w:color w:val="auto"/>
        </w:rPr>
      </w:pPr>
    </w:p>
    <w:p>
      <w:pPr>
        <w:ind w:right="80" w:firstLine="443"/>
        <w:spacing w:after="0" w:line="264" w:lineRule="auto"/>
        <w:tabs>
          <w:tab w:leader="none" w:pos="693"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w:t>
      </w:r>
    </w:p>
    <w:p>
      <w:pPr>
        <w:sectPr>
          <w:pgSz w:w="11900" w:h="16838" w:orient="portrait"/>
          <w:cols w:equalWidth="0" w:num="1">
            <w:col w:w="10940"/>
          </w:cols>
          <w:pgMar w:left="700" w:top="274" w:right="259" w:bottom="1440" w:gutter="0" w:footer="0" w:header="0"/>
        </w:sectPr>
      </w:pPr>
    </w:p>
    <w:bookmarkStart w:id="266" w:name="page267"/>
    <w:bookmarkEnd w:id="266"/>
    <w:p>
      <w:pPr>
        <w:ind w:left="460"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73" w:lineRule="exact"/>
        <w:rPr>
          <w:sz w:val="20"/>
          <w:szCs w:val="20"/>
          <w:color w:val="auto"/>
        </w:rPr>
      </w:pPr>
    </w:p>
    <w:p>
      <w:pPr>
        <w:ind w:left="460" w:firstLine="443"/>
        <w:spacing w:after="0" w:line="259" w:lineRule="auto"/>
        <w:tabs>
          <w:tab w:leader="none" w:pos="1113"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Company will deliver to each Underwriter (or its agent), on the date of execution of this Agreement, a properly completed and executed Certification Regarding Beneficial Owners of Legal Entity Customers, together with copies of identifying documentation, and the Company undertakes to provide such additional supporting documentation as each Underwriter may reasonably request in connection with the verification of the foregoing Certification.</w:t>
      </w:r>
    </w:p>
    <w:p>
      <w:pPr>
        <w:spacing w:after="0" w:line="187"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The Company also covenants with each Underwriter that, without the prior written consent of each of Morgan Stanley &amp; Co. LLC and Cowen and Company, LLC, on behalf of the Underwriters, it will not, during the period ending 180 days after the date of the Prospectus (the “</w:t>
      </w:r>
      <w:r>
        <w:rPr>
          <w:rFonts w:ascii="Arial" w:cs="Arial" w:eastAsia="Arial" w:hAnsi="Arial"/>
          <w:sz w:val="16"/>
          <w:szCs w:val="16"/>
          <w:b w:val="1"/>
          <w:bCs w:val="1"/>
          <w:color w:val="auto"/>
        </w:rPr>
        <w:t>Restricted Period</w:t>
      </w:r>
      <w:r>
        <w:rPr>
          <w:rFonts w:ascii="Arial" w:cs="Arial" w:eastAsia="Arial" w:hAnsi="Arial"/>
          <w:sz w:val="16"/>
          <w:szCs w:val="16"/>
          <w:color w:val="auto"/>
        </w:rPr>
        <w:t>”),</w:t>
      </w:r>
    </w:p>
    <w:p>
      <w:pPr>
        <w:ind w:right="140" w:firstLine="8"/>
        <w:spacing w:after="0" w:line="270" w:lineRule="auto"/>
        <w:tabs>
          <w:tab w:leader="none" w:pos="25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17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 xml:space="preserve">The restrictions contained in the preceding paragraph shall not apply to (a) the Shares to be sold hereunder, (b) the issuance by the Company of shares of Common Stock upon the exercise of an option pursuant to stock plans or a warrant or the conversion of a security outstanding on the date hereof, in each case disclosed in the Time of Sale Prospectus, (c) the establishment of a trading plan pursuant to Rule 10b5-1 under the Exchange Act for the transfer of shares of Common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plan does not provide for the transfer of shares of Common Stock during the Restricted Period and (ii) to the extent a public announcement or filing under the Exchange Act is required of or voluntarily made by the Company regarding the establishment of such plan, such announcement or filing shall include a statement to the effect that no transfer of shares of Common Stock may be made under such plan during the Restricted Period, (d) the grant or issuance by the Company, or exercise or settlement (in cash, shares of Common Stock or otherwise), of options, restricted stock awards, restricted stock units or any other type of equity award to employees, officers, directors, advisors or consultants of the Company pursuant to employee benefit plans described in the Time of Sale Prospectus, (e) the filing by the Company of a registration statement with the Commission on Form S-8 with respect to employee benefit plans issued under stock plans described in the Time of Sale Prospectus, or (f) the sale or issuance of or entry into an agreement to sell or issue shares of Common Stock or securities</w:t>
      </w:r>
    </w:p>
    <w:p>
      <w:pPr>
        <w:sectPr>
          <w:pgSz w:w="11900" w:h="16838" w:orient="portrait"/>
          <w:cols w:equalWidth="0" w:num="1">
            <w:col w:w="11380"/>
          </w:cols>
          <w:pgMar w:left="240" w:top="274" w:right="279" w:bottom="1440" w:gutter="0" w:footer="0" w:header="0"/>
        </w:sectPr>
      </w:pPr>
    </w:p>
    <w:bookmarkStart w:id="267" w:name="page268"/>
    <w:bookmarkEnd w:id="26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convertible into or exercisable for Common Stock in connection with any (i) merger, (ii) acquisition of securities, businesses, property or any other assets,</w:t>
      </w:r>
    </w:p>
    <w:p>
      <w:pPr>
        <w:spacing w:after="0" w:line="46" w:lineRule="exact"/>
        <w:rPr>
          <w:sz w:val="20"/>
          <w:szCs w:val="20"/>
          <w:color w:val="auto"/>
        </w:rPr>
      </w:pPr>
    </w:p>
    <w:p>
      <w:pPr>
        <w:ind w:right="240" w:firstLine="8"/>
        <w:spacing w:after="0" w:line="252" w:lineRule="auto"/>
        <w:tabs>
          <w:tab w:leader="none" w:pos="31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joint ventures, (iv) strategic alliances, (v) equipment leasing arrangements or (vi) debt financing, provided that the aggregate number of shares of Common Stock or securities convertible into or exercisable for Common Stock (on an as-converted or as exercised basis, as the case may be) that the Company may sell or issue or agree to sell or issue pursuant to this clause (f) shall not exceed 5% of the total number of shares of the Company’s Common Stock issued and outstanding immediately following the completion of the transactions contemplated by this Agreement, and provided further, that each recipient of shares of Common Stock or securities convertible into or exercisable for Common Stock pursuant to clauses (d) and (f) shall execute a lock-up agreement substantially in the form of Exhibit A hereto.</w:t>
      </w:r>
    </w:p>
    <w:p>
      <w:pPr>
        <w:spacing w:after="0" w:line="194"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If each of Morgan Stanley &amp; Co. LLC and Cowen and Company, LLC, in their sole discretion, agree to release or waive the restrictions set forth in a Lock-up Agreement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71" w:lineRule="exact"/>
        <w:rPr>
          <w:sz w:val="20"/>
          <w:szCs w:val="20"/>
          <w:color w:val="auto"/>
        </w:rPr>
      </w:pPr>
    </w:p>
    <w:p>
      <w:pPr>
        <w:jc w:val="both"/>
        <w:ind w:right="260" w:firstLine="464"/>
        <w:spacing w:after="0" w:line="264" w:lineRule="auto"/>
        <w:tabs>
          <w:tab w:leader="none" w:pos="636"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Covenants of the Underwriters</w:t>
      </w:r>
      <w:r>
        <w:rPr>
          <w:rFonts w:ascii="Arial" w:cs="Arial" w:eastAsia="Arial" w:hAnsi="Arial"/>
          <w:sz w:val="18"/>
          <w:szCs w:val="18"/>
          <w:color w:val="auto"/>
        </w:rPr>
        <w:t>. Each Underwriter severally covenants with the Company not to take any action that would result in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Indemnity and Contribution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firstLine="443"/>
        <w:spacing w:after="0" w:line="269" w:lineRule="auto"/>
        <w:tabs>
          <w:tab w:leader="none" w:pos="1143" w:val="left"/>
        </w:tabs>
        <w:numPr>
          <w:ilvl w:val="1"/>
          <w:numId w:val="159"/>
        </w:numPr>
        <w:rPr>
          <w:rFonts w:ascii="Arial" w:cs="Arial" w:eastAsia="Arial" w:hAnsi="Arial"/>
          <w:sz w:val="17"/>
          <w:szCs w:val="17"/>
          <w:color w:val="auto"/>
        </w:rPr>
      </w:pPr>
      <w:r>
        <w:rPr>
          <w:rFonts w:ascii="Arial" w:cs="Arial" w:eastAsia="Arial" w:hAnsi="Arial"/>
          <w:sz w:val="17"/>
          <w:szCs w:val="17"/>
          <w:color w:val="auto"/>
        </w:rPr>
        <w:t>The Company agrees to indemnify and hold harmless each Underwriter, each person, if any, who controls any Underwriter within the meaning of either Section 15 of the Securities Act or Section 20 of the Exchange Act and each affiliate of any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caused by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that the Company has filed, or is required to file, pursuant to Rule 433(d) under the Securities Act, any road show as defined in Rule 433(h) under the Securities Act (a “</w:t>
      </w:r>
      <w:r>
        <w:rPr>
          <w:rFonts w:ascii="Arial" w:cs="Arial" w:eastAsia="Arial" w:hAnsi="Arial"/>
          <w:sz w:val="17"/>
          <w:szCs w:val="17"/>
          <w:b w:val="1"/>
          <w:bCs w:val="1"/>
          <w:color w:val="auto"/>
        </w:rPr>
        <w:t>road show</w:t>
      </w:r>
      <w:r>
        <w:rPr>
          <w:rFonts w:ascii="Arial" w:cs="Arial" w:eastAsia="Arial" w:hAnsi="Arial"/>
          <w:sz w:val="17"/>
          <w:szCs w:val="17"/>
          <w:color w:val="auto"/>
        </w:rPr>
        <w:t>”), the Prospectus or any amendment or supplement thereto, or any Written Testing-the-Waters Communication caused by any omission or alleged omission to state therein a material fact required to be stated therein or necessary to make the statements therein not misleading, except insofar as such losses, claims, damages or liabilities are caused by any such untrue statement or omission or alleged untrue statement or omission based upon information relating to any Underwriter furnished to the Company in writing by such Underwriter through the Representatives expressly for use therein.</w:t>
      </w:r>
    </w:p>
    <w:p>
      <w:pPr>
        <w:sectPr>
          <w:pgSz w:w="11900" w:h="16838" w:orient="portrait"/>
          <w:cols w:equalWidth="0" w:num="1">
            <w:col w:w="11420"/>
          </w:cols>
          <w:pgMar w:left="240" w:top="274" w:right="239" w:bottom="1440" w:gutter="0" w:footer="0" w:header="0"/>
        </w:sectPr>
      </w:pPr>
    </w:p>
    <w:bookmarkStart w:id="268" w:name="page269"/>
    <w:bookmarkEnd w:id="268"/>
    <w:p>
      <w:pPr>
        <w:ind w:left="-443" w:right="40" w:firstLine="443"/>
        <w:spacing w:after="0" w:line="255" w:lineRule="auto"/>
        <w:tabs>
          <w:tab w:leader="none" w:pos="250"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Underwriter agrees, severally and not jointly, to indemnify and hold harmless the Company, its directors, its officers who sign the Registration Statement and each person, if any, who controls the Company within the meaning of either Section 15 of the Securities Act or Section 20 of the Exchange Act to the same extent as the foregoing indemnity from the Company to such Underwriter, but only with reference to information relating to such Underwriter furnished to the Company in writing by such Underwriter through the Representatives expressly for use in the Registration Statement, any preliminary prospectus, the Time of Sale Prospectus, any issuer free writing prospectus, road show or the Prospectus or any amendment or supplement thereto.</w:t>
      </w:r>
    </w:p>
    <w:p>
      <w:pPr>
        <w:spacing w:after="0" w:line="85" w:lineRule="exact"/>
        <w:rPr>
          <w:rFonts w:ascii="Arial" w:cs="Arial" w:eastAsia="Arial" w:hAnsi="Arial"/>
          <w:sz w:val="18"/>
          <w:szCs w:val="18"/>
          <w:color w:val="auto"/>
        </w:rPr>
      </w:pPr>
    </w:p>
    <w:p>
      <w:pPr>
        <w:ind w:left="-443" w:firstLine="443"/>
        <w:spacing w:after="0" w:line="285" w:lineRule="auto"/>
        <w:tabs>
          <w:tab w:leader="none" w:pos="2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Section 8(a) or 8(b), such person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promptly notify the person against whom such indemnity may be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reasonably incurred and documented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Representatives, in the case of parties indemnified pursuant to Section 8(a), and by the Company, in the case of parties indemnified pursuant to Section 8(b).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 an indemnifying party to</w:t>
      </w:r>
    </w:p>
    <w:p>
      <w:pPr>
        <w:sectPr>
          <w:pgSz w:w="11900" w:h="16838" w:orient="portrait"/>
          <w:cols w:equalWidth="0" w:num="1">
            <w:col w:w="10517"/>
          </w:cols>
          <w:pgMar w:left="1143" w:top="274" w:right="239" w:bottom="1440" w:gutter="0" w:footer="0" w:header="0"/>
        </w:sectPr>
      </w:pPr>
    </w:p>
    <w:bookmarkStart w:id="269" w:name="page270"/>
    <w:bookmarkEnd w:id="269"/>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 includes an unconditional release of such indemnified party from all liability on claims that are the subject matter of such proceeding and (ii) does not include a statement admitting fault, culpability or a failure to act, by or on behalf of any indemnified party.</w:t>
      </w:r>
    </w:p>
    <w:p>
      <w:pPr>
        <w:spacing w:after="0" w:line="71" w:lineRule="exact"/>
        <w:rPr>
          <w:sz w:val="20"/>
          <w:szCs w:val="20"/>
          <w:color w:val="auto"/>
        </w:rPr>
      </w:pPr>
    </w:p>
    <w:p>
      <w:pPr>
        <w:ind w:right="20" w:firstLine="443"/>
        <w:spacing w:after="0" w:line="268" w:lineRule="auto"/>
        <w:tabs>
          <w:tab w:leader="none" w:pos="69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To the extent the indemnification provided for in Section 8(a) or 8(b)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Company on the one hand and the Underwriters on the other hand from the offering of the Shares or (ii) if the allocation provided by clause 8(d)(i) above is not permitted by applicable law, in such proportion as is appropriate to reflect not only the relative benefits referred to in clause 8(d)(i) above but also the relative fault of the Company on the one hand and of the Underwriters on the other hand in connection with the statements or omissions that resulted in such losses, claims, damages or liabilities, as well as any other relevant equitable considerations. The relative benefits received by the Company on the one hand and the Underwriters on the other hand in connection with the offering of the Shares shall be deemed to be in the same respective proportions as the net proceeds from the offering of the Shares (before deducting expenses) received by the Company and the total underwriting discounts and commissions received by the Underwriters, in each case as set forth in the table on the cover of the Prospectus, bear to the aggregate Public Offering Price of the Shares. The relative fault of the Company on the one hand and the Underwriters on the other hand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 The Underwriters’ respective obligations to contribute pursuant to this Section 8 are several in proportion to the respective number of Shares they have purchased hereunder, and not joint.</w:t>
      </w:r>
    </w:p>
    <w:p>
      <w:pPr>
        <w:sectPr>
          <w:pgSz w:w="11900" w:h="16838" w:orient="portrait"/>
          <w:cols w:equalWidth="0" w:num="1">
            <w:col w:w="10960"/>
          </w:cols>
          <w:pgMar w:left="700" w:top="274" w:right="239" w:bottom="1440" w:gutter="0" w:footer="0" w:header="0"/>
        </w:sectPr>
      </w:pPr>
    </w:p>
    <w:bookmarkStart w:id="270" w:name="page271"/>
    <w:bookmarkEnd w:id="270"/>
    <w:p>
      <w:pPr>
        <w:ind w:left="-4" w:right="40" w:firstLine="443"/>
        <w:spacing w:after="0" w:line="269" w:lineRule="auto"/>
        <w:tabs>
          <w:tab w:leader="none" w:pos="679" w:val="left"/>
        </w:tabs>
        <w:numPr>
          <w:ilvl w:val="1"/>
          <w:numId w:val="16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and the Underwriters agree that it would not be just or equitable if contribution pursuant to this Section 8 were determined by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allocation (even if the Underwriters were treated as one entity for such purpose) or by any other method of allocation that does not take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 of the equitable considerations referred to in Section 8(d). The amount paid or payable by an indemnified party as a result of the losses, claims, damages and liabilities referred to in Section 8(d) shall be deemed to include, subject to the limitations set forth above, any legal or other expenses reasonably incurred by such indemnified party in connection with investigating or defending any such action or claim. Notwithstanding the provisions of this Section 8, no Underwriter shall be required to contribute any amount in excess of the amount by which the total price at which the Shares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74" w:lineRule="exact"/>
        <w:rPr>
          <w:rFonts w:ascii="Arial" w:cs="Arial" w:eastAsia="Arial" w:hAnsi="Arial"/>
          <w:sz w:val="17"/>
          <w:szCs w:val="17"/>
          <w:color w:val="auto"/>
        </w:rPr>
      </w:pPr>
    </w:p>
    <w:p>
      <w:pPr>
        <w:ind w:left="-4" w:right="40" w:firstLine="443"/>
        <w:spacing w:after="0" w:line="279" w:lineRule="auto"/>
        <w:tabs>
          <w:tab w:leader="none" w:pos="659" w:val="left"/>
        </w:tabs>
        <w:numPr>
          <w:ilvl w:val="1"/>
          <w:numId w:val="162"/>
        </w:numPr>
        <w:rPr>
          <w:rFonts w:ascii="Arial" w:cs="Arial" w:eastAsia="Arial" w:hAnsi="Arial"/>
          <w:sz w:val="17"/>
          <w:szCs w:val="17"/>
          <w:color w:val="auto"/>
        </w:rPr>
      </w:pPr>
      <w:r>
        <w:rPr>
          <w:rFonts w:ascii="Arial" w:cs="Arial" w:eastAsia="Arial" w:hAnsi="Arial"/>
          <w:sz w:val="17"/>
          <w:szCs w:val="17"/>
          <w:color w:val="auto"/>
        </w:rPr>
        <w:t>The indemnity and contribution provisions contained in this Section 8 and the representations, warranties and other statements of the Company contained in this Agreement shall remain operative and in full force and effect regardless of (i) any termination of this Agreement, (ii) any investigation made by or on behalf of any Underwriter, any person controlling any Underwriter or any affiliate of any Underwriter or by or on behalf of the Company, its officers or directors or any person controlling the Company and (iii) acceptance of and payment for any of the Shares.</w:t>
      </w:r>
    </w:p>
    <w:p>
      <w:pPr>
        <w:spacing w:after="0" w:line="171" w:lineRule="exact"/>
        <w:rPr>
          <w:rFonts w:ascii="Arial" w:cs="Arial" w:eastAsia="Arial" w:hAnsi="Arial"/>
          <w:sz w:val="17"/>
          <w:szCs w:val="17"/>
          <w:color w:val="auto"/>
        </w:rPr>
      </w:pPr>
    </w:p>
    <w:p>
      <w:pPr>
        <w:ind w:left="176" w:hanging="176"/>
        <w:spacing w:after="0"/>
        <w:tabs>
          <w:tab w:leader="none" w:pos="176" w:val="left"/>
        </w:tabs>
        <w:numPr>
          <w:ilvl w:val="0"/>
          <w:numId w:val="163"/>
        </w:numPr>
        <w:rPr>
          <w:rFonts w:ascii="Arial" w:cs="Arial" w:eastAsia="Arial" w:hAnsi="Arial"/>
          <w:sz w:val="18"/>
          <w:szCs w:val="18"/>
          <w:color w:val="auto"/>
        </w:rPr>
      </w:pPr>
      <w:r>
        <w:rPr>
          <w:rFonts w:ascii="Arial" w:cs="Arial" w:eastAsia="Arial" w:hAnsi="Arial"/>
          <w:sz w:val="18"/>
          <w:szCs w:val="18"/>
          <w:i w:val="1"/>
          <w:iCs w:val="1"/>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64" w:firstLine="464"/>
        <w:spacing w:after="0" w:line="289" w:lineRule="auto"/>
        <w:tabs>
          <w:tab w:leader="none" w:pos="262" w:val="left"/>
        </w:tabs>
        <w:numPr>
          <w:ilvl w:val="0"/>
          <w:numId w:val="163"/>
        </w:numPr>
        <w:rPr>
          <w:rFonts w:ascii="Arial" w:cs="Arial" w:eastAsia="Arial" w:hAnsi="Arial"/>
          <w:sz w:val="16"/>
          <w:szCs w:val="16"/>
          <w:color w:val="auto"/>
        </w:rPr>
      </w:pPr>
      <w:r>
        <w:rPr>
          <w:rFonts w:ascii="Arial" w:cs="Arial" w:eastAsia="Arial" w:hAnsi="Arial"/>
          <w:sz w:val="16"/>
          <w:szCs w:val="16"/>
          <w:i w:val="1"/>
          <w:iCs w:val="1"/>
          <w:color w:val="auto"/>
        </w:rPr>
        <w:t>Termination</w:t>
      </w:r>
      <w:r>
        <w:rPr>
          <w:rFonts w:ascii="Arial" w:cs="Arial" w:eastAsia="Arial" w:hAnsi="Arial"/>
          <w:sz w:val="16"/>
          <w:szCs w:val="16"/>
          <w:color w:val="auto"/>
        </w:rPr>
        <w:t>. The Underwriters may terminate this Agreement by notice given by the Representatives to the Company, if after the execution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of this Agreement and prior to the Closing Date (i) trading generally shall have been suspended or materially limited on, or by, as the case may be, any of the New York Stock Exchange, the NYSE MKT, The Nasdaq Global Market, the Chicago Board of Options Exchange, the Chicago Mercantile Exchange or the Chicago Board of Trade, (ii) trading of any securities of the Company shall have been suspended on any exchange or in any over-the-counter market, (iii) a material disruption in securities settlement, payment or clearance services in the United States shall have occurred, (iv) any moratorium on commercial banking activities shall have been declared by Federal or New York State authorities or (v) there shall have occurred any outbreak or escalation of hostilities, or any change in financial markets or any calamity or crisis that, in the Representatives’ judgment, is material and adverse and which, singly or together with any other event specified in this clause (v), makes it, in the Representatives’ judgment, impracticable or inadvisable to proceed with the offer, sale or delivery of the Shares on the terms and in the manner contemplated in the Time of Sale Prospectus or the Prospectus.</w:t>
      </w:r>
    </w:p>
    <w:p>
      <w:pPr>
        <w:sectPr>
          <w:pgSz w:w="11900" w:h="16838" w:orient="portrait"/>
          <w:cols w:equalWidth="0" w:num="1">
            <w:col w:w="10956"/>
          </w:cols>
          <w:pgMar w:left="704" w:top="274" w:right="239" w:bottom="1440" w:gutter="0" w:footer="0" w:header="0"/>
        </w:sectPr>
      </w:pPr>
    </w:p>
    <w:bookmarkStart w:id="271" w:name="page272"/>
    <w:bookmarkEnd w:id="271"/>
    <w:p>
      <w:pPr>
        <w:ind w:left="4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 </w:t>
      </w:r>
      <w:r>
        <w:rPr>
          <w:rFonts w:ascii="Arial" w:cs="Arial" w:eastAsia="Arial" w:hAnsi="Arial"/>
          <w:sz w:val="17"/>
          <w:szCs w:val="17"/>
          <w:i w:val="1"/>
          <w:iCs w:val="1"/>
          <w:color w:val="auto"/>
        </w:rPr>
        <w:t>Effectiveness; Defaulting Underwriters</w:t>
      </w:r>
      <w:r>
        <w:rPr>
          <w:rFonts w:ascii="Arial" w:cs="Arial" w:eastAsia="Arial" w:hAnsi="Arial"/>
          <w:sz w:val="17"/>
          <w:szCs w:val="17"/>
          <w:color w:val="auto"/>
        </w:rPr>
        <w:t>. This Agreement shall become effective upon the execution and delivery hereof by the parties hereto.</w:t>
      </w:r>
    </w:p>
    <w:p>
      <w:pPr>
        <w:spacing w:after="0" w:line="129"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If, on the Closing Date or an Option Closing Date, as the case may be, any one or more of the Underwriters shall fail or refuse to purchase Shares that it has or they have agreed to purchase hereunder on such date, and the aggregate number of Shares which such defaulting Underwriter or Underwriters agreed but failed or refused to purchase is not more than one-tenth of the aggregate number of the Shares to be purchased on such date, the other Underwriters shall be obligated severally in the proportions that the number of Firm Shares set forth opposite their respective names in Schedule I bears to the aggregate number of Firm Shares set forth opposite the names of all such non-defaulting Underwriters, or in such other proportions as the Representatives may specify, to purchase the Shares which such defaulting Underwriter or Underwriters agreed but failed or refused to purchase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no event shall the number of Shares that any Underwriter has agreed to purchase pursuant to this Agreement be increased pursuant to this Section 11 by an amount in excess of one-ninth of such number of Shares without the written consent of such Underwriter. If, on the Closing Date, any Underwriter or Underwriters shall fail or refuse to purchase Firm Shares and the aggregate number of Firm Shares with respect to which such default occurs is more than one-tenth of the aggregate number of Firm Shares to be purchased on such date, and arrangements satisfactory to the Representatives and the Company for the purchase of such Firm Shares are not made within 36 hours after such default, this Agreement shall terminate without liability on the part of any non-defaulting Underwriter or the Company. In any such case either the Representatives or the Company shall have the right to postpone the Closing Date, but in no event for longer than seven days, in order that the required changes, if any, in the Registration Statement, in the Time of Sale Prospectus, in the Prospectus or in any other documents or arrangements may be effected. If, on an Option Closing Date, any Underwriter or Underwriters shall fail or refuse to purchase Additional Shares and the aggregate number of Additional Shares with respect to which such default occurs is more than one-tenth of the aggregate number of Additional Shares to be purchased on such Option Closing Date, the non-defaulting Underwriters shall have the option to (i) terminate their obligation hereunder to purchase the Additional Shares to be sold on such Option Closing Date or (ii) purchase not less than the number of Additional Shares that such non-defaulting Underwriters would have been obligated to purchase in the absence of such default. Any action taken under this paragraph shall not relieve any defaulting Underwriter from liability in respect of any default of such Underwriter under this Agreement.</w:t>
      </w:r>
    </w:p>
    <w:p>
      <w:pPr>
        <w:spacing w:after="0" w:line="17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other than by reason of a default by the Underwriters, the Company will reimburse the non-defaulting Underwriters or such Underwriters as have so terminated this Agreement with respect to themselves, severally, for all out-of-pocket expenses (including the reasonably incurred and documented fees and disbursements of their counsel) reasonably incurred by such non-defaulting Underwriters in connection with this Agreement or the offering contemplated hereunder.</w:t>
      </w:r>
    </w:p>
    <w:p>
      <w:pPr>
        <w:sectPr>
          <w:pgSz w:w="11900" w:h="16838" w:orient="portrait"/>
          <w:cols w:equalWidth="0" w:num="1">
            <w:col w:w="11400"/>
          </w:cols>
          <w:pgMar w:left="240" w:top="274" w:right="259" w:bottom="1440" w:gutter="0" w:footer="0" w:header="0"/>
        </w:sectPr>
      </w:pPr>
    </w:p>
    <w:bookmarkStart w:id="272" w:name="page273"/>
    <w:bookmarkEnd w:id="272"/>
    <w:p>
      <w:pPr>
        <w:ind w:left="680" w:hanging="276"/>
        <w:spacing w:after="0"/>
        <w:tabs>
          <w:tab w:leader="none" w:pos="680"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00" w:firstLine="443"/>
        <w:spacing w:after="0" w:line="259" w:lineRule="auto"/>
        <w:tabs>
          <w:tab w:leader="none" w:pos="1083"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This Agreement, together with any contemporaneous written agreements and any prior written agreements (to the extent not superseded by this Agreement) that relate to the offering of the Shares, represents the entire agreement between the Company and the Underwriters with respect to the preparation of any preliminary prospectus, the Time of Sale Prospectus, the Prospectus, the conduct of the offering, and the purchase and sale of the Shares.</w:t>
      </w:r>
    </w:p>
    <w:p>
      <w:pPr>
        <w:spacing w:after="0" w:line="78" w:lineRule="exact"/>
        <w:rPr>
          <w:rFonts w:ascii="Arial" w:cs="Arial" w:eastAsia="Arial" w:hAnsi="Arial"/>
          <w:sz w:val="18"/>
          <w:szCs w:val="18"/>
          <w:color w:val="auto"/>
        </w:rPr>
      </w:pPr>
    </w:p>
    <w:p>
      <w:pPr>
        <w:ind w:left="400" w:firstLine="443"/>
        <w:spacing w:after="0" w:line="293" w:lineRule="auto"/>
        <w:tabs>
          <w:tab w:leader="none" w:pos="1093" w:val="left"/>
        </w:tabs>
        <w:numPr>
          <w:ilvl w:val="1"/>
          <w:numId w:val="164"/>
        </w:numPr>
        <w:rPr>
          <w:rFonts w:ascii="Arial" w:cs="Arial" w:eastAsia="Arial" w:hAnsi="Arial"/>
          <w:sz w:val="16"/>
          <w:szCs w:val="16"/>
          <w:color w:val="auto"/>
        </w:rPr>
      </w:pPr>
      <w:r>
        <w:rPr>
          <w:rFonts w:ascii="Arial" w:cs="Arial" w:eastAsia="Arial" w:hAnsi="Arial"/>
          <w:sz w:val="16"/>
          <w:szCs w:val="16"/>
          <w:color w:val="auto"/>
        </w:rPr>
        <w:t>The Company acknowledges that in connection with the offering of the Shares: (i) the Underwriters have acted at arms length, are not agents of, and owe no fiduciary duties to, the Company or any other person, (ii) the Underwriters owe the Company only those duties and obligations set forth in this Agreement and prior written agreements (to the extent not superseded by this Agreement), if any, (iii) the Underwriters may have interests that differ from those of the Company and (iv) the Underwriters are not advising the Company or any other person as to any legal, tax, investment, accounting or regulatory matters in any jurisdiction. The Company waives to the full extent permitted by applicable law any claims it may have against the Underwriters arising from an alleged breach of fiduciary duty in connection with the offering of the Shares.</w:t>
      </w:r>
    </w:p>
    <w:p>
      <w:pPr>
        <w:spacing w:after="0" w:line="164" w:lineRule="exact"/>
        <w:rPr>
          <w:rFonts w:ascii="Arial" w:cs="Arial" w:eastAsia="Arial" w:hAnsi="Arial"/>
          <w:sz w:val="16"/>
          <w:szCs w:val="16"/>
          <w:color w:val="auto"/>
        </w:rPr>
      </w:pPr>
    </w:p>
    <w:p>
      <w:pPr>
        <w:ind w:left="-60" w:right="600" w:firstLine="464"/>
        <w:spacing w:after="0" w:line="277" w:lineRule="auto"/>
        <w:tabs>
          <w:tab w:leader="none" w:pos="666"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Agreement may be signed in two or more counterparts, each of which shall be an original, with the same effect as if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signatures thereto and hereto were upon the same instrument.</w:t>
      </w:r>
    </w:p>
    <w:p>
      <w:pPr>
        <w:spacing w:after="0" w:line="170" w:lineRule="exact"/>
        <w:rPr>
          <w:rFonts w:ascii="Arial" w:cs="Arial" w:eastAsia="Arial" w:hAnsi="Arial"/>
          <w:sz w:val="18"/>
          <w:szCs w:val="18"/>
          <w:color w:val="auto"/>
        </w:rPr>
      </w:pPr>
    </w:p>
    <w:p>
      <w:pPr>
        <w:ind w:left="680" w:hanging="276"/>
        <w:spacing w:after="0"/>
        <w:tabs>
          <w:tab w:leader="none" w:pos="680"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Applicable Law</w:t>
      </w:r>
      <w:r>
        <w:rPr>
          <w:rFonts w:ascii="Arial" w:cs="Arial" w:eastAsia="Arial" w:hAnsi="Arial"/>
          <w:sz w:val="18"/>
          <w:szCs w:val="18"/>
          <w:color w:val="auto"/>
        </w:rPr>
        <w:t>. This Agreement shall be governed by and construed in accordance with the internal laws of the State of New York.</w:t>
      </w:r>
    </w:p>
    <w:p>
      <w:pPr>
        <w:spacing w:after="0" w:line="225" w:lineRule="exact"/>
        <w:rPr>
          <w:rFonts w:ascii="Arial" w:cs="Arial" w:eastAsia="Arial" w:hAnsi="Arial"/>
          <w:sz w:val="18"/>
          <w:szCs w:val="18"/>
          <w:color w:val="auto"/>
        </w:rPr>
      </w:pPr>
    </w:p>
    <w:p>
      <w:pPr>
        <w:ind w:left="-60" w:right="160" w:firstLine="464"/>
        <w:spacing w:after="0" w:line="277" w:lineRule="auto"/>
        <w:tabs>
          <w:tab w:leader="none" w:pos="666" w:val="left"/>
        </w:tabs>
        <w:numPr>
          <w:ilvl w:val="0"/>
          <w:numId w:val="164"/>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170" w:lineRule="exact"/>
        <w:rPr>
          <w:rFonts w:ascii="Arial" w:cs="Arial" w:eastAsia="Arial" w:hAnsi="Arial"/>
          <w:sz w:val="18"/>
          <w:szCs w:val="18"/>
          <w:color w:val="auto"/>
        </w:rPr>
      </w:pPr>
    </w:p>
    <w:p>
      <w:pPr>
        <w:ind w:left="-60" w:right="20" w:firstLine="464"/>
        <w:spacing w:after="0" w:line="291" w:lineRule="auto"/>
        <w:tabs>
          <w:tab w:leader="none" w:pos="666" w:val="left"/>
        </w:tabs>
        <w:numPr>
          <w:ilvl w:val="0"/>
          <w:numId w:val="164"/>
        </w:numPr>
        <w:rPr>
          <w:rFonts w:ascii="Arial" w:cs="Arial" w:eastAsia="Arial" w:hAnsi="Arial"/>
          <w:sz w:val="16"/>
          <w:szCs w:val="16"/>
          <w:color w:val="auto"/>
        </w:rPr>
      </w:pPr>
      <w:r>
        <w:rPr>
          <w:rFonts w:ascii="Arial" w:cs="Arial" w:eastAsia="Arial" w:hAnsi="Arial"/>
          <w:sz w:val="16"/>
          <w:szCs w:val="16"/>
          <w:i w:val="1"/>
          <w:iCs w:val="1"/>
          <w:color w:val="auto"/>
        </w:rPr>
        <w:t>Notices</w:t>
      </w:r>
      <w:r>
        <w:rPr>
          <w:rFonts w:ascii="Arial" w:cs="Arial" w:eastAsia="Arial" w:hAnsi="Arial"/>
          <w:sz w:val="16"/>
          <w:szCs w:val="16"/>
          <w:color w:val="auto"/>
        </w:rPr>
        <w:t>. All communications hereunder shall be in writing and effective only upon receipt and if to the Underwriters shall be delivered, mailed or</w:t>
      </w:r>
      <w:r>
        <w:rPr>
          <w:rFonts w:ascii="Arial" w:cs="Arial" w:eastAsia="Arial" w:hAnsi="Arial"/>
          <w:sz w:val="16"/>
          <w:szCs w:val="16"/>
          <w:i w:val="1"/>
          <w:iCs w:val="1"/>
          <w:color w:val="auto"/>
        </w:rPr>
        <w:t xml:space="preserve"> </w:t>
      </w:r>
      <w:r>
        <w:rPr>
          <w:rFonts w:ascii="Arial" w:cs="Arial" w:eastAsia="Arial" w:hAnsi="Arial"/>
          <w:sz w:val="16"/>
          <w:szCs w:val="16"/>
          <w:color w:val="auto"/>
        </w:rPr>
        <w:t>sent to the Representatives at c/o Morgan Stanley &amp; Co. LLC, 1585 Broadway, New York, New York 10036, Attention: Equity Syndicate Desk, with a copy to the Legal Department; c/o Cowen and Company, LLC, 599 Lexington Avenue, 27th Floor, New York, New York 10022; c/o Wells Fargo Securities, LLC, 375 Park Avenue, 7th Floor, New York, New York 10152 and, in each case, with a copy (which copy shall not constitute notice) to Ropes &amp; Gray LLP, Prudential Tower, 800 Boylston Street, Boston, Massachusetts 02199, Attention: Patrick O’Brien; and if to the Company, shall be delivered, mailed or sent to One Kendall Square, Building 300, Suite 201, Cambridge, Massachusetts 02139, Attention: Geoff MacKay, President and Chief Executive Officer, with a copy (which copy shall not constitute notice) to Goodwin Procter LLP, 100 Northern Avenue, Boston, Massachusetts 02210, Attention: Arthur McGivern.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1300"/>
          </w:cols>
          <w:pgMar w:left="300" w:top="274" w:right="299" w:bottom="1440" w:gutter="0" w:footer="0" w:header="0"/>
        </w:sectPr>
      </w:pPr>
    </w:p>
    <w:bookmarkStart w:id="273" w:name="page274"/>
    <w:bookmarkEnd w:id="273"/>
    <w:p>
      <w:pPr>
        <w:jc w:val="right"/>
        <w:ind w:right="2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Very truly yours,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AVROBIO, Inc.</w:t>
      </w:r>
    </w:p>
    <w:p>
      <w:pPr>
        <w:spacing w:after="0" w:line="26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hereof</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Acting severally on behalf of themselves and the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several Underwriters named in Schedule 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Morgan Stanley &amp; Co. LLC</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274" w:right="1440" w:bottom="1440" w:gutter="0" w:footer="0" w:header="0"/>
        </w:sectPr>
      </w:pPr>
    </w:p>
    <w:bookmarkStart w:id="274" w:name="page275"/>
    <w:bookmarkEnd w:id="274"/>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500" w:type="dxa"/>
            <w:vAlign w:val="bottom"/>
            <w:gridSpan w:val="2"/>
          </w:tcPr>
          <w:p>
            <w:pPr>
              <w:ind w:left="380"/>
              <w:spacing w:after="0"/>
              <w:rPr>
                <w:sz w:val="20"/>
                <w:szCs w:val="20"/>
                <w:color w:val="auto"/>
              </w:rPr>
            </w:pPr>
            <w:r>
              <w:rPr>
                <w:rFonts w:ascii="Arial" w:cs="Arial" w:eastAsia="Arial" w:hAnsi="Arial"/>
                <w:sz w:val="18"/>
                <w:szCs w:val="18"/>
                <w:b w:val="1"/>
                <w:bCs w:val="1"/>
                <w:color w:val="auto"/>
              </w:rPr>
              <w:t>SCHEDULE I</w:t>
            </w:r>
          </w:p>
        </w:tc>
        <w:tc>
          <w:tcPr>
            <w:tcW w:w="0" w:type="dxa"/>
            <w:vAlign w:val="bottom"/>
          </w:tcPr>
          <w:p>
            <w:pPr>
              <w:spacing w:after="0"/>
              <w:rPr>
                <w:sz w:val="1"/>
                <w:szCs w:val="1"/>
                <w:color w:val="auto"/>
              </w:rPr>
            </w:pPr>
          </w:p>
        </w:tc>
      </w:tr>
      <w:tr>
        <w:trPr>
          <w:trHeight w:val="369"/>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610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Number of Firm Shares</w:t>
            </w:r>
          </w:p>
        </w:tc>
        <w:tc>
          <w:tcPr>
            <w:tcW w:w="0" w:type="dxa"/>
            <w:vAlign w:val="bottom"/>
          </w:tcPr>
          <w:p>
            <w:pPr>
              <w:spacing w:after="0"/>
              <w:rPr>
                <w:sz w:val="1"/>
                <w:szCs w:val="1"/>
                <w:color w:val="auto"/>
              </w:rPr>
            </w:pPr>
          </w:p>
        </w:tc>
      </w:tr>
      <w:tr>
        <w:trPr>
          <w:trHeight w:val="171"/>
        </w:trPr>
        <w:tc>
          <w:tcPr>
            <w:tcW w:w="3840" w:type="dxa"/>
            <w:vAlign w:val="bottom"/>
            <w:gridSpan w:val="2"/>
            <w:vMerge w:val="continue"/>
          </w:tcPr>
          <w:p>
            <w:pPr>
              <w:spacing w:after="0"/>
              <w:rPr>
                <w:sz w:val="14"/>
                <w:szCs w:val="14"/>
                <w:color w:val="auto"/>
              </w:rPr>
            </w:pPr>
          </w:p>
        </w:tc>
        <w:tc>
          <w:tcPr>
            <w:tcW w:w="6100" w:type="dxa"/>
            <w:vAlign w:val="bottom"/>
          </w:tcPr>
          <w:p>
            <w:pPr>
              <w:spacing w:after="0"/>
              <w:rPr>
                <w:sz w:val="14"/>
                <w:szCs w:val="14"/>
                <w:color w:val="auto"/>
              </w:rPr>
            </w:pPr>
          </w:p>
        </w:tc>
        <w:tc>
          <w:tcPr>
            <w:tcW w:w="1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To Be Purchased</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&amp; Co. LLC</w:t>
            </w:r>
          </w:p>
        </w:tc>
        <w:tc>
          <w:tcPr>
            <w:tcW w:w="6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Cowen and Company, LLC</w:t>
            </w:r>
          </w:p>
        </w:tc>
        <w:tc>
          <w:tcPr>
            <w:tcW w:w="6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Securities, LLC</w:t>
            </w:r>
          </w:p>
        </w:tc>
        <w:tc>
          <w:tcPr>
            <w:tcW w:w="6100" w:type="dxa"/>
            <w:vAlign w:val="bottom"/>
            <w:shd w:val="clear" w:color="auto" w:fill="CCEEFF"/>
          </w:tcPr>
          <w:p>
            <w:pPr>
              <w:spacing w:after="0"/>
              <w:rPr>
                <w:sz w:val="18"/>
                <w:szCs w:val="18"/>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Wedbush Securities Inc.</w:t>
            </w:r>
          </w:p>
        </w:tc>
        <w:tc>
          <w:tcPr>
            <w:tcW w:w="61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61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600" w:type="dxa"/>
            <w:vAlign w:val="bottom"/>
            <w:gridSpan w:val="3"/>
          </w:tcPr>
          <w:p>
            <w:pPr>
              <w:ind w:left="1760"/>
              <w:spacing w:after="0"/>
              <w:rPr>
                <w:sz w:val="20"/>
                <w:szCs w:val="20"/>
                <w:color w:val="auto"/>
              </w:rPr>
            </w:pPr>
            <w:r>
              <w:rPr>
                <w:rFonts w:ascii="Arial" w:cs="Arial" w:eastAsia="Arial" w:hAnsi="Arial"/>
                <w:sz w:val="18"/>
                <w:szCs w:val="18"/>
                <w:color w:val="auto"/>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 of Sale Prospectus</w:t>
      </w:r>
    </w:p>
    <w:p>
      <w:pPr>
        <w:spacing w:after="0" w:line="256" w:lineRule="exact"/>
        <w:rPr>
          <w:sz w:val="20"/>
          <w:szCs w:val="20"/>
          <w:color w:val="auto"/>
        </w:rPr>
      </w:pPr>
    </w:p>
    <w:p>
      <w:pPr>
        <w:ind w:left="460" w:hanging="452"/>
        <w:spacing w:after="0"/>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Preliminary Prospectus dated [•]</w:t>
      </w:r>
    </w:p>
    <w:p>
      <w:pPr>
        <w:spacing w:after="0" w:line="252" w:lineRule="exact"/>
        <w:rPr>
          <w:rFonts w:ascii="Arial" w:cs="Arial" w:eastAsia="Arial" w:hAnsi="Arial"/>
          <w:sz w:val="18"/>
          <w:szCs w:val="18"/>
          <w:color w:val="auto"/>
        </w:rPr>
      </w:pPr>
    </w:p>
    <w:p>
      <w:pPr>
        <w:ind w:left="460" w:hanging="452"/>
        <w:spacing w:after="0"/>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[Identify all free writing prospectuses filed by the Company under Rule 433(d) of the Securities Act]</w:t>
      </w:r>
    </w:p>
    <w:p>
      <w:pPr>
        <w:spacing w:after="0" w:line="252" w:lineRule="exact"/>
        <w:rPr>
          <w:rFonts w:ascii="Arial" w:cs="Arial" w:eastAsia="Arial" w:hAnsi="Arial"/>
          <w:sz w:val="18"/>
          <w:szCs w:val="18"/>
          <w:color w:val="auto"/>
        </w:rPr>
      </w:pPr>
    </w:p>
    <w:p>
      <w:pPr>
        <w:ind w:left="460" w:right="140" w:hanging="452"/>
        <w:spacing w:after="0" w:line="277"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[Free writing prospectus containing a description of terms that does not reflect final terms, if the Time of Sale Prospectus does not include a final term sheet]</w:t>
      </w:r>
    </w:p>
    <w:p>
      <w:pPr>
        <w:spacing w:after="0" w:line="197"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[Orally communicated pricing information such as price per share and size of offering if a Rule 134 pricing term sheet is used at the time of sale instead of a pricing term sheet filed by the Company under Rule 433(d) as a free writing prospectus]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0" w:right="2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Testing-the-Waters Communications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1420"/>
          </w:cols>
          <w:pgMar w:left="240" w:top="270" w:right="2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LOCK-UP LETTER</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3128010</wp:posOffset>
            </wp:positionH>
            <wp:positionV relativeFrom="paragraph">
              <wp:posOffset>-7620</wp:posOffset>
            </wp:positionV>
            <wp:extent cx="71437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7">
                      <a:extLst>
                        <a:ext uri="{28A0092B-C50C-407E-A947-70E740481C1C}"/>
                      </a:extLst>
                    </a:blip>
                    <a:srcRect/>
                    <a:stretch>
                      <a:fillRect/>
                    </a:stretch>
                  </pic:blipFill>
                  <pic:spPr bwMode="auto">
                    <a:xfrm>
                      <a:off x="0" y="0"/>
                      <a:ext cx="71437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Representatives of the several Underwriters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Morgan Stanley &amp; Co.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1585 Broadway</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Cowen and Company, LLC</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599 Lexington Avenue, 27th Floor</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right="320" w:firstLine="456"/>
        <w:spacing w:after="0" w:line="277" w:lineRule="auto"/>
        <w:rPr>
          <w:sz w:val="20"/>
          <w:szCs w:val="20"/>
          <w:color w:val="auto"/>
        </w:rPr>
      </w:pPr>
      <w:r>
        <w:rPr>
          <w:rFonts w:ascii="Arial" w:cs="Arial" w:eastAsia="Arial" w:hAnsi="Arial"/>
          <w:sz w:val="17"/>
          <w:szCs w:val="17"/>
          <w:color w:val="auto"/>
        </w:rPr>
        <w:t>The undersigned understands that Morgan Stanley &amp; Co. LLC and Cowen and Company, LLC, as representatives (the “</w:t>
      </w:r>
      <w:r>
        <w:rPr>
          <w:rFonts w:ascii="Arial" w:cs="Arial" w:eastAsia="Arial" w:hAnsi="Arial"/>
          <w:sz w:val="17"/>
          <w:szCs w:val="17"/>
          <w:b w:val="1"/>
          <w:bCs w:val="1"/>
          <w:color w:val="auto"/>
        </w:rPr>
        <w:t>Representatives</w:t>
      </w:r>
      <w:r>
        <w:rPr>
          <w:rFonts w:ascii="Arial" w:cs="Arial" w:eastAsia="Arial" w:hAnsi="Arial"/>
          <w:sz w:val="17"/>
          <w:szCs w:val="17"/>
          <w:color w:val="auto"/>
        </w:rPr>
        <w:t>”) of the several underwriters (the “</w:t>
      </w:r>
      <w:r>
        <w:rPr>
          <w:rFonts w:ascii="Arial" w:cs="Arial" w:eastAsia="Arial" w:hAnsi="Arial"/>
          <w:sz w:val="17"/>
          <w:szCs w:val="17"/>
          <w:b w:val="1"/>
          <w:bCs w:val="1"/>
          <w:color w:val="auto"/>
        </w:rPr>
        <w:t>Underwriters</w:t>
      </w:r>
      <w:r>
        <w:rPr>
          <w:rFonts w:ascii="Arial" w:cs="Arial" w:eastAsia="Arial" w:hAnsi="Arial"/>
          <w:sz w:val="17"/>
          <w:szCs w:val="17"/>
          <w:color w:val="auto"/>
        </w:rPr>
        <w:t>”), propose to enter into an underwriting agreement (the “</w:t>
      </w:r>
      <w:r>
        <w:rPr>
          <w:rFonts w:ascii="Arial" w:cs="Arial" w:eastAsia="Arial" w:hAnsi="Arial"/>
          <w:sz w:val="17"/>
          <w:szCs w:val="17"/>
          <w:b w:val="1"/>
          <w:bCs w:val="1"/>
          <w:color w:val="auto"/>
        </w:rPr>
        <w:t>Underwriting Agreement</w:t>
      </w:r>
      <w:r>
        <w:rPr>
          <w:rFonts w:ascii="Arial" w:cs="Arial" w:eastAsia="Arial" w:hAnsi="Arial"/>
          <w:sz w:val="17"/>
          <w:szCs w:val="17"/>
          <w:color w:val="auto"/>
        </w:rPr>
        <w:t>”) with AVROBIO,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providing for the public offering (the “</w:t>
      </w:r>
      <w:r>
        <w:rPr>
          <w:rFonts w:ascii="Arial" w:cs="Arial" w:eastAsia="Arial" w:hAnsi="Arial"/>
          <w:sz w:val="17"/>
          <w:szCs w:val="17"/>
          <w:b w:val="1"/>
          <w:bCs w:val="1"/>
          <w:color w:val="auto"/>
        </w:rPr>
        <w:t>Public Offering</w:t>
      </w:r>
      <w:r>
        <w:rPr>
          <w:rFonts w:ascii="Arial" w:cs="Arial" w:eastAsia="Arial" w:hAnsi="Arial"/>
          <w:sz w:val="17"/>
          <w:szCs w:val="17"/>
          <w:color w:val="auto"/>
        </w:rPr>
        <w:t>”) by the Underwriters, including the Representatives, of shares (the “</w:t>
      </w:r>
      <w:r>
        <w:rPr>
          <w:rFonts w:ascii="Arial" w:cs="Arial" w:eastAsia="Arial" w:hAnsi="Arial"/>
          <w:sz w:val="17"/>
          <w:szCs w:val="17"/>
          <w:b w:val="1"/>
          <w:bCs w:val="1"/>
          <w:color w:val="auto"/>
        </w:rPr>
        <w:t>Shares</w:t>
      </w:r>
      <w:r>
        <w:rPr>
          <w:rFonts w:ascii="Arial" w:cs="Arial" w:eastAsia="Arial" w:hAnsi="Arial"/>
          <w:sz w:val="17"/>
          <w:szCs w:val="17"/>
          <w:color w:val="auto"/>
        </w:rPr>
        <w:t>”) of the common stock, par value $0.0001 per share, of the Company (the “</w:t>
      </w:r>
      <w:r>
        <w:rPr>
          <w:rFonts w:ascii="Arial" w:cs="Arial" w:eastAsia="Arial" w:hAnsi="Arial"/>
          <w:sz w:val="17"/>
          <w:szCs w:val="17"/>
          <w:b w:val="1"/>
          <w:bCs w:val="1"/>
          <w:color w:val="auto"/>
        </w:rPr>
        <w:t>Common Stock</w:t>
      </w:r>
      <w:r>
        <w:rPr>
          <w:rFonts w:ascii="Arial" w:cs="Arial" w:eastAsia="Arial" w:hAnsi="Arial"/>
          <w:sz w:val="17"/>
          <w:szCs w:val="17"/>
          <w:color w:val="auto"/>
        </w:rPr>
        <w:t>”). Capitalized terms used but not defined herein shall have the meanings assigned thereto in the Underwriting Agreement.</w:t>
      </w:r>
    </w:p>
    <w:p>
      <w:pPr>
        <w:spacing w:after="0" w:line="17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To induce the Underwriters that may participate in the Public Offering to continue their efforts in connection with the Public Offering, the undersigned hereby agrees that, without the prior written consent of each of the Representatives on behalf of the Underwriters, it will not, during the period commencing on the date hereof and ending 180 days after the date of the final prospectus relating to the Public Offering (the “</w:t>
      </w:r>
      <w:r>
        <w:rPr>
          <w:rFonts w:ascii="Arial" w:cs="Arial" w:eastAsia="Arial" w:hAnsi="Arial"/>
          <w:sz w:val="16"/>
          <w:szCs w:val="16"/>
          <w:b w:val="1"/>
          <w:bCs w:val="1"/>
          <w:color w:val="auto"/>
        </w:rPr>
        <w:t>Restricted Period</w:t>
      </w:r>
      <w:r>
        <w:rPr>
          <w:rFonts w:ascii="Arial" w:cs="Arial" w:eastAsia="Arial" w:hAnsi="Arial"/>
          <w:sz w:val="16"/>
          <w:szCs w:val="16"/>
          <w:color w:val="auto"/>
        </w:rPr>
        <w:t>”), (1)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by the undersigned or any other securities so owned that are convertible into or exercisable or exchangeable for Common Stock or (2) enter into any swap or other arrangement that transfers to another, in whole or in part, any of the economic consequences of ownership of shares of Common Stock, whether any such transaction described in clause (1) or (2) above is to be settled by delivery of shares of Common Stock or such other securities, in cash or otherwise. The foregoing sentence shall not apply 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0" w:right="239" w:bottom="1440" w:gutter="0" w:footer="0" w:header="0"/>
        </w:sectPr>
      </w:pPr>
    </w:p>
    <w:bookmarkStart w:id="278" w:name="page279"/>
    <w:bookmarkEnd w:id="278"/>
    <w:p>
      <w:pPr>
        <w:ind w:left="-60" w:right="240" w:firstLine="464"/>
        <w:spacing w:after="0" w:line="264" w:lineRule="auto"/>
        <w:tabs>
          <w:tab w:leader="none" w:pos="641" w:val="left"/>
        </w:tabs>
        <w:numPr>
          <w:ilvl w:val="0"/>
          <w:numId w:val="1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transactions relating to shares of Common Stock or other securities acquired in the Public Offering (other than, if the undersigned is an officer or director of the Company, any issuer-directed shares of Common Stock purchased in the Public Offering by such officer or director of the Company) or in open market transactions after the completion of the Public Offering;</w:t>
      </w:r>
    </w:p>
    <w:p>
      <w:pPr>
        <w:spacing w:after="0" w:line="73" w:lineRule="exact"/>
        <w:rPr>
          <w:rFonts w:ascii="Arial" w:cs="Arial" w:eastAsia="Arial" w:hAnsi="Arial"/>
          <w:sz w:val="18"/>
          <w:szCs w:val="18"/>
          <w:color w:val="auto"/>
        </w:rPr>
      </w:pPr>
    </w:p>
    <w:p>
      <w:pPr>
        <w:ind w:left="660" w:hanging="256"/>
        <w:spacing w:after="0"/>
        <w:tabs>
          <w:tab w:leader="none" w:pos="6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as a bona fide gift;</w:t>
      </w:r>
    </w:p>
    <w:p>
      <w:pPr>
        <w:spacing w:after="0" w:line="128" w:lineRule="exact"/>
        <w:rPr>
          <w:rFonts w:ascii="Arial" w:cs="Arial" w:eastAsia="Arial" w:hAnsi="Arial"/>
          <w:sz w:val="17"/>
          <w:szCs w:val="17"/>
          <w:color w:val="auto"/>
        </w:rPr>
      </w:pPr>
    </w:p>
    <w:p>
      <w:pPr>
        <w:ind w:left="-60" w:right="40" w:firstLine="464"/>
        <w:spacing w:after="0" w:line="302" w:lineRule="auto"/>
        <w:tabs>
          <w:tab w:leader="none" w:pos="641" w:val="left"/>
        </w:tabs>
        <w:numPr>
          <w:ilvl w:val="0"/>
          <w:numId w:val="166"/>
        </w:numPr>
        <w:rPr>
          <w:rFonts w:ascii="Arial" w:cs="Arial" w:eastAsia="Arial" w:hAnsi="Arial"/>
          <w:sz w:val="16"/>
          <w:szCs w:val="16"/>
          <w:color w:val="auto"/>
        </w:rPr>
      </w:pPr>
      <w:r>
        <w:rPr>
          <w:rFonts w:ascii="Arial" w:cs="Arial" w:eastAsia="Arial" w:hAnsi="Arial"/>
          <w:sz w:val="16"/>
          <w:szCs w:val="16"/>
          <w:color w:val="auto"/>
        </w:rPr>
        <w:t>distributions of shares of Common Stock or any security convertible into or exercisable or exchangeable for Common Stock to limited partners, stockholders, members, general partners, managers, directors, officers or employees or trust beneficiaries of the undersigned or of the undersigned’s affiliates (as defined in Rule 405 promulgated under the Securities Act of 1933, as amended) or to any investment fund or other entity that is directly or indirectly controlling, controlled by, managing or managed by or under common control with the undersigned or the undersigned’s affiliates;</w:t>
      </w:r>
    </w:p>
    <w:p>
      <w:pPr>
        <w:spacing w:after="0" w:line="46" w:lineRule="exact"/>
        <w:rPr>
          <w:rFonts w:ascii="Arial" w:cs="Arial" w:eastAsia="Arial" w:hAnsi="Arial"/>
          <w:sz w:val="16"/>
          <w:szCs w:val="16"/>
          <w:color w:val="auto"/>
        </w:rPr>
      </w:pPr>
    </w:p>
    <w:p>
      <w:pPr>
        <w:ind w:left="-60" w:right="20" w:firstLine="464"/>
        <w:spacing w:after="0" w:line="277" w:lineRule="auto"/>
        <w:tabs>
          <w:tab w:leader="none" w:pos="65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 xml:space="preserve">the establishment of a trading plan pursuant to Rule 10b5-1 under the Exchange Act for the transfer of shares of Common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plan does not provide for the transfer of shares of Common Stock during the Restricted Period;</w:t>
      </w:r>
    </w:p>
    <w:p>
      <w:pPr>
        <w:spacing w:after="0" w:line="62" w:lineRule="exact"/>
        <w:rPr>
          <w:rFonts w:ascii="Arial" w:cs="Arial" w:eastAsia="Arial" w:hAnsi="Arial"/>
          <w:sz w:val="18"/>
          <w:szCs w:val="18"/>
          <w:color w:val="auto"/>
        </w:rPr>
      </w:pPr>
    </w:p>
    <w:p>
      <w:pPr>
        <w:ind w:left="-60" w:right="160" w:firstLine="464"/>
        <w:spacing w:after="0" w:line="342" w:lineRule="auto"/>
        <w:tabs>
          <w:tab w:leader="none" w:pos="641"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transfers or dispositions of shares of Common Stock or other securities to any member of the immediate family of the undersigned or any trust for the direct or indirect benefit of the undersigned or the immediate family of the undersigned in a transaction not involving a disposition for value;</w:t>
      </w:r>
    </w:p>
    <w:p>
      <w:pPr>
        <w:spacing w:after="0" w:line="15" w:lineRule="exact"/>
        <w:rPr>
          <w:rFonts w:ascii="Arial" w:cs="Arial" w:eastAsia="Arial" w:hAnsi="Arial"/>
          <w:sz w:val="16"/>
          <w:szCs w:val="16"/>
          <w:color w:val="auto"/>
        </w:rPr>
      </w:pPr>
    </w:p>
    <w:p>
      <w:pPr>
        <w:ind w:left="-60" w:right="20" w:firstLine="464"/>
        <w:spacing w:after="0" w:line="255" w:lineRule="auto"/>
        <w:tabs>
          <w:tab w:leader="none" w:pos="62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any security convertible into or exercisable or exchangeable for Common Stock to any corporation, partnership, limited liability company or other entity that is directly or indirectly controlling, controlled by, managing or managed by or under common control with the undersigned or the undersigned’s affiliates; including, for the avoidance of doubt, transfers or distributions of shares of Common Stock or any securities convertible into or exercisable or exchangeable for Common Stock to a fund managed by the same manager or managing member or general partner or management company or by an entity controlling, controlled by, or under common control with such manager or managing member or general partner or management company as the undersigned or who shares a common investment advisor with the undersigned, in a transaction not involving a disposition for value;</w:t>
      </w:r>
    </w:p>
    <w:p>
      <w:pPr>
        <w:spacing w:after="0" w:line="81" w:lineRule="exact"/>
        <w:rPr>
          <w:rFonts w:ascii="Arial" w:cs="Arial" w:eastAsia="Arial" w:hAnsi="Arial"/>
          <w:sz w:val="18"/>
          <w:szCs w:val="18"/>
          <w:color w:val="auto"/>
        </w:rPr>
      </w:pPr>
    </w:p>
    <w:p>
      <w:pPr>
        <w:ind w:left="-60" w:firstLine="464"/>
        <w:spacing w:after="0" w:line="264" w:lineRule="auto"/>
        <w:tabs>
          <w:tab w:leader="none" w:pos="65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transfers or dispositions of shares for Common Stock or other securities (x) by will, other testamentary document or intestate succession to the legal representative, heir, beneficiary or a member of the immediate family of the undersigned upon the death of the undersigned, or (y) by operation of law pursuant to a domestic order or negotiated divorce settlement;</w:t>
      </w:r>
    </w:p>
    <w:p>
      <w:pPr>
        <w:spacing w:after="0" w:line="73" w:lineRule="exact"/>
        <w:rPr>
          <w:rFonts w:ascii="Arial" w:cs="Arial" w:eastAsia="Arial" w:hAnsi="Arial"/>
          <w:sz w:val="18"/>
          <w:szCs w:val="18"/>
          <w:color w:val="auto"/>
        </w:rPr>
      </w:pPr>
    </w:p>
    <w:p>
      <w:pPr>
        <w:ind w:left="-60" w:right="220" w:firstLine="464"/>
        <w:spacing w:after="0" w:line="264" w:lineRule="auto"/>
        <w:tabs>
          <w:tab w:leader="none" w:pos="65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transfers or dispositions of shares of Common Stock or any security convertible into or exercisable or exchangeable for Common Stock to the Company pursuant to any contractual arrangement in effect prior to the date hereof and disclosed to the Representatives that provides for the repurchase of the undersigned’s Common Stock or other securities by the Company or 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20"/>
          </w:cols>
          <w:pgMar w:left="300" w:top="274" w:right="279" w:bottom="1440" w:gutter="0" w:footer="0" w:header="0"/>
        </w:sectPr>
      </w:pPr>
    </w:p>
    <w:bookmarkStart w:id="279" w:name="page280"/>
    <w:bookmarkEnd w:id="27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connection with the termination of the undersigned’s employment with or service to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repurchase price for any such shares of Common Stock or other securities shall not exceed the original purchase price (subject to appropriate adjustment in the event of any stock dividend, stock split, combination or other similar recapitalization) paid by the undersigned to the Company for such shares or securities,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public announcement or public filing under Section 16(a) of the Exchange Act required to be made during the Restricted Period in connection with such transfer or disposition shall clearly indicate in the footnotes thereto or comments section thereof that such transfer or disposition was made solely to the Company pursuant to the circumstances described in this clause (h);</w:t>
      </w:r>
    </w:p>
    <w:p>
      <w:pPr>
        <w:spacing w:after="0" w:line="85" w:lineRule="exact"/>
        <w:rPr>
          <w:sz w:val="20"/>
          <w:szCs w:val="20"/>
          <w:color w:val="auto"/>
        </w:rPr>
      </w:pPr>
    </w:p>
    <w:p>
      <w:pPr>
        <w:ind w:firstLine="464"/>
        <w:spacing w:after="0" w:line="291" w:lineRule="auto"/>
        <w:tabs>
          <w:tab w:leader="none" w:pos="671"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the conversion of any convertible preferred stock described in the Prospectus and outstanding as of the date of the Prospectus into, or the exercise of any option or warrant described in the Prospectus and outstanding as of the date of the Prospectus for,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shares of Common Stock received by the undersigned shall be subject to the terms of this letter; </w:t>
      </w:r>
      <w:r>
        <w:rPr>
          <w:rFonts w:ascii="Arial" w:cs="Arial" w:eastAsia="Arial" w:hAnsi="Arial"/>
          <w:sz w:val="16"/>
          <w:szCs w:val="16"/>
          <w:i w:val="1"/>
          <w:iCs w:val="1"/>
          <w:color w:val="auto"/>
        </w:rPr>
        <w:t>provided, further</w:t>
      </w:r>
      <w:r>
        <w:rPr>
          <w:rFonts w:ascii="Arial" w:cs="Arial" w:eastAsia="Arial" w:hAnsi="Arial"/>
          <w:sz w:val="16"/>
          <w:szCs w:val="16"/>
          <w:color w:val="auto"/>
        </w:rPr>
        <w:t>, that any public filing or public announcement under Section 16(a) of the Exchange Act required during the Restricted Period in connection with the conversion of such preferred stock or the exercise of such stock option or warrant shall clearly indicate in the footnotes thereto or comments section thereof that the filing relates to the conversion of preferred stock or the exercise of a stock option or warrant, as the case may be, that no shares of Common Stock were sold by the reporting person and that the shares of Common Stock received upon exercise of the stock option or warrant are subject to a lock-up agreement with the Underwriters of the Public Offering;</w:t>
      </w:r>
    </w:p>
    <w:p>
      <w:pPr>
        <w:spacing w:after="0" w:line="59" w:lineRule="exact"/>
        <w:rPr>
          <w:rFonts w:ascii="Arial" w:cs="Arial" w:eastAsia="Arial" w:hAnsi="Arial"/>
          <w:sz w:val="16"/>
          <w:szCs w:val="16"/>
          <w:color w:val="auto"/>
        </w:rPr>
      </w:pPr>
    </w:p>
    <w:p>
      <w:pPr>
        <w:ind w:right="160" w:firstLine="464"/>
        <w:spacing w:after="0" w:line="264" w:lineRule="auto"/>
        <w:tabs>
          <w:tab w:leader="none" w:pos="671"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transfers or dispositions of title to (but not beneficial ownership of) shares of Common Stock or other securities to a nominee or custodian of a person or entity to whom a disposition or transfer would be permissible under any of the foregoing clauses;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shares of Common Stock or other securities shall remain subject to the terms of this letter; or</w:t>
      </w:r>
    </w:p>
    <w:p>
      <w:pPr>
        <w:spacing w:after="0" w:line="73" w:lineRule="exact"/>
        <w:rPr>
          <w:rFonts w:ascii="Arial" w:cs="Arial" w:eastAsia="Arial" w:hAnsi="Arial"/>
          <w:sz w:val="18"/>
          <w:szCs w:val="18"/>
          <w:color w:val="auto"/>
        </w:rPr>
      </w:pPr>
    </w:p>
    <w:p>
      <w:pPr>
        <w:ind w:right="40" w:firstLine="464"/>
        <w:spacing w:after="0" w:line="293" w:lineRule="auto"/>
        <w:tabs>
          <w:tab w:leader="none" w:pos="711" w:val="left"/>
        </w:tabs>
        <w:numPr>
          <w:ilvl w:val="0"/>
          <w:numId w:val="167"/>
        </w:numPr>
        <w:rPr>
          <w:rFonts w:ascii="Arial" w:cs="Arial" w:eastAsia="Arial" w:hAnsi="Arial"/>
          <w:sz w:val="16"/>
          <w:szCs w:val="16"/>
          <w:color w:val="auto"/>
        </w:rPr>
      </w:pPr>
      <w:r>
        <w:rPr>
          <w:rFonts w:ascii="Arial" w:cs="Arial" w:eastAsia="Arial" w:hAnsi="Arial"/>
          <w:sz w:val="16"/>
          <w:szCs w:val="16"/>
          <w:color w:val="auto"/>
        </w:rPr>
        <w:t>transfers or dispositions of shares of Common Stock or such other securities pursuant to a bona fide tender offer for shares of the Company’s capital stock, merger, consolidation or other similar transaction made to all holders of the Company’s securities involving a Change of Control (as defined below) of the Company (including without limitation, the entering into of any lock-up, voting or similar agreement pursuant to which the undersigned may agree to transfer, sell, tender or otherwise dispose of shares of Common Stock or other securities in connection with such transaction) that has been approved by the board of directors of the Company, provided that, in the event that such Change of Control transaction is not consummated, this clause (k) shall not be applicable and the undersigned’s shares and other securities shall remain subject to the restrictions contained in this letter;</w:t>
      </w:r>
    </w:p>
    <w:p>
      <w:pPr>
        <w:spacing w:after="0" w:line="16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in the case of any transfer or distribution pursuant to clauses (b), (c), (e), (f) or (g), each transferee or distributee shall sign and deliver to each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the Representatives a lock-up letter substantially in the form of this letter;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in the case of any transfer or distribution pursuant to clauses (a), (b), (c), (d), (e), (f), (g), or (j), no public announcement or public filing under Section 16(a) of the Exchange Act relating to such transfer or distribution shall be required or shall be voluntarily made during the Restricted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4" w:right="239" w:bottom="1440" w:gutter="0" w:footer="0" w:header="0"/>
        </w:sectPr>
      </w:pPr>
    </w:p>
    <w:bookmarkStart w:id="280" w:name="page281"/>
    <w:bookmarkEnd w:id="280"/>
    <w:p>
      <w:pPr>
        <w:ind w:right="16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this letter, “</w:t>
      </w:r>
      <w:r>
        <w:rPr>
          <w:rFonts w:ascii="Arial" w:cs="Arial" w:eastAsia="Arial" w:hAnsi="Arial"/>
          <w:sz w:val="16"/>
          <w:szCs w:val="16"/>
          <w:b w:val="1"/>
          <w:bCs w:val="1"/>
          <w:color w:val="auto"/>
        </w:rPr>
        <w:t>immediate family</w:t>
      </w:r>
      <w:r>
        <w:rPr>
          <w:rFonts w:ascii="Arial" w:cs="Arial" w:eastAsia="Arial" w:hAnsi="Arial"/>
          <w:sz w:val="16"/>
          <w:szCs w:val="16"/>
          <w:color w:val="auto"/>
        </w:rPr>
        <w:t>” shall mean any relationship by blood, marriage, domestic partnership or adoption, not more remote than first cousin, and “</w:t>
      </w:r>
      <w:r>
        <w:rPr>
          <w:rFonts w:ascii="Arial" w:cs="Arial" w:eastAsia="Arial" w:hAnsi="Arial"/>
          <w:sz w:val="16"/>
          <w:szCs w:val="16"/>
          <w:b w:val="1"/>
          <w:bCs w:val="1"/>
          <w:color w:val="auto"/>
        </w:rPr>
        <w:t>Change of Control</w:t>
      </w:r>
      <w:r>
        <w:rPr>
          <w:rFonts w:ascii="Arial" w:cs="Arial" w:eastAsia="Arial" w:hAnsi="Arial"/>
          <w:sz w:val="16"/>
          <w:szCs w:val="16"/>
          <w:color w:val="auto"/>
        </w:rPr>
        <w:t>” shall mean the transfer (whether by tender offer, merger, consolidation or other similar transaction), in one transaction or a series of related transactions, to a person or group of affiliated persons (other than an Underwriter pursuant to the Public Offering), of the Company’s voting securities if, after such transfer, such person or group of affiliated persons would hold at least 90% of the outstanding voting securities of the Company (or the surviving entity), provided that, for the avoidance of doubt, the Public Offering shall not constitute a Change of Control.</w:t>
      </w:r>
    </w:p>
    <w:p>
      <w:pPr>
        <w:spacing w:after="0" w:line="158"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addition, the undersigned agrees that, without the prior written consent of each of the Representatives ,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15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If the undersigned is an officer or director of the Company, the undersigned further agrees that the foregoing provisions shall be equally applicable to any issuer-directed shares of Common Stock the undersigned may purchase in the Public Offering.</w:t>
      </w:r>
    </w:p>
    <w:p>
      <w:pPr>
        <w:spacing w:after="0" w:line="17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If the undersigned is an officer or director of the Company, (i) each of the Representatives agrees that, at least three business days before the effective date of any release or waiver of the foregoing restrictions in connection with a transfer of shares of Common Stock, the Representatives will notify the Company of the impending release or waiver, and (ii) the Company has agreed or will agree in the Underwriting Agreement to announce the impending release or waiver by press release through a major news service at least two business days before the effective date of the release or waiver. Any release or waiver granted by the Representatives hereunder to any such officer or director shall only be effective two business days after the publication date of such press release. The provisions of this paragraph will not apply if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w:t>
      </w:r>
    </w:p>
    <w:p>
      <w:pPr>
        <w:spacing w:after="0" w:line="192"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undersigned understands that the Company and the Underwriters are relying upon this letter in proceeding toward consummation of the Public Offering. The undersigned further understands that this letter is irrevocable and shall be binding upon the undersigned’s heirs, legal representatives, successors and assigns.</w:t>
      </w:r>
    </w:p>
    <w:p>
      <w:pPr>
        <w:spacing w:after="0" w:line="181" w:lineRule="exact"/>
        <w:rPr>
          <w:sz w:val="20"/>
          <w:szCs w:val="20"/>
          <w:color w:val="auto"/>
        </w:rPr>
      </w:pPr>
    </w:p>
    <w:p>
      <w:pPr>
        <w:ind w:right="400" w:firstLine="456"/>
        <w:spacing w:after="0" w:line="308" w:lineRule="auto"/>
        <w:rPr>
          <w:sz w:val="20"/>
          <w:szCs w:val="20"/>
          <w:color w:val="auto"/>
        </w:rPr>
      </w:pPr>
      <w:r>
        <w:rPr>
          <w:rFonts w:ascii="Arial" w:cs="Arial" w:eastAsia="Arial" w:hAnsi="Arial"/>
          <w:sz w:val="17"/>
          <w:szCs w:val="17"/>
          <w:color w:val="auto"/>
        </w:rPr>
        <w:t>Whether or not the Public Offering actually occurs depends on a number of factors, including market conditions. Any Public Offering will only be made pursuant to an Underwriting Agreement, the terms of which are subject to negotiation between the Company and the Underwriters.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70" w:right="259" w:bottom="1440" w:gutter="0" w:footer="0" w:header="0"/>
        </w:sectPr>
      </w:pPr>
    </w:p>
    <w:bookmarkStart w:id="281" w:name="page282"/>
    <w:bookmarkEnd w:id="281"/>
    <w:p>
      <w:pPr>
        <w:jc w:val="both"/>
        <w:ind w:right="60"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undersigned understands that, if (i) the Representatives, on the one hand, or the Company, on the other hand, informs the other in writing, prior to the execution of the Underwriting Agreement, that it has determined not to proceed with the Public Offering, (ii) the Underwriting Agreement (other than the provisions thereof which survive termination) shall terminate or be terminated prior to payment for and delivery of the securities to be sold thereunder,</w:t>
      </w:r>
    </w:p>
    <w:p>
      <w:pPr>
        <w:ind w:firstLine="8"/>
        <w:spacing w:after="0" w:line="254" w:lineRule="auto"/>
        <w:tabs>
          <w:tab w:leader="none" w:pos="31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registration statement related to the Public Offering is withdrawn prior to execution of the Underwriting Agreement or (iv) the Underwriting Agreement is not executed on or before September 30, 2018 (which date may be extended for an additional three months by the Company upon written notice to the undersigned), then, in each case, this letter shall automatically, and without any action on the part of any other party, be of no further force and effect, and the undersigned shall be automatically released from all obligations under this letter.</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00"/>
          </w:cols>
          <w:pgMar w:left="240" w:top="274" w:right="259" w:bottom="1440" w:gutter="0" w:footer="0" w:header="0"/>
        </w:sectPr>
      </w:pPr>
    </w:p>
    <w:bookmarkStart w:id="282" w:name="page283"/>
    <w:bookmarkEnd w:id="282"/>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167005</wp:posOffset>
            </wp:positionV>
            <wp:extent cx="289877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5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152400</wp:posOffset>
            </wp:positionV>
            <wp:extent cx="289877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Address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A-6</w:t>
      </w:r>
    </w:p>
    <w:p>
      <w:pPr>
        <w:sectPr>
          <w:pgSz w:w="11900" w:h="16838" w:orient="portrait"/>
          <w:cols w:equalWidth="0" w:num="1">
            <w:col w:w="9019"/>
          </w:cols>
          <w:pgMar w:left="1440" w:top="274" w:right="1440"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WAIVER OF LOCK-UP</w:t>
      </w:r>
    </w:p>
    <w:p>
      <w:pPr>
        <w:spacing w:after="0" w:line="22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_____________, 20__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letter is being delivered to you in connection with the offering by AVROBIO,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of _____ shares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common stock, par value $0.0001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and the lock-up letter dated ____, 2018 (the “</w:t>
      </w:r>
      <w:r>
        <w:rPr>
          <w:rFonts w:ascii="Arial" w:cs="Arial" w:eastAsia="Arial" w:hAnsi="Arial"/>
          <w:sz w:val="17"/>
          <w:szCs w:val="17"/>
          <w:b w:val="1"/>
          <w:bCs w:val="1"/>
          <w:color w:val="auto"/>
        </w:rPr>
        <w:t>Lock-up Letter</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executed by you in connection with such offering, and your request for a [waiver] [release] dated ____, 20__, with respect to ____ shares of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21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Each of Morgan Stanley &amp; Co. LLC and Cowen and Company, LLC hereby agrees to [waive] [release] the transfer restrictions set forth in the Lock-up Letter, but only with respect to the Shares, effective _____, 20__; provided, however, that such [waiver] [release] is conditioned on the Company announcing</w:t>
      </w:r>
    </w:p>
    <w:p>
      <w:pPr>
        <w:ind w:right="20"/>
        <w:spacing w:after="0" w:line="261" w:lineRule="auto"/>
        <w:rPr>
          <w:sz w:val="20"/>
          <w:szCs w:val="20"/>
          <w:color w:val="auto"/>
        </w:rPr>
      </w:pPr>
      <w:r>
        <w:rPr>
          <w:rFonts w:ascii="Arial" w:cs="Arial" w:eastAsia="Arial" w:hAnsi="Arial"/>
          <w:sz w:val="18"/>
          <w:szCs w:val="18"/>
          <w:color w:val="auto"/>
        </w:rPr>
        <w:t>the impending [waiver] [release] by press release through a major news service at least two business days before effectiveness of such [waiver] [release]. This letter will serve as notice to the Company of the impending [waiver] [release].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Acting severally on behalf of themselves</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and the several Underwriters named in</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Schedule I to the Underwriting Agreement</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cc: Company</w:t>
      </w:r>
    </w:p>
    <w:p>
      <w:pPr>
        <w:sectPr>
          <w:pgSz w:w="11900" w:h="16838" w:orient="portrait"/>
          <w:cols w:equalWidth="0" w:num="1">
            <w:col w:w="11420"/>
          </w:cols>
          <w:pgMar w:left="240" w:top="270" w:right="239" w:bottom="1440" w:gutter="0" w:footer="0" w:header="0"/>
        </w:sectPr>
      </w:pPr>
    </w:p>
    <w:bookmarkStart w:id="284" w:name="page285"/>
    <w:bookmarkEnd w:id="28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PRESS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AVROBIO, Inc. (the “</w:t>
      </w:r>
      <w:r>
        <w:rPr>
          <w:rFonts w:ascii="Arial" w:cs="Arial" w:eastAsia="Arial" w:hAnsi="Arial"/>
          <w:sz w:val="17"/>
          <w:szCs w:val="17"/>
          <w:b w:val="1"/>
          <w:bCs w:val="1"/>
          <w:color w:val="auto"/>
        </w:rPr>
        <w:t>Company</w:t>
      </w:r>
      <w:r>
        <w:rPr>
          <w:rFonts w:ascii="Arial" w:cs="Arial" w:eastAsia="Arial" w:hAnsi="Arial"/>
          <w:sz w:val="17"/>
          <w:szCs w:val="17"/>
          <w:color w:val="auto"/>
        </w:rPr>
        <w:t>”) announced today that Morgan Stanley &amp; Co. LLC and Cowen and Company, LLC, the joint book-running managers in the Company’s recent public sale of _____ shares of its common stock are [waiving][releasing] a lock-up restriction with respect to ____ shares of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Company’s common stock held by [certain officers or directors] [an officer or director] of the Company. The [waiver][release] will take effect on ____, 20__ ,</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the shares may be sold on or after such date.</w:t>
      </w:r>
    </w:p>
    <w:p>
      <w:pPr>
        <w:spacing w:after="0" w:line="315" w:lineRule="exact"/>
        <w:rPr>
          <w:sz w:val="20"/>
          <w:szCs w:val="20"/>
          <w:color w:val="auto"/>
        </w:rPr>
      </w:pPr>
    </w:p>
    <w:p>
      <w:pPr>
        <w:jc w:val="both"/>
        <w:ind w:right="26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400"/>
          </w:cols>
          <w:pgMar w:left="240" w:top="270" w:right="259" w:bottom="1440" w:gutter="0" w:footer="0" w:header="0"/>
        </w:sectPr>
      </w:pPr>
    </w:p>
    <w:bookmarkStart w:id="285" w:name="page286"/>
    <w:bookmarkEnd w:id="285"/>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242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1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AVROBIO,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a corporation organized and existing under and by virtue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does hereby certify that:</w:t>
      </w:r>
    </w:p>
    <w:p>
      <w:pPr>
        <w:spacing w:after="0" w:line="62" w:lineRule="exact"/>
        <w:rPr>
          <w:sz w:val="20"/>
          <w:szCs w:val="20"/>
          <w:color w:val="auto"/>
        </w:rPr>
      </w:pPr>
    </w:p>
    <w:p>
      <w:pPr>
        <w:jc w:val="both"/>
        <w:ind w:right="40" w:firstLine="464"/>
        <w:spacing w:after="0" w:line="264" w:lineRule="auto"/>
        <w:tabs>
          <w:tab w:leader="none" w:pos="63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Corporation was originally incorporated on November 17, 2015, under the name AvroBio, Inc., and the Third Amended and Restated Certificate of Incorporation was filed with the Secretary of State of Delaware on January 19, 2018 (the “</w:t>
      </w:r>
      <w:r>
        <w:rPr>
          <w:rFonts w:ascii="Arial" w:cs="Arial" w:eastAsia="Arial" w:hAnsi="Arial"/>
          <w:sz w:val="18"/>
          <w:szCs w:val="18"/>
          <w:u w:val="single" w:color="auto"/>
          <w:color w:val="auto"/>
        </w:rPr>
        <w:t>Charter</w:t>
      </w:r>
      <w:r>
        <w:rPr>
          <w:rFonts w:ascii="Arial" w:cs="Arial" w:eastAsia="Arial" w:hAnsi="Arial"/>
          <w:sz w:val="18"/>
          <w:szCs w:val="18"/>
          <w:color w:val="auto"/>
        </w:rPr>
        <w:t>”). Pursuant to Section 242 of the DGCL, this Certificate of Amendment (this “</w:t>
      </w:r>
      <w:r>
        <w:rPr>
          <w:rFonts w:ascii="Arial" w:cs="Arial" w:eastAsia="Arial" w:hAnsi="Arial"/>
          <w:sz w:val="18"/>
          <w:szCs w:val="18"/>
          <w:u w:val="single" w:color="auto"/>
          <w:color w:val="auto"/>
        </w:rPr>
        <w:t>Amendment</w:t>
      </w:r>
      <w:r>
        <w:rPr>
          <w:rFonts w:ascii="Arial" w:cs="Arial" w:eastAsia="Arial" w:hAnsi="Arial"/>
          <w:sz w:val="18"/>
          <w:szCs w:val="18"/>
          <w:color w:val="auto"/>
        </w:rPr>
        <w:t>”) amends certain provisions of the Charter.</w:t>
      </w:r>
    </w:p>
    <w:p>
      <w:pPr>
        <w:spacing w:after="0" w:line="73" w:lineRule="exact"/>
        <w:rPr>
          <w:rFonts w:ascii="Arial" w:cs="Arial" w:eastAsia="Arial" w:hAnsi="Arial"/>
          <w:sz w:val="18"/>
          <w:szCs w:val="18"/>
          <w:color w:val="auto"/>
        </w:rPr>
      </w:pPr>
    </w:p>
    <w:p>
      <w:pPr>
        <w:ind w:left="640" w:hanging="176"/>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This Amendment has been approved and duly adopted by the Board of Directors of the Corporation.</w:t>
      </w:r>
    </w:p>
    <w:p>
      <w:pPr>
        <w:spacing w:after="0" w:line="117" w:lineRule="exact"/>
        <w:rPr>
          <w:rFonts w:ascii="Arial" w:cs="Arial" w:eastAsia="Arial" w:hAnsi="Arial"/>
          <w:sz w:val="18"/>
          <w:szCs w:val="18"/>
          <w:color w:val="auto"/>
        </w:rPr>
      </w:pPr>
    </w:p>
    <w:p>
      <w:pPr>
        <w:ind w:right="520" w:firstLine="464"/>
        <w:spacing w:after="0" w:line="277" w:lineRule="auto"/>
        <w:tabs>
          <w:tab w:leader="none" w:pos="63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This Amendment has been duly adopted in accordance with the provisions of Section 242 of the DGCL by written consent of the stockholders holding the requisite number of shares, with written notice to be given as required by Section 228 of the DGCL.</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Charter is hereby amended as follows:</w:t>
      </w:r>
    </w:p>
    <w:p>
      <w:pPr>
        <w:spacing w:after="0" w:line="11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following is hereby inserted into Article FOURTH immediately before the first sentence therein:</w:t>
      </w:r>
    </w:p>
    <w:p>
      <w:pPr>
        <w:spacing w:after="0" w:line="117" w:lineRule="exact"/>
        <w:rPr>
          <w:sz w:val="20"/>
          <w:szCs w:val="20"/>
          <w:color w:val="auto"/>
        </w:rPr>
      </w:pPr>
    </w:p>
    <w:p>
      <w:pPr>
        <w:ind w:left="460" w:right="40" w:firstLine="438"/>
        <w:spacing w:after="0" w:line="288" w:lineRule="auto"/>
        <w:rPr>
          <w:sz w:val="20"/>
          <w:szCs w:val="20"/>
          <w:color w:val="auto"/>
        </w:rPr>
      </w:pPr>
      <w:r>
        <w:rPr>
          <w:rFonts w:ascii="Arial" w:cs="Arial" w:eastAsia="Arial" w:hAnsi="Arial"/>
          <w:sz w:val="16"/>
          <w:szCs w:val="16"/>
          <w:color w:val="auto"/>
        </w:rPr>
        <w:t>“Effective upon the filing of this Certificate of Amendment to the Third Amended and Restated Certificate of Incorporation with the Secretary of State of the State of Delaware (the “</w:t>
      </w:r>
      <w:r>
        <w:rPr>
          <w:rFonts w:ascii="Arial" w:cs="Arial" w:eastAsia="Arial" w:hAnsi="Arial"/>
          <w:sz w:val="16"/>
          <w:szCs w:val="16"/>
          <w:u w:val="single" w:color="auto"/>
          <w:color w:val="auto"/>
        </w:rPr>
        <w:t>Effective Time</w:t>
      </w:r>
      <w:r>
        <w:rPr>
          <w:rFonts w:ascii="Arial" w:cs="Arial" w:eastAsia="Arial" w:hAnsi="Arial"/>
          <w:sz w:val="16"/>
          <w:szCs w:val="16"/>
          <w:color w:val="auto"/>
        </w:rPr>
        <w:t>”), every 4.132 shares of Common Stock then issued and outstanding or held in the treasury of the Corporation immediately prior to the Effective Time shall automatically be combined into one (1) share of Common Stock, without any further action by the holders of such shares (the “</w:t>
      </w:r>
      <w:r>
        <w:rPr>
          <w:rFonts w:ascii="Arial" w:cs="Arial" w:eastAsia="Arial" w:hAnsi="Arial"/>
          <w:sz w:val="16"/>
          <w:szCs w:val="16"/>
          <w:u w:val="single" w:color="auto"/>
          <w:color w:val="auto"/>
        </w:rPr>
        <w:t>Reverse Stock Split</w:t>
      </w:r>
      <w:r>
        <w:rPr>
          <w:rFonts w:ascii="Arial" w:cs="Arial" w:eastAsia="Arial" w:hAnsi="Arial"/>
          <w:sz w:val="16"/>
          <w:szCs w:val="16"/>
          <w:color w:val="auto"/>
        </w:rPr>
        <w:t>”). The Reverse Stock Split will be effected on a certificate-by-certificate basis, and any fractional shares resulting from such combination shall be rounded down to the nearest whole share on a certificate-by-certificate basis. No fractional shares shall be issued in connection with the Reverse Stock Split. In lieu of any fractional shares to which a holder would otherwise be entitled, the Corporation shall pay cash equal to such fraction multiplied by the fair market value of a share of Common Stock as determined in good faith by the Corporation’s Board of Directors. The Reverse Stock Split shall occur automatically without any further action by the holders of the shares of Common Stock and Preferred Stock affected thereby. All rights, preferences and privileges of the Common Stock and the Preferred Stock shall be appropriately adjusted to reflect the Reverse Stock Split in accordance with this Amended and Restated Certificate of Incorporation.”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ectPr>
          <w:pgSz w:w="11900" w:h="16838" w:orient="portrait"/>
          <w:cols w:equalWidth="0" w:num="1">
            <w:col w:w="11420"/>
          </w:cols>
          <w:pgMar w:left="240" w:top="121" w:right="239" w:bottom="1440" w:gutter="0" w:footer="0" w:header="0"/>
        </w:sectPr>
      </w:pPr>
    </w:p>
    <w:bookmarkStart w:id="286" w:name="page287"/>
    <w:bookmarkEnd w:id="286"/>
    <w:p>
      <w:pPr>
        <w:ind w:firstLine="456"/>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8"/>
          <w:szCs w:val="18"/>
          <w:color w:val="auto"/>
        </w:rPr>
        <w:t>, this Amendment, having been duly adopted in accordance with Section 242 of the DGCL, has been duly executed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officer of the corporation on this 7th day of June, 2018.</w:t>
      </w:r>
    </w:p>
    <w:p>
      <w:pPr>
        <w:spacing w:after="0" w:line="19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Geoff MacKay</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1160"/>
          </w:cols>
          <w:pgMar w:left="240" w:top="270" w:right="499" w:bottom="1440" w:gutter="0" w:footer="0" w:header="0"/>
        </w:sectPr>
      </w:pPr>
    </w:p>
    <w:bookmarkStart w:id="287" w:name="page288"/>
    <w:bookmarkEnd w:id="287"/>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AVROBIO, Inc., a corporation organized and existing under the laws of the State of Delaware (the “Corporation”), hereby certifies as follows:</w:t>
      </w:r>
    </w:p>
    <w:p>
      <w:pPr>
        <w:spacing w:after="0" w:line="129" w:lineRule="exact"/>
        <w:rPr>
          <w:sz w:val="20"/>
          <w:szCs w:val="20"/>
          <w:color w:val="auto"/>
        </w:rPr>
      </w:pPr>
    </w:p>
    <w:p>
      <w:pPr>
        <w:ind w:right="300" w:firstLine="464"/>
        <w:spacing w:after="0" w:line="277" w:lineRule="auto"/>
        <w:tabs>
          <w:tab w:leader="none" w:pos="63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name of the Corporation is AVROBIO, Inc. The date of the filing of its original Certificate of Incorporation with the Secretary of State of the State of Delaware was November 17, 2015 under the name AvroBio, Inc.</w:t>
      </w:r>
    </w:p>
    <w:p>
      <w:pPr>
        <w:spacing w:after="0" w:line="62" w:lineRule="exact"/>
        <w:rPr>
          <w:rFonts w:ascii="Arial" w:cs="Arial" w:eastAsia="Arial" w:hAnsi="Arial"/>
          <w:sz w:val="18"/>
          <w:szCs w:val="18"/>
          <w:color w:val="auto"/>
        </w:rPr>
      </w:pPr>
    </w:p>
    <w:p>
      <w:pPr>
        <w:ind w:right="100" w:firstLine="464"/>
        <w:spacing w:after="0" w:line="259" w:lineRule="auto"/>
        <w:tabs>
          <w:tab w:leader="none" w:pos="636"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This Fourth Amended and Restated Certificate of Incorporation (the “Certificate”) amends, restates and integrates the provisions of the Third Amended and Restated Certificate of Incorporation that was filed with the Secretary of State of the State of Delaware on January 19, 2018 (the “Existing Certificate”), and was duly adopted in accordance with the provisions of Sections 228, 242 and 245 of the General Corporation Law of the State of Delaware (the “DGCL”).</w:t>
      </w:r>
    </w:p>
    <w:p>
      <w:pPr>
        <w:spacing w:after="0" w:line="78" w:lineRule="exact"/>
        <w:rPr>
          <w:rFonts w:ascii="Arial" w:cs="Arial" w:eastAsia="Arial" w:hAnsi="Arial"/>
          <w:sz w:val="18"/>
          <w:szCs w:val="18"/>
          <w:color w:val="auto"/>
        </w:rPr>
      </w:pPr>
    </w:p>
    <w:p>
      <w:pPr>
        <w:ind w:left="640" w:hanging="176"/>
        <w:spacing w:after="0"/>
        <w:tabs>
          <w:tab w:leader="none" w:pos="64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text of the Existing Certificate is hereby amended and restated in its entirety to provide as herein set forth in full.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name of the Corporation is AVROBIO,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251 Little Falls Drive, in the City of Wilmington, County of New Castle, 19808. The name of its registered agent at such address is Corporation Service Company.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DGCL.</w:t>
      </w:r>
    </w:p>
    <w:p>
      <w:pPr>
        <w:sectPr>
          <w:pgSz w:w="11900" w:h="16838" w:orient="portrait"/>
          <w:cols w:equalWidth="0" w:num="1">
            <w:col w:w="11420"/>
          </w:cols>
          <w:pgMar w:left="240" w:top="121" w:right="239" w:bottom="1440" w:gutter="0" w:footer="0" w:header="0"/>
        </w:sectPr>
      </w:pPr>
    </w:p>
    <w:bookmarkStart w:id="288" w:name="page289"/>
    <w:bookmarkEnd w:id="288"/>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IV</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CAPITAL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total number of shares of capital stock which the Corporation shall have authority to issue is One Hundred Sixty Million (160,000,000), of which</w:t>
      </w:r>
    </w:p>
    <w:p>
      <w:pPr>
        <w:spacing w:after="0" w:line="46" w:lineRule="exact"/>
        <w:rPr>
          <w:sz w:val="20"/>
          <w:szCs w:val="20"/>
          <w:color w:val="auto"/>
        </w:rPr>
      </w:pPr>
    </w:p>
    <w:p>
      <w:pPr>
        <w:ind w:left="220" w:hanging="212"/>
        <w:spacing w:after="0"/>
        <w:tabs>
          <w:tab w:leader="none" w:pos="22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One Hundred Fifty Million (150,000,000) shares shall be a class designated as common stock, par value $0.0001 per share (the “Common Stock”), and</w:t>
      </w:r>
    </w:p>
    <w:p>
      <w:pPr>
        <w:spacing w:after="0" w:line="32" w:lineRule="exact"/>
        <w:rPr>
          <w:rFonts w:ascii="Arial" w:cs="Arial" w:eastAsia="Arial" w:hAnsi="Arial"/>
          <w:sz w:val="16"/>
          <w:szCs w:val="16"/>
          <w:color w:val="auto"/>
        </w:rPr>
      </w:pPr>
    </w:p>
    <w:p>
      <w:pPr>
        <w:ind w:right="260" w:firstLine="8"/>
        <w:spacing w:after="0" w:line="261" w:lineRule="auto"/>
        <w:tabs>
          <w:tab w:leader="none" w:pos="262"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Ten Million (10,000,000) shares shall be a class designated as undesignated preferred stock, par value $0.0001 per share (the “Undesignated Preferred Stock”).</w:t>
      </w:r>
    </w:p>
    <w:p>
      <w:pPr>
        <w:spacing w:after="0" w:line="18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87"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3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COMMON STOCK</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62" w:lineRule="exact"/>
        <w:rPr>
          <w:sz w:val="20"/>
          <w:szCs w:val="20"/>
          <w:color w:val="auto"/>
        </w:rPr>
      </w:pPr>
    </w:p>
    <w:p>
      <w:pPr>
        <w:ind w:firstLine="1492"/>
        <w:spacing w:after="0" w:line="254" w:lineRule="auto"/>
        <w:tabs>
          <w:tab w:leader="none" w:pos="1728"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84" w:lineRule="exact"/>
        <w:rPr>
          <w:rFonts w:ascii="Arial" w:cs="Arial" w:eastAsia="Arial" w:hAnsi="Arial"/>
          <w:sz w:val="18"/>
          <w:szCs w:val="18"/>
          <w:color w:val="auto"/>
        </w:rPr>
      </w:pPr>
    </w:p>
    <w:p>
      <w:pPr>
        <w:ind w:right="160" w:firstLine="1492"/>
        <w:spacing w:after="0" w:line="342" w:lineRule="auto"/>
        <w:tabs>
          <w:tab w:leader="none" w:pos="173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4" w:right="319" w:bottom="1440" w:gutter="0" w:footer="0" w:header="0"/>
        </w:sectPr>
      </w:pPr>
    </w:p>
    <w:bookmarkStart w:id="289" w:name="page290"/>
    <w:bookmarkEnd w:id="289"/>
    <w:p>
      <w:pPr>
        <w:ind w:right="40" w:firstLine="1492"/>
        <w:spacing w:after="0" w:line="277" w:lineRule="auto"/>
        <w:tabs>
          <w:tab w:leader="none" w:pos="1728" w:val="left"/>
        </w:tabs>
        <w:numPr>
          <w:ilvl w:val="0"/>
          <w:numId w:val="1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voluntary or involuntary liquidation, dissolution or winding up of the Corporation, the net assets of the Corporation shall be distributed pro rata to the holders of the Common Stock.</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UNDESIGNATED PREFERRED STOCK</w:t>
      </w:r>
    </w:p>
    <w:p>
      <w:pPr>
        <w:spacing w:after="0" w:line="225"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STOCKHOLDER ACTION</w:t>
      </w:r>
    </w:p>
    <w:p>
      <w:pPr>
        <w:spacing w:after="0" w:line="225" w:lineRule="exact"/>
        <w:rPr>
          <w:sz w:val="20"/>
          <w:szCs w:val="20"/>
          <w:color w:val="auto"/>
        </w:rPr>
      </w:pPr>
    </w:p>
    <w:p>
      <w:pPr>
        <w:ind w:right="240" w:firstLine="464"/>
        <w:spacing w:after="0" w:line="276" w:lineRule="auto"/>
        <w:tabs>
          <w:tab w:leader="none" w:pos="636" w:val="left"/>
        </w:tabs>
        <w:numPr>
          <w:ilvl w:val="0"/>
          <w:numId w:val="174"/>
        </w:numPr>
        <w:rPr>
          <w:rFonts w:ascii="Arial" w:cs="Arial" w:eastAsia="Arial" w:hAnsi="Arial"/>
          <w:sz w:val="17"/>
          <w:szCs w:val="17"/>
          <w:color w:val="auto"/>
        </w:rPr>
      </w:pPr>
      <w:r>
        <w:rPr>
          <w:rFonts w:ascii="Arial" w:cs="Arial" w:eastAsia="Arial" w:hAnsi="Arial"/>
          <w:sz w:val="17"/>
          <w:szCs w:val="17"/>
          <w:u w:val="single" w:color="auto"/>
          <w:color w:val="auto"/>
        </w:rPr>
        <w:t>Action without Meeting</w:t>
      </w:r>
      <w:r>
        <w:rPr>
          <w:rFonts w:ascii="Arial" w:cs="Arial" w:eastAsia="Arial" w:hAnsi="Arial"/>
          <w:sz w:val="17"/>
          <w:szCs w:val="17"/>
          <w:color w:val="auto"/>
        </w:rPr>
        <w:t>.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1.</w:t>
      </w:r>
    </w:p>
    <w:p>
      <w:pPr>
        <w:spacing w:after="0" w:line="64" w:lineRule="exact"/>
        <w:rPr>
          <w:rFonts w:ascii="Arial" w:cs="Arial" w:eastAsia="Arial" w:hAnsi="Arial"/>
          <w:sz w:val="17"/>
          <w:szCs w:val="17"/>
          <w:color w:val="auto"/>
        </w:rPr>
      </w:pPr>
    </w:p>
    <w:p>
      <w:pPr>
        <w:ind w:right="140" w:firstLine="464"/>
        <w:spacing w:after="0" w:line="302" w:lineRule="auto"/>
        <w:tabs>
          <w:tab w:leader="none" w:pos="636"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Special Meetings</w:t>
      </w:r>
      <w:r>
        <w:rPr>
          <w:rFonts w:ascii="Arial" w:cs="Arial" w:eastAsia="Arial" w:hAnsi="Arial"/>
          <w:sz w:val="16"/>
          <w:szCs w:val="16"/>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spacing w:after="0" w:line="154"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 Section 2.</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290" w:name="page291"/>
    <w:bookmarkEnd w:id="29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ind w:right="560" w:firstLine="464"/>
        <w:spacing w:after="0" w:line="277" w:lineRule="auto"/>
        <w:tabs>
          <w:tab w:leader="none" w:pos="636"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business and affairs of the Corporation shall be managed by or under the direction of the Board of Directors except as otherwise provided herein or required by law.</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Election of Directors</w:t>
      </w:r>
      <w:r>
        <w:rPr>
          <w:rFonts w:ascii="Arial" w:cs="Arial" w:eastAsia="Arial" w:hAnsi="Arial"/>
          <w:sz w:val="17"/>
          <w:szCs w:val="17"/>
          <w:color w:val="auto"/>
        </w:rPr>
        <w:t>. Election of Directors need not be by written ballot unless the By-laws of the Corporation (the “By-laws”) shall so provide.</w:t>
      </w:r>
    </w:p>
    <w:p>
      <w:pPr>
        <w:spacing w:after="0" w:line="128" w:lineRule="exact"/>
        <w:rPr>
          <w:rFonts w:ascii="Arial" w:cs="Arial" w:eastAsia="Arial" w:hAnsi="Arial"/>
          <w:sz w:val="17"/>
          <w:szCs w:val="17"/>
          <w:color w:val="auto"/>
        </w:rPr>
      </w:pPr>
    </w:p>
    <w:p>
      <w:pPr>
        <w:ind w:firstLine="464"/>
        <w:spacing w:after="0" w:line="270" w:lineRule="auto"/>
        <w:tabs>
          <w:tab w:leader="none" w:pos="636" w:val="left"/>
        </w:tabs>
        <w:numPr>
          <w:ilvl w:val="0"/>
          <w:numId w:val="175"/>
        </w:numPr>
        <w:rPr>
          <w:rFonts w:ascii="Arial" w:cs="Arial" w:eastAsia="Arial" w:hAnsi="Arial"/>
          <w:sz w:val="17"/>
          <w:szCs w:val="17"/>
          <w:color w:val="auto"/>
        </w:rPr>
      </w:pPr>
      <w:r>
        <w:rPr>
          <w:rFonts w:ascii="Arial" w:cs="Arial" w:eastAsia="Arial" w:hAnsi="Arial"/>
          <w:sz w:val="17"/>
          <w:szCs w:val="17"/>
          <w:u w:val="single" w:color="auto"/>
          <w:color w:val="auto"/>
        </w:rPr>
        <w:t>Number of Directors; Term of Office</w:t>
      </w:r>
      <w:r>
        <w:rPr>
          <w:rFonts w:ascii="Arial" w:cs="Arial" w:eastAsia="Arial" w:hAnsi="Arial"/>
          <w:sz w:val="17"/>
          <w:szCs w:val="17"/>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initial Class I Directors of the Corporation shall be Christopher Paige, Scott Requadt and Joshua Resnick; the initial Class II Directors of the Corporation shall be Ian Clark and Annalisa Jenkins; and the initial Class III Directors of the Corporation shall be Bruce Booth, Phillip Donenberg and Geoff MacKay. The initial Class I Directors shall serve for a term expiring at the annual meeting of stockholders to be held in 2019, the initial Class II Directors shall serve for a term expiring at the annual meeting of stockholders to be held in 2020, and the initial Class III Directors shall serve for a term expiring at the annual meeting of stockholders to be held in 2021.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7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8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291" w:name="page292"/>
    <w:bookmarkEnd w:id="291"/>
    <w:p>
      <w:pPr>
        <w:ind w:firstLine="464"/>
        <w:spacing w:after="0" w:line="269" w:lineRule="auto"/>
        <w:tabs>
          <w:tab w:leader="none" w:pos="636"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Vacancies</w:t>
      </w:r>
      <w:r>
        <w:rPr>
          <w:rFonts w:ascii="Arial" w:cs="Arial" w:eastAsia="Arial" w:hAnsi="Arial"/>
          <w:sz w:val="17"/>
          <w:szCs w:val="17"/>
          <w:color w:val="auto"/>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VI.3 hereof, determine the class or classes to which the increased or decreased number of Directors shall be apportioned;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74" w:lineRule="exact"/>
        <w:rPr>
          <w:rFonts w:ascii="Arial" w:cs="Arial" w:eastAsia="Arial" w:hAnsi="Arial"/>
          <w:sz w:val="17"/>
          <w:szCs w:val="17"/>
          <w:color w:val="auto"/>
        </w:rPr>
      </w:pPr>
    </w:p>
    <w:p>
      <w:pPr>
        <w:ind w:firstLine="464"/>
        <w:spacing w:after="0" w:line="255" w:lineRule="auto"/>
        <w:tabs>
          <w:tab w:leader="none" w:pos="636"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of two 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93"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 Section 5.</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LIMITATION OF LIABILITY</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 Director of the Corporation shall not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292" w:name="page293"/>
    <w:bookmarkEnd w:id="292"/>
    <w:p>
      <w:pPr>
        <w:ind w:right="8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6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VII.</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OF BY-LAWS</w:t>
      </w:r>
    </w:p>
    <w:p>
      <w:pPr>
        <w:spacing w:after="0" w:line="225" w:lineRule="exact"/>
        <w:rPr>
          <w:sz w:val="20"/>
          <w:szCs w:val="20"/>
          <w:color w:val="auto"/>
        </w:rPr>
      </w:pPr>
    </w:p>
    <w:p>
      <w:pPr>
        <w:ind w:right="600" w:firstLine="464"/>
        <w:spacing w:after="0" w:line="277" w:lineRule="auto"/>
        <w:tabs>
          <w:tab w:leader="none" w:pos="636"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otherwise provided by law, the By-laws of the Corporation may be amended or repealed by the Board of Directors by the affirmative vote of a majority of the Directors then in office.</w:t>
      </w:r>
    </w:p>
    <w:p>
      <w:pPr>
        <w:spacing w:after="0" w:line="62" w:lineRule="exact"/>
        <w:rPr>
          <w:rFonts w:ascii="Arial" w:cs="Arial" w:eastAsia="Arial" w:hAnsi="Arial"/>
          <w:sz w:val="18"/>
          <w:szCs w:val="18"/>
          <w:color w:val="auto"/>
        </w:rPr>
      </w:pPr>
    </w:p>
    <w:p>
      <w:pPr>
        <w:ind w:right="140" w:firstLine="464"/>
        <w:spacing w:after="0" w:line="264" w:lineRule="auto"/>
        <w:tabs>
          <w:tab w:leader="none" w:pos="636"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Amendment by Stockholders</w:t>
      </w:r>
      <w:r>
        <w:rPr>
          <w:rFonts w:ascii="Arial" w:cs="Arial" w:eastAsia="Arial" w:hAnsi="Arial"/>
          <w:sz w:val="18"/>
          <w:szCs w:val="18"/>
          <w:color w:val="auto"/>
        </w:rPr>
        <w:t>. Except as otherwise provided therein, the By-laws of the Corporation may be amended or repealed at any annual meeting of stockholders, or special meeting of stockholders called for such purpose, by the affirmative vote of a majority of the outstanding shares of capital stock entitled to vote on such amendment or repeal, voting together as a single class.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OF CERTIFICATE OF INCORPORATION</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[End of Text]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293" w:name="page294"/>
    <w:bookmarkEnd w:id="293"/>
    <w:p>
      <w:pPr>
        <w:spacing w:after="0"/>
        <w:tabs>
          <w:tab w:leader="none" w:pos="8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FOURTH AMENDED AND RESTATED CERTIFICATE OF INCORPORATION is executed as of this</w:t>
      </w:r>
      <w:r>
        <w:rPr>
          <w:sz w:val="20"/>
          <w:szCs w:val="20"/>
          <w:color w:val="auto"/>
        </w:rPr>
        <w:tab/>
      </w:r>
      <w:r>
        <w:rPr>
          <w:rFonts w:ascii="Arial" w:cs="Arial" w:eastAsia="Arial" w:hAnsi="Arial"/>
          <w:sz w:val="16"/>
          <w:szCs w:val="16"/>
          <w:color w:val="auto"/>
        </w:rPr>
        <w:t>day of June, 2018.</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Geoff MacKay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Title: President and Chief Executive Officer</w:t>
      </w:r>
    </w:p>
    <w:p>
      <w:pPr>
        <w:sectPr>
          <w:pgSz w:w="11900" w:h="16838" w:orient="portrait"/>
          <w:cols w:equalWidth="0" w:num="1">
            <w:col w:w="9759"/>
          </w:cols>
          <w:pgMar w:left="700" w:top="274" w:right="1440"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3.5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Stockholders</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Annual Meeting</w:t>
      </w:r>
      <w:r>
        <w:rPr>
          <w:rFonts w:ascii="Arial" w:cs="Arial" w:eastAsia="Arial" w:hAnsi="Arial"/>
          <w:sz w:val="18"/>
          <w:szCs w:val="18"/>
          <w:color w:val="auto"/>
        </w:rPr>
        <w:t>. The annual meeting of stockholders (any such meeting being referred to in these By-laws as an “Annual Meeting”) shall be held at the hour, date and place within or without the United States which is fixed by the Board of Directors,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Notice of Stockholder Business and Nominations</w:t>
      </w:r>
      <w:r>
        <w:rPr>
          <w:rFonts w:ascii="Arial" w:cs="Arial" w:eastAsia="Arial" w:hAnsi="Arial"/>
          <w:sz w:val="18"/>
          <w:szCs w:val="18"/>
          <w:color w:val="auto"/>
        </w:rPr>
        <w:t>.</w:t>
      </w:r>
    </w:p>
    <w:p>
      <w:pPr>
        <w:spacing w:after="0" w:line="117" w:lineRule="exact"/>
        <w:rPr>
          <w:sz w:val="20"/>
          <w:szCs w:val="20"/>
          <w:color w:val="auto"/>
        </w:rPr>
      </w:pPr>
    </w:p>
    <w:p>
      <w:pPr>
        <w:ind w:left="700" w:hanging="236"/>
        <w:spacing w:after="0"/>
        <w:tabs>
          <w:tab w:leader="none" w:pos="700"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60" w:right="60" w:firstLine="443"/>
        <w:spacing w:after="0" w:line="253" w:lineRule="auto"/>
        <w:tabs>
          <w:tab w:leader="none" w:pos="1153" w:val="left"/>
        </w:tabs>
        <w:numPr>
          <w:ilvl w:val="1"/>
          <w:numId w:val="178"/>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of the Corporation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“Exchange Act”)), and such stockholder must comply with the notice and other procedures set forth in Article I, Section 2(a)(2) and (3)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ectPr>
          <w:pgSz w:w="11900" w:h="16838" w:orient="portrait"/>
          <w:cols w:equalWidth="0" w:num="1">
            <w:col w:w="11420"/>
          </w:cols>
          <w:pgMar w:left="240" w:top="121" w:right="239" w:bottom="1440" w:gutter="0" w:footer="0" w:header="0"/>
        </w:sectPr>
      </w:pPr>
    </w:p>
    <w:bookmarkStart w:id="295" w:name="page296"/>
    <w:bookmarkEnd w:id="295"/>
    <w:p>
      <w:pPr>
        <w:ind w:firstLine="443"/>
        <w:spacing w:after="0" w:line="268" w:lineRule="auto"/>
        <w:tabs>
          <w:tab w:leader="none" w:pos="693" w:val="left"/>
        </w:tabs>
        <w:numPr>
          <w:ilvl w:val="0"/>
          <w:numId w:val="1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“Timely Notice”). Notwithstanding anything to the contrary provided herein, for the first Annual Meeting following the initial public offering of common stock of the Corporation, a stockholder’s notice shall be timely if received by the Secretary at the principal executive offices of the Corporation not later than the close of business on the later of the ninetieth (90th) day prior to the scheduled date of such Annual Meeting or the tenth (10th) day following the day on which public announcement of the date of such Annual Meeting is first made or sent by the Corporation. Such stockholder’s Timely Notice shall set forth:</w:t>
      </w:r>
    </w:p>
    <w:p>
      <w:pPr>
        <w:spacing w:after="0" w:line="72" w:lineRule="exact"/>
        <w:rPr>
          <w:rFonts w:ascii="Arial" w:cs="Arial" w:eastAsia="Arial" w:hAnsi="Arial"/>
          <w:sz w:val="17"/>
          <w:szCs w:val="17"/>
          <w:color w:val="auto"/>
        </w:rPr>
      </w:pPr>
    </w:p>
    <w:p>
      <w:pPr>
        <w:ind w:left="460" w:firstLine="421"/>
        <w:spacing w:after="0" w:line="286" w:lineRule="auto"/>
        <w:tabs>
          <w:tab w:leader="none" w:pos="1175" w:val="left"/>
        </w:tabs>
        <w:numPr>
          <w:ilvl w:val="1"/>
          <w:numId w:val="179"/>
        </w:numPr>
        <w:rPr>
          <w:rFonts w:ascii="Arial" w:cs="Arial" w:eastAsia="Arial" w:hAnsi="Arial"/>
          <w:sz w:val="16"/>
          <w:szCs w:val="16"/>
          <w:color w:val="auto"/>
        </w:rPr>
      </w:pPr>
      <w:r>
        <w:rPr>
          <w:rFonts w:ascii="Arial" w:cs="Arial" w:eastAsia="Arial" w:hAnsi="Arial"/>
          <w:sz w:val="16"/>
          <w:szCs w:val="16"/>
          <w:color w:val="auto"/>
        </w:rPr>
        <w:t>as to each person whom the stockholder proposes to nominate for election or reelection as a director, (i) the name, age, business address and residence address of the nominee, (ii) the principal occupation or employment of the nominee, (iii) the class and number of shares of the corporation that are held of record or are beneficially owned by the nominee and any derivative positions held or beneficially held by the nominee, (iv) whether and the extent to which any hedging or other transaction or series of transactions has been entered into by or on behalf of the nominee with respect to any securities of the corporation, and a description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the nominee, (v) a description of all arrangements or understandings between or among the stockholder and each nominee and any other person or persons (naming such person or persons) pursuant to which the nominations are to be made by the stockholder or concerning the nominee’s potential service on the Board of Directors, (vi) a written statement executed by the nominee acknowledging that as a director of the corporation, the nominee will owe fiduciary duties under Delaware law with respect to the corporation and its stockholders, and (vii)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74" w:right="239" w:bottom="1440" w:gutter="0" w:footer="0" w:header="0"/>
        </w:sectPr>
      </w:pPr>
    </w:p>
    <w:bookmarkStart w:id="296" w:name="page297"/>
    <w:bookmarkEnd w:id="296"/>
    <w:p>
      <w:pPr>
        <w:ind w:left="-1" w:right="280" w:firstLine="421"/>
        <w:spacing w:after="0" w:line="286" w:lineRule="auto"/>
        <w:tabs>
          <w:tab w:leader="none" w:pos="704" w:val="left"/>
        </w:tabs>
        <w:numPr>
          <w:ilvl w:val="1"/>
          <w:numId w:val="1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to any other business that the stockholder proposes to bring before the meeting, a brief description of the business desired to be brought before the meeting, the reasons for conducting such business at the meeting, the text, if any, of any resolutions or By-law amendment proposed for adoption, and any material interest in such business of each Proposing Person (as defined below);</w:t>
      </w:r>
    </w:p>
    <w:p>
      <w:pPr>
        <w:spacing w:after="0" w:line="57" w:lineRule="exact"/>
        <w:rPr>
          <w:rFonts w:ascii="Arial" w:cs="Arial" w:eastAsia="Arial" w:hAnsi="Arial"/>
          <w:sz w:val="17"/>
          <w:szCs w:val="17"/>
          <w:color w:val="auto"/>
        </w:rPr>
      </w:pPr>
    </w:p>
    <w:p>
      <w:pPr>
        <w:ind w:left="-1" w:right="20" w:firstLine="421"/>
        <w:spacing w:after="0" w:line="283" w:lineRule="auto"/>
        <w:tabs>
          <w:tab w:leader="none" w:pos="704" w:val="left"/>
        </w:tabs>
        <w:numPr>
          <w:ilvl w:val="1"/>
          <w:numId w:val="180"/>
        </w:numPr>
        <w:rPr>
          <w:rFonts w:ascii="Arial" w:cs="Arial" w:eastAsia="Arial" w:hAnsi="Arial"/>
          <w:sz w:val="16"/>
          <w:szCs w:val="16"/>
          <w:color w:val="auto"/>
        </w:rPr>
      </w:pPr>
      <w:r>
        <w:rPr>
          <w:rFonts w:ascii="Arial" w:cs="Arial" w:eastAsia="Arial" w:hAnsi="Arial"/>
          <w:sz w:val="16"/>
          <w:szCs w:val="16"/>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 such shares to such Proposing Person, (y) whether or not such Synthetic Equity Interest is required to be, or is capable of being, settled through delivery of such shares and</w:t>
      </w:r>
    </w:p>
    <w:p>
      <w:pPr>
        <w:spacing w:after="0" w:line="5" w:lineRule="exact"/>
        <w:rPr>
          <w:rFonts w:ascii="Arial" w:cs="Arial" w:eastAsia="Arial" w:hAnsi="Arial"/>
          <w:sz w:val="16"/>
          <w:szCs w:val="16"/>
          <w:color w:val="auto"/>
        </w:rPr>
      </w:pPr>
    </w:p>
    <w:p>
      <w:pPr>
        <w:ind w:left="-1" w:firstLine="1"/>
        <w:spacing w:after="0" w:line="281" w:lineRule="auto"/>
        <w:tabs>
          <w:tab w:leader="none" w:pos="24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whether or not such Proposing Person and/or, to the extent known, the counterparty to such Synthetic Equity Interest has entered into other transactions that hedge or mitigate the economic effect of such Synthetic Equity Interest, (c) 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“Material Ownership Interests”) and</w:t>
      </w:r>
    </w:p>
    <w:p>
      <w:pPr>
        <w:spacing w:after="0" w:line="6" w:lineRule="exact"/>
        <w:rPr>
          <w:rFonts w:ascii="Arial" w:cs="Arial" w:eastAsia="Arial" w:hAnsi="Arial"/>
          <w:sz w:val="16"/>
          <w:szCs w:val="16"/>
          <w:color w:val="auto"/>
        </w:rPr>
      </w:pPr>
    </w:p>
    <w:p>
      <w:pPr>
        <w:ind w:left="-1" w:right="380" w:firstLine="1"/>
        <w:spacing w:after="0" w:line="255" w:lineRule="auto"/>
        <w:tabs>
          <w:tab w:leader="none" w:pos="31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123" w:lineRule="exact"/>
        <w:rPr>
          <w:sz w:val="20"/>
          <w:szCs w:val="20"/>
          <w:color w:val="auto"/>
        </w:rPr>
      </w:pPr>
    </w:p>
    <w:p>
      <w:pPr>
        <w:ind w:left="47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79"/>
          </w:cols>
          <w:pgMar w:left="1161" w:top="274" w:right="259" w:bottom="1440" w:gutter="0" w:footer="0" w:header="0"/>
        </w:sectPr>
      </w:pPr>
    </w:p>
    <w:bookmarkStart w:id="297" w:name="page298"/>
    <w:bookmarkEnd w:id="297"/>
    <w:p>
      <w:pPr>
        <w:ind w:left="460" w:firstLine="421"/>
        <w:spacing w:after="0" w:line="293" w:lineRule="auto"/>
        <w:tabs>
          <w:tab w:leader="none" w:pos="1175" w:val="left"/>
        </w:tabs>
        <w:numPr>
          <w:ilvl w:val="0"/>
          <w:numId w:val="1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56" w:lineRule="exact"/>
        <w:rPr>
          <w:rFonts w:ascii="Arial" w:cs="Arial" w:eastAsia="Arial" w:hAnsi="Arial"/>
          <w:sz w:val="16"/>
          <w:szCs w:val="16"/>
          <w:color w:val="auto"/>
        </w:rPr>
      </w:pPr>
    </w:p>
    <w:p>
      <w:pPr>
        <w:ind w:left="460" w:right="60" w:firstLine="421"/>
        <w:spacing w:after="0" w:line="297" w:lineRule="auto"/>
        <w:tabs>
          <w:tab w:leader="none" w:pos="1155"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“Solicitation Statement”).</w:t>
      </w:r>
    </w:p>
    <w:p>
      <w:pPr>
        <w:spacing w:after="0" w:line="50" w:lineRule="exact"/>
        <w:rPr>
          <w:sz w:val="20"/>
          <w:szCs w:val="20"/>
          <w:color w:val="auto"/>
        </w:rPr>
      </w:pPr>
    </w:p>
    <w:p>
      <w:pPr>
        <w:ind w:right="20" w:firstLine="438"/>
        <w:spacing w:after="0" w:line="287" w:lineRule="auto"/>
        <w:rPr>
          <w:sz w:val="20"/>
          <w:szCs w:val="20"/>
          <w:color w:val="auto"/>
        </w:rPr>
      </w:pPr>
      <w:r>
        <w:rPr>
          <w:rFonts w:ascii="Arial" w:cs="Arial" w:eastAsia="Arial" w:hAnsi="Arial"/>
          <w:sz w:val="16"/>
          <w:szCs w:val="16"/>
          <w:color w:val="auto"/>
        </w:rPr>
        <w:t>For purposes of this Article I of these By-laws, the term “Proposing Person”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of Article I of these By-laws, the term “Synthetic Equity Interest”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10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4" w:right="259" w:bottom="1440" w:gutter="0" w:footer="0" w:header="0"/>
        </w:sectPr>
      </w:pPr>
    </w:p>
    <w:bookmarkStart w:id="298" w:name="page299"/>
    <w:bookmarkEnd w:id="298"/>
    <w:p>
      <w:pPr>
        <w:ind w:firstLine="443"/>
        <w:spacing w:after="0" w:line="288" w:lineRule="auto"/>
        <w:tabs>
          <w:tab w:leader="none" w:pos="693" w:val="left"/>
        </w:tabs>
        <w:numPr>
          <w:ilvl w:val="1"/>
          <w:numId w:val="1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w:t>
      </w:r>
    </w:p>
    <w:p>
      <w:pPr>
        <w:ind w:right="140" w:firstLine="4"/>
        <w:spacing w:after="0" w:line="295" w:lineRule="auto"/>
        <w:tabs>
          <w:tab w:leader="none" w:pos="345"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53" w:lineRule="exact"/>
        <w:rPr>
          <w:rFonts w:ascii="Arial" w:cs="Arial" w:eastAsia="Arial" w:hAnsi="Arial"/>
          <w:sz w:val="16"/>
          <w:szCs w:val="16"/>
          <w:color w:val="auto"/>
        </w:rPr>
      </w:pPr>
    </w:p>
    <w:p>
      <w:pPr>
        <w:ind w:right="60" w:firstLine="443"/>
        <w:spacing w:after="0" w:line="255" w:lineRule="auto"/>
        <w:tabs>
          <w:tab w:leader="none" w:pos="693" w:val="left"/>
        </w:tabs>
        <w:numPr>
          <w:ilvl w:val="1"/>
          <w:numId w:val="185"/>
        </w:numPr>
        <w:rPr>
          <w:rFonts w:ascii="Arial" w:cs="Arial" w:eastAsia="Arial" w:hAnsi="Arial"/>
          <w:sz w:val="18"/>
          <w:szCs w:val="18"/>
          <w:color w:val="auto"/>
        </w:rPr>
      </w:pPr>
      <w:r>
        <w:rPr>
          <w:rFonts w:ascii="Arial" w:cs="Arial" w:eastAsia="Arial" w:hAnsi="Arial"/>
          <w:sz w:val="18"/>
          <w:szCs w:val="18"/>
          <w:color w:val="auto"/>
        </w:rPr>
        <w:t>Notwithstanding anything in the second sentence of Article I, Section 2(a)(2)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81" w:lineRule="exact"/>
        <w:rPr>
          <w:sz w:val="20"/>
          <w:szCs w:val="20"/>
          <w:color w:val="auto"/>
        </w:rPr>
      </w:pPr>
    </w:p>
    <w:p>
      <w:pPr>
        <w:ind w:left="260" w:hanging="256"/>
        <w:spacing w:after="0"/>
        <w:tabs>
          <w:tab w:leader="none" w:pos="260"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00" w:firstLine="443"/>
        <w:spacing w:after="0" w:line="289" w:lineRule="auto"/>
        <w:tabs>
          <w:tab w:leader="none" w:pos="693" w:val="left"/>
        </w:tabs>
        <w:numPr>
          <w:ilvl w:val="1"/>
          <w:numId w:val="186"/>
        </w:numPr>
        <w:rPr>
          <w:rFonts w:ascii="Arial" w:cs="Arial" w:eastAsia="Arial" w:hAnsi="Arial"/>
          <w:sz w:val="16"/>
          <w:szCs w:val="16"/>
          <w:color w:val="auto"/>
        </w:rPr>
      </w:pPr>
      <w:r>
        <w:rPr>
          <w:rFonts w:ascii="Arial" w:cs="Arial" w:eastAsia="Arial" w:hAnsi="Arial"/>
          <w:sz w:val="16"/>
          <w:szCs w:val="16"/>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74" w:right="259" w:bottom="1440" w:gutter="0" w:footer="0" w:header="0"/>
        </w:sectPr>
      </w:pPr>
    </w:p>
    <w:bookmarkStart w:id="299" w:name="page300"/>
    <w:bookmarkEnd w:id="299"/>
    <w:p>
      <w:pPr>
        <w:jc w:val="both"/>
        <w:ind w:left="460" w:right="60" w:firstLine="443"/>
        <w:spacing w:after="0" w:line="264" w:lineRule="auto"/>
        <w:tabs>
          <w:tab w:leader="none" w:pos="1153" w:val="left"/>
        </w:tabs>
        <w:numPr>
          <w:ilvl w:val="1"/>
          <w:numId w:val="1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73" w:lineRule="exact"/>
        <w:rPr>
          <w:rFonts w:ascii="Arial" w:cs="Arial" w:eastAsia="Arial" w:hAnsi="Arial"/>
          <w:sz w:val="18"/>
          <w:szCs w:val="18"/>
          <w:color w:val="auto"/>
        </w:rPr>
      </w:pPr>
    </w:p>
    <w:p>
      <w:pPr>
        <w:ind w:left="460" w:firstLine="443"/>
        <w:spacing w:after="0" w:line="272" w:lineRule="auto"/>
        <w:tabs>
          <w:tab w:leader="none" w:pos="1153" w:val="left"/>
        </w:tabs>
        <w:numPr>
          <w:ilvl w:val="1"/>
          <w:numId w:val="187"/>
        </w:numPr>
        <w:rPr>
          <w:rFonts w:ascii="Arial" w:cs="Arial" w:eastAsia="Arial" w:hAnsi="Arial"/>
          <w:sz w:val="17"/>
          <w:szCs w:val="17"/>
          <w:color w:val="auto"/>
        </w:rPr>
      </w:pPr>
      <w:r>
        <w:rPr>
          <w:rFonts w:ascii="Arial" w:cs="Arial" w:eastAsia="Arial" w:hAnsi="Arial"/>
          <w:sz w:val="17"/>
          <w:szCs w:val="17"/>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69" w:lineRule="exact"/>
        <w:rPr>
          <w:rFonts w:ascii="Arial" w:cs="Arial" w:eastAsia="Arial" w:hAnsi="Arial"/>
          <w:sz w:val="17"/>
          <w:szCs w:val="17"/>
          <w:color w:val="auto"/>
        </w:rPr>
      </w:pPr>
    </w:p>
    <w:p>
      <w:pPr>
        <w:ind w:left="460" w:right="520" w:firstLine="443"/>
        <w:spacing w:after="0" w:line="264" w:lineRule="auto"/>
        <w:tabs>
          <w:tab w:leader="none" w:pos="1153" w:val="left"/>
        </w:tabs>
        <w:numPr>
          <w:ilvl w:val="1"/>
          <w:numId w:val="187"/>
        </w:numPr>
        <w:rPr>
          <w:rFonts w:ascii="Arial" w:cs="Arial" w:eastAsia="Arial" w:hAnsi="Arial"/>
          <w:sz w:val="18"/>
          <w:szCs w:val="18"/>
          <w:color w:val="auto"/>
        </w:rPr>
      </w:pPr>
      <w:r>
        <w:rPr>
          <w:rFonts w:ascii="Arial" w:cs="Arial" w:eastAsia="Arial" w:hAnsi="Arial"/>
          <w:sz w:val="18"/>
          <w:szCs w:val="18"/>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73" w:lineRule="exact"/>
        <w:rPr>
          <w:rFonts w:ascii="Arial" w:cs="Arial" w:eastAsia="Arial" w:hAnsi="Arial"/>
          <w:sz w:val="18"/>
          <w:szCs w:val="18"/>
          <w:color w:val="auto"/>
        </w:rPr>
      </w:pPr>
    </w:p>
    <w:p>
      <w:pPr>
        <w:jc w:val="both"/>
        <w:ind w:left="460" w:right="60" w:firstLine="443"/>
        <w:spacing w:after="0" w:line="276" w:lineRule="auto"/>
        <w:tabs>
          <w:tab w:leader="none" w:pos="1153" w:val="left"/>
        </w:tabs>
        <w:numPr>
          <w:ilvl w:val="1"/>
          <w:numId w:val="187"/>
        </w:numPr>
        <w:rPr>
          <w:rFonts w:ascii="Arial" w:cs="Arial" w:eastAsia="Arial" w:hAnsi="Arial"/>
          <w:sz w:val="17"/>
          <w:szCs w:val="17"/>
          <w:color w:val="auto"/>
        </w:rPr>
      </w:pPr>
      <w:r>
        <w:rPr>
          <w:rFonts w:ascii="Arial" w:cs="Arial" w:eastAsia="Arial" w:hAnsi="Arial"/>
          <w:sz w:val="17"/>
          <w:szCs w:val="17"/>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(i) stockholders to have proposals included 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64" w:lineRule="exact"/>
        <w:rPr>
          <w:rFonts w:ascii="Arial" w:cs="Arial" w:eastAsia="Arial" w:hAnsi="Arial"/>
          <w:sz w:val="17"/>
          <w:szCs w:val="17"/>
          <w:color w:val="auto"/>
        </w:rPr>
      </w:pPr>
    </w:p>
    <w:p>
      <w:pPr>
        <w:ind w:firstLine="464"/>
        <w:spacing w:after="0" w:line="276" w:lineRule="auto"/>
        <w:tabs>
          <w:tab w:leader="none" w:pos="701"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I, Section 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73"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300" w:name="page301"/>
    <w:bookmarkEnd w:id="300"/>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8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 xml:space="preserve">Notwithstanding anything herein to the contrary, the affirmative vote of not less than two thirds (2/3) of the outstanding shares of capital stock entitled to vote thereon, and the affirmative vote of not less than two thirds (2/3) of the outstanding shares of each class entitled to vote thereon as a class, shall be required to amend or repeal any provision of this Article I, Section 3;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Board of Directors recommends that stockholders approve such amendment or repeal at such meeting of stockholders, such amendment or repeal shall only require the affirmative vote of a majority of the outstanding shares entitled to vote on such amendment or repeal, voting together as a single class.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Notice of Meetings; Adjournments</w:t>
      </w:r>
      <w:r>
        <w:rPr>
          <w:rFonts w:ascii="Arial" w:cs="Arial" w:eastAsia="Arial" w:hAnsi="Arial"/>
          <w:sz w:val="18"/>
          <w:szCs w:val="18"/>
          <w:color w:val="auto"/>
        </w:rPr>
        <w:t>.</w:t>
      </w:r>
    </w:p>
    <w:p>
      <w:pPr>
        <w:spacing w:after="0" w:line="117" w:lineRule="exact"/>
        <w:rPr>
          <w:sz w:val="20"/>
          <w:szCs w:val="20"/>
          <w:color w:val="auto"/>
        </w:rPr>
      </w:pPr>
    </w:p>
    <w:p>
      <w:pPr>
        <w:ind w:right="20" w:firstLine="464"/>
        <w:spacing w:after="0" w:line="273" w:lineRule="auto"/>
        <w:tabs>
          <w:tab w:leader="none" w:pos="70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 Without limiting the manner by which notice may otherwise be given to stockholders, any notice to stockholders may be given by electronic transmission in the manner provided in Section 232 of the Delaware General Corporation Law (“DGCL”).</w:t>
      </w:r>
    </w:p>
    <w:p>
      <w:pPr>
        <w:spacing w:after="0" w:line="70" w:lineRule="exact"/>
        <w:rPr>
          <w:rFonts w:ascii="Arial" w:cs="Arial" w:eastAsia="Arial" w:hAnsi="Arial"/>
          <w:sz w:val="17"/>
          <w:szCs w:val="17"/>
          <w:color w:val="auto"/>
        </w:rPr>
      </w:pPr>
    </w:p>
    <w:p>
      <w:pPr>
        <w:ind w:right="240" w:firstLine="464"/>
        <w:spacing w:after="0" w:line="308" w:lineRule="auto"/>
        <w:tabs>
          <w:tab w:leader="none" w:pos="71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Unless otherwise required by the DGCL, notice of all special meetings of stockholders shall be given in the same manner as provided for Annual Meetings, except that the notice of all special meetings shall state the purpose or purposes for which the meeting has been called.</w:t>
      </w:r>
    </w:p>
    <w:p>
      <w:pPr>
        <w:spacing w:after="0" w:line="38" w:lineRule="exact"/>
        <w:rPr>
          <w:rFonts w:ascii="Arial" w:cs="Arial" w:eastAsia="Arial" w:hAnsi="Arial"/>
          <w:sz w:val="17"/>
          <w:szCs w:val="17"/>
          <w:color w:val="auto"/>
        </w:rPr>
      </w:pPr>
    </w:p>
    <w:p>
      <w:pPr>
        <w:ind w:right="240" w:firstLine="464"/>
        <w:spacing w:after="0" w:line="259" w:lineRule="auto"/>
        <w:tabs>
          <w:tab w:leader="none" w:pos="70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78" w:lineRule="exact"/>
        <w:rPr>
          <w:rFonts w:ascii="Arial" w:cs="Arial" w:eastAsia="Arial" w:hAnsi="Arial"/>
          <w:sz w:val="18"/>
          <w:szCs w:val="18"/>
          <w:color w:val="auto"/>
        </w:rPr>
      </w:pPr>
    </w:p>
    <w:p>
      <w:pPr>
        <w:jc w:val="both"/>
        <w:ind w:right="20" w:firstLine="464"/>
        <w:spacing w:after="0" w:line="302" w:lineRule="auto"/>
        <w:tabs>
          <w:tab w:leader="none" w:pos="711" w:val="left"/>
        </w:tabs>
        <w:numPr>
          <w:ilvl w:val="0"/>
          <w:numId w:val="189"/>
        </w:numPr>
        <w:rPr>
          <w:rFonts w:ascii="Arial" w:cs="Arial" w:eastAsia="Arial" w:hAnsi="Arial"/>
          <w:sz w:val="16"/>
          <w:szCs w:val="16"/>
          <w:color w:val="auto"/>
        </w:rPr>
      </w:pPr>
      <w:r>
        <w:rPr>
          <w:rFonts w:ascii="Arial" w:cs="Arial" w:eastAsia="Arial" w:hAnsi="Arial"/>
          <w:sz w:val="16"/>
          <w:szCs w:val="16"/>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301" w:name="page302"/>
    <w:bookmarkEnd w:id="301"/>
    <w:p>
      <w:pPr>
        <w:ind w:right="20" w:firstLine="464"/>
        <w:spacing w:after="0" w:line="269" w:lineRule="auto"/>
        <w:tabs>
          <w:tab w:leader="none" w:pos="701" w:val="left"/>
        </w:tabs>
        <w:numPr>
          <w:ilvl w:val="0"/>
          <w:numId w:val="1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 any meeting is convened, the presiding officer may adjourn the meeting if (i) no quorum is present for the transaction of business, (ii) 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“Certificate”) or these By-laws, is entitled to such notice.</w:t>
      </w:r>
    </w:p>
    <w:p>
      <w:pPr>
        <w:spacing w:after="0" w:line="18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Quorum</w:t>
      </w:r>
      <w:r>
        <w:rPr>
          <w:rFonts w:ascii="Arial" w:cs="Arial" w:eastAsia="Arial" w:hAnsi="Arial"/>
          <w:sz w:val="18"/>
          <w:szCs w:val="18"/>
          <w:color w:val="auto"/>
        </w:rPr>
        <w:t>. A majority of the outstanding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original meeting. The stockholders present at a duly constituted meeting may continue to transact business until adjournment, notwithstanding the withdrawal of enough stockholders to leave less than a quorum.</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Voting and Proxies</w:t>
      </w:r>
      <w:r>
        <w:rPr>
          <w:rFonts w:ascii="Arial" w:cs="Arial" w:eastAsia="Arial" w:hAnsi="Arial"/>
          <w:sz w:val="17"/>
          <w:szCs w:val="17"/>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302" w:name="page303"/>
    <w:bookmarkEnd w:id="302"/>
    <w:p>
      <w:pPr>
        <w:jc w:val="both"/>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 </w:t>
      </w:r>
      <w:r>
        <w:rPr>
          <w:rFonts w:ascii="Arial" w:cs="Arial" w:eastAsia="Arial" w:hAnsi="Arial"/>
          <w:sz w:val="18"/>
          <w:szCs w:val="18"/>
          <w:u w:val="single" w:color="auto"/>
          <w:color w:val="auto"/>
        </w:rPr>
        <w:t>Action at Meeting</w:t>
      </w:r>
      <w:r>
        <w:rPr>
          <w:rFonts w:ascii="Arial" w:cs="Arial" w:eastAsia="Arial" w:hAnsi="Arial"/>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87"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Stockholder Lists</w:t>
      </w:r>
      <w:r>
        <w:rPr>
          <w:rFonts w:ascii="Arial" w:cs="Arial" w:eastAsia="Arial" w:hAnsi="Arial"/>
          <w:sz w:val="17"/>
          <w:szCs w:val="17"/>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as provided in the manner, and subject to the terms, set forth in Section 219 of the DGCL (or any successor provision). The list shall also be open to the examination of any stockholder during the whole time of the meeting as provided by law.</w:t>
      </w:r>
    </w:p>
    <w:p>
      <w:pPr>
        <w:spacing w:after="0" w:line="17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Presiding Officer</w:t>
      </w:r>
      <w:r>
        <w:rPr>
          <w:rFonts w:ascii="Arial" w:cs="Arial" w:eastAsia="Arial" w:hAnsi="Arial"/>
          <w:sz w:val="17"/>
          <w:szCs w:val="17"/>
          <w:color w:val="auto"/>
        </w:rPr>
        <w:t>. The Board of Directors shall designate a representative to preside over all Annual Meetings or special meetings of stockholders, provided that if the Board of Directors does not so designate such a presiding officer, then the Chairman of the Board, if one is elected, shall preside over such meetings. If the Board of Directors does not so designate such a presiding officer and there is no Chairman of the Board or the Chairman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4 and 5 of this Article I. The order of business and all other matters of procedure at any meeting of the stockholders shall be determined by the presiding officer.</w:t>
      </w:r>
    </w:p>
    <w:p>
      <w:pPr>
        <w:spacing w:after="0" w:line="17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Inspectors of Elections</w:t>
      </w:r>
      <w:r>
        <w:rPr>
          <w:rFonts w:ascii="Arial" w:cs="Arial" w:eastAsia="Arial" w:hAnsi="Arial"/>
          <w:sz w:val="17"/>
          <w:szCs w:val="17"/>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 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303" w:name="page304"/>
    <w:bookmarkEnd w:id="303"/>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Powers</w:t>
      </w:r>
      <w:r>
        <w:rPr>
          <w:rFonts w:ascii="Arial" w:cs="Arial" w:eastAsia="Arial" w:hAnsi="Arial"/>
          <w:sz w:val="18"/>
          <w:szCs w:val="18"/>
          <w:color w:val="auto"/>
        </w:rPr>
        <w:t>. The business and affairs of the Corporation shall be managed by or under the direction of the Board of Directors except as otherwise provided by the Certificate or required by law.</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Number and Terms</w:t>
      </w:r>
      <w:r>
        <w:rPr>
          <w:rFonts w:ascii="Arial" w:cs="Arial" w:eastAsia="Arial" w:hAnsi="Arial"/>
          <w:sz w:val="18"/>
          <w:szCs w:val="18"/>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Qualification</w:t>
      </w:r>
      <w:r>
        <w:rPr>
          <w:rFonts w:ascii="Arial" w:cs="Arial" w:eastAsia="Arial" w:hAnsi="Arial"/>
          <w:sz w:val="18"/>
          <w:szCs w:val="18"/>
          <w:color w:val="auto"/>
        </w:rPr>
        <w:t>. No director need be a stockholder of the Corporation.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in the Board of Directors shall be filled in the manner provided in the Certificate.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Removal</w:t>
      </w:r>
      <w:r>
        <w:rPr>
          <w:rFonts w:ascii="Arial" w:cs="Arial" w:eastAsia="Arial" w:hAnsi="Arial"/>
          <w:sz w:val="18"/>
          <w:szCs w:val="18"/>
          <w:color w:val="auto"/>
        </w:rPr>
        <w:t>. Directors may be removed from office only in the manner provided in the Certificate.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Resignation</w:t>
      </w:r>
      <w:r>
        <w:rPr>
          <w:rFonts w:ascii="Arial" w:cs="Arial" w:eastAsia="Arial" w:hAnsi="Arial"/>
          <w:sz w:val="18"/>
          <w:szCs w:val="18"/>
          <w:color w:val="auto"/>
        </w:rPr>
        <w:t>. A director may resign at any time by electronic transmission or by giving written notice to the Chairman of the Board, if one is elected, the President or the Secretary. A resignation shall be effective upon receipt, unless the resignation otherwise provides.</w:t>
      </w:r>
    </w:p>
    <w:p>
      <w:pPr>
        <w:spacing w:after="0" w:line="17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Regular Meetings</w:t>
      </w:r>
      <w:r>
        <w:rPr>
          <w:rFonts w:ascii="Arial" w:cs="Arial" w:eastAsia="Arial" w:hAnsi="Arial"/>
          <w:sz w:val="18"/>
          <w:szCs w:val="18"/>
          <w:color w:val="auto"/>
        </w:rPr>
        <w:t>. The regular annual meeting of the Board of Directors shall be held, without notice other than this Section 7, on the same date and at the same place as the Annual Meeting following the close of such meeting of stockholders. Other regular meetings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8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the Board of Directors may be called, orally or in writing, by or at the request of a majority of the directors, the Chairman of the Board, if one is elected, or the President. The person calling any such special meeting of the Board of Directors may fix the hour, date and place thereof.</w:t>
      </w:r>
    </w:p>
    <w:p>
      <w:pPr>
        <w:spacing w:after="0" w:line="181"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Notice of Meetings</w:t>
      </w:r>
      <w:r>
        <w:rPr>
          <w:rFonts w:ascii="Arial" w:cs="Arial" w:eastAsia="Arial" w:hAnsi="Arial"/>
          <w:sz w:val="18"/>
          <w:szCs w:val="18"/>
          <w:color w:val="auto"/>
        </w:rPr>
        <w:t>. Notice of the hour, date and place of all special meetings of the Board of Directors shall be given to each director by the Secretary or an Assistant Secretary, or in case of the death, absence, incapacity or refusal of such persons, by the Chairman of the Board, if one is elected, or the President or such other officer designated by the Chairman of the Board, if one is elected, or the President. Notice of any special meeting of the Board of Directors shall be given to each director in person, by telephone, or by facsimile,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74" w:right="279" w:bottom="1440" w:gutter="0" w:footer="0" w:header="0"/>
        </w:sectPr>
      </w:pPr>
    </w:p>
    <w:bookmarkStart w:id="304" w:name="page305"/>
    <w:bookmarkEnd w:id="304"/>
    <w:p>
      <w:pPr>
        <w:ind w:right="10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 mail or other form of electronic communication, sent to his or her business or home address, at least twenty-four (24) hours in advance of the meeting, or by written notice mailed to 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or electronically transmitted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6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Quorum</w:t>
      </w:r>
      <w:r>
        <w:rPr>
          <w:rFonts w:ascii="Arial" w:cs="Arial" w:eastAsia="Arial" w:hAnsi="Arial"/>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88"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Action at Meeting</w:t>
      </w:r>
      <w:r>
        <w:rPr>
          <w:rFonts w:ascii="Arial" w:cs="Arial" w:eastAsia="Arial" w:hAnsi="Arial"/>
          <w:sz w:val="18"/>
          <w:szCs w:val="18"/>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Action by Consent</w:t>
      </w:r>
      <w:r>
        <w:rPr>
          <w:rFonts w:ascii="Arial" w:cs="Arial" w:eastAsia="Arial" w:hAnsi="Arial"/>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88" w:lineRule="exact"/>
        <w:rPr>
          <w:sz w:val="20"/>
          <w:szCs w:val="20"/>
          <w:color w:val="auto"/>
        </w:rPr>
      </w:pPr>
    </w:p>
    <w:p>
      <w:pPr>
        <w:jc w:val="both"/>
        <w:ind w:right="360" w:firstLine="456"/>
        <w:spacing w:after="0" w:line="264"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Manner of Participation</w:t>
      </w:r>
      <w:r>
        <w:rPr>
          <w:rFonts w:ascii="Arial" w:cs="Arial" w:eastAsia="Arial" w:hAnsi="Arial"/>
          <w:sz w:val="18"/>
          <w:szCs w:val="18"/>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Presiding Director</w:t>
      </w:r>
      <w:r>
        <w:rPr>
          <w:rFonts w:ascii="Arial" w:cs="Arial" w:eastAsia="Arial" w:hAnsi="Arial"/>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Chairman of the Board, if one is elected, shall preside over all meetings of the Board of Directors. If both the designated presiding director, if one is so designated, and the Chairman of the Board, if one is elected, are unable to preside or are absent, the Board of Directors shall designate an alternate representative to preside over a meeting of the Board of Directors.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3" w:right="239" w:bottom="1440" w:gutter="0" w:footer="0" w:header="0"/>
        </w:sectPr>
      </w:pPr>
    </w:p>
    <w:bookmarkStart w:id="305" w:name="page306"/>
    <w:bookmarkEnd w:id="305"/>
    <w:p>
      <w:pPr>
        <w:ind w:right="8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15. </w:t>
      </w:r>
      <w:r>
        <w:rPr>
          <w:rFonts w:ascii="Arial" w:cs="Arial" w:eastAsia="Arial" w:hAnsi="Arial"/>
          <w:sz w:val="18"/>
          <w:szCs w:val="18"/>
          <w:u w:val="single" w:color="auto"/>
          <w:color w:val="auto"/>
        </w:rPr>
        <w:t>Committees</w:t>
      </w:r>
      <w:r>
        <w:rPr>
          <w:rFonts w:ascii="Arial" w:cs="Arial" w:eastAsia="Arial" w:hAnsi="Arial"/>
          <w:sz w:val="18"/>
          <w:szCs w:val="18"/>
          <w:color w:val="auto"/>
        </w:rPr>
        <w: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92"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Compensation of Directors</w:t>
      </w:r>
      <w:r>
        <w:rPr>
          <w:rFonts w:ascii="Arial" w:cs="Arial" w:eastAsia="Arial" w:hAnsi="Arial"/>
          <w:sz w:val="17"/>
          <w:szCs w:val="17"/>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Enumeration</w:t>
      </w:r>
      <w:r>
        <w:rPr>
          <w:rFonts w:ascii="Arial" w:cs="Arial" w:eastAsia="Arial" w:hAnsi="Arial"/>
          <w:sz w:val="16"/>
          <w:szCs w:val="16"/>
          <w:color w:val="auto"/>
        </w:rPr>
        <w:t>. The officers of the Corporation shall consist of a President, a Treasurer, a Secretary and such other officers, including, without limitation, a Chairman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Election</w:t>
      </w:r>
      <w:r>
        <w:rPr>
          <w:rFonts w:ascii="Arial" w:cs="Arial" w:eastAsia="Arial" w:hAnsi="Arial"/>
          <w:sz w:val="18"/>
          <w:szCs w:val="18"/>
          <w:color w:val="auto"/>
        </w:rPr>
        <w:t>. At the regular annual meeting of the Board of Directors following the Annual Meeting, the Board of Directors shall elect the President, the Treasurer and the Secretary. Other officers may be elected by the Board of Directors at such regular annual meeting of the Board of Directors or at any other regular or special meeting.</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Qualification</w:t>
      </w:r>
      <w:r>
        <w:rPr>
          <w:rFonts w:ascii="Arial" w:cs="Arial" w:eastAsia="Arial" w:hAnsi="Arial"/>
          <w:sz w:val="16"/>
          <w:szCs w:val="16"/>
          <w:color w:val="auto"/>
        </w:rPr>
        <w:t>. No officer need be a stockholder or a director. Any person may occupy more than one office of the Corporation at any time.</w:t>
      </w:r>
    </w:p>
    <w:p>
      <w:pPr>
        <w:spacing w:after="0" w:line="248"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Tenure</w:t>
      </w:r>
      <w:r>
        <w:rPr>
          <w:rFonts w:ascii="Arial" w:cs="Arial" w:eastAsia="Arial" w:hAnsi="Arial"/>
          <w:sz w:val="18"/>
          <w:szCs w:val="18"/>
          <w:color w:val="auto"/>
        </w:rPr>
        <w:t>. Except as otherwise provided by the Certificate or by these By-laws, each of the officers of the Corporation shall hold office until the regular annual meeting of the Board of Directors following the next Annual Meeting and until his or her successor is elected and qualified or until his or her earlier resignation or removal.</w:t>
      </w:r>
    </w:p>
    <w:p>
      <w:pPr>
        <w:spacing w:after="0" w:line="181" w:lineRule="exact"/>
        <w:rPr>
          <w:sz w:val="20"/>
          <w:szCs w:val="20"/>
          <w:color w:val="auto"/>
        </w:rPr>
      </w:pPr>
    </w:p>
    <w:p>
      <w:pPr>
        <w:ind w:right="20" w:firstLine="456"/>
        <w:spacing w:after="0" w:line="308"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Resignation</w:t>
      </w:r>
      <w:r>
        <w:rPr>
          <w:rFonts w:ascii="Arial" w:cs="Arial" w:eastAsia="Arial" w:hAnsi="Arial"/>
          <w:sz w:val="17"/>
          <w:szCs w:val="17"/>
          <w:color w:val="auto"/>
        </w:rPr>
        <w:t>. Any officer may resign by delivering his or her written or electronically transmitted resignation to the Corporation addressed to the President or the Secretary, and such resignation shall be effective upon receipt, unless the resignation otherwise provides.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3" w:right="259" w:bottom="1440" w:gutter="0" w:footer="0" w:header="0"/>
        </w:sectPr>
      </w:pPr>
    </w:p>
    <w:bookmarkStart w:id="306" w:name="page307"/>
    <w:bookmarkEnd w:id="306"/>
    <w:p>
      <w:pPr>
        <w:ind w:right="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 </w:t>
      </w:r>
      <w:r>
        <w:rPr>
          <w:rFonts w:ascii="Arial" w:cs="Arial" w:eastAsia="Arial" w:hAnsi="Arial"/>
          <w:sz w:val="18"/>
          <w:szCs w:val="18"/>
          <w:u w:val="single" w:color="auto"/>
          <w:color w:val="auto"/>
        </w:rPr>
        <w:t>Removal</w:t>
      </w:r>
      <w:r>
        <w:rPr>
          <w:rFonts w:ascii="Arial" w:cs="Arial" w:eastAsia="Arial" w:hAnsi="Arial"/>
          <w:sz w:val="18"/>
          <w:szCs w:val="18"/>
          <w:color w:val="auto"/>
        </w:rPr>
        <w:t>. Except as otherwise provided by law or by resolution of the Board of Directors, the Board of Directors may remove any officer with or without cause by the affirmative vote of a majority of the directors then in office.</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Absence or Disability</w:t>
      </w:r>
      <w:r>
        <w:rPr>
          <w:rFonts w:ascii="Arial" w:cs="Arial" w:eastAsia="Arial" w:hAnsi="Arial"/>
          <w:sz w:val="18"/>
          <w:szCs w:val="18"/>
          <w:color w:val="auto"/>
        </w:rPr>
        <w:t>. In the event of the absence or disability of any officer, the Board of Directors may designate another officer to act temporarily in place of such absent or disabled officer.</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Vacancies</w:t>
      </w:r>
      <w:r>
        <w:rPr>
          <w:rFonts w:ascii="Arial" w:cs="Arial" w:eastAsia="Arial" w:hAnsi="Arial"/>
          <w:sz w:val="18"/>
          <w:szCs w:val="18"/>
          <w:color w:val="auto"/>
        </w:rPr>
        <w:t>. Any vacancy in any office may be filled for the unexpired portion of the term by the Board of Directors.</w:t>
      </w:r>
    </w:p>
    <w:p>
      <w:pPr>
        <w:spacing w:after="0" w:line="225"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subject to the direction of the Board of Directors, have such powers and shall perform such duties as the Board of Directors may from time to time designate.</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Chairman of the Board</w:t>
      </w:r>
      <w:r>
        <w:rPr>
          <w:rFonts w:ascii="Arial" w:cs="Arial" w:eastAsia="Arial" w:hAnsi="Arial"/>
          <w:sz w:val="18"/>
          <w:szCs w:val="18"/>
          <w:color w:val="auto"/>
        </w:rPr>
        <w:t>. The Chairman of the Board, if one is elected, shall have such powers and shall perform such duties as the Board of Directors may from time to time designate.</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Chief Executive Officer, if one is elected, shall have such powers and shall perform such duties as the Board of Directors may from time to time designate.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Vice Presidents and Assistant Vice Presidents</w:t>
      </w:r>
      <w:r>
        <w:rPr>
          <w:rFonts w:ascii="Arial" w:cs="Arial" w:eastAsia="Arial" w:hAnsi="Arial"/>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81"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Treasurer and Assistant Treasurers</w:t>
      </w:r>
      <w:r>
        <w:rPr>
          <w:rFonts w:ascii="Arial" w:cs="Arial" w:eastAsia="Arial" w:hAnsi="Arial"/>
          <w:sz w:val="16"/>
          <w:szCs w:val="16"/>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5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Secretary and Assistant Secretaries</w:t>
      </w:r>
      <w:r>
        <w:rPr>
          <w:rFonts w:ascii="Arial" w:cs="Arial" w:eastAsia="Arial" w:hAnsi="Arial"/>
          <w:sz w:val="16"/>
          <w:szCs w:val="16"/>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07" w:name="page308"/>
    <w:bookmarkEnd w:id="307"/>
    <w:p>
      <w:pPr>
        <w:ind w:right="1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47"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Other Powers and Duties</w:t>
      </w:r>
      <w:r>
        <w:rPr>
          <w:rFonts w:ascii="Arial" w:cs="Arial" w:eastAsia="Arial" w:hAnsi="Arial"/>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Capital Stock</w:t>
      </w:r>
    </w:p>
    <w:p>
      <w:pPr>
        <w:spacing w:after="0" w:line="225"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Certificates of Stock</w:t>
      </w:r>
      <w:r>
        <w:rPr>
          <w:rFonts w:ascii="Arial" w:cs="Arial" w:eastAsia="Arial" w:hAnsi="Arial"/>
          <w:sz w:val="16"/>
          <w:szCs w:val="16"/>
          <w:color w:val="auto"/>
        </w:rPr>
        <w:t>. Each stockholder shall be entitled to a certificate of the capital stock of the Corporation in such form as may from time to time be prescribed by the Board of Directors. Such certificate shall be signed by any two authorized officers of the Corporation. The Corporation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of the Corporation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73"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Transfers</w:t>
      </w:r>
      <w:r>
        <w:rPr>
          <w:rFonts w:ascii="Arial" w:cs="Arial" w:eastAsia="Arial" w:hAnsi="Arial"/>
          <w:sz w:val="17"/>
          <w:szCs w:val="17"/>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308" w:name="page309"/>
    <w:bookmarkEnd w:id="308"/>
    <w:p>
      <w:pPr>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 </w:t>
      </w:r>
      <w:r>
        <w:rPr>
          <w:rFonts w:ascii="Arial" w:cs="Arial" w:eastAsia="Arial" w:hAnsi="Arial"/>
          <w:sz w:val="18"/>
          <w:szCs w:val="18"/>
          <w:u w:val="single" w:color="auto"/>
          <w:color w:val="auto"/>
        </w:rPr>
        <w:t>Record Holders</w:t>
      </w:r>
      <w:r>
        <w:rPr>
          <w:rFonts w:ascii="Arial" w:cs="Arial" w:eastAsia="Arial" w:hAnsi="Arial"/>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8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Record Date</w:t>
      </w:r>
      <w:r>
        <w:rPr>
          <w:rFonts w:ascii="Arial" w:cs="Arial" w:eastAsia="Arial" w:hAnsi="Arial"/>
          <w:sz w:val="17"/>
          <w:szCs w:val="17"/>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Replacement of Certificates</w:t>
      </w:r>
      <w:r>
        <w:rPr>
          <w:rFonts w:ascii="Arial" w:cs="Arial" w:eastAsia="Arial" w:hAnsi="Arial"/>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Article:</w:t>
      </w:r>
    </w:p>
    <w:p>
      <w:pPr>
        <w:spacing w:after="0" w:line="117" w:lineRule="exact"/>
        <w:rPr>
          <w:sz w:val="20"/>
          <w:szCs w:val="20"/>
          <w:color w:val="auto"/>
        </w:rPr>
      </w:pPr>
    </w:p>
    <w:p>
      <w:pPr>
        <w:ind w:firstLine="464"/>
        <w:spacing w:after="0" w:line="271" w:lineRule="auto"/>
        <w:tabs>
          <w:tab w:leader="none" w:pos="701" w:val="left"/>
        </w:tabs>
        <w:numPr>
          <w:ilvl w:val="0"/>
          <w:numId w:val="191"/>
        </w:numPr>
        <w:rPr>
          <w:rFonts w:ascii="Arial" w:cs="Arial" w:eastAsia="Arial" w:hAnsi="Arial"/>
          <w:sz w:val="17"/>
          <w:szCs w:val="17"/>
          <w:color w:val="auto"/>
        </w:rPr>
      </w:pPr>
      <w:r>
        <w:rPr>
          <w:rFonts w:ascii="Arial" w:cs="Arial" w:eastAsia="Arial" w:hAnsi="Arial"/>
          <w:sz w:val="17"/>
          <w:szCs w:val="17"/>
          <w:color w:val="auto"/>
        </w:rPr>
        <w:t>“Corporate Status”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“Corporate Status”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309" w:name="page310"/>
    <w:bookmarkEnd w:id="309"/>
    <w:p>
      <w:pPr>
        <w:ind w:left="712" w:hanging="256"/>
        <w:spacing w:after="0"/>
        <w:tabs>
          <w:tab w:leader="none" w:pos="712" w:val="left"/>
        </w:tabs>
        <w:numPr>
          <w:ilvl w:val="1"/>
          <w:numId w:val="1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“Director” means any person who serves or has served the Corporation as a director on the Board of Directors of the Corporation;</w:t>
      </w:r>
    </w:p>
    <w:p>
      <w:pPr>
        <w:spacing w:after="0" w:line="117" w:lineRule="exact"/>
        <w:rPr>
          <w:rFonts w:ascii="Arial" w:cs="Arial" w:eastAsia="Arial" w:hAnsi="Arial"/>
          <w:sz w:val="18"/>
          <w:szCs w:val="18"/>
          <w:color w:val="auto"/>
        </w:rPr>
      </w:pPr>
    </w:p>
    <w:p>
      <w:pPr>
        <w:ind w:left="-8" w:right="700" w:firstLine="464"/>
        <w:spacing w:after="0" w:line="277" w:lineRule="auto"/>
        <w:tabs>
          <w:tab w:leader="none" w:pos="69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“Disinterested Director” means, with respect to each Proceeding in respect of which indemnification is sought hereunder, a Director of the Corporation who is not and was not a party to such Proceeding;</w:t>
      </w:r>
    </w:p>
    <w:p>
      <w:pPr>
        <w:spacing w:after="0" w:line="62" w:lineRule="exact"/>
        <w:rPr>
          <w:rFonts w:ascii="Arial" w:cs="Arial" w:eastAsia="Arial" w:hAnsi="Arial"/>
          <w:sz w:val="18"/>
          <w:szCs w:val="18"/>
          <w:color w:val="auto"/>
        </w:rPr>
      </w:pPr>
    </w:p>
    <w:p>
      <w:pPr>
        <w:ind w:left="-8" w:firstLine="464"/>
        <w:spacing w:after="0" w:line="255" w:lineRule="auto"/>
        <w:tabs>
          <w:tab w:leader="none" w:pos="70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“Expenses”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85" w:lineRule="exact"/>
        <w:rPr>
          <w:rFonts w:ascii="Arial" w:cs="Arial" w:eastAsia="Arial" w:hAnsi="Arial"/>
          <w:sz w:val="18"/>
          <w:szCs w:val="18"/>
          <w:color w:val="auto"/>
        </w:rPr>
      </w:pPr>
    </w:p>
    <w:p>
      <w:pPr>
        <w:ind w:left="692" w:hanging="236"/>
        <w:spacing w:after="0"/>
        <w:tabs>
          <w:tab w:leader="none" w:pos="69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“Liabilities” means judgments, damages, liabilities, losses, penalties, excise taxes, fines and amounts paid in settlement;</w:t>
      </w:r>
    </w:p>
    <w:p>
      <w:pPr>
        <w:spacing w:after="0" w:line="117" w:lineRule="exact"/>
        <w:rPr>
          <w:rFonts w:ascii="Arial" w:cs="Arial" w:eastAsia="Arial" w:hAnsi="Arial"/>
          <w:sz w:val="18"/>
          <w:szCs w:val="18"/>
          <w:color w:val="auto"/>
        </w:rPr>
      </w:pPr>
    </w:p>
    <w:p>
      <w:pPr>
        <w:ind w:left="-8" w:right="500" w:firstLine="464"/>
        <w:spacing w:after="0" w:line="277" w:lineRule="auto"/>
        <w:tabs>
          <w:tab w:leader="none" w:pos="67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“Non-Officer Employee” means any person who serves or has served as an employee or agent of the Corporation, but who is not or was not a Director or Officer;</w:t>
      </w:r>
    </w:p>
    <w:p>
      <w:pPr>
        <w:spacing w:after="0" w:line="62" w:lineRule="exact"/>
        <w:rPr>
          <w:rFonts w:ascii="Arial" w:cs="Arial" w:eastAsia="Arial" w:hAnsi="Arial"/>
          <w:sz w:val="18"/>
          <w:szCs w:val="18"/>
          <w:color w:val="auto"/>
        </w:rPr>
      </w:pPr>
    </w:p>
    <w:p>
      <w:pPr>
        <w:ind w:left="-8" w:right="220" w:firstLine="464"/>
        <w:spacing w:after="0" w:line="277" w:lineRule="auto"/>
        <w:tabs>
          <w:tab w:leader="none" w:pos="70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“Officer” means any person who serves or has served the Corporation as an officer of the Corporation appointed by the Board of Directors of the Corporation;</w:t>
      </w:r>
    </w:p>
    <w:p>
      <w:pPr>
        <w:spacing w:after="0" w:line="62" w:lineRule="exact"/>
        <w:rPr>
          <w:rFonts w:ascii="Arial" w:cs="Arial" w:eastAsia="Arial" w:hAnsi="Arial"/>
          <w:sz w:val="18"/>
          <w:szCs w:val="18"/>
          <w:color w:val="auto"/>
        </w:rPr>
      </w:pPr>
    </w:p>
    <w:p>
      <w:pPr>
        <w:ind w:left="-8" w:right="180" w:firstLine="464"/>
        <w:spacing w:after="0" w:line="277" w:lineRule="auto"/>
        <w:tabs>
          <w:tab w:leader="none" w:pos="703" w:val="left"/>
        </w:tabs>
        <w:numPr>
          <w:ilvl w:val="1"/>
          <w:numId w:val="192"/>
        </w:numPr>
        <w:rPr>
          <w:rFonts w:ascii="Arial" w:cs="Arial" w:eastAsia="Arial" w:hAnsi="Arial"/>
          <w:sz w:val="18"/>
          <w:szCs w:val="18"/>
          <w:color w:val="auto"/>
        </w:rPr>
      </w:pPr>
      <w:r>
        <w:rPr>
          <w:rFonts w:ascii="Arial" w:cs="Arial" w:eastAsia="Arial" w:hAnsi="Arial"/>
          <w:sz w:val="18"/>
          <w:szCs w:val="18"/>
          <w:color w:val="auto"/>
        </w:rPr>
        <w:t>“Proceeding”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62" w:lineRule="exact"/>
        <w:rPr>
          <w:rFonts w:ascii="Arial" w:cs="Arial" w:eastAsia="Arial" w:hAnsi="Arial"/>
          <w:sz w:val="18"/>
          <w:szCs w:val="18"/>
          <w:color w:val="auto"/>
        </w:rPr>
      </w:pPr>
    </w:p>
    <w:p>
      <w:pPr>
        <w:jc w:val="both"/>
        <w:ind w:left="-8" w:right="200" w:firstLine="464"/>
        <w:spacing w:after="0" w:line="291" w:lineRule="auto"/>
        <w:tabs>
          <w:tab w:leader="none" w:pos="663" w:val="left"/>
        </w:tabs>
        <w:numPr>
          <w:ilvl w:val="1"/>
          <w:numId w:val="192"/>
        </w:numPr>
        <w:rPr>
          <w:rFonts w:ascii="Arial" w:cs="Arial" w:eastAsia="Arial" w:hAnsi="Arial"/>
          <w:sz w:val="16"/>
          <w:szCs w:val="16"/>
          <w:color w:val="auto"/>
        </w:rPr>
      </w:pPr>
      <w:r>
        <w:rPr>
          <w:rFonts w:ascii="Arial" w:cs="Arial" w:eastAsia="Arial" w:hAnsi="Arial"/>
          <w:sz w:val="16"/>
          <w:szCs w:val="16"/>
          <w:color w:val="auto"/>
        </w:rPr>
        <w:t>“Subsidiary”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w:t>
      </w:r>
    </w:p>
    <w:p>
      <w:pPr>
        <w:ind w:left="-8" w:right="80" w:firstLine="8"/>
        <w:spacing w:after="0" w:line="255" w:lineRule="auto"/>
        <w:tabs>
          <w:tab w:leader="none" w:pos="257"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2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72"/>
          </w:cols>
          <w:pgMar w:left="248" w:top="273" w:right="279" w:bottom="1440" w:gutter="0" w:footer="0" w:header="0"/>
        </w:sectPr>
      </w:pPr>
    </w:p>
    <w:bookmarkStart w:id="310" w:name="page311"/>
    <w:bookmarkEnd w:id="31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 </w:t>
      </w:r>
      <w:r>
        <w:rPr>
          <w:rFonts w:ascii="Arial" w:cs="Arial" w:eastAsia="Arial" w:hAnsi="Arial"/>
          <w:sz w:val="18"/>
          <w:szCs w:val="18"/>
          <w:u w:val="single" w:color="auto"/>
          <w:color w:val="auto"/>
        </w:rPr>
        <w:t>Indemnification of Directors and Officers</w:t>
      </w:r>
      <w:r>
        <w:rPr>
          <w:rFonts w:ascii="Arial" w:cs="Arial" w:eastAsia="Arial" w:hAnsi="Arial"/>
          <w:sz w:val="18"/>
          <w:szCs w:val="18"/>
          <w:color w:val="auto"/>
        </w:rPr>
        <w:t>.</w:t>
      </w:r>
    </w:p>
    <w:p>
      <w:pPr>
        <w:spacing w:after="0" w:line="117" w:lineRule="exact"/>
        <w:rPr>
          <w:sz w:val="20"/>
          <w:szCs w:val="20"/>
          <w:color w:val="auto"/>
        </w:rPr>
      </w:pPr>
    </w:p>
    <w:p>
      <w:pPr>
        <w:ind w:left="-20" w:right="40" w:firstLine="464"/>
        <w:spacing w:after="0" w:line="259" w:lineRule="auto"/>
        <w:tabs>
          <w:tab w:leader="none" w:pos="68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78" w:lineRule="exact"/>
        <w:rPr>
          <w:rFonts w:ascii="Arial" w:cs="Arial" w:eastAsia="Arial" w:hAnsi="Arial"/>
          <w:sz w:val="18"/>
          <w:szCs w:val="18"/>
          <w:color w:val="auto"/>
        </w:rPr>
      </w:pPr>
    </w:p>
    <w:p>
      <w:pPr>
        <w:ind w:left="440" w:right="60" w:firstLine="443"/>
        <w:spacing w:after="0" w:line="293" w:lineRule="auto"/>
        <w:tabs>
          <w:tab w:leader="none" w:pos="1133"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Other than By or In the Right of the Corporation</w:t>
      </w:r>
      <w:r>
        <w:rPr>
          <w:rFonts w:ascii="Arial" w:cs="Arial" w:eastAsia="Arial" w:hAnsi="Arial"/>
          <w:sz w:val="16"/>
          <w:szCs w:val="16"/>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56" w:lineRule="exact"/>
        <w:rPr>
          <w:rFonts w:ascii="Arial" w:cs="Arial" w:eastAsia="Arial" w:hAnsi="Arial"/>
          <w:sz w:val="16"/>
          <w:szCs w:val="16"/>
          <w:color w:val="auto"/>
        </w:rPr>
      </w:pPr>
    </w:p>
    <w:p>
      <w:pPr>
        <w:ind w:left="440" w:firstLine="443"/>
        <w:spacing w:after="0" w:line="289" w:lineRule="auto"/>
        <w:tabs>
          <w:tab w:leader="none" w:pos="1133"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Actions, Suits and Proceedings By or In the Right of the Corporation</w:t>
      </w:r>
      <w:r>
        <w:rPr>
          <w:rFonts w:ascii="Arial" w:cs="Arial" w:eastAsia="Arial" w:hAnsi="Arial"/>
          <w:sz w:val="16"/>
          <w:szCs w:val="16"/>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58" w:lineRule="exact"/>
        <w:rPr>
          <w:rFonts w:ascii="Arial" w:cs="Arial" w:eastAsia="Arial" w:hAnsi="Arial"/>
          <w:sz w:val="16"/>
          <w:szCs w:val="16"/>
          <w:color w:val="auto"/>
        </w:rPr>
      </w:pPr>
    </w:p>
    <w:p>
      <w:pPr>
        <w:ind w:left="440" w:right="500" w:firstLine="443"/>
        <w:spacing w:after="0" w:line="342" w:lineRule="auto"/>
        <w:tabs>
          <w:tab w:leader="none" w:pos="1133" w:val="left"/>
        </w:tabs>
        <w:numPr>
          <w:ilvl w:val="1"/>
          <w:numId w:val="194"/>
        </w:numPr>
        <w:rPr>
          <w:rFonts w:ascii="Arial" w:cs="Arial" w:eastAsia="Arial" w:hAnsi="Arial"/>
          <w:sz w:val="16"/>
          <w:szCs w:val="16"/>
          <w:color w:val="auto"/>
        </w:rPr>
      </w:pPr>
      <w:r>
        <w:rPr>
          <w:rFonts w:ascii="Arial" w:cs="Arial" w:eastAsia="Arial" w:hAnsi="Arial"/>
          <w:sz w:val="16"/>
          <w:szCs w:val="16"/>
          <w:u w:val="single" w:color="auto"/>
          <w:color w:val="auto"/>
        </w:rPr>
        <w:t>Survival of Rights</w:t>
      </w:r>
      <w:r>
        <w:rPr>
          <w:rFonts w:ascii="Arial" w:cs="Arial" w:eastAsia="Arial" w:hAnsi="Arial"/>
          <w:sz w:val="16"/>
          <w:szCs w:val="16"/>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15" w:lineRule="exact"/>
        <w:rPr>
          <w:rFonts w:ascii="Arial" w:cs="Arial" w:eastAsia="Arial" w:hAnsi="Arial"/>
          <w:sz w:val="16"/>
          <w:szCs w:val="16"/>
          <w:color w:val="auto"/>
        </w:rPr>
      </w:pPr>
    </w:p>
    <w:p>
      <w:pPr>
        <w:ind w:left="440" w:right="120" w:firstLine="443"/>
        <w:spacing w:after="0" w:line="257" w:lineRule="auto"/>
        <w:tabs>
          <w:tab w:leader="none" w:pos="1133" w:val="left"/>
        </w:tabs>
        <w:numPr>
          <w:ilvl w:val="1"/>
          <w:numId w:val="194"/>
        </w:numPr>
        <w:rPr>
          <w:rFonts w:ascii="Arial" w:cs="Arial" w:eastAsia="Arial" w:hAnsi="Arial"/>
          <w:sz w:val="18"/>
          <w:szCs w:val="18"/>
          <w:color w:val="auto"/>
        </w:rPr>
      </w:pPr>
      <w:r>
        <w:rPr>
          <w:rFonts w:ascii="Arial" w:cs="Arial" w:eastAsia="Arial" w:hAnsi="Arial"/>
          <w:sz w:val="18"/>
          <w:szCs w:val="18"/>
          <w:u w:val="single" w:color="auto"/>
          <w:color w:val="auto"/>
        </w:rPr>
        <w:t>Actions by Directors or Officers</w:t>
      </w:r>
      <w:r>
        <w:rPr>
          <w:rFonts w:ascii="Arial" w:cs="Arial" w:eastAsia="Arial" w:hAnsi="Arial"/>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60" w:top="273" w:right="239" w:bottom="1440" w:gutter="0" w:footer="0" w:header="0"/>
        </w:sectPr>
      </w:pPr>
    </w:p>
    <w:bookmarkStart w:id="311" w:name="page312"/>
    <w:bookmarkEnd w:id="311"/>
    <w:p>
      <w:pPr>
        <w:ind w:right="20" w:firstLine="456"/>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 </w:t>
      </w:r>
      <w:r>
        <w:rPr>
          <w:rFonts w:ascii="Arial" w:cs="Arial" w:eastAsia="Arial" w:hAnsi="Arial"/>
          <w:sz w:val="17"/>
          <w:szCs w:val="17"/>
          <w:u w:val="single" w:color="auto"/>
          <w:color w:val="auto"/>
        </w:rPr>
        <w:t>Indemnification of Non-Officer Employees</w:t>
      </w:r>
      <w:r>
        <w:rPr>
          <w:rFonts w:ascii="Arial" w:cs="Arial" w:eastAsia="Arial" w:hAnsi="Arial"/>
          <w:sz w:val="17"/>
          <w:szCs w:val="17"/>
          <w:color w:val="auto"/>
        </w:rPr>
        <w:t>. Subject to the operation of Section 4 of this Article V of these By-laws, each Non-Officer Employee may, in the discretion of the Board of Directors of the Corporation,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 of the Corporation.</w:t>
      </w:r>
    </w:p>
    <w:p>
      <w:pPr>
        <w:spacing w:after="0" w:line="18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Determination</w:t>
      </w:r>
      <w:r>
        <w:rPr>
          <w:rFonts w:ascii="Arial" w:cs="Arial" w:eastAsia="Arial" w:hAnsi="Arial"/>
          <w:sz w:val="17"/>
          <w:szCs w:val="17"/>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Advancement of Expenses to Directors Prior to Final Disposition</w:t>
      </w:r>
      <w:r>
        <w:rPr>
          <w:rFonts w:ascii="Arial" w:cs="Arial" w:eastAsia="Arial" w:hAnsi="Arial"/>
          <w:sz w:val="18"/>
          <w:szCs w:val="18"/>
          <w:color w:val="auto"/>
        </w:rPr>
        <w:t>.</w:t>
      </w:r>
    </w:p>
    <w:p>
      <w:pPr>
        <w:spacing w:after="0" w:line="117" w:lineRule="exact"/>
        <w:rPr>
          <w:sz w:val="20"/>
          <w:szCs w:val="20"/>
          <w:color w:val="auto"/>
        </w:rPr>
      </w:pPr>
    </w:p>
    <w:p>
      <w:pPr>
        <w:ind w:right="180" w:firstLine="464"/>
        <w:spacing w:after="0" w:line="255" w:lineRule="auto"/>
        <w:tabs>
          <w:tab w:leader="none" w:pos="70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312" w:name="page313"/>
    <w:bookmarkEnd w:id="312"/>
    <w:p>
      <w:pPr>
        <w:ind w:right="2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of the Corporation, or (ii) brought to enforce such Director’s rights to indemnification or advancement of Expenses under these By-laws.</w:t>
      </w:r>
    </w:p>
    <w:p>
      <w:pPr>
        <w:spacing w:after="0" w:line="57" w:lineRule="exact"/>
        <w:rPr>
          <w:sz w:val="20"/>
          <w:szCs w:val="20"/>
          <w:color w:val="auto"/>
        </w:rPr>
      </w:pPr>
    </w:p>
    <w:p>
      <w:pPr>
        <w:ind w:right="120" w:firstLine="464"/>
        <w:spacing w:after="0" w:line="272" w:lineRule="auto"/>
        <w:tabs>
          <w:tab w:leader="none" w:pos="71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69" w:lineRule="exact"/>
        <w:rPr>
          <w:rFonts w:ascii="Arial" w:cs="Arial" w:eastAsia="Arial" w:hAnsi="Arial"/>
          <w:sz w:val="17"/>
          <w:szCs w:val="17"/>
          <w:color w:val="auto"/>
        </w:rPr>
      </w:pPr>
    </w:p>
    <w:p>
      <w:pPr>
        <w:ind w:right="140" w:firstLine="464"/>
        <w:spacing w:after="0" w:line="342" w:lineRule="auto"/>
        <w:tabs>
          <w:tab w:leader="none" w:pos="70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Advancement of Expenses to Officers and Non-Officer Employees Prior to Final Disposition</w:t>
      </w:r>
      <w:r>
        <w:rPr>
          <w:rFonts w:ascii="Arial" w:cs="Arial" w:eastAsia="Arial" w:hAnsi="Arial"/>
          <w:sz w:val="18"/>
          <w:szCs w:val="18"/>
          <w:color w:val="auto"/>
        </w:rPr>
        <w:t>.</w:t>
      </w:r>
    </w:p>
    <w:p>
      <w:pPr>
        <w:spacing w:after="0" w:line="117" w:lineRule="exact"/>
        <w:rPr>
          <w:sz w:val="20"/>
          <w:szCs w:val="20"/>
          <w:color w:val="auto"/>
        </w:rPr>
      </w:pPr>
    </w:p>
    <w:p>
      <w:pPr>
        <w:ind w:right="140" w:firstLine="464"/>
        <w:spacing w:after="0" w:line="255" w:lineRule="auto"/>
        <w:tabs>
          <w:tab w:leader="none" w:pos="70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Corporation may, at the discretion of the Board of Directors of the Corporation,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81" w:lineRule="exact"/>
        <w:rPr>
          <w:rFonts w:ascii="Arial" w:cs="Arial" w:eastAsia="Arial" w:hAnsi="Arial"/>
          <w:sz w:val="18"/>
          <w:szCs w:val="18"/>
          <w:color w:val="auto"/>
        </w:rPr>
      </w:pPr>
    </w:p>
    <w:p>
      <w:pPr>
        <w:ind w:firstLine="464"/>
        <w:spacing w:after="0" w:line="264" w:lineRule="auto"/>
        <w:tabs>
          <w:tab w:leader="none" w:pos="71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73" w:right="339" w:bottom="1440" w:gutter="0" w:footer="0" w:header="0"/>
        </w:sectPr>
      </w:pPr>
    </w:p>
    <w:bookmarkStart w:id="313" w:name="page314"/>
    <w:bookmarkEnd w:id="31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 </w:t>
      </w:r>
      <w:r>
        <w:rPr>
          <w:rFonts w:ascii="Arial" w:cs="Arial" w:eastAsia="Arial" w:hAnsi="Arial"/>
          <w:sz w:val="18"/>
          <w:szCs w:val="18"/>
          <w:u w:val="single" w:color="auto"/>
          <w:color w:val="auto"/>
        </w:rPr>
        <w:t>Contractual Nature of Rights</w:t>
      </w:r>
      <w:r>
        <w:rPr>
          <w:rFonts w:ascii="Arial" w:cs="Arial" w:eastAsia="Arial" w:hAnsi="Arial"/>
          <w:sz w:val="18"/>
          <w:szCs w:val="18"/>
          <w:color w:val="auto"/>
        </w:rPr>
        <w:t>.</w:t>
      </w:r>
    </w:p>
    <w:p>
      <w:pPr>
        <w:spacing w:after="0" w:line="117" w:lineRule="exact"/>
        <w:rPr>
          <w:sz w:val="20"/>
          <w:szCs w:val="20"/>
          <w:color w:val="auto"/>
        </w:rPr>
      </w:pPr>
    </w:p>
    <w:p>
      <w:pPr>
        <w:ind w:firstLine="464"/>
        <w:spacing w:after="0" w:line="270" w:lineRule="auto"/>
        <w:tabs>
          <w:tab w:leader="none" w:pos="701"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69" w:lineRule="exact"/>
        <w:rPr>
          <w:rFonts w:ascii="Arial" w:cs="Arial" w:eastAsia="Arial" w:hAnsi="Arial"/>
          <w:sz w:val="17"/>
          <w:szCs w:val="17"/>
          <w:color w:val="auto"/>
        </w:rPr>
      </w:pPr>
    </w:p>
    <w:p>
      <w:pPr>
        <w:ind w:right="80" w:firstLine="464"/>
        <w:spacing w:after="0" w:line="272" w:lineRule="auto"/>
        <w:tabs>
          <w:tab w:leader="none" w:pos="711" w:val="left"/>
        </w:tabs>
        <w:numPr>
          <w:ilvl w:val="0"/>
          <w:numId w:val="198"/>
        </w:numPr>
        <w:rPr>
          <w:rFonts w:ascii="Arial" w:cs="Arial" w:eastAsia="Arial" w:hAnsi="Arial"/>
          <w:sz w:val="17"/>
          <w:szCs w:val="17"/>
          <w:color w:val="auto"/>
        </w:rPr>
      </w:pPr>
      <w:r>
        <w:rPr>
          <w:rFonts w:ascii="Arial" w:cs="Arial" w:eastAsia="Arial" w:hAnsi="Arial"/>
          <w:sz w:val="17"/>
          <w:szCs w:val="17"/>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69" w:lineRule="exact"/>
        <w:rPr>
          <w:rFonts w:ascii="Arial" w:cs="Arial" w:eastAsia="Arial" w:hAnsi="Arial"/>
          <w:sz w:val="17"/>
          <w:szCs w:val="17"/>
          <w:color w:val="auto"/>
        </w:rPr>
      </w:pPr>
    </w:p>
    <w:p>
      <w:pPr>
        <w:ind w:firstLine="464"/>
        <w:spacing w:after="0" w:line="277" w:lineRule="auto"/>
        <w:tabs>
          <w:tab w:leader="none" w:pos="70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Non-Exclusivity of Rights</w:t>
      </w:r>
      <w:r>
        <w:rPr>
          <w:rFonts w:ascii="Arial" w:cs="Arial" w:eastAsia="Arial" w:hAnsi="Arial"/>
          <w:sz w:val="18"/>
          <w:szCs w:val="18"/>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Insurance</w:t>
      </w:r>
      <w:r>
        <w:rPr>
          <w:rFonts w:ascii="Arial" w:cs="Arial" w:eastAsia="Arial" w:hAnsi="Arial"/>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314" w:name="page315"/>
    <w:bookmarkEnd w:id="314"/>
    <w:p>
      <w:pPr>
        <w:ind w:right="6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 </w:t>
      </w:r>
      <w:r>
        <w:rPr>
          <w:rFonts w:ascii="Arial" w:cs="Arial" w:eastAsia="Arial" w:hAnsi="Arial"/>
          <w:sz w:val="17"/>
          <w:szCs w:val="17"/>
          <w:u w:val="single" w:color="auto"/>
          <w:color w:val="auto"/>
        </w:rPr>
        <w:t>Other Indemnification</w:t>
      </w:r>
      <w:r>
        <w:rPr>
          <w:rFonts w:ascii="Arial" w:cs="Arial" w:eastAsia="Arial" w:hAnsi="Arial"/>
          <w:sz w:val="17"/>
          <w:szCs w:val="17"/>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determined by the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shall have power to adopt and alter the seal of the Corporation.</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Execution of Instruments</w:t>
      </w:r>
      <w:r>
        <w:rPr>
          <w:rFonts w:ascii="Arial" w:cs="Arial" w:eastAsia="Arial" w:hAnsi="Arial"/>
          <w:sz w:val="18"/>
          <w:szCs w:val="18"/>
          <w:color w:val="auto"/>
        </w:rPr>
        <w:t>. All deeds, leases, transfers, contracts, bonds, notes and other obligations to be entered into by the Corporation in the ordinary course of its business without director action may be executed on behalf of the Corporation by the Chairman of the Board, if one is elected, the President or the Treasurer or any other officer, employee or agent of the Corporation as the Board of Directors or the executive committee of the Board may authorize.</w:t>
      </w:r>
    </w:p>
    <w:p>
      <w:pPr>
        <w:spacing w:after="0" w:line="187"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Voting of Securities</w:t>
      </w:r>
      <w:r>
        <w:rPr>
          <w:rFonts w:ascii="Arial" w:cs="Arial" w:eastAsia="Arial" w:hAnsi="Arial"/>
          <w:sz w:val="17"/>
          <w:szCs w:val="17"/>
          <w:color w:val="auto"/>
        </w:rPr>
        <w:t>. Unless the Board of Directors otherwise provides, the Chairman of the Board, if one is elected, the President or the Treasurer may waive notice of and act on behalf of the Corporation (including with regard to voting and actions by written consent),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71"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Resident Agent</w:t>
      </w:r>
      <w:r>
        <w:rPr>
          <w:rFonts w:ascii="Arial" w:cs="Arial" w:eastAsia="Arial" w:hAnsi="Arial"/>
          <w:sz w:val="18"/>
          <w:szCs w:val="18"/>
          <w:color w:val="auto"/>
        </w:rPr>
        <w:t>. The Board of Directors may appoint a resident agent upon whom legal process may be served in any action or proceeding against the Corporation.</w:t>
      </w:r>
    </w:p>
    <w:p>
      <w:pPr>
        <w:spacing w:after="0" w:line="17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Corporate Records</w:t>
      </w:r>
      <w:r>
        <w:rPr>
          <w:rFonts w:ascii="Arial" w:cs="Arial" w:eastAsia="Arial" w:hAnsi="Arial"/>
          <w:sz w:val="17"/>
          <w:szCs w:val="17"/>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3" w:right="259" w:bottom="1440" w:gutter="0" w:footer="0" w:header="0"/>
        </w:sectPr>
      </w:pPr>
    </w:p>
    <w:bookmarkStart w:id="315" w:name="page316"/>
    <w:bookmarkEnd w:id="315"/>
    <w:p>
      <w:pPr>
        <w:ind w:right="1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 </w:t>
      </w:r>
      <w:r>
        <w:rPr>
          <w:rFonts w:ascii="Arial" w:cs="Arial" w:eastAsia="Arial" w:hAnsi="Arial"/>
          <w:sz w:val="18"/>
          <w:szCs w:val="18"/>
          <w:u w:val="single" w:color="auto"/>
          <w:color w:val="auto"/>
        </w:rPr>
        <w:t>Certificate</w:t>
      </w:r>
      <w:r>
        <w:rPr>
          <w:rFonts w:ascii="Arial" w:cs="Arial" w:eastAsia="Arial" w:hAnsi="Arial"/>
          <w:sz w:val="18"/>
          <w:szCs w:val="18"/>
          <w:color w:val="auto"/>
        </w:rPr>
        <w:t>. All references in these By-laws to the Certificate shall be deemed to refer to the Fourth Amended and Restated Certificate of Incorporation of the Corporation, as amended and/or restated and in effect from time to time.</w:t>
      </w:r>
    </w:p>
    <w:p>
      <w:pPr>
        <w:spacing w:after="0" w:line="17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Exclusive Jurisdiction of Delaware Courts or the United States District Court for the District of Massachusetts</w:t>
      </w:r>
      <w:r>
        <w:rPr>
          <w:rFonts w:ascii="Arial" w:cs="Arial" w:eastAsia="Arial" w:hAnsi="Arial"/>
          <w:sz w:val="17"/>
          <w:szCs w:val="17"/>
          <w:color w:val="auto"/>
        </w:rPr>
        <w:t>. 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or based on a fiduciary duty owed by any current or former director, officer or other employee of the Corporation to the Corporation or the Corporation’s stockholders, (iii) any action asserting a claim against the Corporation or any current or former director, officer, or other employee or stockholder of the Corporation arising pursuant to any provision of the Delaware General Corporation Law or the Certificate or By-laws, or (iv) any action asserting a claim against the Corporation governed by the internal affairs doctrine. Unless the Corporation consents in writing to the selection of an alternative forum, the United States District Court for the District of Massachusetts shall be the sole and exclusive forum for resolving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Section 8.</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Amendment of By-laws</w:t>
      </w:r>
      <w:r>
        <w:rPr>
          <w:rFonts w:ascii="Arial" w:cs="Arial" w:eastAsia="Arial" w:hAnsi="Arial"/>
          <w:sz w:val="18"/>
          <w:szCs w:val="18"/>
          <w:color w:val="auto"/>
        </w:rPr>
        <w:t>.</w:t>
      </w:r>
    </w:p>
    <w:p>
      <w:pPr>
        <w:spacing w:after="0" w:line="117" w:lineRule="exact"/>
        <w:rPr>
          <w:sz w:val="20"/>
          <w:szCs w:val="20"/>
          <w:color w:val="auto"/>
        </w:rPr>
      </w:pPr>
    </w:p>
    <w:p>
      <w:pPr>
        <w:ind w:right="560" w:firstLine="464"/>
        <w:spacing w:after="0" w:line="277" w:lineRule="auto"/>
        <w:tabs>
          <w:tab w:leader="none" w:pos="701"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Amendment by Directors</w:t>
      </w:r>
      <w:r>
        <w:rPr>
          <w:rFonts w:ascii="Arial" w:cs="Arial" w:eastAsia="Arial" w:hAnsi="Arial"/>
          <w:sz w:val="18"/>
          <w:szCs w:val="18"/>
          <w:color w:val="auto"/>
        </w:rPr>
        <w:t>. Except as provided otherwise by law, these By-laws may be amended or repealed by the Board of Directors by the affirmative vote of a majority of the directors then in office.</w:t>
      </w:r>
    </w:p>
    <w:p>
      <w:pPr>
        <w:spacing w:after="0" w:line="62" w:lineRule="exact"/>
        <w:rPr>
          <w:rFonts w:ascii="Arial" w:cs="Arial" w:eastAsia="Arial" w:hAnsi="Arial"/>
          <w:sz w:val="18"/>
          <w:szCs w:val="18"/>
          <w:color w:val="auto"/>
        </w:rPr>
      </w:pPr>
    </w:p>
    <w:p>
      <w:pPr>
        <w:ind w:right="120" w:firstLine="464"/>
        <w:spacing w:after="0" w:line="259" w:lineRule="auto"/>
        <w:tabs>
          <w:tab w:leader="none" w:pos="711"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Amendment by Stockholders</w:t>
      </w:r>
      <w:r>
        <w:rPr>
          <w:rFonts w:ascii="Arial" w:cs="Arial" w:eastAsia="Arial" w:hAnsi="Arial"/>
          <w:sz w:val="18"/>
          <w:szCs w:val="18"/>
          <w:color w:val="auto"/>
        </w:rPr>
        <w:t>. Except as otherwise required by these By-laws or by law, these By-laws may be amended or repealed at any Annual Meeting, or special meeting of stockholders called for such purpose in accordance with these By-Laws, by the affirmative vote of a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87"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Notices</w:t>
      </w:r>
      <w:r>
        <w:rPr>
          <w:rFonts w:ascii="Arial" w:cs="Arial" w:eastAsia="Arial" w:hAnsi="Arial"/>
          <w:sz w:val="17"/>
          <w:szCs w:val="17"/>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66" w:lineRule="exact"/>
        <w:rPr>
          <w:sz w:val="20"/>
          <w:szCs w:val="20"/>
          <w:color w:val="auto"/>
        </w:rPr>
      </w:pPr>
    </w:p>
    <w:p>
      <w:pPr>
        <w:jc w:val="both"/>
        <w:ind w:right="520" w:firstLine="456"/>
        <w:spacing w:after="0" w:line="286"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Waivers</w:t>
      </w:r>
      <w:r>
        <w:rPr>
          <w:rFonts w:ascii="Arial" w:cs="Arial" w:eastAsia="Arial" w:hAnsi="Arial"/>
          <w:sz w:val="17"/>
          <w:szCs w:val="17"/>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3" w:right="239" w:bottom="1440" w:gutter="0" w:footer="0" w:header="0"/>
        </w:sectPr>
      </w:pPr>
    </w:p>
    <w:bookmarkStart w:id="316" w:name="page317"/>
    <w:bookmarkEnd w:id="31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Adopted June 1, 2018, subject to and effective upon the closing of the Corporation’s initial public offering on its Registration Statement on Form S-1.</w:t>
      </w:r>
    </w:p>
    <w:p>
      <w:pPr>
        <w:sectPr>
          <w:pgSz w:w="11900" w:h="16838" w:orient="portrait"/>
          <w:cols w:equalWidth="0" w:num="1">
            <w:col w:w="10780"/>
          </w:cols>
          <w:pgMar w:left="240" w:top="274" w:right="879" w:bottom="1440" w:gutter="0" w:footer="0" w:header="0"/>
        </w:sectPr>
      </w:pP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0780"/>
          </w:cols>
          <w:pgMar w:left="240" w:top="274" w:right="879" w:bottom="1440" w:gutter="0" w:footer="0" w:header="0"/>
          <w:type w:val="continuous"/>
        </w:sectPr>
      </w:pPr>
    </w:p>
    <w:bookmarkStart w:id="317" w:name="page318"/>
    <w:bookmarkEnd w:id="317"/>
    <w:p>
      <w:pPr>
        <w:ind w:left="938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683895</wp:posOffset>
            </wp:positionH>
            <wp:positionV relativeFrom="paragraph">
              <wp:posOffset>186055</wp:posOffset>
            </wp:positionV>
            <wp:extent cx="4373880" cy="72034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9">
                      <a:extLst>
                        <a:ext uri="{28A0092B-C50C-407E-A947-70E740481C1C}"/>
                      </a:extLst>
                    </a:blip>
                    <a:srcRect/>
                    <a:stretch>
                      <a:fillRect/>
                    </a:stretch>
                  </pic:blipFill>
                  <pic:spPr bwMode="auto">
                    <a:xfrm>
                      <a:off x="0" y="0"/>
                      <a:ext cx="4373880" cy="720344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318" w:name="page319"/>
    <w:bookmarkEnd w:id="3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2980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0">
                      <a:extLst>
                        <a:ext uri="{28A0092B-C50C-407E-A947-70E740481C1C}"/>
                      </a:extLst>
                    </a:blip>
                    <a:srcRect/>
                    <a:stretch>
                      <a:fillRect/>
                    </a:stretch>
                  </pic:blipFill>
                  <pic:spPr bwMode="auto">
                    <a:xfrm>
                      <a:off x="0" y="0"/>
                      <a:ext cx="7289165" cy="7298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9" w:name="page320"/>
    <w:bookmarkEnd w:id="319"/>
    <w:p>
      <w:pPr>
        <w:ind w:left="10620"/>
        <w:spacing w:after="0"/>
        <w:rPr>
          <w:sz w:val="20"/>
          <w:szCs w:val="20"/>
          <w:color w:val="auto"/>
        </w:rPr>
      </w:pPr>
      <w:r>
        <w:rPr>
          <w:rFonts w:ascii="Arial" w:cs="Arial" w:eastAsia="Arial" w:hAnsi="Arial"/>
          <w:sz w:val="17"/>
          <w:szCs w:val="17"/>
          <w:color w:val="auto"/>
        </w:rPr>
        <w:t>Exhibit 5.1</w:t>
      </w:r>
    </w:p>
    <w:p>
      <w:pPr>
        <w:spacing w:after="0" w:line="237" w:lineRule="exact"/>
        <w:rPr>
          <w:sz w:val="20"/>
          <w:szCs w:val="20"/>
          <w:color w:val="auto"/>
        </w:rPr>
      </w:pPr>
    </w:p>
    <w:p>
      <w:pPr>
        <w:ind w:left="10240"/>
        <w:spacing w:after="0"/>
        <w:rPr>
          <w:sz w:val="20"/>
          <w:szCs w:val="20"/>
          <w:color w:val="auto"/>
        </w:rPr>
      </w:pPr>
      <w:r>
        <w:rPr>
          <w:rFonts w:ascii="Arial" w:cs="Arial" w:eastAsia="Arial" w:hAnsi="Arial"/>
          <w:sz w:val="18"/>
          <w:szCs w:val="18"/>
          <w:color w:val="auto"/>
        </w:rPr>
        <w:t>June 11,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Kendall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300, Suite 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MA 02139</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Securities Registered under Registration Statement on Form S-1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We have acted as counsel to you in connection with your filing of a Registration Statement on Form S-1 (File No. 333-225213) (as amended or supplemented, the “Registration Statement”) pursuant to the Securities Act of 1933, as amended (the “Securities Act”), relating to the registration of the offering by AVROBIO, Inc., a Delaware corporation (the “Company”), of up to 5,073,800 shares (the “Shares”) of the Company’s Common Stock, $0.0001 par value per share, including Shares purchasable by the underwriters upon their exercise of an over-allotment option granted to the underwriters by the Company. The Shares are being sold to the several underwriters named in, and pursuant to, an underwriting agreement among the Company and such underwriters (the “Underwriting Agreement”).</w:t>
      </w:r>
    </w:p>
    <w:p>
      <w:pPr>
        <w:spacing w:after="0" w:line="193"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We have reviewed such documents and made such examination of law as we have deemed appropriate to give the opinions set forth below. We have relied, without independent verification, on certificates of public officials and, as to matters of fact material to the opinions set forth below, on certificates of officers of the Company.</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opinion set forth below is limited to the Delaware General Corporation Law.</w:t>
      </w:r>
    </w:p>
    <w:p>
      <w:pPr>
        <w:spacing w:after="0" w:line="225"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Based on the foregoing, we are of the opinion that the Shares have been duly authorized and, upon issuance and delivery against payment therefor in accordance with the terms of the Underwriting Agreement, the Shares will be validly issued, fully paid and non-assessable.</w:t>
      </w:r>
    </w:p>
    <w:p>
      <w:pPr>
        <w:spacing w:after="0" w:line="14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hereby consent to the inclusion of this opinion as Exhibit 5.1 to the Registration Statement and to the references to our firm under the caption “Legal Matters” in the Registration Statement. In giving our consent, we do not admit that we are in the category of persons whose consent is required under Section 7 of the Securities Act or the rules and regulations thereunder.</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Goodwin Procter LLP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GOODWIN PROCTER </w:t>
      </w:r>
      <w:r>
        <w:rPr>
          <w:rFonts w:ascii="Arial" w:cs="Arial" w:eastAsia="Arial" w:hAnsi="Arial"/>
          <w:sz w:val="15"/>
          <w:szCs w:val="15"/>
          <w:color w:val="auto"/>
        </w:rPr>
        <w:t>LLP</w:t>
      </w:r>
    </w:p>
    <w:p>
      <w:pPr>
        <w:sectPr>
          <w:pgSz w:w="11900" w:h="16838" w:orient="portrait"/>
          <w:cols w:equalWidth="0" w:num="1">
            <w:col w:w="11420"/>
          </w:cols>
          <w:pgMar w:left="240" w:top="125" w:right="23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2018 STOCK OPTION AND INCENTIVE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PURPOSE OF THE PLAN; DEFINITIONS</w:t>
      </w:r>
    </w:p>
    <w:p>
      <w:pPr>
        <w:spacing w:after="0" w:line="11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The name of the plan is the AVROBIO, Inc. 2018 Stock Option and Incentive Plan (the “Plan”). The purpose of the Plan is to encourage and enable the officers, employees, Non-Employee Directors and Consultants of AVROBIO, Inc. (the “Company”) and its Subsidiaries upon whose judgment, initiative and efforts the Company largely depends for the successful conduct of its businesses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terms shall be defined as set forth below: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“Act” </w:t>
      </w:r>
      <w:r>
        <w:rPr>
          <w:rFonts w:ascii="Arial" w:cs="Arial" w:eastAsia="Arial" w:hAnsi="Arial"/>
          <w:sz w:val="18"/>
          <w:szCs w:val="18"/>
          <w:color w:val="auto"/>
        </w:rPr>
        <w:t>means the Securities Act of 1933, as amended, and the rules and regulations thereunder.</w:t>
      </w:r>
    </w:p>
    <w:p>
      <w:pPr>
        <w:spacing w:after="0" w:line="225"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either the Board or the compensation committee of the Board or a similar committee performing the functions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committee and which is comprised of not less than two Non-Employee Directors who are independent.</w:t>
      </w:r>
    </w:p>
    <w:p>
      <w:pPr>
        <w:spacing w:after="0" w:line="170"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 include Incentive Stock Options, Non-Qualified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Options, Stock Appreciation Rights, Restricted Stock Units, Restricted Stock Awards, Unrestricted Stock Awards, Cash-Based Awards, and Dividend Equivalent Rights.</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i w:val="1"/>
          <w:iCs w:val="1"/>
          <w:color w:val="auto"/>
        </w:rPr>
        <w:t xml:space="preserve">“Award Certificate” </w:t>
      </w:r>
      <w:r>
        <w:rPr>
          <w:rFonts w:ascii="Arial" w:cs="Arial" w:eastAsia="Arial" w:hAnsi="Arial"/>
          <w:sz w:val="18"/>
          <w:szCs w:val="18"/>
          <w:color w:val="auto"/>
        </w:rPr>
        <w:t>means a written or electronic document setting forth the terms and provisions applicable to an Award granted under the Plan. Each</w:t>
      </w:r>
      <w:r>
        <w:rPr>
          <w:rFonts w:ascii="Arial" w:cs="Arial" w:eastAsia="Arial" w:hAnsi="Arial"/>
          <w:sz w:val="18"/>
          <w:szCs w:val="18"/>
          <w:i w:val="1"/>
          <w:iCs w:val="1"/>
          <w:color w:val="auto"/>
        </w:rPr>
        <w:t xml:space="preserve"> </w:t>
      </w:r>
      <w:r>
        <w:rPr>
          <w:rFonts w:ascii="Arial" w:cs="Arial" w:eastAsia="Arial" w:hAnsi="Arial"/>
          <w:sz w:val="18"/>
          <w:szCs w:val="18"/>
          <w:color w:val="auto"/>
        </w:rPr>
        <w:t>Award Certificate is subject to the terms and conditions of the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“Cash-Based Award” </w:t>
      </w:r>
      <w:r>
        <w:rPr>
          <w:rFonts w:ascii="Arial" w:cs="Arial" w:eastAsia="Arial" w:hAnsi="Arial"/>
          <w:sz w:val="18"/>
          <w:szCs w:val="18"/>
          <w:color w:val="auto"/>
        </w:rPr>
        <w:t>means an Award entitling the recipient to receive a cash-denominated payment.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“Code” </w:t>
      </w:r>
      <w:r>
        <w:rPr>
          <w:rFonts w:ascii="Arial" w:cs="Arial" w:eastAsia="Arial" w:hAnsi="Arial"/>
          <w:sz w:val="17"/>
          <w:szCs w:val="17"/>
          <w:color w:val="auto"/>
        </w:rPr>
        <w:t>means the Internal Revenue Code of 1986, as amended, and any successor Code, and related rules, regulations and interpretations.</w:t>
      </w:r>
    </w:p>
    <w:p>
      <w:pPr>
        <w:spacing w:after="0" w:line="237" w:lineRule="exact"/>
        <w:rPr>
          <w:sz w:val="20"/>
          <w:szCs w:val="20"/>
          <w:color w:val="auto"/>
        </w:rPr>
      </w:pPr>
    </w:p>
    <w:p>
      <w:pPr>
        <w:ind w:right="120" w:firstLine="456"/>
        <w:spacing w:after="0" w:line="308" w:lineRule="auto"/>
        <w:rPr>
          <w:sz w:val="20"/>
          <w:szCs w:val="20"/>
          <w:color w:val="auto"/>
        </w:rPr>
      </w:pPr>
      <w:r>
        <w:rPr>
          <w:rFonts w:ascii="Arial" w:cs="Arial" w:eastAsia="Arial" w:hAnsi="Arial"/>
          <w:sz w:val="17"/>
          <w:szCs w:val="17"/>
          <w:i w:val="1"/>
          <w:iCs w:val="1"/>
          <w:color w:val="auto"/>
        </w:rPr>
        <w:t xml:space="preserve">“Consultant” </w:t>
      </w:r>
      <w:r>
        <w:rPr>
          <w:rFonts w:ascii="Arial" w:cs="Arial" w:eastAsia="Arial" w:hAnsi="Arial"/>
          <w:sz w:val="17"/>
          <w:szCs w:val="17"/>
          <w:color w:val="auto"/>
        </w:rPr>
        <w:t>means any natural person that provides bona fide services to the Company, and such services are not in connection with the offer or sale</w:t>
      </w:r>
      <w:r>
        <w:rPr>
          <w:rFonts w:ascii="Arial" w:cs="Arial" w:eastAsia="Arial" w:hAnsi="Arial"/>
          <w:sz w:val="17"/>
          <w:szCs w:val="17"/>
          <w:i w:val="1"/>
          <w:iCs w:val="1"/>
          <w:color w:val="auto"/>
        </w:rPr>
        <w:t xml:space="preserve"> </w:t>
      </w:r>
      <w:r>
        <w:rPr>
          <w:rFonts w:ascii="Arial" w:cs="Arial" w:eastAsia="Arial" w:hAnsi="Arial"/>
          <w:sz w:val="17"/>
          <w:szCs w:val="17"/>
          <w:color w:val="auto"/>
        </w:rPr>
        <w:t>of securities in a capital-raising transaction and do not directly or indirectly promote or maintain a market for the Company’s securities.</w:t>
      </w:r>
    </w:p>
    <w:p>
      <w:pPr>
        <w:sectPr>
          <w:pgSz w:w="11900" w:h="16838" w:orient="portrait"/>
          <w:cols w:equalWidth="0" w:num="1">
            <w:col w:w="11420"/>
          </w:cols>
          <w:pgMar w:left="240" w:top="121" w:right="239" w:bottom="1440" w:gutter="0" w:footer="0" w:header="0"/>
        </w:sectPr>
      </w:pPr>
    </w:p>
    <w:bookmarkStart w:id="321" w:name="page322"/>
    <w:bookmarkEnd w:id="321"/>
    <w:p>
      <w:pPr>
        <w:ind w:right="120" w:firstLine="456"/>
        <w:spacing w:after="0" w:line="342"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“Dividend Equivalent Right” </w:t>
      </w:r>
      <w:r>
        <w:rPr>
          <w:rFonts w:ascii="Arial" w:cs="Arial" w:eastAsia="Arial" w:hAnsi="Arial"/>
          <w:sz w:val="16"/>
          <w:szCs w:val="16"/>
          <w:color w:val="auto"/>
        </w:rPr>
        <w:t>means an Award entitling the grantee to receive credits based on cash dividends that would have been paid on the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of Stock specified in the Dividend Equivalent Right (or other award to which it relates) if such shares had been issued to and held by the grantee.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on which the Plan becomes effective as set forth in Section 19.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 thereunder.</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 xml:space="preserve">“Fair Market Value” </w:t>
      </w:r>
      <w:r>
        <w:rPr>
          <w:rFonts w:ascii="Arial" w:cs="Arial" w:eastAsia="Arial" w:hAnsi="Arial"/>
          <w:sz w:val="16"/>
          <w:szCs w:val="16"/>
          <w:color w:val="auto"/>
        </w:rPr>
        <w:t>of the Stock on any given date means the fair market value of the Stock determined in good faith by the Administrator; provided,</w:t>
      </w:r>
      <w:r>
        <w:rPr>
          <w:rFonts w:ascii="Arial" w:cs="Arial" w:eastAsia="Arial" w:hAnsi="Arial"/>
          <w:sz w:val="16"/>
          <w:szCs w:val="16"/>
          <w:i w:val="1"/>
          <w:iCs w:val="1"/>
          <w:color w:val="auto"/>
        </w:rPr>
        <w:t xml:space="preserve"> </w:t>
      </w:r>
      <w:r>
        <w:rPr>
          <w:rFonts w:ascii="Arial" w:cs="Arial" w:eastAsia="Arial" w:hAnsi="Arial"/>
          <w:sz w:val="16"/>
          <w:szCs w:val="16"/>
          <w:color w:val="auto"/>
        </w:rPr>
        <w:t>however, that if the Stock is admitted to quotation on the National Association of Securities Dealers Automated Quotation System, Nasdaq Global Market, The New York Stock Exchange or another national securities exchange, the determination shall be made by reference to the Stock’s closing price on such exchange. If there is no closing price for such date, the determination shall be made by reference to the last date preceding such date for which there is a closing price; provided further, however, that if the date for which Fair Market Value is determined is the Registration Date, the Fair Market Value shall be the “Price to the Public” (or equivalent) set forth on the cover page for the final prospectus relating to the Company’s Initial Public Offering.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 xml:space="preserve">“Incentive Stock Option” </w:t>
      </w:r>
      <w:r>
        <w:rPr>
          <w:rFonts w:ascii="Arial" w:cs="Arial" w:eastAsia="Arial" w:hAnsi="Arial"/>
          <w:sz w:val="17"/>
          <w:szCs w:val="17"/>
          <w:color w:val="auto"/>
        </w:rPr>
        <w:t>means any Stock Option designated and qualified as an “incentive stock option” as defined in Section 422 of the Code.</w:t>
      </w:r>
    </w:p>
    <w:p>
      <w:pPr>
        <w:spacing w:after="0" w:line="237"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i w:val="1"/>
          <w:iCs w:val="1"/>
          <w:color w:val="auto"/>
        </w:rPr>
        <w:t xml:space="preserve">“Initial Public Offering” </w:t>
      </w:r>
      <w:r>
        <w:rPr>
          <w:rFonts w:ascii="Arial" w:cs="Arial" w:eastAsia="Arial" w:hAnsi="Arial"/>
          <w:sz w:val="16"/>
          <w:szCs w:val="16"/>
          <w:color w:val="auto"/>
        </w:rPr>
        <w:t>means the first underwritten, firm commitment public offering pursuant to an effective registration statement under the Act</w:t>
      </w:r>
      <w:r>
        <w:rPr>
          <w:rFonts w:ascii="Arial" w:cs="Arial" w:eastAsia="Arial" w:hAnsi="Arial"/>
          <w:sz w:val="16"/>
          <w:szCs w:val="16"/>
          <w:i w:val="1"/>
          <w:iCs w:val="1"/>
          <w:color w:val="auto"/>
        </w:rPr>
        <w:t xml:space="preserve"> </w:t>
      </w:r>
      <w:r>
        <w:rPr>
          <w:rFonts w:ascii="Arial" w:cs="Arial" w:eastAsia="Arial" w:hAnsi="Arial"/>
          <w:sz w:val="16"/>
          <w:szCs w:val="16"/>
          <w:color w:val="auto"/>
        </w:rPr>
        <w:t>covering the offer and sale by the Company of its equity securities, or such other event as a result of or following which the Stock shall be publicly held.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“Non-Employee Director” </w:t>
      </w:r>
      <w:r>
        <w:rPr>
          <w:rFonts w:ascii="Arial" w:cs="Arial" w:eastAsia="Arial" w:hAnsi="Arial"/>
          <w:sz w:val="18"/>
          <w:szCs w:val="18"/>
          <w:color w:val="auto"/>
        </w:rPr>
        <w:t>means a member of the Board who is not also an employee of the Company or any Subsidiary.</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“Stock Option” </w:t>
      </w:r>
      <w:r>
        <w:rPr>
          <w:rFonts w:ascii="Arial" w:cs="Arial" w:eastAsia="Arial" w:hAnsi="Arial"/>
          <w:sz w:val="18"/>
          <w:szCs w:val="18"/>
          <w:color w:val="auto"/>
        </w:rPr>
        <w:t>means any option to purchase shares of Stock granted pursuant to Section 5.</w:t>
      </w:r>
    </w:p>
    <w:p>
      <w:pPr>
        <w:spacing w:after="0" w:line="225"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i w:val="1"/>
          <w:iCs w:val="1"/>
          <w:color w:val="auto"/>
        </w:rPr>
        <w:t xml:space="preserve">“Registration Date” </w:t>
      </w:r>
      <w:r>
        <w:rPr>
          <w:rFonts w:ascii="Arial" w:cs="Arial" w:eastAsia="Arial" w:hAnsi="Arial"/>
          <w:sz w:val="18"/>
          <w:szCs w:val="18"/>
          <w:color w:val="auto"/>
        </w:rPr>
        <w:t>means the date upon which the registration statement on Form S-1 that is filed by the Company with respect to the Initial</w:t>
      </w:r>
      <w:r>
        <w:rPr>
          <w:rFonts w:ascii="Arial" w:cs="Arial" w:eastAsia="Arial" w:hAnsi="Arial"/>
          <w:sz w:val="18"/>
          <w:szCs w:val="18"/>
          <w:i w:val="1"/>
          <w:iCs w:val="1"/>
          <w:color w:val="auto"/>
        </w:rPr>
        <w:t xml:space="preserve"> </w:t>
      </w:r>
      <w:r>
        <w:rPr>
          <w:rFonts w:ascii="Arial" w:cs="Arial" w:eastAsia="Arial" w:hAnsi="Arial"/>
          <w:sz w:val="18"/>
          <w:szCs w:val="18"/>
          <w:color w:val="auto"/>
        </w:rPr>
        <w:t>Public Offering is declared effective by the Securities and Exchange Commission.</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“Restricted Shares” </w:t>
      </w:r>
      <w:r>
        <w:rPr>
          <w:rFonts w:ascii="Arial" w:cs="Arial" w:eastAsia="Arial" w:hAnsi="Arial"/>
          <w:sz w:val="18"/>
          <w:szCs w:val="18"/>
          <w:color w:val="auto"/>
        </w:rPr>
        <w:t>means the shares of Stock underlying a Restricted Stock Award that remain subject to a risk of forfeiture or the Company’s right of</w:t>
      </w:r>
      <w:r>
        <w:rPr>
          <w:rFonts w:ascii="Arial" w:cs="Arial" w:eastAsia="Arial" w:hAnsi="Arial"/>
          <w:sz w:val="18"/>
          <w:szCs w:val="18"/>
          <w:i w:val="1"/>
          <w:iCs w:val="1"/>
          <w:color w:val="auto"/>
        </w:rPr>
        <w:t xml:space="preserve"> </w:t>
      </w:r>
      <w:r>
        <w:rPr>
          <w:rFonts w:ascii="Arial" w:cs="Arial" w:eastAsia="Arial" w:hAnsi="Arial"/>
          <w:sz w:val="18"/>
          <w:szCs w:val="18"/>
          <w:color w:val="auto"/>
        </w:rPr>
        <w:t>repurchase.</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Restricted Shares subject to such restrictions and conditions as the Administrator may determine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grant.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22" w:name="page323"/>
    <w:bookmarkEnd w:id="322"/>
    <w:p>
      <w:pPr>
        <w:ind w:left="460"/>
        <w:spacing w:after="0"/>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“Restricted Stock Units” </w:t>
      </w:r>
      <w:r>
        <w:rPr>
          <w:rFonts w:ascii="Arial" w:cs="Arial" w:eastAsia="Arial" w:hAnsi="Arial"/>
          <w:sz w:val="16"/>
          <w:szCs w:val="16"/>
          <w:color w:val="auto"/>
        </w:rPr>
        <w:t>means an Award of stock units subject to such restrictions and conditions as the Administrator may determine at the time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grant.</w:t>
      </w:r>
    </w:p>
    <w:p>
      <w:pPr>
        <w:spacing w:after="0" w:line="21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i w:val="1"/>
          <w:iCs w:val="1"/>
          <w:color w:val="auto"/>
        </w:rPr>
        <w:t xml:space="preserve">“Sale Event” </w:t>
      </w:r>
      <w:r>
        <w:rPr>
          <w:rFonts w:ascii="Arial" w:cs="Arial" w:eastAsia="Arial" w:hAnsi="Arial"/>
          <w:sz w:val="17"/>
          <w:szCs w:val="17"/>
          <w:color w:val="auto"/>
        </w:rPr>
        <w:t>shall mean (i) the sale of all or substantially all of the assets of the Company on a consolidated basis to an unrelated person or entity, (ii) a</w:t>
      </w:r>
      <w:r>
        <w:rPr>
          <w:rFonts w:ascii="Arial" w:cs="Arial" w:eastAsia="Arial" w:hAnsi="Arial"/>
          <w:sz w:val="17"/>
          <w:szCs w:val="17"/>
          <w:i w:val="1"/>
          <w:iCs w:val="1"/>
          <w:color w:val="auto"/>
        </w:rPr>
        <w:t xml:space="preserve"> </w:t>
      </w:r>
      <w:r>
        <w:rPr>
          <w:rFonts w:ascii="Arial" w:cs="Arial" w:eastAsia="Arial" w:hAnsi="Arial"/>
          <w:sz w:val="17"/>
          <w:szCs w:val="17"/>
          <w:color w:val="auto"/>
        </w:rPr>
        <w:t>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 stockholders, per share of Stock pursuant to a Sale Event.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 thereunder.</w:t>
      </w:r>
    </w:p>
    <w:p>
      <w:pPr>
        <w:spacing w:after="0" w:line="225"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i w:val="1"/>
          <w:iCs w:val="1"/>
          <w:color w:val="auto"/>
        </w:rPr>
        <w:t xml:space="preserve">“Service Relationship” </w:t>
      </w:r>
      <w:r>
        <w:rPr>
          <w:rFonts w:ascii="Arial" w:cs="Arial" w:eastAsia="Arial" w:hAnsi="Arial"/>
          <w:sz w:val="18"/>
          <w:szCs w:val="18"/>
          <w:color w:val="auto"/>
        </w:rPr>
        <w:t>means any relationship as a full-time employee, part-time employee, director or other advisor (including Consultants)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any Subsidiary or any successor entity (e.g., a Service Relationship shall be deemed to continue without interruption in the event an individual’s status changes from full-time employee to part-time employee or Consultant).</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“Stock” </w:t>
      </w:r>
      <w:r>
        <w:rPr>
          <w:rFonts w:ascii="Arial" w:cs="Arial" w:eastAsia="Arial" w:hAnsi="Arial"/>
          <w:sz w:val="18"/>
          <w:szCs w:val="18"/>
          <w:color w:val="auto"/>
        </w:rPr>
        <w:t>means the Common Stock, par value $0.0001 per share, of the Company, subject to adjustments pursuant to Section 3.</w:t>
      </w:r>
    </w:p>
    <w:p>
      <w:pPr>
        <w:spacing w:after="0" w:line="225"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i w:val="1"/>
          <w:iCs w:val="1"/>
          <w:color w:val="auto"/>
        </w:rPr>
        <w:t xml:space="preserve">“Stock Appreciation Right” </w:t>
      </w:r>
      <w:r>
        <w:rPr>
          <w:rFonts w:ascii="Arial" w:cs="Arial" w:eastAsia="Arial" w:hAnsi="Arial"/>
          <w:sz w:val="16"/>
          <w:szCs w:val="16"/>
          <w:color w:val="auto"/>
        </w:rPr>
        <w:t>means an Award entitling the recipient to receive shares of Stock (or cash, to the extent explicitly provided for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Award Certificate) having a value equal to the excess of the Fair Market Value of the Stock on the date of exercise over the exercise price of the Stock Appreciation Right multiplied by the number of shares of Stock with respect to which the Stock Appreciation Right shall have been exercised.</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 at least a 50 percent interest,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 xml:space="preserve">“Ten Percent Owner” </w:t>
      </w:r>
      <w:r>
        <w:rPr>
          <w:rFonts w:ascii="Arial" w:cs="Arial" w:eastAsia="Arial" w:hAnsi="Arial"/>
          <w:sz w:val="18"/>
          <w:szCs w:val="18"/>
          <w:color w:val="auto"/>
        </w:rPr>
        <w:t>means an employee who owns or is deemed to own (by reason of the attribution rules of Section 424(d) of the Code) more than</w:t>
      </w:r>
      <w:r>
        <w:rPr>
          <w:rFonts w:ascii="Arial" w:cs="Arial" w:eastAsia="Arial" w:hAnsi="Arial"/>
          <w:sz w:val="18"/>
          <w:szCs w:val="18"/>
          <w:i w:val="1"/>
          <w:iCs w:val="1"/>
          <w:color w:val="auto"/>
        </w:rPr>
        <w:t xml:space="preserve"> </w:t>
      </w:r>
      <w:r>
        <w:rPr>
          <w:rFonts w:ascii="Arial" w:cs="Arial" w:eastAsia="Arial" w:hAnsi="Arial"/>
          <w:sz w:val="18"/>
          <w:szCs w:val="18"/>
          <w:color w:val="auto"/>
        </w:rPr>
        <w:t>10 percent of the combined voting power of all classes of stock of the Company or any parent or subsidiary corporation.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3" w:right="259" w:bottom="1440" w:gutter="0" w:footer="0" w:header="0"/>
        </w:sectPr>
      </w:pPr>
    </w:p>
    <w:bookmarkStart w:id="323" w:name="page324"/>
    <w:bookmarkEnd w:id="32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 </w:t>
      </w:r>
      <w:r>
        <w:rPr>
          <w:rFonts w:ascii="Arial" w:cs="Arial" w:eastAsia="Arial" w:hAnsi="Arial"/>
          <w:sz w:val="18"/>
          <w:szCs w:val="18"/>
          <w:u w:val="single" w:color="auto"/>
          <w:color w:val="auto"/>
        </w:rPr>
        <w:t>ADMINISTRATION OF PLAN; ADMINISTRATOR AUTHORITY TO SELECT GRANTEES AND DETERMINE AWARDS</w:t>
      </w:r>
    </w:p>
    <w:p>
      <w:pPr>
        <w:spacing w:after="0" w:line="117" w:lineRule="exact"/>
        <w:rPr>
          <w:sz w:val="20"/>
          <w:szCs w:val="20"/>
          <w:color w:val="auto"/>
        </w:rPr>
      </w:pPr>
    </w:p>
    <w:p>
      <w:pPr>
        <w:ind w:left="700" w:hanging="236"/>
        <w:spacing w:after="0"/>
        <w:tabs>
          <w:tab w:leader="none" w:pos="700"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Administrator.</w:t>
      </w:r>
    </w:p>
    <w:p>
      <w:pPr>
        <w:spacing w:after="0" w:line="117" w:lineRule="exact"/>
        <w:rPr>
          <w:rFonts w:ascii="Arial" w:cs="Arial" w:eastAsia="Arial" w:hAnsi="Arial"/>
          <w:sz w:val="18"/>
          <w:szCs w:val="18"/>
          <w:color w:val="auto"/>
        </w:rPr>
      </w:pPr>
    </w:p>
    <w:p>
      <w:pPr>
        <w:ind w:right="80" w:firstLine="464"/>
        <w:spacing w:after="0" w:line="277" w:lineRule="auto"/>
        <w:tabs>
          <w:tab w:leader="none" w:pos="711"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Powers of Administrator</w:t>
      </w:r>
      <w:r>
        <w:rPr>
          <w:rFonts w:ascii="Arial" w:cs="Arial" w:eastAsia="Arial" w:hAnsi="Arial"/>
          <w:sz w:val="18"/>
          <w:szCs w:val="18"/>
          <w:color w:val="auto"/>
        </w:rPr>
        <w:t>. The Administrator shall have the power and authority to grant Awards consistent with the terms of the Plan, including the power and authority:</w:t>
      </w:r>
    </w:p>
    <w:p>
      <w:pPr>
        <w:spacing w:after="0" w:line="62" w:lineRule="exact"/>
        <w:rPr>
          <w:rFonts w:ascii="Arial" w:cs="Arial" w:eastAsia="Arial" w:hAnsi="Arial"/>
          <w:sz w:val="18"/>
          <w:szCs w:val="18"/>
          <w:color w:val="auto"/>
        </w:rPr>
      </w:pPr>
    </w:p>
    <w:p>
      <w:pPr>
        <w:ind w:left="1140" w:hanging="219"/>
        <w:spacing w:after="0"/>
        <w:tabs>
          <w:tab w:leader="none" w:pos="114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117" w:lineRule="exact"/>
        <w:rPr>
          <w:rFonts w:ascii="Arial" w:cs="Arial" w:eastAsia="Arial" w:hAnsi="Arial"/>
          <w:sz w:val="18"/>
          <w:szCs w:val="18"/>
          <w:color w:val="auto"/>
        </w:rPr>
      </w:pPr>
    </w:p>
    <w:p>
      <w:pPr>
        <w:ind w:right="140" w:firstLine="921"/>
        <w:spacing w:after="0" w:line="264" w:lineRule="auto"/>
        <w:tabs>
          <w:tab w:leader="none" w:pos="117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and Dividend Equivalent Rights, or any combination of the foregoing, granted to any one or more grantees;</w:t>
      </w:r>
    </w:p>
    <w:p>
      <w:pPr>
        <w:spacing w:after="0" w:line="73" w:lineRule="exact"/>
        <w:rPr>
          <w:rFonts w:ascii="Arial" w:cs="Arial" w:eastAsia="Arial" w:hAnsi="Arial"/>
          <w:sz w:val="18"/>
          <w:szCs w:val="18"/>
          <w:color w:val="auto"/>
        </w:rPr>
      </w:pPr>
    </w:p>
    <w:p>
      <w:pPr>
        <w:ind w:left="1240" w:hanging="319"/>
        <w:spacing w:after="0"/>
        <w:tabs>
          <w:tab w:leader="none" w:pos="124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117" w:lineRule="exact"/>
        <w:rPr>
          <w:rFonts w:ascii="Arial" w:cs="Arial" w:eastAsia="Arial" w:hAnsi="Arial"/>
          <w:sz w:val="18"/>
          <w:szCs w:val="18"/>
          <w:color w:val="auto"/>
        </w:rPr>
      </w:pPr>
    </w:p>
    <w:p>
      <w:pPr>
        <w:ind w:right="20" w:firstLine="921"/>
        <w:spacing w:after="0" w:line="308" w:lineRule="auto"/>
        <w:tabs>
          <w:tab w:leader="none" w:pos="1218" w:val="left"/>
        </w:tabs>
        <w:numPr>
          <w:ilvl w:val="1"/>
          <w:numId w:val="200"/>
        </w:numPr>
        <w:rPr>
          <w:rFonts w:ascii="Arial" w:cs="Arial" w:eastAsia="Arial" w:hAnsi="Arial"/>
          <w:sz w:val="17"/>
          <w:szCs w:val="17"/>
          <w:color w:val="auto"/>
        </w:rPr>
      </w:pPr>
      <w:r>
        <w:rPr>
          <w:rFonts w:ascii="Arial" w:cs="Arial" w:eastAsia="Arial" w:hAnsi="Arial"/>
          <w:sz w:val="17"/>
          <w:szCs w:val="17"/>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38" w:lineRule="exact"/>
        <w:rPr>
          <w:rFonts w:ascii="Arial" w:cs="Arial" w:eastAsia="Arial" w:hAnsi="Arial"/>
          <w:sz w:val="17"/>
          <w:szCs w:val="17"/>
          <w:color w:val="auto"/>
        </w:rPr>
      </w:pPr>
    </w:p>
    <w:p>
      <w:pPr>
        <w:ind w:left="1180" w:hanging="259"/>
        <w:spacing w:after="0"/>
        <w:tabs>
          <w:tab w:leader="none" w:pos="118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1"/>
          <w:numId w:val="200"/>
        </w:numPr>
        <w:rPr>
          <w:rFonts w:ascii="Arial" w:cs="Arial" w:eastAsia="Arial" w:hAnsi="Arial"/>
          <w:sz w:val="18"/>
          <w:szCs w:val="18"/>
          <w:color w:val="auto"/>
        </w:rPr>
      </w:pPr>
      <w:r>
        <w:rPr>
          <w:rFonts w:ascii="Arial" w:cs="Arial" w:eastAsia="Arial" w:hAnsi="Arial"/>
          <w:sz w:val="18"/>
          <w:szCs w:val="18"/>
          <w:color w:val="auto"/>
        </w:rPr>
        <w:t>subject to the provisions of Section 5(c), to extend at any time the period in which Stock Options may be exercised; and</w:t>
      </w:r>
    </w:p>
    <w:p>
      <w:pPr>
        <w:spacing w:after="0" w:line="117" w:lineRule="exact"/>
        <w:rPr>
          <w:rFonts w:ascii="Arial" w:cs="Arial" w:eastAsia="Arial" w:hAnsi="Arial"/>
          <w:sz w:val="18"/>
          <w:szCs w:val="18"/>
          <w:color w:val="auto"/>
        </w:rPr>
      </w:pPr>
    </w:p>
    <w:p>
      <w:pPr>
        <w:jc w:val="both"/>
        <w:ind w:right="80" w:firstLine="921"/>
        <w:spacing w:after="0" w:line="259" w:lineRule="auto"/>
        <w:tabs>
          <w:tab w:leader="none" w:pos="1268" w:val="left"/>
        </w:tabs>
        <w:numPr>
          <w:ilvl w:val="1"/>
          <w:numId w:val="200"/>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decisions and interpretations of the Administrator shall be binding on all persons, including the Company and Plan grantees.</w:t>
      </w:r>
    </w:p>
    <w:p>
      <w:pPr>
        <w:spacing w:after="0" w:line="117" w:lineRule="exact"/>
        <w:rPr>
          <w:sz w:val="20"/>
          <w:szCs w:val="20"/>
          <w:color w:val="auto"/>
        </w:rPr>
      </w:pPr>
    </w:p>
    <w:p>
      <w:pPr>
        <w:ind w:firstLine="464"/>
        <w:spacing w:after="0" w:line="259" w:lineRule="auto"/>
        <w:tabs>
          <w:tab w:leader="none" w:pos="701"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Delegation of Authority to Grant Awards</w:t>
      </w:r>
      <w:r>
        <w:rPr>
          <w:rFonts w:ascii="Arial" w:cs="Arial" w:eastAsia="Arial" w:hAnsi="Arial"/>
          <w:sz w:val="18"/>
          <w:szCs w:val="18"/>
          <w:color w:val="auto"/>
        </w:rPr>
        <w:t>. Subject to applicable law, the Administrator, in its discretion, may delegate to a committee consisting of one or more officers of the Company including the Chief Executive Officer of the Company all or part of the Administrator’s authority and duties with respect to the granting of Awards to individuals who are (i) not subject to the reporting and other provisions of Section 16 of the Exchange Act and (ii) not members of the delegated committee. Any such delegation by the Administrator shall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3" w:right="239" w:bottom="1440" w:gutter="0" w:footer="0" w:header="0"/>
        </w:sectPr>
      </w:pPr>
    </w:p>
    <w:bookmarkStart w:id="324" w:name="page325"/>
    <w:bookmarkEnd w:id="324"/>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include a limitation as to the amount of Stock underlying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57" w:lineRule="exact"/>
        <w:rPr>
          <w:sz w:val="20"/>
          <w:szCs w:val="20"/>
          <w:color w:val="auto"/>
        </w:rPr>
      </w:pPr>
    </w:p>
    <w:p>
      <w:pPr>
        <w:ind w:right="460" w:firstLine="464"/>
        <w:spacing w:after="0" w:line="342" w:lineRule="auto"/>
        <w:tabs>
          <w:tab w:leader="none" w:pos="711"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Award Certificate</w:t>
      </w:r>
      <w:r>
        <w:rPr>
          <w:rFonts w:ascii="Arial" w:cs="Arial" w:eastAsia="Arial" w:hAnsi="Arial"/>
          <w:sz w:val="16"/>
          <w:szCs w:val="16"/>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5" w:lineRule="exact"/>
        <w:rPr>
          <w:rFonts w:ascii="Arial" w:cs="Arial" w:eastAsia="Arial" w:hAnsi="Arial"/>
          <w:sz w:val="16"/>
          <w:szCs w:val="16"/>
          <w:color w:val="auto"/>
        </w:rPr>
      </w:pPr>
    </w:p>
    <w:p>
      <w:pPr>
        <w:ind w:right="120" w:firstLine="464"/>
        <w:spacing w:after="0" w:line="255" w:lineRule="auto"/>
        <w:tabs>
          <w:tab w:leader="none" w:pos="701"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or bylaws or any directors’ and officers’ liability insurance coverage which may be in effect from time to time and/or any indemnification agreement between such individual and the Company.</w:t>
      </w:r>
    </w:p>
    <w:p>
      <w:pPr>
        <w:spacing w:after="0" w:line="85" w:lineRule="exact"/>
        <w:rPr>
          <w:rFonts w:ascii="Arial" w:cs="Arial" w:eastAsia="Arial" w:hAnsi="Arial"/>
          <w:sz w:val="18"/>
          <w:szCs w:val="18"/>
          <w:color w:val="auto"/>
        </w:rPr>
      </w:pPr>
    </w:p>
    <w:p>
      <w:pPr>
        <w:ind w:right="100" w:firstLine="464"/>
        <w:spacing w:after="0" w:line="288" w:lineRule="auto"/>
        <w:tabs>
          <w:tab w:leader="none" w:pos="681"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 (ii) 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STOCK ISSUABLE UNDER THE PLAN; MERGERS; SUBSTITUTION</w:t>
      </w:r>
    </w:p>
    <w:p>
      <w:pPr>
        <w:spacing w:after="0" w:line="117" w:lineRule="exact"/>
        <w:rPr>
          <w:sz w:val="20"/>
          <w:szCs w:val="20"/>
          <w:color w:val="auto"/>
        </w:rPr>
      </w:pPr>
    </w:p>
    <w:p>
      <w:pPr>
        <w:ind w:right="20" w:firstLine="464"/>
        <w:spacing w:after="0" w:line="259" w:lineRule="auto"/>
        <w:tabs>
          <w:tab w:leader="none" w:pos="701"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Stock Issuable</w:t>
      </w:r>
      <w:r>
        <w:rPr>
          <w:rFonts w:ascii="Arial" w:cs="Arial" w:eastAsia="Arial" w:hAnsi="Arial"/>
          <w:sz w:val="18"/>
          <w:szCs w:val="18"/>
          <w:color w:val="auto"/>
        </w:rPr>
        <w:t>. The maximum number of shares of Stock reserved and available for issuance under the Plan shall be 616,300 shares (the “Initial Limit”), subject to adjustment as provided in Section 3(c), plus on January 1, 2019 and each January 1 thereafter, the number of shares of Stock reserved and available for issuance under the Plan shall be cumulatively increased by 4 percent of the number of shares of Stock issued and outstanding on the immediately preceding December 31 or such lesser number of shares as determined by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25" w:name="page326"/>
    <w:bookmarkEnd w:id="325"/>
    <w:p>
      <w:pPr>
        <w:ind w:right="6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Administrator (the “Annual Increase”). Subject to such overall limitation, the maximum aggregate number of shares of Stock that may be issued in the form of Incentive Stock Options shall not exceed the Initial Limit cumulatively increased on January 1, 2019 and on each January 1 thereafter by the lesser of the Annual Increase for such year or 1,785,100 shares of Stock, subject in all cases to adjustment as provided in Section 3(c). For purposes of this limitation, the shares of Stock underlying any Awards under the Plan and under the Company’s Amended and Restated 2015 Stock Option and Grant Plan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The shares available for issuance under the Plan may be authorized but unissued shares of Stock or shares of Stock reacquired by the Company.</w:t>
      </w:r>
    </w:p>
    <w:p>
      <w:pPr>
        <w:spacing w:after="0" w:line="70" w:lineRule="exact"/>
        <w:rPr>
          <w:sz w:val="20"/>
          <w:szCs w:val="20"/>
          <w:color w:val="auto"/>
        </w:rPr>
      </w:pPr>
    </w:p>
    <w:p>
      <w:pPr>
        <w:ind w:right="80" w:firstLine="464"/>
        <w:spacing w:after="0" w:line="259" w:lineRule="auto"/>
        <w:tabs>
          <w:tab w:leader="none" w:pos="711"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Maximum Awards to Non-Employee Directors</w:t>
      </w:r>
      <w:r>
        <w:rPr>
          <w:rFonts w:ascii="Arial" w:cs="Arial" w:eastAsia="Arial" w:hAnsi="Arial"/>
          <w:sz w:val="18"/>
          <w:szCs w:val="18"/>
          <w:color w:val="auto"/>
        </w:rPr>
        <w:t>. Notwithstanding anything to the contrary in this Plan, the value of all Awards awarded under this Plan and all other cash compensation paid by the Company to any Non-Employee Director in any calendar year shall not exceed $1,000,000. For the purpose of this limitation, the value of any Award shall be its grant date fair value, as determined in accordance with ASC 718 or successor provision but excluding the impact of estimated forfeitures related to service-based vesting provisions.</w:t>
      </w:r>
    </w:p>
    <w:p>
      <w:pPr>
        <w:spacing w:after="0" w:line="78" w:lineRule="exact"/>
        <w:rPr>
          <w:rFonts w:ascii="Arial" w:cs="Arial" w:eastAsia="Arial" w:hAnsi="Arial"/>
          <w:sz w:val="18"/>
          <w:szCs w:val="18"/>
          <w:color w:val="auto"/>
        </w:rPr>
      </w:pPr>
    </w:p>
    <w:p>
      <w:pPr>
        <w:ind w:firstLine="464"/>
        <w:spacing w:after="0" w:line="268" w:lineRule="auto"/>
        <w:tabs>
          <w:tab w:leader="none" w:pos="701"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Changes in Stock</w:t>
      </w:r>
      <w:r>
        <w:rPr>
          <w:rFonts w:ascii="Arial" w:cs="Arial" w:eastAsia="Arial" w:hAnsi="Arial"/>
          <w:sz w:val="17"/>
          <w:szCs w:val="17"/>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 (ii) the number and kind of shares or other securities subject to any then outstanding Awards under the Plan, (iii) the repurchase price, if any, per share subject to each outstanding Restricted Stock Award, and (iv)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326" w:name="page327"/>
    <w:bookmarkEnd w:id="326"/>
    <w:p>
      <w:pPr>
        <w:ind w:firstLine="464"/>
        <w:spacing w:after="0" w:line="285" w:lineRule="auto"/>
        <w:tabs>
          <w:tab w:leader="none" w:pos="711" w:val="left"/>
        </w:tabs>
        <w:numPr>
          <w:ilvl w:val="0"/>
          <w:numId w:val="20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Mergers and Other Transactions</w:t>
      </w:r>
      <w:r>
        <w:rPr>
          <w:rFonts w:ascii="Arial" w:cs="Arial" w:eastAsia="Arial" w:hAnsi="Arial"/>
          <w:sz w:val="16"/>
          <w:szCs w:val="16"/>
          <w:color w:val="auto"/>
        </w:rPr>
        <w:t>.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upon the effective time of the Sale Event, the Plan and all outstanding Awards granted hereunder shall terminate. In such case, except as may be otherwise provided in the relevant Award Certificate, all Options and Stock Appreciation Rights that are not exercisable immediately prior to the effective time of the Sale Event shall become fully exercisable as of the effective time of the Sale Event, all other Awards with time-based vesting, conditions or restrictions shall become fully vested and nonforfeitable as of the effective time of the Sale Event, and all Awards with conditions and restrictions relating to the attainment of performance goals may become vested and nonforfeitable in connection with a Sale Event in the Administrator’s discretion or to the extent specified in the relevant Award Certificate. In the event of such termination, (i) the Company shall have the option (in its sole discretion) to make or provide for a payment, in cash or in kind,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at prices not in excess of the Sale Price) and (B) the aggregate exercise price of all such outstanding Options and Stock Appreciation Rights (provided that, in the case of an Option or Stock Appreciation Right with an exercise price equal to or less than the Sale Price, such Option or Stock Appreciation Right shall be cancelled for no consideration); or (ii) each grantee shall be permitted, within a specified period of time prior to the consummation of the Sale Event as determined by the Administrator, to exercise all outstanding Options and Stock Appreciation Rights (to the extent then exercisable) held by such grantee. The Company shall also have the option (in its sole discretion) to make or provide for a payment, in cash or in kind, to the grantees holding other Awards in an amount equal to the Sale Price multiplied by the number of vested shares of Stock under such Awards.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ELIGIBILITY</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Grantees under the Plan will be such full or part-time officers and other employees, Non-Employee Directors and Consultants of the Company and its Subsidiaries as are selected from time to time by the Administrator in its sole discretion.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STOCK OPTIONS</w:t>
      </w:r>
    </w:p>
    <w:p>
      <w:pPr>
        <w:spacing w:after="0" w:line="117" w:lineRule="exact"/>
        <w:rPr>
          <w:sz w:val="20"/>
          <w:szCs w:val="20"/>
          <w:color w:val="auto"/>
        </w:rPr>
      </w:pPr>
    </w:p>
    <w:p>
      <w:pPr>
        <w:ind w:right="340" w:firstLine="464"/>
        <w:spacing w:after="0" w:line="277" w:lineRule="auto"/>
        <w:tabs>
          <w:tab w:leader="none" w:pos="701" w:val="left"/>
        </w:tabs>
        <w:numPr>
          <w:ilvl w:val="0"/>
          <w:numId w:val="206"/>
        </w:numPr>
        <w:rPr>
          <w:rFonts w:ascii="Arial" w:cs="Arial" w:eastAsia="Arial" w:hAnsi="Arial"/>
          <w:sz w:val="18"/>
          <w:szCs w:val="18"/>
          <w:color w:val="auto"/>
        </w:rPr>
      </w:pPr>
      <w:r>
        <w:rPr>
          <w:rFonts w:ascii="Arial" w:cs="Arial" w:eastAsia="Arial" w:hAnsi="Arial"/>
          <w:sz w:val="18"/>
          <w:szCs w:val="18"/>
          <w:u w:val="single" w:color="auto"/>
          <w:color w:val="auto"/>
        </w:rPr>
        <w:t>Award of Stock Options</w:t>
      </w:r>
      <w:r>
        <w:rPr>
          <w:rFonts w:ascii="Arial" w:cs="Arial" w:eastAsia="Arial" w:hAnsi="Arial"/>
          <w:sz w:val="18"/>
          <w:szCs w:val="18"/>
          <w:color w:val="auto"/>
        </w:rPr>
        <w:t>. The Administrator may grant Stock Options under the Plan. Any Stock Option granted under the Plan shall be in such form as the Administrator may from time to time approve.</w:t>
      </w:r>
    </w:p>
    <w:p>
      <w:pPr>
        <w:spacing w:after="0" w:line="170"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327" w:name="page328"/>
    <w:bookmarkEnd w:id="327"/>
    <w:p>
      <w:pPr>
        <w:ind w:right="20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39" w:lineRule="exact"/>
        <w:rPr>
          <w:sz w:val="20"/>
          <w:szCs w:val="20"/>
          <w:color w:val="auto"/>
        </w:rPr>
      </w:pPr>
    </w:p>
    <w:p>
      <w:pPr>
        <w:ind w:firstLine="464"/>
        <w:spacing w:after="0" w:line="297" w:lineRule="auto"/>
        <w:tabs>
          <w:tab w:leader="none" w:pos="711"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for the Stock covered by a Stock Option granted pursuant to this Section 5 shall be determined by the Administrator at the time of grant but shall not be less than 100 percent of the Fair Market Value on the date of grant. In the case of an Incentive Stock Option that is granted to a Ten Percent Owner, the option price of such Incentive Stock Option shall be not less than 110 percent of the Fair Market Value on the grant date. Notwithstanding the foregoing, Stock Options may be granted with an exercise price per share that is less than 100 percent of the Fair Market Value on the date of grant pursuant to a transaction described in, and in a manner consistent with, Section 424(a) of the Code.</w:t>
      </w:r>
    </w:p>
    <w:p>
      <w:pPr>
        <w:spacing w:after="0" w:line="50" w:lineRule="exact"/>
        <w:rPr>
          <w:rFonts w:ascii="Arial" w:cs="Arial" w:eastAsia="Arial" w:hAnsi="Arial"/>
          <w:sz w:val="16"/>
          <w:szCs w:val="16"/>
          <w:color w:val="auto"/>
        </w:rPr>
      </w:pPr>
    </w:p>
    <w:p>
      <w:pPr>
        <w:ind w:right="80" w:firstLine="464"/>
        <w:spacing w:after="0" w:line="264" w:lineRule="auto"/>
        <w:tabs>
          <w:tab w:leader="none" w:pos="701"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73" w:lineRule="exact"/>
        <w:rPr>
          <w:rFonts w:ascii="Arial" w:cs="Arial" w:eastAsia="Arial" w:hAnsi="Arial"/>
          <w:sz w:val="18"/>
          <w:szCs w:val="18"/>
          <w:color w:val="auto"/>
        </w:rPr>
      </w:pPr>
    </w:p>
    <w:p>
      <w:pPr>
        <w:ind w:right="180" w:firstLine="464"/>
        <w:spacing w:after="0" w:line="259" w:lineRule="auto"/>
        <w:tabs>
          <w:tab w:leader="none" w:pos="711"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Exercisability; Rights of a Stockholder</w:t>
      </w:r>
      <w:r>
        <w:rPr>
          <w:rFonts w:ascii="Arial" w:cs="Arial" w:eastAsia="Arial" w:hAnsi="Arial"/>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78" w:lineRule="exact"/>
        <w:rPr>
          <w:rFonts w:ascii="Arial" w:cs="Arial" w:eastAsia="Arial" w:hAnsi="Arial"/>
          <w:sz w:val="18"/>
          <w:szCs w:val="18"/>
          <w:color w:val="auto"/>
        </w:rPr>
      </w:pPr>
    </w:p>
    <w:p>
      <w:pPr>
        <w:ind w:right="220" w:firstLine="464"/>
        <w:spacing w:after="0" w:line="264" w:lineRule="auto"/>
        <w:tabs>
          <w:tab w:leader="none" w:pos="701"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except to the extent otherwise provided in the Option Award Certificate:</w:t>
      </w:r>
    </w:p>
    <w:p>
      <w:pPr>
        <w:spacing w:after="0" w:line="73" w:lineRule="exact"/>
        <w:rPr>
          <w:rFonts w:ascii="Arial" w:cs="Arial" w:eastAsia="Arial" w:hAnsi="Arial"/>
          <w:sz w:val="18"/>
          <w:szCs w:val="18"/>
          <w:color w:val="auto"/>
        </w:rPr>
      </w:pPr>
    </w:p>
    <w:p>
      <w:pPr>
        <w:ind w:left="1140" w:hanging="219"/>
        <w:spacing w:after="0"/>
        <w:tabs>
          <w:tab w:leader="none" w:pos="114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117" w:lineRule="exact"/>
        <w:rPr>
          <w:rFonts w:ascii="Arial" w:cs="Arial" w:eastAsia="Arial" w:hAnsi="Arial"/>
          <w:sz w:val="18"/>
          <w:szCs w:val="18"/>
          <w:color w:val="auto"/>
        </w:rPr>
      </w:pPr>
    </w:p>
    <w:p>
      <w:pPr>
        <w:ind w:right="240" w:firstLine="921"/>
        <w:spacing w:after="0" w:line="342" w:lineRule="auto"/>
        <w:tabs>
          <w:tab w:leader="none" w:pos="1178" w:val="left"/>
        </w:tabs>
        <w:numPr>
          <w:ilvl w:val="1"/>
          <w:numId w:val="207"/>
        </w:numPr>
        <w:rPr>
          <w:rFonts w:ascii="Arial" w:cs="Arial" w:eastAsia="Arial" w:hAnsi="Arial"/>
          <w:sz w:val="16"/>
          <w:szCs w:val="16"/>
          <w:color w:val="auto"/>
        </w:rPr>
      </w:pPr>
      <w:r>
        <w:rPr>
          <w:rFonts w:ascii="Arial" w:cs="Arial" w:eastAsia="Arial" w:hAnsi="Arial"/>
          <w:sz w:val="16"/>
          <w:szCs w:val="16"/>
          <w:color w:val="auto"/>
        </w:rPr>
        <w:t>Through the delivery (or attestation to the ownership following such procedures as the Company may prescribe) of shares of Stock that are not then subject to restrictions under any Company plan. Such surrendered shares shall be valued at Fair Market Value on the exercise date;</w:t>
      </w:r>
    </w:p>
    <w:p>
      <w:pPr>
        <w:spacing w:after="0" w:line="15" w:lineRule="exact"/>
        <w:rPr>
          <w:rFonts w:ascii="Arial" w:cs="Arial" w:eastAsia="Arial" w:hAnsi="Arial"/>
          <w:sz w:val="16"/>
          <w:szCs w:val="16"/>
          <w:color w:val="auto"/>
        </w:rPr>
      </w:pPr>
    </w:p>
    <w:p>
      <w:pPr>
        <w:jc w:val="both"/>
        <w:ind w:right="40" w:firstLine="921"/>
        <w:spacing w:after="0" w:line="259" w:lineRule="auto"/>
        <w:tabs>
          <w:tab w:leader="none" w:pos="1228" w:val="left"/>
        </w:tabs>
        <w:numPr>
          <w:ilvl w:val="1"/>
          <w:numId w:val="207"/>
        </w:numPr>
        <w:rPr>
          <w:rFonts w:ascii="Arial" w:cs="Arial" w:eastAsia="Arial" w:hAnsi="Arial"/>
          <w:sz w:val="18"/>
          <w:szCs w:val="18"/>
          <w:color w:val="auto"/>
        </w:rPr>
      </w:pPr>
      <w:r>
        <w:rPr>
          <w:rFonts w:ascii="Arial" w:cs="Arial" w:eastAsia="Arial" w:hAnsi="Arial"/>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Company shall prescribe as a condition of such payment procedure;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3" w:right="239" w:bottom="1440" w:gutter="0" w:footer="0" w:header="0"/>
        </w:sectPr>
      </w:pPr>
    </w:p>
    <w:bookmarkStart w:id="328" w:name="page329"/>
    <w:bookmarkEnd w:id="328"/>
    <w:p>
      <w:pPr>
        <w:ind w:right="320" w:firstLine="921"/>
        <w:spacing w:after="0" w:line="264" w:lineRule="auto"/>
        <w:tabs>
          <w:tab w:leader="none" w:pos="1218" w:val="left"/>
        </w:tabs>
        <w:numPr>
          <w:ilvl w:val="0"/>
          <w:numId w:val="2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74" w:lineRule="exact"/>
        <w:rPr>
          <w:sz w:val="20"/>
          <w:szCs w:val="20"/>
          <w:color w:val="auto"/>
        </w:rPr>
      </w:pPr>
    </w:p>
    <w:p>
      <w:pPr>
        <w:ind w:firstLine="464"/>
        <w:spacing w:after="0" w:line="279" w:lineRule="auto"/>
        <w:tabs>
          <w:tab w:leader="none" w:pos="681"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Annual Limit on Incentive Stock Options</w:t>
      </w:r>
      <w:r>
        <w:rPr>
          <w:rFonts w:ascii="Arial" w:cs="Arial" w:eastAsia="Arial" w:hAnsi="Arial"/>
          <w:sz w:val="17"/>
          <w:szCs w:val="17"/>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STOCK APPRECIATION RIGHTS</w:t>
      </w:r>
    </w:p>
    <w:p>
      <w:pPr>
        <w:spacing w:after="0" w:line="117" w:lineRule="exact"/>
        <w:rPr>
          <w:sz w:val="20"/>
          <w:szCs w:val="20"/>
          <w:color w:val="auto"/>
        </w:rPr>
      </w:pPr>
    </w:p>
    <w:p>
      <w:pPr>
        <w:ind w:right="40" w:firstLine="464"/>
        <w:spacing w:after="0" w:line="279" w:lineRule="auto"/>
        <w:tabs>
          <w:tab w:leader="none" w:pos="701"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Award of Stock Appreciation Rights</w:t>
      </w:r>
      <w:r>
        <w:rPr>
          <w:rFonts w:ascii="Arial" w:cs="Arial" w:eastAsia="Arial" w:hAnsi="Arial"/>
          <w:sz w:val="17"/>
          <w:szCs w:val="17"/>
          <w:color w:val="auto"/>
        </w:rPr>
        <w:t>. The Administrator may grant Stock Appreciation Rights under the Plan. A Stock Appreciation Right is an Award entitling the recipient to receive shares of Stock (or cash, to the extent explicitly provided for in the applicable Award Certificate) having a value equal to the excess of the Fair Market Value of a share of Stock on the date of exercise over the exercise price of the Stock Appreciation Right multiplied by the number of shares of Stock with respect to which the Stock Appreciation Right shall have been exercised.</w:t>
      </w:r>
    </w:p>
    <w:p>
      <w:pPr>
        <w:spacing w:after="0" w:line="63" w:lineRule="exact"/>
        <w:rPr>
          <w:rFonts w:ascii="Arial" w:cs="Arial" w:eastAsia="Arial" w:hAnsi="Arial"/>
          <w:sz w:val="17"/>
          <w:szCs w:val="17"/>
          <w:color w:val="auto"/>
        </w:rPr>
      </w:pPr>
    </w:p>
    <w:p>
      <w:pPr>
        <w:ind w:right="100" w:firstLine="464"/>
        <w:spacing w:after="0" w:line="277" w:lineRule="auto"/>
        <w:tabs>
          <w:tab w:leader="none" w:pos="711"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Exercise Price of Stock Appreciation Rights</w:t>
      </w:r>
      <w:r>
        <w:rPr>
          <w:rFonts w:ascii="Arial" w:cs="Arial" w:eastAsia="Arial" w:hAnsi="Arial"/>
          <w:sz w:val="18"/>
          <w:szCs w:val="18"/>
          <w:color w:val="auto"/>
        </w:rPr>
        <w:t>. The exercise price of a Stock Appreciation Right shall not be less than 100 percent of the Fair Market Value of the Stock on the date of grant.</w:t>
      </w:r>
    </w:p>
    <w:p>
      <w:pPr>
        <w:spacing w:after="0" w:line="62" w:lineRule="exact"/>
        <w:rPr>
          <w:rFonts w:ascii="Arial" w:cs="Arial" w:eastAsia="Arial" w:hAnsi="Arial"/>
          <w:sz w:val="18"/>
          <w:szCs w:val="18"/>
          <w:color w:val="auto"/>
        </w:rPr>
      </w:pPr>
    </w:p>
    <w:p>
      <w:pPr>
        <w:ind w:right="460" w:firstLine="464"/>
        <w:spacing w:after="0" w:line="277" w:lineRule="auto"/>
        <w:tabs>
          <w:tab w:leader="none" w:pos="701"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Grant and Exercise of Stock Appreciation Rights</w:t>
      </w:r>
      <w:r>
        <w:rPr>
          <w:rFonts w:ascii="Arial" w:cs="Arial" w:eastAsia="Arial" w:hAnsi="Arial"/>
          <w:sz w:val="18"/>
          <w:szCs w:val="18"/>
          <w:color w:val="auto"/>
        </w:rPr>
        <w:t>. Stock Appreciation Rights may be granted by the Administrator independently of any Stock Option granted pursuant to Section 5 of the Plan.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3" w:right="239" w:bottom="1440" w:gutter="0" w:footer="0" w:header="0"/>
        </w:sectPr>
      </w:pPr>
    </w:p>
    <w:bookmarkStart w:id="329" w:name="page330"/>
    <w:bookmarkEnd w:id="329"/>
    <w:p>
      <w:pPr>
        <w:ind w:right="60" w:firstLine="464"/>
        <w:spacing w:after="0" w:line="286" w:lineRule="auto"/>
        <w:tabs>
          <w:tab w:leader="none" w:pos="711"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Terms and Conditions of Stock Appreciation Rights</w:t>
      </w:r>
      <w:r>
        <w:rPr>
          <w:rFonts w:ascii="Arial" w:cs="Arial" w:eastAsia="Arial" w:hAnsi="Arial"/>
          <w:sz w:val="17"/>
          <w:szCs w:val="17"/>
          <w:color w:val="auto"/>
        </w:rPr>
        <w:t>. Stock Appreciation Rights shall be subject to such terms and conditions as shall be determined on the date of grant by the Administrator. The term of a Stock Appreciation Right may not exceed ten years. The terms and conditions of each such Award shall be determined by the Administrator, and such terms and conditions may differ among individual Awards and grantees.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RESTRICTED STOCK AWARDS</w:t>
      </w:r>
    </w:p>
    <w:p>
      <w:pPr>
        <w:spacing w:after="0" w:line="117" w:lineRule="exact"/>
        <w:rPr>
          <w:sz w:val="20"/>
          <w:szCs w:val="20"/>
          <w:color w:val="auto"/>
        </w:rPr>
      </w:pPr>
    </w:p>
    <w:p>
      <w:pPr>
        <w:ind w:right="160" w:firstLine="464"/>
        <w:spacing w:after="0" w:line="286" w:lineRule="auto"/>
        <w:tabs>
          <w:tab w:leader="none" w:pos="701"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Nature of Restricted Stock Awards</w:t>
      </w:r>
      <w:r>
        <w:rPr>
          <w:rFonts w:ascii="Arial" w:cs="Arial" w:eastAsia="Arial" w:hAnsi="Arial"/>
          <w:sz w:val="17"/>
          <w:szCs w:val="17"/>
          <w:color w:val="auto"/>
        </w:rPr>
        <w:t>. The Administrator may grant Restricted Stock Awards under the Plan. A Restricted Stock Award is any Award of Restricted Shares subject to such restrictions and conditions as the Administrator may determine at the time of grant. Conditions may be based on continuing employment (or other Service Relationship) and/or achievement of pre-established performance goals and objectives.</w:t>
      </w:r>
    </w:p>
    <w:p>
      <w:pPr>
        <w:spacing w:after="0" w:line="57" w:lineRule="exact"/>
        <w:rPr>
          <w:rFonts w:ascii="Arial" w:cs="Arial" w:eastAsia="Arial" w:hAnsi="Arial"/>
          <w:sz w:val="17"/>
          <w:szCs w:val="17"/>
          <w:color w:val="auto"/>
        </w:rPr>
      </w:pPr>
    </w:p>
    <w:p>
      <w:pPr>
        <w:ind w:right="40" w:firstLine="464"/>
        <w:spacing w:after="0" w:line="290" w:lineRule="auto"/>
        <w:tabs>
          <w:tab w:leader="none" w:pos="711"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58" w:lineRule="exact"/>
        <w:rPr>
          <w:rFonts w:ascii="Arial" w:cs="Arial" w:eastAsia="Arial" w:hAnsi="Arial"/>
          <w:sz w:val="16"/>
          <w:szCs w:val="16"/>
          <w:color w:val="auto"/>
        </w:rPr>
      </w:pPr>
    </w:p>
    <w:p>
      <w:pPr>
        <w:ind w:firstLine="464"/>
        <w:spacing w:after="0" w:line="253" w:lineRule="auto"/>
        <w:tabs>
          <w:tab w:leader="none" w:pos="701"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15 below, in writing after the Award is issued, if a grantee’s employment (or other service relationship) with the Company and its Subsidiaries terminates for any reason, any Restricted Shares that have not vested at the time of termination shall automatically and 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89" w:lineRule="exact"/>
        <w:rPr>
          <w:rFonts w:ascii="Arial" w:cs="Arial" w:eastAsia="Arial" w:hAnsi="Arial"/>
          <w:sz w:val="18"/>
          <w:szCs w:val="18"/>
          <w:color w:val="auto"/>
        </w:rPr>
      </w:pPr>
    </w:p>
    <w:p>
      <w:pPr>
        <w:ind w:right="200" w:firstLine="464"/>
        <w:spacing w:after="0" w:line="279" w:lineRule="auto"/>
        <w:tabs>
          <w:tab w:leader="none" w:pos="711"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Vesting of Restricted Shares</w:t>
      </w:r>
      <w:r>
        <w:rPr>
          <w:rFonts w:ascii="Arial" w:cs="Arial" w:eastAsia="Arial" w:hAnsi="Arial"/>
          <w:sz w:val="17"/>
          <w:szCs w:val="17"/>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330" w:name="page331"/>
    <w:bookmarkEnd w:id="3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 </w:t>
      </w:r>
      <w:r>
        <w:rPr>
          <w:rFonts w:ascii="Arial" w:cs="Arial" w:eastAsia="Arial" w:hAnsi="Arial"/>
          <w:sz w:val="18"/>
          <w:szCs w:val="18"/>
          <w:u w:val="single" w:color="auto"/>
          <w:color w:val="auto"/>
        </w:rPr>
        <w:t>RESTRICTED STOCK UNITS</w:t>
      </w:r>
    </w:p>
    <w:p>
      <w:pPr>
        <w:spacing w:after="0" w:line="117" w:lineRule="exact"/>
        <w:rPr>
          <w:sz w:val="20"/>
          <w:szCs w:val="20"/>
          <w:color w:val="auto"/>
        </w:rPr>
      </w:pPr>
    </w:p>
    <w:p>
      <w:pPr>
        <w:ind w:firstLine="464"/>
        <w:spacing w:after="0" w:line="271" w:lineRule="auto"/>
        <w:tabs>
          <w:tab w:leader="none" w:pos="701"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Nature of Restricted Stock Units</w:t>
      </w:r>
      <w:r>
        <w:rPr>
          <w:rFonts w:ascii="Arial" w:cs="Arial" w:eastAsia="Arial" w:hAnsi="Arial"/>
          <w:sz w:val="17"/>
          <w:szCs w:val="17"/>
          <w:color w:val="auto"/>
        </w:rPr>
        <w:t>. The Administrator may grant Restricted Stock Units under the Plan. A Restricted Stock Unit is an Award of stock units that may be settled in shares of Stock (or cash, to the extent explicitly provided for in the Award Certificate) upon the satisfaction of such restrictions and conditions at the time of grant. Conditions may be based on continuing employment (or other service relationship) and/or achievement of pre-established performance goals and objectives. The terms and conditions of each such Award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70" w:lineRule="exact"/>
        <w:rPr>
          <w:rFonts w:ascii="Arial" w:cs="Arial" w:eastAsia="Arial" w:hAnsi="Arial"/>
          <w:sz w:val="17"/>
          <w:szCs w:val="17"/>
          <w:color w:val="auto"/>
        </w:rPr>
      </w:pPr>
    </w:p>
    <w:p>
      <w:pPr>
        <w:ind w:right="180" w:firstLine="464"/>
        <w:spacing w:after="0" w:line="290" w:lineRule="auto"/>
        <w:tabs>
          <w:tab w:leader="none" w:pos="711"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Election to Receive Restricted Stock Units in Lieu of Compensation</w:t>
      </w:r>
      <w:r>
        <w:rPr>
          <w:rFonts w:ascii="Arial" w:cs="Arial" w:eastAsia="Arial" w:hAnsi="Arial"/>
          <w:sz w:val="16"/>
          <w:szCs w:val="16"/>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58" w:lineRule="exact"/>
        <w:rPr>
          <w:rFonts w:ascii="Arial" w:cs="Arial" w:eastAsia="Arial" w:hAnsi="Arial"/>
          <w:sz w:val="16"/>
          <w:szCs w:val="16"/>
          <w:color w:val="auto"/>
        </w:rPr>
      </w:pPr>
    </w:p>
    <w:p>
      <w:pPr>
        <w:ind w:right="260" w:firstLine="464"/>
        <w:spacing w:after="0" w:line="312" w:lineRule="auto"/>
        <w:tabs>
          <w:tab w:leader="none" w:pos="701"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11 and such terms and conditions as the Administrator may determine.</w:t>
      </w:r>
    </w:p>
    <w:p>
      <w:pPr>
        <w:spacing w:after="0" w:line="38" w:lineRule="exact"/>
        <w:rPr>
          <w:rFonts w:ascii="Arial" w:cs="Arial" w:eastAsia="Arial" w:hAnsi="Arial"/>
          <w:sz w:val="16"/>
          <w:szCs w:val="16"/>
          <w:color w:val="auto"/>
        </w:rPr>
      </w:pPr>
    </w:p>
    <w:p>
      <w:pPr>
        <w:jc w:val="both"/>
        <w:ind w:right="200" w:firstLine="464"/>
        <w:spacing w:after="0" w:line="264" w:lineRule="auto"/>
        <w:tabs>
          <w:tab w:leader="none" w:pos="711"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Certificate or, subject to Section 15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331" w:name="page332"/>
    <w:bookmarkEnd w:id="3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 </w:t>
      </w:r>
      <w:r>
        <w:rPr>
          <w:rFonts w:ascii="Arial" w:cs="Arial" w:eastAsia="Arial" w:hAnsi="Arial"/>
          <w:sz w:val="18"/>
          <w:szCs w:val="18"/>
          <w:u w:val="single" w:color="auto"/>
          <w:color w:val="auto"/>
        </w:rPr>
        <w:t>UNRESTRICTED STOCK AWARDS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u w:val="single" w:color="auto"/>
          <w:color w:val="auto"/>
        </w:rPr>
        <w:t>Grant or Sale of Unrestricted Stock</w:t>
      </w:r>
      <w:r>
        <w:rPr>
          <w:rFonts w:ascii="Arial" w:cs="Arial" w:eastAsia="Arial" w:hAnsi="Arial"/>
          <w:sz w:val="18"/>
          <w:szCs w:val="18"/>
          <w:color w:val="auto"/>
        </w:rPr>
        <w:t>. The Administrator may grant (or sell at par value or such higher purchase price determined by the Administrator) an Unrestricted Stock Award under the Plan. An Unrestricted Stock Award is an Award pursuant to which the grantee may receive shares of Stock free of any restrictions under the Plan. Unrestricted Stock Awards may be granted in respect of past services or other valid consideration, or in lieu of cash compensation due to such grantee.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CASH-BASED AWARDS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u w:val="single" w:color="auto"/>
          <w:color w:val="auto"/>
        </w:rPr>
        <w:t>Grant of Cash-Based Awards</w:t>
      </w:r>
      <w:r>
        <w:rPr>
          <w:rFonts w:ascii="Arial" w:cs="Arial" w:eastAsia="Arial" w:hAnsi="Arial"/>
          <w:sz w:val="18"/>
          <w:szCs w:val="18"/>
          <w:color w:val="auto"/>
        </w:rPr>
        <w:t>. The Administrator may grant Cash-Based Awards under the Plan. A Cash-Based Award is an Award that entitles the grantee to a payment in cash upon the attainment of specified performance goals.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DIVIDEND EQUIVALENT RIGHTS</w:t>
      </w:r>
    </w:p>
    <w:p>
      <w:pPr>
        <w:spacing w:after="0" w:line="117" w:lineRule="exact"/>
        <w:rPr>
          <w:sz w:val="20"/>
          <w:szCs w:val="20"/>
          <w:color w:val="auto"/>
        </w:rPr>
      </w:pPr>
    </w:p>
    <w:p>
      <w:pPr>
        <w:ind w:right="20" w:firstLine="464"/>
        <w:spacing w:after="0" w:line="269" w:lineRule="auto"/>
        <w:tabs>
          <w:tab w:leader="none" w:pos="701"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Dividend Equivalent Rights</w:t>
      </w:r>
      <w:r>
        <w:rPr>
          <w:rFonts w:ascii="Arial" w:cs="Arial" w:eastAsia="Arial" w:hAnsi="Arial"/>
          <w:sz w:val="17"/>
          <w:szCs w:val="17"/>
          <w:color w:val="auto"/>
        </w:rPr>
        <w:t>. The Administrator may grant Dividend Equivalent Rights under the Plan. A Dividend Equivalent Right is an Award entitling the grantee to receive credits based on cash dividends that would have been paid on the shares of Stock specified in the Dividend Equivalent Right (or other Award to which it relates) if such shares had been issued to the grantee. A Dividend Equivalent Right may be granted hereunder to any grantee as a component of an award of Restricted Stock Units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74" w:lineRule="exact"/>
        <w:rPr>
          <w:rFonts w:ascii="Arial" w:cs="Arial" w:eastAsia="Arial" w:hAnsi="Arial"/>
          <w:sz w:val="17"/>
          <w:szCs w:val="17"/>
          <w:color w:val="auto"/>
        </w:rPr>
      </w:pPr>
    </w:p>
    <w:p>
      <w:pPr>
        <w:ind w:right="80" w:firstLine="464"/>
        <w:spacing w:after="0" w:line="264" w:lineRule="auto"/>
        <w:tabs>
          <w:tab w:leader="none" w:pos="711"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Certificate or, subject to Section 15 below, in writing after the Award is issued, a grantee’s rights in all Dividend Equivalent Rights shall automatically terminate upon the grantee’s termination of employment (or cessation of service relationship) with the Company and its Subsidiaries for any reason.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332" w:name="page333"/>
    <w:bookmarkEnd w:id="3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 </w:t>
      </w:r>
      <w:r>
        <w:rPr>
          <w:rFonts w:ascii="Arial" w:cs="Arial" w:eastAsia="Arial" w:hAnsi="Arial"/>
          <w:sz w:val="18"/>
          <w:szCs w:val="18"/>
          <w:u w:val="single" w:color="auto"/>
          <w:color w:val="auto"/>
        </w:rPr>
        <w:t>TRANSFERABILITY OF AWARDS</w:t>
      </w:r>
    </w:p>
    <w:p>
      <w:pPr>
        <w:spacing w:after="0" w:line="117" w:lineRule="exact"/>
        <w:rPr>
          <w:sz w:val="20"/>
          <w:szCs w:val="20"/>
          <w:color w:val="auto"/>
        </w:rPr>
      </w:pPr>
    </w:p>
    <w:p>
      <w:pPr>
        <w:ind w:right="40" w:firstLine="464"/>
        <w:spacing w:after="0" w:line="302" w:lineRule="auto"/>
        <w:tabs>
          <w:tab w:leader="none" w:pos="701"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Except as provided in Section 12(b)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46" w:lineRule="exact"/>
        <w:rPr>
          <w:rFonts w:ascii="Arial" w:cs="Arial" w:eastAsia="Arial" w:hAnsi="Arial"/>
          <w:sz w:val="16"/>
          <w:szCs w:val="16"/>
          <w:color w:val="auto"/>
        </w:rPr>
      </w:pPr>
    </w:p>
    <w:p>
      <w:pPr>
        <w:jc w:val="both"/>
        <w:ind w:right="160" w:firstLine="464"/>
        <w:spacing w:after="0" w:line="257" w:lineRule="auto"/>
        <w:tabs>
          <w:tab w:leader="none" w:pos="711"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Administrator Action</w:t>
      </w:r>
      <w:r>
        <w:rPr>
          <w:rFonts w:ascii="Arial" w:cs="Arial" w:eastAsia="Arial" w:hAnsi="Arial"/>
          <w:sz w:val="18"/>
          <w:szCs w:val="18"/>
          <w:color w:val="auto"/>
        </w:rPr>
        <w:t>. Notwithstanding Section 12(a), the Administrator, in its discretion, may provide either in the Award Certificate regarding a given Award or by subsequent written approval that the grantee (who is an employee or director) may transfer his or her Non-Qualified Stock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80" w:lineRule="exact"/>
        <w:rPr>
          <w:rFonts w:ascii="Arial" w:cs="Arial" w:eastAsia="Arial" w:hAnsi="Arial"/>
          <w:sz w:val="18"/>
          <w:szCs w:val="18"/>
          <w:color w:val="auto"/>
        </w:rPr>
      </w:pPr>
    </w:p>
    <w:p>
      <w:pPr>
        <w:ind w:firstLine="464"/>
        <w:spacing w:after="0" w:line="276" w:lineRule="auto"/>
        <w:tabs>
          <w:tab w:leader="none" w:pos="701"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Family Member</w:t>
      </w:r>
      <w:r>
        <w:rPr>
          <w:rFonts w:ascii="Arial" w:cs="Arial" w:eastAsia="Arial" w:hAnsi="Arial"/>
          <w:sz w:val="17"/>
          <w:szCs w:val="17"/>
          <w:color w:val="auto"/>
        </w:rPr>
        <w:t>. For purposes of Section 12(b),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50 percent of the beneficial interest, a foundation in which these persons (or the grantee) control the management of assets, and any other entity in which these persons (or the grantee) own more than 50 percent of the voting interests.</w:t>
      </w:r>
    </w:p>
    <w:p>
      <w:pPr>
        <w:spacing w:after="0" w:line="64" w:lineRule="exact"/>
        <w:rPr>
          <w:rFonts w:ascii="Arial" w:cs="Arial" w:eastAsia="Arial" w:hAnsi="Arial"/>
          <w:sz w:val="17"/>
          <w:szCs w:val="17"/>
          <w:color w:val="auto"/>
        </w:rPr>
      </w:pPr>
    </w:p>
    <w:p>
      <w:pPr>
        <w:ind w:right="100" w:firstLine="464"/>
        <w:spacing w:after="0" w:line="302" w:lineRule="auto"/>
        <w:tabs>
          <w:tab w:leader="none" w:pos="711" w:val="left"/>
        </w:tabs>
        <w:numPr>
          <w:ilvl w:val="0"/>
          <w:numId w:val="215"/>
        </w:numPr>
        <w:rPr>
          <w:rFonts w:ascii="Arial" w:cs="Arial" w:eastAsia="Arial" w:hAnsi="Arial"/>
          <w:sz w:val="16"/>
          <w:szCs w:val="16"/>
          <w:color w:val="auto"/>
        </w:rPr>
      </w:pPr>
      <w:r>
        <w:rPr>
          <w:rFonts w:ascii="Arial" w:cs="Arial" w:eastAsia="Arial" w:hAnsi="Arial"/>
          <w:sz w:val="16"/>
          <w:szCs w:val="16"/>
          <w:u w:val="single" w:color="auto"/>
          <w:color w:val="auto"/>
        </w:rPr>
        <w:t>Designation of Beneficiary</w:t>
      </w:r>
      <w:r>
        <w:rPr>
          <w:rFonts w:ascii="Arial" w:cs="Arial" w:eastAsia="Arial" w:hAnsi="Arial"/>
          <w:sz w:val="16"/>
          <w:szCs w:val="16"/>
          <w:color w:val="auto"/>
        </w:rPr>
        <w:t>. To the extent permitted by the Company,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TAX WITHHOLDING</w:t>
      </w:r>
    </w:p>
    <w:p>
      <w:pPr>
        <w:spacing w:after="0" w:line="117" w:lineRule="exact"/>
        <w:rPr>
          <w:sz w:val="20"/>
          <w:szCs w:val="20"/>
          <w:color w:val="auto"/>
        </w:rPr>
      </w:pPr>
    </w:p>
    <w:p>
      <w:pPr>
        <w:ind w:right="140" w:firstLine="464"/>
        <w:spacing w:after="0" w:line="255" w:lineRule="auto"/>
        <w:tabs>
          <w:tab w:leader="none" w:pos="701"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Payment by Grantee</w:t>
      </w:r>
      <w:r>
        <w:rPr>
          <w:rFonts w:ascii="Arial" w:cs="Arial" w:eastAsia="Arial" w:hAnsi="Arial"/>
          <w:sz w:val="18"/>
          <w:szCs w:val="18"/>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3" w:right="239" w:bottom="1440" w:gutter="0" w:footer="0" w:header="0"/>
        </w:sectPr>
      </w:pPr>
    </w:p>
    <w:bookmarkStart w:id="333" w:name="page334"/>
    <w:bookmarkEnd w:id="333"/>
    <w:p>
      <w:pPr>
        <w:ind w:firstLine="464"/>
        <w:spacing w:after="0" w:line="290" w:lineRule="auto"/>
        <w:tabs>
          <w:tab w:leader="none" w:pos="711"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 in Stock</w:t>
      </w:r>
      <w:r>
        <w:rPr>
          <w:rFonts w:ascii="Arial" w:cs="Arial" w:eastAsia="Arial" w:hAnsi="Arial"/>
          <w:sz w:val="16"/>
          <w:szCs w:val="16"/>
          <w:color w:val="auto"/>
        </w:rPr>
        <w:t>. Subject to approval by the Administrator, a grantee may elect to have the Company’s required tax withholding obligation satisfied, in whole or in part, by authorizing the Company to withhold from shares of Stock to be issued pursuant to any Award a number of shares with an aggregate Fair Market Value (as of the date the withholding is effected) that would satisfy the withholding amount due; provided, however, that the amount withheld does not exceed the maximum statutory tax rate or such lesser amount as is necessary to avoid liability accounting treatment. The Administrator may also require Awards to be subject to mandatory share withholding up to the required withholding amount. For purposes of share withholding, the Fair Market Value of withheld shares shall be determined in the same manner as the value of Stock includible in income of the participants. The required tax withholding obligation may also be satisfied, in whole or in part, by an arrangement whereby a certain number of shares of Stock issued pursuant to any Award are immediately sold and proceeds from such sale are remitted to the Company in an amount that would satisfy the withholding amount due.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SECTION 409A AWARDS</w:t>
      </w:r>
    </w:p>
    <w:p>
      <w:pPr>
        <w:spacing w:after="0" w:line="11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w:t>
      </w:r>
    </w:p>
    <w:p>
      <w:pPr>
        <w:ind w:right="40"/>
        <w:spacing w:after="0" w:line="253" w:lineRule="auto"/>
        <w:rPr>
          <w:sz w:val="20"/>
          <w:szCs w:val="20"/>
          <w:color w:val="auto"/>
        </w:rPr>
      </w:pPr>
      <w:r>
        <w:rPr>
          <w:rFonts w:ascii="Arial" w:cs="Arial" w:eastAsia="Arial" w:hAnsi="Arial"/>
          <w:sz w:val="18"/>
          <w:szCs w:val="18"/>
          <w:color w:val="auto"/>
        </w:rPr>
        <w:t>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409A Award may not be accelerated except to the extent permitted by Section 409A.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TERMINATION OF EMPLOYMENT, TRANSFER, LEAVE OF ABSENCE, ETC.</w:t>
      </w:r>
    </w:p>
    <w:p>
      <w:pPr>
        <w:spacing w:after="0" w:line="117" w:lineRule="exact"/>
        <w:rPr>
          <w:sz w:val="20"/>
          <w:szCs w:val="20"/>
          <w:color w:val="auto"/>
        </w:rPr>
      </w:pPr>
    </w:p>
    <w:p>
      <w:pPr>
        <w:ind w:right="280" w:firstLine="464"/>
        <w:spacing w:after="0" w:line="277" w:lineRule="auto"/>
        <w:tabs>
          <w:tab w:leader="none" w:pos="701" w:val="left"/>
        </w:tabs>
        <w:numPr>
          <w:ilvl w:val="0"/>
          <w:numId w:val="21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If the grantee’s Service Relationship is with a Subsidiary and such Subsidiary ceases to be a Subsidiary, the grantee shall be deemed to have terminated his or her Service Relationship for purposes of the Plan.</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For purposes of the Plan, the following events shall not be deemed a termination of employment:</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1"/>
          <w:numId w:val="218"/>
        </w:numPr>
        <w:rPr>
          <w:rFonts w:ascii="Arial" w:cs="Arial" w:eastAsia="Arial" w:hAnsi="Arial"/>
          <w:sz w:val="16"/>
          <w:szCs w:val="16"/>
          <w:color w:val="auto"/>
        </w:rPr>
      </w:pPr>
      <w:r>
        <w:rPr>
          <w:rFonts w:ascii="Arial" w:cs="Arial" w:eastAsia="Arial" w:hAnsi="Arial"/>
          <w:sz w:val="16"/>
          <w:szCs w:val="16"/>
          <w:color w:val="auto"/>
        </w:rPr>
        <w:t>a transfer to the employment of the Company from a Subsidiary or from the Company to a Subsidiary, or from one Subsidiary to another; or</w:t>
      </w:r>
    </w:p>
    <w:p>
      <w:pPr>
        <w:spacing w:after="0" w:line="140" w:lineRule="exact"/>
        <w:rPr>
          <w:rFonts w:ascii="Arial" w:cs="Arial" w:eastAsia="Arial" w:hAnsi="Arial"/>
          <w:sz w:val="16"/>
          <w:szCs w:val="16"/>
          <w:color w:val="auto"/>
        </w:rPr>
      </w:pPr>
    </w:p>
    <w:p>
      <w:pPr>
        <w:jc w:val="both"/>
        <w:ind w:right="120" w:firstLine="921"/>
        <w:spacing w:after="0" w:line="264" w:lineRule="auto"/>
        <w:tabs>
          <w:tab w:leader="none" w:pos="1178"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3" w:right="239" w:bottom="1440" w:gutter="0" w:footer="0" w:header="0"/>
        </w:sectPr>
      </w:pPr>
    </w:p>
    <w:bookmarkStart w:id="334" w:name="page335"/>
    <w:bookmarkEnd w:id="3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16. </w:t>
      </w:r>
      <w:r>
        <w:rPr>
          <w:rFonts w:ascii="Arial" w:cs="Arial" w:eastAsia="Arial" w:hAnsi="Arial"/>
          <w:sz w:val="18"/>
          <w:szCs w:val="18"/>
          <w:u w:val="single" w:color="auto"/>
          <w:color w:val="auto"/>
        </w:rPr>
        <w:t>AMENDMENTS AND TERMINATION</w:t>
      </w:r>
    </w:p>
    <w:p>
      <w:pPr>
        <w:spacing w:after="0" w:line="11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or other Awards.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Plan amendments shall be subject to approval by the Company stockholders entitled to vote at a meeting of stockholders. Nothing in this Section 16 shall limit the Administrator’s authority to take any action permitted pursuant to Section 3(c) or 3(d).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STATUS OF PLAN</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GENERAL PROVISIONS</w:t>
      </w:r>
    </w:p>
    <w:p>
      <w:pPr>
        <w:spacing w:after="0" w:line="117" w:lineRule="exact"/>
        <w:rPr>
          <w:sz w:val="20"/>
          <w:szCs w:val="20"/>
          <w:color w:val="auto"/>
        </w:rPr>
      </w:pPr>
    </w:p>
    <w:p>
      <w:pPr>
        <w:ind w:right="160" w:firstLine="464"/>
        <w:spacing w:after="0" w:line="277" w:lineRule="auto"/>
        <w:tabs>
          <w:tab w:leader="none" w:pos="701"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No Distribution</w:t>
      </w:r>
      <w:r>
        <w:rPr>
          <w:rFonts w:ascii="Arial" w:cs="Arial" w:eastAsia="Arial" w:hAnsi="Arial"/>
          <w:sz w:val="18"/>
          <w:szCs w:val="18"/>
          <w:color w:val="auto"/>
        </w:rPr>
        <w:t>. The Administrator may require each person acquiring Stock pursuant to an Award to represent to and agree with the Company in writing that such person is acquiring the shares without a view to distribution thereof.</w:t>
      </w:r>
    </w:p>
    <w:p>
      <w:pPr>
        <w:spacing w:after="0" w:line="62" w:lineRule="exact"/>
        <w:rPr>
          <w:rFonts w:ascii="Arial" w:cs="Arial" w:eastAsia="Arial" w:hAnsi="Arial"/>
          <w:sz w:val="18"/>
          <w:szCs w:val="18"/>
          <w:color w:val="auto"/>
        </w:rPr>
      </w:pPr>
    </w:p>
    <w:p>
      <w:pPr>
        <w:ind w:right="60" w:firstLine="464"/>
        <w:spacing w:after="0" w:line="272" w:lineRule="auto"/>
        <w:tabs>
          <w:tab w:leader="none" w:pos="711" w:val="left"/>
        </w:tabs>
        <w:numPr>
          <w:ilvl w:val="0"/>
          <w:numId w:val="219"/>
        </w:numPr>
        <w:rPr>
          <w:rFonts w:ascii="Arial" w:cs="Arial" w:eastAsia="Arial" w:hAnsi="Arial"/>
          <w:sz w:val="17"/>
          <w:szCs w:val="17"/>
          <w:color w:val="auto"/>
        </w:rPr>
      </w:pPr>
      <w:r>
        <w:rPr>
          <w:rFonts w:ascii="Arial" w:cs="Arial" w:eastAsia="Arial" w:hAnsi="Arial"/>
          <w:sz w:val="17"/>
          <w:szCs w:val="17"/>
          <w:u w:val="single" w:color="auto"/>
          <w:color w:val="auto"/>
        </w:rPr>
        <w:t>Issuance of Stock</w:t>
      </w:r>
      <w:r>
        <w:rPr>
          <w:rFonts w:ascii="Arial" w:cs="Arial" w:eastAsia="Arial" w:hAnsi="Arial"/>
          <w:sz w:val="17"/>
          <w:szCs w:val="17"/>
          <w:color w:val="auto"/>
        </w:rPr>
        <w:t>. To the extent certificated,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evidence of book entry or certificates evidencing shares of Stock pursuant to the exercise or settlement of any Award, unless and until the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274" w:right="279" w:bottom="1440" w:gutter="0" w:footer="0" w:header="0"/>
        </w:sectPr>
      </w:pPr>
    </w:p>
    <w:bookmarkStart w:id="335" w:name="page336"/>
    <w:bookmarkEnd w:id="335"/>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Administrator has determined, with advice of counsel (to the extent the Administrator deems such advice necessary or advisable), that the issuance and delivery is in compliance with all applicable laws, regulations of governmental authorities and, if applicable, the requirements of any exchange on which the shares of Stock are listed, quoted or traded. Any Stock issued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or notations on any book entry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59" w:lineRule="exact"/>
        <w:rPr>
          <w:sz w:val="20"/>
          <w:szCs w:val="20"/>
          <w:color w:val="auto"/>
        </w:rPr>
      </w:pPr>
    </w:p>
    <w:p>
      <w:pPr>
        <w:ind w:right="100" w:firstLine="464"/>
        <w:spacing w:after="0" w:line="264" w:lineRule="auto"/>
        <w:tabs>
          <w:tab w:leader="none" w:pos="701"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Stockholder Rights</w:t>
      </w:r>
      <w:r>
        <w:rPr>
          <w:rFonts w:ascii="Arial" w:cs="Arial" w:eastAsia="Arial" w:hAnsi="Arial"/>
          <w:sz w:val="18"/>
          <w:szCs w:val="18"/>
          <w:color w:val="auto"/>
        </w:rPr>
        <w:t>. Until Stock is deemed delivered in accordance with Section 18(b),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73" w:lineRule="exact"/>
        <w:rPr>
          <w:rFonts w:ascii="Arial" w:cs="Arial" w:eastAsia="Arial" w:hAnsi="Arial"/>
          <w:sz w:val="18"/>
          <w:szCs w:val="18"/>
          <w:color w:val="auto"/>
        </w:rPr>
      </w:pPr>
    </w:p>
    <w:p>
      <w:pPr>
        <w:ind w:right="220" w:firstLine="464"/>
        <w:spacing w:after="0" w:line="312" w:lineRule="auto"/>
        <w:tabs>
          <w:tab w:leader="none" w:pos="711" w:val="left"/>
        </w:tabs>
        <w:numPr>
          <w:ilvl w:val="0"/>
          <w:numId w:val="220"/>
        </w:numPr>
        <w:rPr>
          <w:rFonts w:ascii="Arial" w:cs="Arial" w:eastAsia="Arial" w:hAnsi="Arial"/>
          <w:sz w:val="16"/>
          <w:szCs w:val="16"/>
          <w:color w:val="auto"/>
        </w:rPr>
      </w:pPr>
      <w:r>
        <w:rPr>
          <w:rFonts w:ascii="Arial" w:cs="Arial" w:eastAsia="Arial" w:hAnsi="Arial"/>
          <w:sz w:val="16"/>
          <w:szCs w:val="16"/>
          <w:u w:val="single" w:color="auto"/>
          <w:color w:val="auto"/>
        </w:rPr>
        <w:t>Other Compensation Arrangements; No Employment Rights</w:t>
      </w:r>
      <w:r>
        <w:rPr>
          <w:rFonts w:ascii="Arial" w:cs="Arial" w:eastAsia="Arial" w:hAnsi="Arial"/>
          <w:sz w:val="16"/>
          <w:szCs w:val="16"/>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38" w:lineRule="exact"/>
        <w:rPr>
          <w:rFonts w:ascii="Arial" w:cs="Arial" w:eastAsia="Arial" w:hAnsi="Arial"/>
          <w:sz w:val="16"/>
          <w:szCs w:val="16"/>
          <w:color w:val="auto"/>
        </w:rPr>
      </w:pPr>
    </w:p>
    <w:p>
      <w:pPr>
        <w:ind w:right="560" w:firstLine="464"/>
        <w:spacing w:after="0" w:line="277" w:lineRule="auto"/>
        <w:tabs>
          <w:tab w:leader="none" w:pos="701"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Trading 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62" w:lineRule="exact"/>
        <w:rPr>
          <w:rFonts w:ascii="Arial" w:cs="Arial" w:eastAsia="Arial" w:hAnsi="Arial"/>
          <w:sz w:val="18"/>
          <w:szCs w:val="18"/>
          <w:color w:val="auto"/>
        </w:rPr>
      </w:pPr>
    </w:p>
    <w:p>
      <w:pPr>
        <w:ind w:left="680" w:hanging="216"/>
        <w:spacing w:after="0"/>
        <w:tabs>
          <w:tab w:leader="none" w:pos="68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Awards under the Plan shall be subject to the Company’s clawback policy, as in effect from time to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EFFECTIVE DATE OF PLAN</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This Plan shall become effective upon the date immediately preceding the Registration Date following stockholder approval in accordance with applicable state law, the Company’s bylaws and articles of incorporation, and applicable stock exchange rules.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74" w:right="25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 </w:t>
      </w:r>
      <w:r>
        <w:rPr>
          <w:rFonts w:ascii="Arial" w:cs="Arial" w:eastAsia="Arial" w:hAnsi="Arial"/>
          <w:sz w:val="18"/>
          <w:szCs w:val="18"/>
          <w:u w:val="single" w:color="auto"/>
          <w:color w:val="auto"/>
        </w:rPr>
        <w:t>GOVERNING LAW</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This Plan and all Awards and actions taken thereunder shall be governed by, and construed in accordance with the General Corporation Law of the State of Delaware as to matters within the scope thereof, and as to all other matters shall be governed by and construed in accordance with the internal laws of the State of Delaware, applied without regard to conflict of law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BOARD OF DIRECTORS: JUNE 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STOCKHOLDERS: JUNE 7, 2018</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337" w:name="page338"/>
    <w:bookmarkEnd w:id="3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INCENTIVE STOCK OPTION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STOCK OPTION AND INCENTIVE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-10160</wp:posOffset>
            </wp:positionV>
            <wp:extent cx="362902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8">
                      <a:extLst>
                        <a:ext uri="{28A0092B-C50C-407E-A947-70E740481C1C}"/>
                      </a:extLst>
                    </a:blip>
                    <a:srcRect/>
                    <a:stretch>
                      <a:fillRect/>
                    </a:stretch>
                  </pic:blipFill>
                  <pic:spPr bwMode="auto">
                    <a:xfrm>
                      <a:off x="0" y="0"/>
                      <a:ext cx="36290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-10160</wp:posOffset>
            </wp:positionV>
            <wp:extent cx="185737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9">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05"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Option Exercise Price per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-10160</wp:posOffset>
            </wp:positionV>
            <wp:extent cx="180022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0">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-10160</wp:posOffset>
            </wp:positionV>
            <wp:extent cx="185737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1">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-10160</wp:posOffset>
            </wp:positionV>
            <wp:extent cx="185737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2">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0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Pursuant to the AVROBIO, Inc. 2018 Stock Option and Incentive Plan as amended through the date hereof (the “Plan”), AVROBIO, Inc. (the “Company”) hereby grants to the Optionee named above an option (the “Stock Option”) to purchase on or prior to the Expiration Date specified above all or part of the number of shares of Common Stock, par value $0.0001 per share (the “Stock”), of the Company specified above at the Option Exercise Price per Share specified above subject to the terms and conditions set forth herein and in the Plan.</w:t>
      </w:r>
    </w:p>
    <w:p>
      <w:pPr>
        <w:spacing w:after="0" w:line="79" w:lineRule="exact"/>
        <w:rPr>
          <w:sz w:val="20"/>
          <w:szCs w:val="20"/>
          <w:color w:val="auto"/>
        </w:rPr>
      </w:pPr>
    </w:p>
    <w:p>
      <w:pPr>
        <w:ind w:right="80" w:firstLine="464"/>
        <w:spacing w:after="0" w:line="259" w:lineRule="auto"/>
        <w:tabs>
          <w:tab w:leader="none" w:pos="636" w:val="left"/>
        </w:tabs>
        <w:numPr>
          <w:ilvl w:val="0"/>
          <w:numId w:val="221"/>
        </w:numPr>
        <w:rPr>
          <w:rFonts w:ascii="Arial" w:cs="Arial" w:eastAsia="Arial" w:hAnsi="Arial"/>
          <w:sz w:val="18"/>
          <w:szCs w:val="18"/>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remains an employee of the Company or a Subsidiary on such dates:</w:t>
      </w:r>
    </w:p>
    <w:p>
      <w:pPr>
        <w:spacing w:after="0" w:line="197" w:lineRule="exact"/>
        <w:rPr>
          <w:sz w:val="20"/>
          <w:szCs w:val="20"/>
          <w:color w:val="auto"/>
        </w:rPr>
      </w:pPr>
    </w:p>
    <w:tbl>
      <w:tblPr>
        <w:tblLayout w:type="fixed"/>
        <w:tblInd w:w="260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4900" w:type="dxa"/>
            <w:vAlign w:val="bottom"/>
            <w:gridSpan w:val="2"/>
          </w:tcPr>
          <w:p>
            <w:pPr>
              <w:jc w:val="center"/>
              <w:ind w:right="3300"/>
              <w:spacing w:after="0"/>
              <w:rPr>
                <w:sz w:val="20"/>
                <w:szCs w:val="20"/>
                <w:color w:val="auto"/>
              </w:rPr>
            </w:pPr>
            <w:r>
              <w:rPr>
                <w:rFonts w:ascii="Arial" w:cs="Arial" w:eastAsia="Arial" w:hAnsi="Arial"/>
                <w:sz w:val="14"/>
                <w:szCs w:val="14"/>
                <w:color w:val="auto"/>
                <w:w w:val="95"/>
              </w:rPr>
              <w:t>Incremental Number of</w:t>
            </w:r>
          </w:p>
        </w:tc>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80" w:type="dxa"/>
            <w:vAlign w:val="bottom"/>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Option Shares Exercisable*</w:t>
            </w:r>
          </w:p>
        </w:tc>
        <w:tc>
          <w:tcPr>
            <w:tcW w:w="3300" w:type="dxa"/>
            <w:vAlign w:val="bottom"/>
          </w:tcPr>
          <w:p>
            <w:pPr>
              <w:spacing w:after="0"/>
              <w:rPr>
                <w:sz w:val="14"/>
                <w:szCs w:val="14"/>
                <w:color w:val="auto"/>
              </w:rPr>
            </w:pPr>
          </w:p>
        </w:tc>
        <w:tc>
          <w:tcPr>
            <w:tcW w:w="112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5"/>
              </w:rPr>
              <w:t>Exercisability Date</w:t>
            </w:r>
          </w:p>
        </w:tc>
      </w:tr>
      <w:tr>
        <w:trPr>
          <w:trHeight w:val="372"/>
        </w:trPr>
        <w:tc>
          <w:tcPr>
            <w:tcW w:w="4980" w:type="dxa"/>
            <w:vAlign w:val="bottom"/>
            <w:gridSpan w:val="3"/>
          </w:tcPr>
          <w:p>
            <w:pPr>
              <w:jc w:val="center"/>
              <w:ind w:right="3220"/>
              <w:spacing w:after="0"/>
              <w:rPr>
                <w:sz w:val="20"/>
                <w:szCs w:val="20"/>
                <w:color w:val="auto"/>
              </w:rPr>
            </w:pPr>
            <w:r>
              <w:rPr>
                <w:rFonts w:ascii="Arial" w:cs="Arial" w:eastAsia="Arial" w:hAnsi="Arial"/>
                <w:sz w:val="18"/>
                <w:szCs w:val="18"/>
                <w:color w:val="auto"/>
                <w:w w:val="91"/>
              </w:rPr>
              <w:t>_____________ (___%)</w:t>
            </w:r>
          </w:p>
        </w:tc>
        <w:tc>
          <w:tcPr>
            <w:tcW w:w="2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4980" w:type="dxa"/>
            <w:vAlign w:val="bottom"/>
            <w:gridSpan w:val="3"/>
          </w:tcPr>
          <w:p>
            <w:pPr>
              <w:jc w:val="center"/>
              <w:ind w:right="3220"/>
              <w:spacing w:after="0" w:line="196" w:lineRule="exact"/>
              <w:rPr>
                <w:sz w:val="20"/>
                <w:szCs w:val="20"/>
                <w:color w:val="auto"/>
              </w:rPr>
            </w:pPr>
            <w:r>
              <w:rPr>
                <w:rFonts w:ascii="Arial" w:cs="Arial" w:eastAsia="Arial" w:hAnsi="Arial"/>
                <w:sz w:val="18"/>
                <w:szCs w:val="18"/>
                <w:color w:val="auto"/>
                <w:w w:val="91"/>
              </w:rPr>
              <w:t>_____________ (___%)</w:t>
            </w:r>
          </w:p>
        </w:tc>
        <w:tc>
          <w:tcPr>
            <w:tcW w:w="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980" w:type="dxa"/>
            <w:vAlign w:val="bottom"/>
            <w:gridSpan w:val="3"/>
          </w:tcPr>
          <w:p>
            <w:pPr>
              <w:jc w:val="center"/>
              <w:ind w:right="3220"/>
              <w:spacing w:after="0" w:line="196" w:lineRule="exact"/>
              <w:rPr>
                <w:sz w:val="20"/>
                <w:szCs w:val="20"/>
                <w:color w:val="auto"/>
              </w:rPr>
            </w:pPr>
            <w:r>
              <w:rPr>
                <w:rFonts w:ascii="Arial" w:cs="Arial" w:eastAsia="Arial" w:hAnsi="Arial"/>
                <w:sz w:val="18"/>
                <w:szCs w:val="18"/>
                <w:color w:val="auto"/>
                <w:w w:val="91"/>
              </w:rPr>
              <w:t>_____________ (___%)</w:t>
            </w:r>
          </w:p>
        </w:tc>
        <w:tc>
          <w:tcPr>
            <w:tcW w:w="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980" w:type="dxa"/>
            <w:vAlign w:val="bottom"/>
            <w:gridSpan w:val="3"/>
          </w:tcPr>
          <w:p>
            <w:pPr>
              <w:jc w:val="center"/>
              <w:ind w:right="3220"/>
              <w:spacing w:after="0" w:line="196" w:lineRule="exact"/>
              <w:rPr>
                <w:sz w:val="20"/>
                <w:szCs w:val="20"/>
                <w:color w:val="auto"/>
              </w:rPr>
            </w:pPr>
            <w:r>
              <w:rPr>
                <w:rFonts w:ascii="Arial" w:cs="Arial" w:eastAsia="Arial" w:hAnsi="Arial"/>
                <w:sz w:val="18"/>
                <w:szCs w:val="18"/>
                <w:color w:val="auto"/>
                <w:w w:val="91"/>
              </w:rPr>
              <w:t>_____________ (___%)</w:t>
            </w:r>
          </w:p>
        </w:tc>
        <w:tc>
          <w:tcPr>
            <w:tcW w:w="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980" w:type="dxa"/>
            <w:vAlign w:val="bottom"/>
            <w:gridSpan w:val="3"/>
          </w:tcPr>
          <w:p>
            <w:pPr>
              <w:jc w:val="center"/>
              <w:ind w:right="3220"/>
              <w:spacing w:after="0" w:line="196" w:lineRule="exact"/>
              <w:rPr>
                <w:sz w:val="20"/>
                <w:szCs w:val="20"/>
                <w:color w:val="auto"/>
              </w:rPr>
            </w:pPr>
            <w:r>
              <w:rPr>
                <w:rFonts w:ascii="Arial" w:cs="Arial" w:eastAsia="Arial" w:hAnsi="Arial"/>
                <w:sz w:val="18"/>
                <w:szCs w:val="18"/>
                <w:color w:val="auto"/>
                <w:w w:val="91"/>
              </w:rPr>
              <w:t>_____________ (___%)</w:t>
            </w:r>
          </w:p>
        </w:tc>
        <w:tc>
          <w:tcPr>
            <w:tcW w:w="2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pacing w:after="0" w:line="256" w:lineRule="exact"/>
        <w:rPr>
          <w:sz w:val="20"/>
          <w:szCs w:val="20"/>
          <w:color w:val="auto"/>
        </w:rPr>
      </w:pPr>
    </w:p>
    <w:p>
      <w:pPr>
        <w:ind w:left="460" w:hanging="452"/>
        <w:spacing w:after="0"/>
        <w:tabs>
          <w:tab w:leader="none" w:pos="4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Max. of $100,000 per yr.</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 Plan.</w:t>
      </w:r>
    </w:p>
    <w:p>
      <w:pPr>
        <w:sectPr>
          <w:pgSz w:w="11900" w:h="16838" w:orient="portrait"/>
          <w:cols w:equalWidth="0" w:num="1">
            <w:col w:w="11400"/>
          </w:cols>
          <w:pgMar w:left="240" w:top="269" w:right="259" w:bottom="1440" w:gutter="0" w:footer="0" w:header="0"/>
        </w:sectPr>
      </w:pPr>
    </w:p>
    <w:bookmarkStart w:id="338" w:name="page339"/>
    <w:bookmarkEnd w:id="338"/>
    <w:p>
      <w:pPr>
        <w:ind w:left="640" w:hanging="176"/>
        <w:spacing w:after="0"/>
        <w:tabs>
          <w:tab w:leader="none" w:pos="64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Manner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21"/>
        <w:spacing w:after="0" w:line="264" w:lineRule="auto"/>
        <w:tabs>
          <w:tab w:leader="none" w:pos="1158"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or (iv) a combination of (i), (ii) and (iii) above. Payment instruments will be received subject to collection.</w:t>
      </w:r>
    </w:p>
    <w:p>
      <w:pPr>
        <w:spacing w:after="0" w:line="16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81" w:lineRule="exact"/>
        <w:rPr>
          <w:sz w:val="20"/>
          <w:szCs w:val="20"/>
          <w:color w:val="auto"/>
        </w:rPr>
      </w:pPr>
    </w:p>
    <w:p>
      <w:pPr>
        <w:ind w:firstLine="921"/>
        <w:spacing w:after="0" w:line="272" w:lineRule="auto"/>
        <w:tabs>
          <w:tab w:leader="none" w:pos="1168"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3" w:right="239" w:bottom="1440" w:gutter="0" w:footer="0" w:header="0"/>
        </w:sectPr>
      </w:pPr>
    </w:p>
    <w:bookmarkStart w:id="339" w:name="page340"/>
    <w:bookmarkEnd w:id="339"/>
    <w:p>
      <w:pPr>
        <w:ind w:right="260" w:firstLine="921"/>
        <w:spacing w:after="0" w:line="264" w:lineRule="auto"/>
        <w:tabs>
          <w:tab w:leader="none" w:pos="1158" w:val="left"/>
        </w:tabs>
        <w:numPr>
          <w:ilvl w:val="1"/>
          <w:numId w:val="2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1"/>
          <w:numId w:val="225"/>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 Date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hereof.</w:t>
      </w:r>
    </w:p>
    <w:p>
      <w:pPr>
        <w:spacing w:after="0" w:line="102" w:lineRule="exact"/>
        <w:rPr>
          <w:rFonts w:ascii="Arial" w:cs="Arial" w:eastAsia="Arial" w:hAnsi="Arial"/>
          <w:sz w:val="17"/>
          <w:szCs w:val="17"/>
          <w:color w:val="auto"/>
        </w:rPr>
      </w:pPr>
    </w:p>
    <w:p>
      <w:pPr>
        <w:ind w:right="200" w:firstLine="464"/>
        <w:spacing w:after="0" w:line="277" w:lineRule="auto"/>
        <w:tabs>
          <w:tab w:leader="none" w:pos="636"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Termination of Service Relationship</w:t>
      </w:r>
      <w:r>
        <w:rPr>
          <w:rFonts w:ascii="Arial" w:cs="Arial" w:eastAsia="Arial" w:hAnsi="Arial"/>
          <w:sz w:val="18"/>
          <w:szCs w:val="18"/>
          <w:color w:val="auto"/>
        </w:rPr>
        <w:t>. If the Optionee’s Service Relationship by the Company or a Subsidiary (as defined in the Plan) is terminated, the period within which to exercise the Stock Option may be subject to earlier termination as set forth below.</w:t>
      </w:r>
    </w:p>
    <w:p>
      <w:pPr>
        <w:spacing w:after="0" w:line="62" w:lineRule="exact"/>
        <w:rPr>
          <w:rFonts w:ascii="Arial" w:cs="Arial" w:eastAsia="Arial" w:hAnsi="Arial"/>
          <w:sz w:val="18"/>
          <w:szCs w:val="18"/>
          <w:color w:val="auto"/>
        </w:rPr>
      </w:pPr>
    </w:p>
    <w:p>
      <w:pPr>
        <w:ind w:right="100" w:firstLine="921"/>
        <w:spacing w:after="0" w:line="259" w:lineRule="auto"/>
        <w:tabs>
          <w:tab w:leader="none" w:pos="1157" w:val="left"/>
        </w:tabs>
        <w:numPr>
          <w:ilvl w:val="1"/>
          <w:numId w:val="226"/>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If the Optionee’s Service Relationship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78" w:lineRule="exact"/>
        <w:rPr>
          <w:rFonts w:ascii="Arial" w:cs="Arial" w:eastAsia="Arial" w:hAnsi="Arial"/>
          <w:sz w:val="18"/>
          <w:szCs w:val="18"/>
          <w:color w:val="auto"/>
        </w:rPr>
      </w:pPr>
    </w:p>
    <w:p>
      <w:pPr>
        <w:ind w:right="80" w:firstLine="921"/>
        <w:spacing w:after="0" w:line="279" w:lineRule="auto"/>
        <w:tabs>
          <w:tab w:leader="none" w:pos="1168" w:val="left"/>
        </w:tabs>
        <w:numPr>
          <w:ilvl w:val="1"/>
          <w:numId w:val="226"/>
        </w:numPr>
        <w:rPr>
          <w:rFonts w:ascii="Arial" w:cs="Arial" w:eastAsia="Arial" w:hAnsi="Arial"/>
          <w:sz w:val="17"/>
          <w:szCs w:val="17"/>
          <w:color w:val="auto"/>
        </w:rPr>
      </w:pPr>
      <w:r>
        <w:rPr>
          <w:rFonts w:ascii="Arial" w:cs="Arial" w:eastAsia="Arial" w:hAnsi="Arial"/>
          <w:sz w:val="17"/>
          <w:szCs w:val="17"/>
          <w:u w:val="single" w:color="auto"/>
          <w:color w:val="auto"/>
        </w:rPr>
        <w:t>Termination Due to Disability</w:t>
      </w:r>
      <w:r>
        <w:rPr>
          <w:rFonts w:ascii="Arial" w:cs="Arial" w:eastAsia="Arial" w:hAnsi="Arial"/>
          <w:sz w:val="17"/>
          <w:szCs w:val="17"/>
          <w:color w:val="auto"/>
        </w:rPr>
        <w:t>. If the Optionee’s Service Relationship terminates by reason of the Optionee’s disability (as determined by the Administrator), any portion of this Stock Option outstanding on such date, to the extent exercisable on the date of such termination of Service Relationship,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63" w:lineRule="exact"/>
        <w:rPr>
          <w:rFonts w:ascii="Arial" w:cs="Arial" w:eastAsia="Arial" w:hAnsi="Arial"/>
          <w:sz w:val="17"/>
          <w:szCs w:val="17"/>
          <w:color w:val="auto"/>
        </w:rPr>
      </w:pPr>
    </w:p>
    <w:p>
      <w:pPr>
        <w:ind w:firstLine="921"/>
        <w:spacing w:after="0" w:line="273" w:lineRule="auto"/>
        <w:tabs>
          <w:tab w:leader="none" w:pos="1157" w:val="left"/>
        </w:tabs>
        <w:numPr>
          <w:ilvl w:val="1"/>
          <w:numId w:val="226"/>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If the Optionee’s Service Relationship terminates for Cause, any portion of this Stock Option outstanding on such date shall terminate immediately and be of no further force and effect. For purposes hereof, “Cause” shall mean, unless otherwise provided in an employment agreement (or similar services agreements)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70" w:lineRule="exact"/>
        <w:rPr>
          <w:rFonts w:ascii="Arial" w:cs="Arial" w:eastAsia="Arial" w:hAnsi="Arial"/>
          <w:sz w:val="17"/>
          <w:szCs w:val="17"/>
          <w:color w:val="auto"/>
        </w:rPr>
      </w:pPr>
    </w:p>
    <w:p>
      <w:pPr>
        <w:ind w:firstLine="921"/>
        <w:spacing w:after="0" w:line="279" w:lineRule="auto"/>
        <w:tabs>
          <w:tab w:leader="none" w:pos="1168" w:val="left"/>
        </w:tabs>
        <w:numPr>
          <w:ilvl w:val="1"/>
          <w:numId w:val="226"/>
        </w:numPr>
        <w:rPr>
          <w:rFonts w:ascii="Arial" w:cs="Arial" w:eastAsia="Arial" w:hAnsi="Arial"/>
          <w:sz w:val="17"/>
          <w:szCs w:val="17"/>
          <w:color w:val="auto"/>
        </w:rPr>
      </w:pPr>
      <w:r>
        <w:rPr>
          <w:rFonts w:ascii="Arial" w:cs="Arial" w:eastAsia="Arial" w:hAnsi="Arial"/>
          <w:sz w:val="17"/>
          <w:szCs w:val="17"/>
          <w:u w:val="single" w:color="auto"/>
          <w:color w:val="auto"/>
        </w:rPr>
        <w:t>Other Termination</w:t>
      </w:r>
      <w:r>
        <w:rPr>
          <w:rFonts w:ascii="Arial" w:cs="Arial" w:eastAsia="Arial" w:hAnsi="Arial"/>
          <w:sz w:val="17"/>
          <w:szCs w:val="17"/>
          <w:color w:val="auto"/>
        </w:rPr>
        <w:t>.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40" w:name="page341"/>
    <w:bookmarkEnd w:id="340"/>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Administrator’s determination of the reason for termination of the Optionee’s Service Relationship shall be conclusive and binding on the Optionee and his or her representatives or legatees.</w:t>
      </w:r>
    </w:p>
    <w:p>
      <w:pPr>
        <w:spacing w:after="0" w:line="62" w:lineRule="exact"/>
        <w:rPr>
          <w:sz w:val="20"/>
          <w:szCs w:val="20"/>
          <w:color w:val="auto"/>
        </w:rPr>
      </w:pPr>
    </w:p>
    <w:p>
      <w:pPr>
        <w:ind w:right="400" w:firstLine="464"/>
        <w:spacing w:after="0" w:line="264" w:lineRule="auto"/>
        <w:tabs>
          <w:tab w:leader="none" w:pos="636"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73" w:lineRule="exact"/>
        <w:rPr>
          <w:rFonts w:ascii="Arial" w:cs="Arial" w:eastAsia="Arial" w:hAnsi="Arial"/>
          <w:sz w:val="18"/>
          <w:szCs w:val="18"/>
          <w:color w:val="auto"/>
        </w:rPr>
      </w:pPr>
    </w:p>
    <w:p>
      <w:pPr>
        <w:ind w:right="200" w:firstLine="464"/>
        <w:spacing w:after="0" w:line="264" w:lineRule="auto"/>
        <w:tabs>
          <w:tab w:leader="none" w:pos="636"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73" w:lineRule="exact"/>
        <w:rPr>
          <w:rFonts w:ascii="Arial" w:cs="Arial" w:eastAsia="Arial" w:hAnsi="Arial"/>
          <w:sz w:val="18"/>
          <w:szCs w:val="18"/>
          <w:color w:val="auto"/>
        </w:rPr>
      </w:pPr>
    </w:p>
    <w:p>
      <w:pPr>
        <w:ind w:right="40" w:firstLine="464"/>
        <w:spacing w:after="0" w:line="291" w:lineRule="auto"/>
        <w:tabs>
          <w:tab w:leader="none" w:pos="636"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Status of the Stock Option</w:t>
      </w:r>
      <w:r>
        <w:rPr>
          <w:rFonts w:ascii="Arial" w:cs="Arial" w:eastAsia="Arial" w:hAnsi="Arial"/>
          <w:sz w:val="16"/>
          <w:szCs w:val="16"/>
          <w:color w:val="auto"/>
        </w:rPr>
        <w:t>. This Stock Option is intended to qualify as an “incentive stock option” under Section 422 of the Internal Revenue Code of 1986, as amended (the “Code”), but the Company does not represent or warrant that this Stock Option qualifies as such. The Optionee should consult with his or her own tax advisors regarding the tax effects of this Stock Option and the requirements necessary to obtain favorable income tax treatment under Section 422 of the Code, including, but not limited to, holding period requirements. To the extent any portion of this Stock Option does not so qualify as an “incentive stock option,” such portion shall be deemed to be a non-qualified stock option. If the Optionee intends to dispose or does dispose (whether by sale, gift, transfer or otherwise) of any Option Shares within the one-year period beginning on the date after the transfer of such shares to him or her, or within the two-year period beginning on the day after the grant of this Stock Option, he or she will so notify the Company within 30 days after such disposition.</w:t>
      </w:r>
    </w:p>
    <w:p>
      <w:pPr>
        <w:spacing w:after="0" w:line="59" w:lineRule="exact"/>
        <w:rPr>
          <w:rFonts w:ascii="Arial" w:cs="Arial" w:eastAsia="Arial" w:hAnsi="Arial"/>
          <w:sz w:val="16"/>
          <w:szCs w:val="16"/>
          <w:color w:val="auto"/>
        </w:rPr>
      </w:pPr>
    </w:p>
    <w:p>
      <w:pPr>
        <w:ind w:firstLine="464"/>
        <w:spacing w:after="0" w:line="273" w:lineRule="auto"/>
        <w:tabs>
          <w:tab w:leader="none" w:pos="636"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withholding from shares of Stock to be issued to the Optionee a number of shares of Stock with an aggregate Fair Market Value that would satisfy the withholding amount due; provided, however, that the amount withheld does not exceed the maximum statutory tax rate or such lesser amount as is necessary to avoid adverse accounting treatment or as determined by the Administrator.</w:t>
      </w:r>
    </w:p>
    <w:p>
      <w:pPr>
        <w:spacing w:after="0" w:line="70" w:lineRule="exact"/>
        <w:rPr>
          <w:rFonts w:ascii="Arial" w:cs="Arial" w:eastAsia="Arial" w:hAnsi="Arial"/>
          <w:sz w:val="17"/>
          <w:szCs w:val="17"/>
          <w:color w:val="auto"/>
        </w:rPr>
      </w:pPr>
    </w:p>
    <w:p>
      <w:pPr>
        <w:ind w:right="20" w:firstLine="464"/>
        <w:spacing w:after="0" w:line="264" w:lineRule="auto"/>
        <w:tabs>
          <w:tab w:leader="none" w:pos="636"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Service Relationship</w:t>
      </w:r>
      <w:r>
        <w:rPr>
          <w:rFonts w:ascii="Arial" w:cs="Arial" w:eastAsia="Arial" w:hAnsi="Arial"/>
          <w:sz w:val="18"/>
          <w:szCs w:val="18"/>
          <w:color w:val="auto"/>
        </w:rPr>
        <w:t>. Neither the Company nor any Subsidiary is obligated by or as a result of the Plan or this Agreement to continue the Optionee’s Service Relationship and neither the Plan nor this Agreement shall interfere in any way with the right of the Company or any Subsidiary to terminate the Service Relationship of the Optionee at any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41" w:name="page342"/>
    <w:bookmarkEnd w:id="341"/>
    <w:p>
      <w:pPr>
        <w:ind w:left="-8" w:right="700" w:firstLine="464"/>
        <w:spacing w:after="0" w:line="277" w:lineRule="auto"/>
        <w:tabs>
          <w:tab w:leader="none" w:pos="628"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62" w:lineRule="exact"/>
        <w:rPr>
          <w:rFonts w:ascii="Arial" w:cs="Arial" w:eastAsia="Arial" w:hAnsi="Arial"/>
          <w:sz w:val="18"/>
          <w:szCs w:val="18"/>
          <w:color w:val="auto"/>
        </w:rPr>
      </w:pPr>
    </w:p>
    <w:p>
      <w:pPr>
        <w:ind w:left="-8" w:firstLine="464"/>
        <w:spacing w:after="0" w:line="284" w:lineRule="auto"/>
        <w:tabs>
          <w:tab w:leader="none" w:pos="718" w:val="left"/>
        </w:tabs>
        <w:numPr>
          <w:ilvl w:val="1"/>
          <w:numId w:val="228"/>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w:t>
      </w:r>
    </w:p>
    <w:p>
      <w:pPr>
        <w:spacing w:after="0" w:line="4" w:lineRule="exact"/>
        <w:rPr>
          <w:rFonts w:ascii="Arial" w:cs="Arial" w:eastAsia="Arial" w:hAnsi="Arial"/>
          <w:sz w:val="16"/>
          <w:szCs w:val="16"/>
          <w:color w:val="auto"/>
        </w:rPr>
      </w:pPr>
    </w:p>
    <w:p>
      <w:pPr>
        <w:ind w:left="-8" w:right="160" w:firstLine="8"/>
        <w:spacing w:after="0" w:line="290" w:lineRule="auto"/>
        <w:tabs>
          <w:tab w:leader="none" w:pos="297" w:val="left"/>
        </w:tabs>
        <w:numPr>
          <w:ilvl w:val="0"/>
          <w:numId w:val="229"/>
        </w:numPr>
        <w:rPr>
          <w:rFonts w:ascii="Arial" w:cs="Arial" w:eastAsia="Arial" w:hAnsi="Arial"/>
          <w:sz w:val="17"/>
          <w:szCs w:val="17"/>
          <w:color w:val="auto"/>
        </w:rPr>
      </w:pPr>
      <w:r>
        <w:rPr>
          <w:rFonts w:ascii="Arial" w:cs="Arial" w:eastAsia="Arial" w:hAnsi="Arial"/>
          <w:sz w:val="17"/>
          <w:szCs w:val="17"/>
          <w:color w:val="auto"/>
        </w:rPr>
        <w:t>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94"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12"/>
          </w:cols>
          <w:pgMar w:left="248" w:top="274" w:right="339" w:bottom="1440" w:gutter="0" w:footer="0" w:header="0"/>
        </w:sectPr>
      </w:pPr>
    </w:p>
    <w:bookmarkStart w:id="342" w:name="page343"/>
    <w:bookmarkEnd w:id="342"/>
    <w:p>
      <w:pPr>
        <w:ind w:firstLine="464"/>
        <w:spacing w:after="0" w:line="342" w:lineRule="auto"/>
        <w:tabs>
          <w:tab w:leader="none" w:pos="720"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6"/>
          <w:szCs w:val="16"/>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686054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9">
                      <a:extLst>
                        <a:ext uri="{28A0092B-C50C-407E-A947-70E740481C1C}"/>
                      </a:extLst>
                    </a:blip>
                    <a:srcRect/>
                    <a:stretch>
                      <a:fillRect/>
                    </a:stretch>
                  </pic:blipFill>
                  <pic:spPr bwMode="auto">
                    <a:xfrm>
                      <a:off x="0" y="0"/>
                      <a:ext cx="686054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Optionee’s Signature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289560</wp:posOffset>
            </wp:positionV>
            <wp:extent cx="368744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0">
                      <a:extLst>
                        <a:ext uri="{28A0092B-C50C-407E-A947-70E740481C1C}"/>
                      </a:extLst>
                    </a:blip>
                    <a:srcRect/>
                    <a:stretch>
                      <a:fillRect/>
                    </a:stretch>
                  </pic:blipFill>
                  <pic:spPr bwMode="auto">
                    <a:xfrm>
                      <a:off x="0" y="0"/>
                      <a:ext cx="3687445"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581025</wp:posOffset>
            </wp:positionV>
            <wp:extent cx="368744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1">
                      <a:extLst>
                        <a:ext uri="{28A0092B-C50C-407E-A947-70E740481C1C}"/>
                      </a:extLst>
                    </a:blip>
                    <a:srcRect/>
                    <a:stretch>
                      <a:fillRect/>
                    </a:stretch>
                  </pic:blipFill>
                  <pic:spPr bwMode="auto">
                    <a:xfrm>
                      <a:off x="0" y="0"/>
                      <a:ext cx="3687445"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872490</wp:posOffset>
            </wp:positionV>
            <wp:extent cx="368744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2">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80"/>
          </w:cols>
          <w:pgMar w:left="240" w:top="273" w:right="379" w:bottom="1440" w:gutter="0" w:footer="0" w:header="0"/>
        </w:sectPr>
      </w:pPr>
    </w:p>
    <w:bookmarkStart w:id="343" w:name="page344"/>
    <w:bookmarkEnd w:id="34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NON-QUALIFIED STOCK OPTION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NON-EMPLOYEE DIRECTORS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STOCK OPTION AND INCENTIVE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-10160</wp:posOffset>
            </wp:positionV>
            <wp:extent cx="325755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4">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-10160</wp:posOffset>
            </wp:positionV>
            <wp:extent cx="185737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5">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05"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Option Exercise Price per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-10160</wp:posOffset>
            </wp:positionV>
            <wp:extent cx="180022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-10160</wp:posOffset>
            </wp:positionV>
            <wp:extent cx="185737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7">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-10160</wp:posOffset>
            </wp:positionV>
            <wp:extent cx="185737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8">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9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Pursuant to the AVROBIO, Inc. 2018 Stock Option and Incentive Plan as amended through the date hereof (the “Plan”), AVROBIO, Inc. (the “Company”) hereby grants to the Optionee named above, who is a Director of the Company but is not an employee of the Company, an option (the “Stock Option”) to purchase on or prior to the Expiration Date specified above all or part of the number of shares of Common Stock, par value $0.0001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50" w:lineRule="exact"/>
        <w:rPr>
          <w:sz w:val="20"/>
          <w:szCs w:val="20"/>
          <w:color w:val="auto"/>
        </w:rPr>
      </w:pPr>
    </w:p>
    <w:p>
      <w:pPr>
        <w:ind w:right="240" w:firstLine="464"/>
        <w:spacing w:after="0" w:line="259" w:lineRule="auto"/>
        <w:tabs>
          <w:tab w:leader="none" w:pos="636"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remains in service as a member of the Board on such dates:</w:t>
      </w:r>
    </w:p>
    <w:p>
      <w:pPr>
        <w:spacing w:after="0" w:line="197" w:lineRule="exact"/>
        <w:rPr>
          <w:sz w:val="20"/>
          <w:szCs w:val="20"/>
          <w:color w:val="auto"/>
        </w:rPr>
      </w:pPr>
    </w:p>
    <w:tbl>
      <w:tblPr>
        <w:tblLayout w:type="fixed"/>
        <w:tblInd w:w="260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4900" w:type="dxa"/>
            <w:vAlign w:val="bottom"/>
            <w:gridSpan w:val="2"/>
          </w:tcPr>
          <w:p>
            <w:pPr>
              <w:jc w:val="center"/>
              <w:ind w:right="3340"/>
              <w:spacing w:after="0"/>
              <w:rPr>
                <w:sz w:val="20"/>
                <w:szCs w:val="20"/>
                <w:color w:val="auto"/>
              </w:rPr>
            </w:pPr>
            <w:r>
              <w:rPr>
                <w:rFonts w:ascii="Arial" w:cs="Arial" w:eastAsia="Arial" w:hAnsi="Arial"/>
                <w:sz w:val="14"/>
                <w:szCs w:val="14"/>
                <w:color w:val="auto"/>
                <w:w w:val="95"/>
              </w:rPr>
              <w:t>Incremental Number of</w:t>
            </w: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7"/>
        </w:trPr>
        <w:tc>
          <w:tcPr>
            <w:tcW w:w="100" w:type="dxa"/>
            <w:vAlign w:val="bottom"/>
          </w:tcPr>
          <w:p>
            <w:pPr>
              <w:spacing w:after="0"/>
              <w:rPr>
                <w:sz w:val="14"/>
                <w:szCs w:val="14"/>
                <w:color w:val="auto"/>
              </w:rPr>
            </w:pPr>
          </w:p>
        </w:tc>
        <w:tc>
          <w:tcPr>
            <w:tcW w:w="4900" w:type="dxa"/>
            <w:vAlign w:val="bottom"/>
            <w:gridSpan w:val="2"/>
          </w:tcPr>
          <w:p>
            <w:pPr>
              <w:jc w:val="center"/>
              <w:ind w:right="3340"/>
              <w:spacing w:after="0"/>
              <w:rPr>
                <w:sz w:val="20"/>
                <w:szCs w:val="20"/>
                <w:color w:val="auto"/>
              </w:rPr>
            </w:pPr>
            <w:r>
              <w:rPr>
                <w:rFonts w:ascii="Arial" w:cs="Arial" w:eastAsia="Arial" w:hAnsi="Arial"/>
                <w:sz w:val="14"/>
                <w:szCs w:val="14"/>
                <w:color w:val="auto"/>
                <w:w w:val="91"/>
              </w:rPr>
              <w:t>Option Shares Exercisable</w:t>
            </w:r>
          </w:p>
        </w:tc>
        <w:tc>
          <w:tcPr>
            <w:tcW w:w="1100" w:type="dxa"/>
            <w:vAlign w:val="bottom"/>
            <w:gridSpan w:val="2"/>
          </w:tcPr>
          <w:p>
            <w:pPr>
              <w:spacing w:after="0"/>
              <w:rPr>
                <w:sz w:val="20"/>
                <w:szCs w:val="20"/>
                <w:color w:val="auto"/>
              </w:rPr>
            </w:pPr>
            <w:r>
              <w:rPr>
                <w:rFonts w:ascii="Arial" w:cs="Arial" w:eastAsia="Arial" w:hAnsi="Arial"/>
                <w:sz w:val="14"/>
                <w:szCs w:val="14"/>
                <w:color w:val="auto"/>
                <w:w w:val="93"/>
              </w:rPr>
              <w:t>Exercisability Date</w:t>
            </w:r>
          </w:p>
        </w:tc>
      </w:tr>
      <w:tr>
        <w:trPr>
          <w:trHeight w:val="20"/>
        </w:trPr>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360" w:type="dxa"/>
            <w:vAlign w:val="bottom"/>
            <w:tcBorders>
              <w:right w:val="single" w:sz="8" w:color="auto"/>
            </w:tcBorders>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r>
      <w:tr>
        <w:trPr>
          <w:trHeight w:val="372"/>
        </w:trPr>
        <w:tc>
          <w:tcPr>
            <w:tcW w:w="5000" w:type="dxa"/>
            <w:vAlign w:val="bottom"/>
            <w:gridSpan w:val="3"/>
          </w:tcPr>
          <w:p>
            <w:pPr>
              <w:jc w:val="center"/>
              <w:ind w:right="3240"/>
              <w:spacing w:after="0"/>
              <w:rPr>
                <w:sz w:val="20"/>
                <w:szCs w:val="20"/>
                <w:color w:val="auto"/>
              </w:rPr>
            </w:pPr>
            <w:r>
              <w:rPr>
                <w:rFonts w:ascii="Arial" w:cs="Arial" w:eastAsia="Arial" w:hAnsi="Arial"/>
                <w:sz w:val="18"/>
                <w:szCs w:val="18"/>
                <w:color w:val="auto"/>
                <w:w w:val="91"/>
              </w:rPr>
              <w:t>_____________ (___%)</w:t>
            </w: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5000" w:type="dxa"/>
            <w:vAlign w:val="bottom"/>
            <w:gridSpan w:val="3"/>
          </w:tcPr>
          <w:p>
            <w:pPr>
              <w:jc w:val="center"/>
              <w:ind w:right="3240"/>
              <w:spacing w:after="0" w:line="196" w:lineRule="exact"/>
              <w:rPr>
                <w:sz w:val="20"/>
                <w:szCs w:val="20"/>
                <w:color w:val="auto"/>
              </w:rPr>
            </w:pPr>
            <w:r>
              <w:rPr>
                <w:rFonts w:ascii="Arial" w:cs="Arial" w:eastAsia="Arial" w:hAnsi="Arial"/>
                <w:sz w:val="18"/>
                <w:szCs w:val="18"/>
                <w:color w:val="auto"/>
                <w:w w:val="91"/>
              </w:rPr>
              <w:t>_____________ (___%)</w:t>
            </w: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0" w:type="dxa"/>
            <w:vAlign w:val="bottom"/>
            <w:gridSpan w:val="3"/>
          </w:tcPr>
          <w:p>
            <w:pPr>
              <w:jc w:val="center"/>
              <w:ind w:right="3240"/>
              <w:spacing w:after="0" w:line="196" w:lineRule="exact"/>
              <w:rPr>
                <w:sz w:val="20"/>
                <w:szCs w:val="20"/>
                <w:color w:val="auto"/>
              </w:rPr>
            </w:pPr>
            <w:r>
              <w:rPr>
                <w:rFonts w:ascii="Arial" w:cs="Arial" w:eastAsia="Arial" w:hAnsi="Arial"/>
                <w:sz w:val="18"/>
                <w:szCs w:val="18"/>
                <w:color w:val="auto"/>
                <w:w w:val="91"/>
              </w:rPr>
              <w:t>_____________ (___%)</w:t>
            </w: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0" w:type="dxa"/>
            <w:vAlign w:val="bottom"/>
            <w:gridSpan w:val="3"/>
          </w:tcPr>
          <w:p>
            <w:pPr>
              <w:jc w:val="center"/>
              <w:ind w:right="3240"/>
              <w:spacing w:after="0" w:line="196" w:lineRule="exact"/>
              <w:rPr>
                <w:sz w:val="20"/>
                <w:szCs w:val="20"/>
                <w:color w:val="auto"/>
              </w:rPr>
            </w:pPr>
            <w:r>
              <w:rPr>
                <w:rFonts w:ascii="Arial" w:cs="Arial" w:eastAsia="Arial" w:hAnsi="Arial"/>
                <w:sz w:val="18"/>
                <w:szCs w:val="18"/>
                <w:color w:val="auto"/>
                <w:w w:val="91"/>
              </w:rPr>
              <w:t>_____________ (___%)</w:t>
            </w: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0" w:type="dxa"/>
            <w:vAlign w:val="bottom"/>
            <w:gridSpan w:val="3"/>
          </w:tcPr>
          <w:p>
            <w:pPr>
              <w:jc w:val="center"/>
              <w:ind w:right="3240"/>
              <w:spacing w:after="0" w:line="196" w:lineRule="exact"/>
              <w:rPr>
                <w:sz w:val="20"/>
                <w:szCs w:val="20"/>
                <w:color w:val="auto"/>
              </w:rPr>
            </w:pPr>
            <w:r>
              <w:rPr>
                <w:rFonts w:ascii="Arial" w:cs="Arial" w:eastAsia="Arial" w:hAnsi="Arial"/>
                <w:sz w:val="18"/>
                <w:szCs w:val="18"/>
                <w:color w:val="auto"/>
                <w:w w:val="91"/>
              </w:rPr>
              <w:t>_____________ (___%)</w:t>
            </w:r>
          </w:p>
        </w:tc>
        <w:tc>
          <w:tcPr>
            <w:tcW w:w="10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bl>
    <w:p>
      <w:pPr>
        <w:sectPr>
          <w:pgSz w:w="11900" w:h="16838" w:orient="portrait"/>
          <w:cols w:equalWidth="0" w:num="1">
            <w:col w:w="11400"/>
          </w:cols>
          <w:pgMar w:left="240" w:top="269" w:right="259" w:bottom="1440" w:gutter="0" w:footer="0" w:header="0"/>
        </w:sectPr>
      </w:pPr>
    </w:p>
    <w:bookmarkStart w:id="344" w:name="page345"/>
    <w:bookmarkEnd w:id="344"/>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Once exercisable, this Stock Option shall continue to be exercisable at any time or times prior to the close of business on the Expiration Date, subject to the provisions hereof and of the Plan.</w:t>
      </w:r>
    </w:p>
    <w:p>
      <w:pPr>
        <w:spacing w:after="0" w:line="62" w:lineRule="exact"/>
        <w:rPr>
          <w:sz w:val="20"/>
          <w:szCs w:val="20"/>
          <w:color w:val="auto"/>
        </w:rPr>
      </w:pPr>
    </w:p>
    <w:p>
      <w:pPr>
        <w:ind w:left="640" w:hanging="176"/>
        <w:spacing w:after="0"/>
        <w:tabs>
          <w:tab w:leader="none" w:pos="64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21"/>
        <w:spacing w:after="0" w:line="264" w:lineRule="auto"/>
        <w:tabs>
          <w:tab w:leader="none" w:pos="1158"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81" w:lineRule="exact"/>
        <w:rPr>
          <w:sz w:val="20"/>
          <w:szCs w:val="20"/>
          <w:color w:val="auto"/>
        </w:rPr>
      </w:pPr>
    </w:p>
    <w:p>
      <w:pPr>
        <w:ind w:firstLine="921"/>
        <w:spacing w:after="0" w:line="279" w:lineRule="auto"/>
        <w:tabs>
          <w:tab w:leader="none" w:pos="1168"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45" w:name="page346"/>
    <w:bookmarkEnd w:id="345"/>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79" w:lineRule="exact"/>
        <w:rPr>
          <w:sz w:val="20"/>
          <w:szCs w:val="20"/>
          <w:color w:val="auto"/>
        </w:rPr>
      </w:pPr>
    </w:p>
    <w:p>
      <w:pPr>
        <w:ind w:right="240" w:firstLine="921"/>
        <w:spacing w:after="0" w:line="264" w:lineRule="auto"/>
        <w:tabs>
          <w:tab w:leader="none" w:pos="1158"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 Date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hereof.</w:t>
      </w:r>
    </w:p>
    <w:p>
      <w:pPr>
        <w:spacing w:after="0" w:line="102" w:lineRule="exact"/>
        <w:rPr>
          <w:rFonts w:ascii="Arial" w:cs="Arial" w:eastAsia="Arial" w:hAnsi="Arial"/>
          <w:sz w:val="17"/>
          <w:szCs w:val="17"/>
          <w:color w:val="auto"/>
        </w:rPr>
      </w:pPr>
    </w:p>
    <w:p>
      <w:pPr>
        <w:ind w:right="520" w:firstLine="464"/>
        <w:spacing w:after="0" w:line="277" w:lineRule="auto"/>
        <w:tabs>
          <w:tab w:leader="none" w:pos="636"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Termination as Director</w:t>
      </w:r>
      <w:r>
        <w:rPr>
          <w:rFonts w:ascii="Arial" w:cs="Arial" w:eastAsia="Arial" w:hAnsi="Arial"/>
          <w:sz w:val="18"/>
          <w:szCs w:val="18"/>
          <w:color w:val="auto"/>
        </w:rPr>
        <w:t>. If the Optionee ceases to be a Director of the Company, the period within which to exercise the Stock Option may be subject to earlier termination as set forth below.</w:t>
      </w:r>
    </w:p>
    <w:p>
      <w:pPr>
        <w:spacing w:after="0" w:line="62" w:lineRule="exact"/>
        <w:rPr>
          <w:rFonts w:ascii="Arial" w:cs="Arial" w:eastAsia="Arial" w:hAnsi="Arial"/>
          <w:sz w:val="18"/>
          <w:szCs w:val="18"/>
          <w:color w:val="auto"/>
        </w:rPr>
      </w:pPr>
    </w:p>
    <w:p>
      <w:pPr>
        <w:ind w:right="80" w:firstLine="921"/>
        <w:spacing w:after="0" w:line="259" w:lineRule="auto"/>
        <w:tabs>
          <w:tab w:leader="none" w:pos="1157" w:val="left"/>
        </w:tabs>
        <w:numPr>
          <w:ilvl w:val="1"/>
          <w:numId w:val="235"/>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If the Optionee’s service as a Director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78" w:lineRule="exact"/>
        <w:rPr>
          <w:rFonts w:ascii="Arial" w:cs="Arial" w:eastAsia="Arial" w:hAnsi="Arial"/>
          <w:sz w:val="18"/>
          <w:szCs w:val="18"/>
          <w:color w:val="auto"/>
        </w:rPr>
      </w:pPr>
    </w:p>
    <w:p>
      <w:pPr>
        <w:ind w:firstLine="921"/>
        <w:spacing w:after="0" w:line="259" w:lineRule="auto"/>
        <w:tabs>
          <w:tab w:leader="none" w:pos="1168" w:val="left"/>
        </w:tabs>
        <w:numPr>
          <w:ilvl w:val="1"/>
          <w:numId w:val="235"/>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If the Optionee ceases to be a Director for any reason other than the Optionee’s death, any portion of this Stock Option outstanding on such date may be exercised, to the extent exercisable on the date the Optionee ceased to be a Director, for a period of six months from the date the Optionee ceased to be a Director or until the Expiration Date, if earlier. Any portion of this Stock Option that is not exercisable on the date the Optionee ceases to be a Director shall terminate immediately and be of no further force or effect.</w:t>
      </w:r>
    </w:p>
    <w:p>
      <w:pPr>
        <w:spacing w:after="0" w:line="78" w:lineRule="exact"/>
        <w:rPr>
          <w:rFonts w:ascii="Arial" w:cs="Arial" w:eastAsia="Arial" w:hAnsi="Arial"/>
          <w:sz w:val="18"/>
          <w:szCs w:val="18"/>
          <w:color w:val="auto"/>
        </w:rPr>
      </w:pPr>
    </w:p>
    <w:p>
      <w:pPr>
        <w:ind w:right="380" w:firstLine="464"/>
        <w:spacing w:after="0" w:line="264" w:lineRule="auto"/>
        <w:tabs>
          <w:tab w:leader="none" w:pos="636"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73" w:lineRule="exact"/>
        <w:rPr>
          <w:rFonts w:ascii="Arial" w:cs="Arial" w:eastAsia="Arial" w:hAnsi="Arial"/>
          <w:sz w:val="18"/>
          <w:szCs w:val="18"/>
          <w:color w:val="auto"/>
        </w:rPr>
      </w:pPr>
    </w:p>
    <w:p>
      <w:pPr>
        <w:ind w:right="180" w:firstLine="464"/>
        <w:spacing w:after="0" w:line="264" w:lineRule="auto"/>
        <w:tabs>
          <w:tab w:leader="none" w:pos="636"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73" w:lineRule="exact"/>
        <w:rPr>
          <w:rFonts w:ascii="Arial" w:cs="Arial" w:eastAsia="Arial" w:hAnsi="Arial"/>
          <w:sz w:val="18"/>
          <w:szCs w:val="18"/>
          <w:color w:val="auto"/>
        </w:rPr>
      </w:pPr>
    </w:p>
    <w:p>
      <w:pPr>
        <w:ind w:right="80" w:firstLine="464"/>
        <w:spacing w:after="0" w:line="277" w:lineRule="auto"/>
        <w:tabs>
          <w:tab w:leader="none" w:pos="636"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as a Director</w:t>
      </w:r>
      <w:r>
        <w:rPr>
          <w:rFonts w:ascii="Arial" w:cs="Arial" w:eastAsia="Arial" w:hAnsi="Arial"/>
          <w:sz w:val="18"/>
          <w:szCs w:val="18"/>
          <w:color w:val="auto"/>
        </w:rPr>
        <w:t>. Neither the Plan nor this Stock Option confers upon the Optionee any rights with respect to continuance as a Director.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346" w:name="page347"/>
    <w:bookmarkEnd w:id="346"/>
    <w:p>
      <w:pPr>
        <w:ind w:left="-8" w:right="700" w:firstLine="464"/>
        <w:spacing w:after="0" w:line="277" w:lineRule="auto"/>
        <w:tabs>
          <w:tab w:leader="none" w:pos="628" w:val="left"/>
        </w:tabs>
        <w:numPr>
          <w:ilvl w:val="1"/>
          <w:numId w:val="2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62" w:lineRule="exact"/>
        <w:rPr>
          <w:rFonts w:ascii="Arial" w:cs="Arial" w:eastAsia="Arial" w:hAnsi="Arial"/>
          <w:sz w:val="18"/>
          <w:szCs w:val="18"/>
          <w:color w:val="auto"/>
        </w:rPr>
      </w:pPr>
    </w:p>
    <w:p>
      <w:pPr>
        <w:ind w:left="-8" w:firstLine="464"/>
        <w:spacing w:after="0" w:line="284" w:lineRule="auto"/>
        <w:tabs>
          <w:tab w:leader="none" w:pos="628" w:val="left"/>
        </w:tabs>
        <w:numPr>
          <w:ilvl w:val="1"/>
          <w:numId w:val="236"/>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w:t>
      </w:r>
    </w:p>
    <w:p>
      <w:pPr>
        <w:spacing w:after="0" w:line="4" w:lineRule="exact"/>
        <w:rPr>
          <w:rFonts w:ascii="Arial" w:cs="Arial" w:eastAsia="Arial" w:hAnsi="Arial"/>
          <w:sz w:val="16"/>
          <w:szCs w:val="16"/>
          <w:color w:val="auto"/>
        </w:rPr>
      </w:pPr>
    </w:p>
    <w:p>
      <w:pPr>
        <w:ind w:left="-8" w:right="160" w:firstLine="8"/>
        <w:spacing w:after="0" w:line="290" w:lineRule="auto"/>
        <w:tabs>
          <w:tab w:leader="none" w:pos="297"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94"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12"/>
          </w:cols>
          <w:pgMar w:left="248" w:top="274" w:right="339" w:bottom="1440" w:gutter="0" w:footer="0" w:header="0"/>
        </w:sectPr>
      </w:pPr>
    </w:p>
    <w:bookmarkStart w:id="347" w:name="page348"/>
    <w:bookmarkEnd w:id="347"/>
    <w:p>
      <w:pPr>
        <w:ind w:firstLine="464"/>
        <w:spacing w:after="0" w:line="342" w:lineRule="auto"/>
        <w:tabs>
          <w:tab w:leader="none" w:pos="636"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Notices</w:t>
      </w:r>
      <w:r>
        <w:rPr>
          <w:rFonts w:ascii="Arial" w:cs="Arial" w:eastAsia="Arial" w:hAnsi="Arial"/>
          <w:sz w:val="16"/>
          <w:szCs w:val="16"/>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686054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4">
                      <a:extLst>
                        <a:ext uri="{28A0092B-C50C-407E-A947-70E740481C1C}"/>
                      </a:extLst>
                    </a:blip>
                    <a:srcRect/>
                    <a:stretch>
                      <a:fillRect/>
                    </a:stretch>
                  </pic:blipFill>
                  <pic:spPr bwMode="auto">
                    <a:xfrm>
                      <a:off x="0" y="0"/>
                      <a:ext cx="686054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Optionee’s Signature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289560</wp:posOffset>
            </wp:positionV>
            <wp:extent cx="368744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5">
                      <a:extLst>
                        <a:ext uri="{28A0092B-C50C-407E-A947-70E740481C1C}"/>
                      </a:extLst>
                    </a:blip>
                    <a:srcRect/>
                    <a:stretch>
                      <a:fillRect/>
                    </a:stretch>
                  </pic:blipFill>
                  <pic:spPr bwMode="auto">
                    <a:xfrm>
                      <a:off x="0" y="0"/>
                      <a:ext cx="3687445"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581025</wp:posOffset>
            </wp:positionV>
            <wp:extent cx="368744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6">
                      <a:extLst>
                        <a:ext uri="{28A0092B-C50C-407E-A947-70E740481C1C}"/>
                      </a:extLst>
                    </a:blip>
                    <a:srcRect/>
                    <a:stretch>
                      <a:fillRect/>
                    </a:stretch>
                  </pic:blipFill>
                  <pic:spPr bwMode="auto">
                    <a:xfrm>
                      <a:off x="0" y="0"/>
                      <a:ext cx="3687445" cy="8890"/>
                    </a:xfrm>
                    <a:prstGeom prst="rect">
                      <a:avLst/>
                    </a:prstGeom>
                    <a:noFill/>
                  </pic:spPr>
                </pic:pic>
              </a:graphicData>
            </a:graphic>
          </wp:anchor>
        </w:drawing>
        <w:drawing>
          <wp:anchor simplePos="0" relativeHeight="251657728" behindDoc="1" locked="0" layoutInCell="0" allowOverlap="1">
            <wp:simplePos x="0" y="0"/>
            <wp:positionH relativeFrom="column">
              <wp:posOffset>3564255</wp:posOffset>
            </wp:positionH>
            <wp:positionV relativeFrom="paragraph">
              <wp:posOffset>872490</wp:posOffset>
            </wp:positionV>
            <wp:extent cx="368744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273" w:right="379" w:bottom="1440" w:gutter="0" w:footer="0" w:header="0"/>
        </w:sectPr>
      </w:pPr>
    </w:p>
    <w:bookmarkStart w:id="348" w:name="page349"/>
    <w:bookmarkEnd w:id="34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NON-QUALIFIED STOCK OPTION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COMPANY EMPLOYEES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STOCK OPTION AND INCENTIVE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-10160</wp:posOffset>
            </wp:positionV>
            <wp:extent cx="337185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9">
                      <a:extLst>
                        <a:ext uri="{28A0092B-C50C-407E-A947-70E740481C1C}"/>
                      </a:extLst>
                    </a:blip>
                    <a:srcRect/>
                    <a:stretch>
                      <a:fillRect/>
                    </a:stretch>
                  </pic:blipFill>
                  <pic:spPr bwMode="auto">
                    <a:xfrm>
                      <a:off x="0" y="0"/>
                      <a:ext cx="33718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-10160</wp:posOffset>
            </wp:positionV>
            <wp:extent cx="185737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0">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05" w:lineRule="exact"/>
        <w:rPr>
          <w:sz w:val="20"/>
          <w:szCs w:val="20"/>
          <w:color w:val="auto"/>
        </w:rPr>
      </w:pPr>
    </w:p>
    <w:p>
      <w:pPr>
        <w:spacing w:after="0"/>
        <w:tabs>
          <w:tab w:leader="none" w:pos="4100" w:val="left"/>
        </w:tabs>
        <w:rPr>
          <w:sz w:val="20"/>
          <w:szCs w:val="20"/>
          <w:color w:val="auto"/>
        </w:rPr>
      </w:pPr>
      <w:r>
        <w:rPr>
          <w:rFonts w:ascii="Arial" w:cs="Arial" w:eastAsia="Arial" w:hAnsi="Arial"/>
          <w:sz w:val="18"/>
          <w:szCs w:val="18"/>
          <w:color w:val="auto"/>
        </w:rPr>
        <w:t>Option Exercise Price per Share:</w:t>
      </w:r>
      <w:r>
        <w:rPr>
          <w:sz w:val="20"/>
          <w:szCs w:val="20"/>
          <w:color w:val="auto"/>
        </w:rPr>
        <w:tab/>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-10160</wp:posOffset>
            </wp:positionV>
            <wp:extent cx="180022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1">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-10160</wp:posOffset>
            </wp:positionV>
            <wp:extent cx="185737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2">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-10160</wp:posOffset>
            </wp:positionV>
            <wp:extent cx="185737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3">
                      <a:extLst>
                        <a:ext uri="{28A0092B-C50C-407E-A947-70E740481C1C}"/>
                      </a:extLst>
                    </a:blip>
                    <a:srcRect/>
                    <a:stretch>
                      <a:fillRect/>
                    </a:stretch>
                  </pic:blipFill>
                  <pic:spPr bwMode="auto">
                    <a:xfrm>
                      <a:off x="0" y="0"/>
                      <a:ext cx="1857375" cy="8890"/>
                    </a:xfrm>
                    <a:prstGeom prst="rect">
                      <a:avLst/>
                    </a:prstGeom>
                    <a:noFill/>
                  </pic:spPr>
                </pic:pic>
              </a:graphicData>
            </a:graphic>
          </wp:anchor>
        </w:drawing>
      </w:r>
    </w:p>
    <w:p>
      <w:pPr>
        <w:spacing w:after="0" w:line="9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Pursuant to the AVROBIO, Inc. 2018 Stock Option and Incentive Plan as amended through the date hereof (the “Plan”), AVROBIO, Inc. (the “Company”) hereby grants to the Optionee named above an option (the “Stock Option”) to purchase on or prior to the Expiration Date specified above all or part of the number of shares of Common Stock, par value $0.0001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80" w:lineRule="exact"/>
        <w:rPr>
          <w:sz w:val="20"/>
          <w:szCs w:val="20"/>
          <w:color w:val="auto"/>
        </w:rPr>
      </w:pPr>
    </w:p>
    <w:p>
      <w:pPr>
        <w:ind w:right="240" w:firstLine="464"/>
        <w:spacing w:after="0" w:line="259" w:lineRule="auto"/>
        <w:tabs>
          <w:tab w:leader="none" w:pos="636"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Optionee continues to have a Service Relationship with the Company or a Subsidiary on such dates:</w:t>
      </w:r>
    </w:p>
    <w:p>
      <w:pPr>
        <w:spacing w:after="0" w:line="197" w:lineRule="exact"/>
        <w:rPr>
          <w:sz w:val="20"/>
          <w:szCs w:val="20"/>
          <w:color w:val="auto"/>
        </w:rPr>
      </w:pPr>
    </w:p>
    <w:tbl>
      <w:tblPr>
        <w:tblLayout w:type="fixed"/>
        <w:tblInd w:w="260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4880" w:type="dxa"/>
            <w:vAlign w:val="bottom"/>
            <w:gridSpan w:val="3"/>
          </w:tcPr>
          <w:p>
            <w:pPr>
              <w:jc w:val="center"/>
              <w:ind w:right="3320"/>
              <w:spacing w:after="0"/>
              <w:rPr>
                <w:sz w:val="20"/>
                <w:szCs w:val="20"/>
                <w:color w:val="auto"/>
              </w:rPr>
            </w:pPr>
            <w:r>
              <w:rPr>
                <w:rFonts w:ascii="Arial" w:cs="Arial" w:eastAsia="Arial" w:hAnsi="Arial"/>
                <w:sz w:val="14"/>
                <w:szCs w:val="14"/>
                <w:color w:val="auto"/>
                <w:w w:val="95"/>
              </w:rPr>
              <w:t>Incremental Number of</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7"/>
        </w:trPr>
        <w:tc>
          <w:tcPr>
            <w:tcW w:w="100" w:type="dxa"/>
            <w:vAlign w:val="bottom"/>
          </w:tcPr>
          <w:p>
            <w:pPr>
              <w:spacing w:after="0"/>
              <w:rPr>
                <w:sz w:val="14"/>
                <w:szCs w:val="14"/>
                <w:color w:val="auto"/>
              </w:rPr>
            </w:pPr>
          </w:p>
        </w:tc>
        <w:tc>
          <w:tcPr>
            <w:tcW w:w="4880" w:type="dxa"/>
            <w:vAlign w:val="bottom"/>
            <w:gridSpan w:val="3"/>
          </w:tcPr>
          <w:p>
            <w:pPr>
              <w:jc w:val="center"/>
              <w:ind w:right="3320"/>
              <w:spacing w:after="0"/>
              <w:rPr>
                <w:sz w:val="20"/>
                <w:szCs w:val="20"/>
                <w:color w:val="auto"/>
              </w:rPr>
            </w:pPr>
            <w:r>
              <w:rPr>
                <w:rFonts w:ascii="Arial" w:cs="Arial" w:eastAsia="Arial" w:hAnsi="Arial"/>
                <w:sz w:val="14"/>
                <w:szCs w:val="14"/>
                <w:color w:val="auto"/>
                <w:w w:val="91"/>
              </w:rPr>
              <w:t>Option Shares Exercisable</w:t>
            </w:r>
          </w:p>
        </w:tc>
        <w:tc>
          <w:tcPr>
            <w:tcW w:w="1120" w:type="dxa"/>
            <w:vAlign w:val="bottom"/>
          </w:tcPr>
          <w:p>
            <w:pPr>
              <w:spacing w:after="0"/>
              <w:rPr>
                <w:sz w:val="20"/>
                <w:szCs w:val="20"/>
                <w:color w:val="auto"/>
              </w:rPr>
            </w:pPr>
            <w:r>
              <w:rPr>
                <w:rFonts w:ascii="Arial" w:cs="Arial" w:eastAsia="Arial" w:hAnsi="Arial"/>
                <w:sz w:val="14"/>
                <w:szCs w:val="14"/>
                <w:color w:val="auto"/>
                <w:w w:val="95"/>
              </w:rPr>
              <w:t>Exercisability Date</w:t>
            </w:r>
          </w:p>
        </w:tc>
        <w:tc>
          <w:tcPr>
            <w:tcW w:w="60" w:type="dxa"/>
            <w:vAlign w:val="bottom"/>
          </w:tcPr>
          <w:p>
            <w:pPr>
              <w:spacing w:after="0"/>
              <w:rPr>
                <w:sz w:val="14"/>
                <w:szCs w:val="14"/>
                <w:color w:val="auto"/>
              </w:rPr>
            </w:pPr>
          </w:p>
        </w:tc>
      </w:tr>
      <w:tr>
        <w:trPr>
          <w:trHeight w:val="20"/>
        </w:trPr>
        <w:tc>
          <w:tcPr>
            <w:tcW w:w="1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2"/>
        </w:trPr>
        <w:tc>
          <w:tcPr>
            <w:tcW w:w="4900" w:type="dxa"/>
            <w:vAlign w:val="bottom"/>
            <w:gridSpan w:val="3"/>
          </w:tcPr>
          <w:p>
            <w:pPr>
              <w:jc w:val="center"/>
              <w:ind w:right="3140"/>
              <w:spacing w:after="0"/>
              <w:rPr>
                <w:sz w:val="20"/>
                <w:szCs w:val="20"/>
                <w:color w:val="auto"/>
              </w:rPr>
            </w:pPr>
            <w:r>
              <w:rPr>
                <w:rFonts w:ascii="Arial" w:cs="Arial" w:eastAsia="Arial" w:hAnsi="Arial"/>
                <w:sz w:val="18"/>
                <w:szCs w:val="18"/>
                <w:color w:val="auto"/>
                <w:w w:val="91"/>
              </w:rPr>
              <w:t>_____________ (___%)</w:t>
            </w: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196"/>
        </w:trPr>
        <w:tc>
          <w:tcPr>
            <w:tcW w:w="4900" w:type="dxa"/>
            <w:vAlign w:val="bottom"/>
            <w:gridSpan w:val="3"/>
          </w:tcPr>
          <w:p>
            <w:pPr>
              <w:jc w:val="center"/>
              <w:ind w:right="3140"/>
              <w:spacing w:after="0" w:line="196" w:lineRule="exact"/>
              <w:rPr>
                <w:sz w:val="20"/>
                <w:szCs w:val="20"/>
                <w:color w:val="auto"/>
              </w:rPr>
            </w:pPr>
            <w:r>
              <w:rPr>
                <w:rFonts w:ascii="Arial" w:cs="Arial" w:eastAsia="Arial" w:hAnsi="Arial"/>
                <w:sz w:val="18"/>
                <w:szCs w:val="18"/>
                <w:color w:val="auto"/>
                <w:w w:val="91"/>
              </w:rPr>
              <w:t>_____________ (___%)</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96"/>
        </w:trPr>
        <w:tc>
          <w:tcPr>
            <w:tcW w:w="4900" w:type="dxa"/>
            <w:vAlign w:val="bottom"/>
            <w:gridSpan w:val="3"/>
          </w:tcPr>
          <w:p>
            <w:pPr>
              <w:jc w:val="center"/>
              <w:ind w:right="3140"/>
              <w:spacing w:after="0" w:line="196" w:lineRule="exact"/>
              <w:rPr>
                <w:sz w:val="20"/>
                <w:szCs w:val="20"/>
                <w:color w:val="auto"/>
              </w:rPr>
            </w:pPr>
            <w:r>
              <w:rPr>
                <w:rFonts w:ascii="Arial" w:cs="Arial" w:eastAsia="Arial" w:hAnsi="Arial"/>
                <w:sz w:val="18"/>
                <w:szCs w:val="18"/>
                <w:color w:val="auto"/>
                <w:w w:val="91"/>
              </w:rPr>
              <w:t>_____________ (___%)</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96"/>
        </w:trPr>
        <w:tc>
          <w:tcPr>
            <w:tcW w:w="4900" w:type="dxa"/>
            <w:vAlign w:val="bottom"/>
            <w:gridSpan w:val="3"/>
          </w:tcPr>
          <w:p>
            <w:pPr>
              <w:jc w:val="center"/>
              <w:ind w:right="3140"/>
              <w:spacing w:after="0" w:line="196" w:lineRule="exact"/>
              <w:rPr>
                <w:sz w:val="20"/>
                <w:szCs w:val="20"/>
                <w:color w:val="auto"/>
              </w:rPr>
            </w:pPr>
            <w:r>
              <w:rPr>
                <w:rFonts w:ascii="Arial" w:cs="Arial" w:eastAsia="Arial" w:hAnsi="Arial"/>
                <w:sz w:val="18"/>
                <w:szCs w:val="18"/>
                <w:color w:val="auto"/>
                <w:w w:val="91"/>
              </w:rPr>
              <w:t>_____________ (___%)</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196"/>
        </w:trPr>
        <w:tc>
          <w:tcPr>
            <w:tcW w:w="4900" w:type="dxa"/>
            <w:vAlign w:val="bottom"/>
            <w:gridSpan w:val="3"/>
          </w:tcPr>
          <w:p>
            <w:pPr>
              <w:jc w:val="center"/>
              <w:ind w:right="3140"/>
              <w:spacing w:after="0" w:line="196" w:lineRule="exact"/>
              <w:rPr>
                <w:sz w:val="20"/>
                <w:szCs w:val="20"/>
                <w:color w:val="auto"/>
              </w:rPr>
            </w:pPr>
            <w:r>
              <w:rPr>
                <w:rFonts w:ascii="Arial" w:cs="Arial" w:eastAsia="Arial" w:hAnsi="Arial"/>
                <w:sz w:val="18"/>
                <w:szCs w:val="18"/>
                <w:color w:val="auto"/>
                <w:w w:val="91"/>
              </w:rPr>
              <w:t>_____________ (___%)</w:t>
            </w:r>
          </w:p>
        </w:tc>
        <w:tc>
          <w:tcPr>
            <w:tcW w:w="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bl>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 Plan.</w:t>
      </w:r>
    </w:p>
    <w:p>
      <w:pPr>
        <w:sectPr>
          <w:pgSz w:w="11900" w:h="16838" w:orient="portrait"/>
          <w:cols w:equalWidth="0" w:num="1">
            <w:col w:w="11400"/>
          </w:cols>
          <w:pgMar w:left="240" w:top="270" w:right="259" w:bottom="1440" w:gutter="0" w:footer="0" w:header="0"/>
        </w:sectPr>
      </w:pPr>
    </w:p>
    <w:bookmarkStart w:id="349" w:name="page350"/>
    <w:bookmarkEnd w:id="349"/>
    <w:p>
      <w:pPr>
        <w:ind w:left="640" w:hanging="176"/>
        <w:spacing w:after="0"/>
        <w:tabs>
          <w:tab w:leader="none" w:pos="640"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Manner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21"/>
        <w:spacing w:after="0" w:line="264" w:lineRule="auto"/>
        <w:tabs>
          <w:tab w:leader="none" w:pos="1158"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81" w:lineRule="exact"/>
        <w:rPr>
          <w:sz w:val="20"/>
          <w:szCs w:val="20"/>
          <w:color w:val="auto"/>
        </w:rPr>
      </w:pPr>
    </w:p>
    <w:p>
      <w:pPr>
        <w:ind w:firstLine="921"/>
        <w:spacing w:after="0" w:line="272" w:lineRule="auto"/>
        <w:tabs>
          <w:tab w:leader="none" w:pos="1168"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50" w:name="page351"/>
    <w:bookmarkEnd w:id="350"/>
    <w:p>
      <w:pPr>
        <w:ind w:right="260" w:firstLine="921"/>
        <w:spacing w:after="0" w:line="264" w:lineRule="auto"/>
        <w:tabs>
          <w:tab w:leader="none" w:pos="1158" w:val="left"/>
        </w:tabs>
        <w:numPr>
          <w:ilvl w:val="1"/>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1"/>
          <w:numId w:val="242"/>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 Date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hereof.</w:t>
      </w:r>
    </w:p>
    <w:p>
      <w:pPr>
        <w:spacing w:after="0" w:line="102" w:lineRule="exact"/>
        <w:rPr>
          <w:rFonts w:ascii="Arial" w:cs="Arial" w:eastAsia="Arial" w:hAnsi="Arial"/>
          <w:sz w:val="17"/>
          <w:szCs w:val="17"/>
          <w:color w:val="auto"/>
        </w:rPr>
      </w:pPr>
    </w:p>
    <w:p>
      <w:pPr>
        <w:ind w:right="200" w:firstLine="464"/>
        <w:spacing w:after="0" w:line="277" w:lineRule="auto"/>
        <w:tabs>
          <w:tab w:leader="none" w:pos="636"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Termination of Service Relationship</w:t>
      </w:r>
      <w:r>
        <w:rPr>
          <w:rFonts w:ascii="Arial" w:cs="Arial" w:eastAsia="Arial" w:hAnsi="Arial"/>
          <w:sz w:val="18"/>
          <w:szCs w:val="18"/>
          <w:color w:val="auto"/>
        </w:rPr>
        <w:t>. If the Optionee’s Service Relationship by the Company or a Subsidiary (as defined in the Plan) is terminated, the period within which to exercise the Stock Option may be subject to earlier termination as set forth below.</w:t>
      </w:r>
    </w:p>
    <w:p>
      <w:pPr>
        <w:spacing w:after="0" w:line="62" w:lineRule="exact"/>
        <w:rPr>
          <w:rFonts w:ascii="Arial" w:cs="Arial" w:eastAsia="Arial" w:hAnsi="Arial"/>
          <w:sz w:val="18"/>
          <w:szCs w:val="18"/>
          <w:color w:val="auto"/>
        </w:rPr>
      </w:pPr>
    </w:p>
    <w:p>
      <w:pPr>
        <w:ind w:right="100" w:firstLine="921"/>
        <w:spacing w:after="0" w:line="259" w:lineRule="auto"/>
        <w:tabs>
          <w:tab w:leader="none" w:pos="1157" w:val="left"/>
        </w:tabs>
        <w:numPr>
          <w:ilvl w:val="1"/>
          <w:numId w:val="243"/>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If the Optionee’s Service Relationship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78" w:lineRule="exact"/>
        <w:rPr>
          <w:rFonts w:ascii="Arial" w:cs="Arial" w:eastAsia="Arial" w:hAnsi="Arial"/>
          <w:sz w:val="18"/>
          <w:szCs w:val="18"/>
          <w:color w:val="auto"/>
        </w:rPr>
      </w:pPr>
    </w:p>
    <w:p>
      <w:pPr>
        <w:ind w:right="80" w:firstLine="921"/>
        <w:spacing w:after="0" w:line="279" w:lineRule="auto"/>
        <w:tabs>
          <w:tab w:leader="none" w:pos="1168"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Termination Due to Disability</w:t>
      </w:r>
      <w:r>
        <w:rPr>
          <w:rFonts w:ascii="Arial" w:cs="Arial" w:eastAsia="Arial" w:hAnsi="Arial"/>
          <w:sz w:val="17"/>
          <w:szCs w:val="17"/>
          <w:color w:val="auto"/>
        </w:rPr>
        <w:t>. If the Optionee’s Service Relationship terminates by reason of the Optionee’s disability (as determined by the Administrator), any portion of this Stock Option outstanding on such date, to the extent exercisable on the date of such termination of Service Relationship,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63" w:lineRule="exact"/>
        <w:rPr>
          <w:rFonts w:ascii="Arial" w:cs="Arial" w:eastAsia="Arial" w:hAnsi="Arial"/>
          <w:sz w:val="17"/>
          <w:szCs w:val="17"/>
          <w:color w:val="auto"/>
        </w:rPr>
      </w:pPr>
    </w:p>
    <w:p>
      <w:pPr>
        <w:ind w:firstLine="921"/>
        <w:spacing w:after="0" w:line="273" w:lineRule="auto"/>
        <w:tabs>
          <w:tab w:leader="none" w:pos="1157"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If the Optionee’s Service Relationship terminates for Cause, any portion of this Stock Option outstanding on such date shall terminate immediately and be of no further force and effect. For purposes hereof, “Cause” shall mean, unless otherwise provided in an employment agreement (or similar services agreements) between the Company and the Optionee, a determination by the Administrator that the Optionee shall be dismissed as a result of (i) any material breach by the Optionee of any agreement between the Optionee and the Company; (ii) the conviction of, indictment for or plea of nolo contendere by the Optionee to a felony or a crime involving moral turpitude; or (iii) any material misconduct or willful and deliberate non-performance (other than by reason of disability) by the Optionee of the Optionee’s duties to the Company.</w:t>
      </w:r>
    </w:p>
    <w:p>
      <w:pPr>
        <w:spacing w:after="0" w:line="70" w:lineRule="exact"/>
        <w:rPr>
          <w:rFonts w:ascii="Arial" w:cs="Arial" w:eastAsia="Arial" w:hAnsi="Arial"/>
          <w:sz w:val="17"/>
          <w:szCs w:val="17"/>
          <w:color w:val="auto"/>
        </w:rPr>
      </w:pPr>
    </w:p>
    <w:p>
      <w:pPr>
        <w:ind w:right="40" w:firstLine="921"/>
        <w:spacing w:after="0" w:line="302" w:lineRule="auto"/>
        <w:tabs>
          <w:tab w:leader="none" w:pos="1168" w:val="left"/>
        </w:tabs>
        <w:numPr>
          <w:ilvl w:val="1"/>
          <w:numId w:val="243"/>
        </w:numPr>
        <w:rPr>
          <w:rFonts w:ascii="Arial" w:cs="Arial" w:eastAsia="Arial" w:hAnsi="Arial"/>
          <w:sz w:val="16"/>
          <w:szCs w:val="16"/>
          <w:color w:val="auto"/>
        </w:rPr>
      </w:pPr>
      <w:r>
        <w:rPr>
          <w:rFonts w:ascii="Arial" w:cs="Arial" w:eastAsia="Arial" w:hAnsi="Arial"/>
          <w:sz w:val="16"/>
          <w:szCs w:val="16"/>
          <w:u w:val="single" w:color="auto"/>
          <w:color w:val="auto"/>
        </w:rPr>
        <w:t>Other Termination</w:t>
      </w:r>
      <w:r>
        <w:rPr>
          <w:rFonts w:ascii="Arial" w:cs="Arial" w:eastAsia="Arial" w:hAnsi="Arial"/>
          <w:sz w:val="16"/>
          <w:szCs w:val="16"/>
          <w:color w:val="auto"/>
        </w:rPr>
        <w:t>. If the Optionee’s Service Relationship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51" w:name="page352"/>
    <w:bookmarkEnd w:id="35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Administrator’s determination of the reason for termination of the Optionee’s Service Relationship shall be conclusive and binding on the Optionee and his or her representatives or legatees.</w:t>
      </w:r>
    </w:p>
    <w:p>
      <w:pPr>
        <w:spacing w:after="0" w:line="62" w:lineRule="exact"/>
        <w:rPr>
          <w:sz w:val="20"/>
          <w:szCs w:val="20"/>
          <w:color w:val="auto"/>
        </w:rPr>
      </w:pPr>
    </w:p>
    <w:p>
      <w:pPr>
        <w:ind w:right="400" w:firstLine="464"/>
        <w:spacing w:after="0" w:line="264" w:lineRule="auto"/>
        <w:tabs>
          <w:tab w:leader="none" w:pos="636"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73" w:lineRule="exact"/>
        <w:rPr>
          <w:rFonts w:ascii="Arial" w:cs="Arial" w:eastAsia="Arial" w:hAnsi="Arial"/>
          <w:sz w:val="18"/>
          <w:szCs w:val="18"/>
          <w:color w:val="auto"/>
        </w:rPr>
      </w:pPr>
    </w:p>
    <w:p>
      <w:pPr>
        <w:ind w:right="200" w:firstLine="464"/>
        <w:spacing w:after="0" w:line="264" w:lineRule="auto"/>
        <w:tabs>
          <w:tab w:leader="none" w:pos="636"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73" w:lineRule="exact"/>
        <w:rPr>
          <w:rFonts w:ascii="Arial" w:cs="Arial" w:eastAsia="Arial" w:hAnsi="Arial"/>
          <w:sz w:val="18"/>
          <w:szCs w:val="18"/>
          <w:color w:val="auto"/>
        </w:rPr>
      </w:pPr>
    </w:p>
    <w:p>
      <w:pPr>
        <w:ind w:firstLine="464"/>
        <w:spacing w:after="0" w:line="273" w:lineRule="auto"/>
        <w:tabs>
          <w:tab w:leader="none" w:pos="636"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withholding from shares of Stock to be issued to the Optionee a number of shares of Stock with an aggregate Fair Market Value that would satisfy the withholding amount due; provided, however, that the amount withheld does not exceed the maximum statutory tax rate or such lesser amount as is necessary to avoid adverse accounting treatment or as determined by the Administrator.</w:t>
      </w:r>
    </w:p>
    <w:p>
      <w:pPr>
        <w:spacing w:after="0" w:line="70" w:lineRule="exact"/>
        <w:rPr>
          <w:rFonts w:ascii="Arial" w:cs="Arial" w:eastAsia="Arial" w:hAnsi="Arial"/>
          <w:sz w:val="17"/>
          <w:szCs w:val="17"/>
          <w:color w:val="auto"/>
        </w:rPr>
      </w:pPr>
    </w:p>
    <w:p>
      <w:pPr>
        <w:ind w:right="20" w:firstLine="464"/>
        <w:spacing w:after="0" w:line="264" w:lineRule="auto"/>
        <w:tabs>
          <w:tab w:leader="none" w:pos="636"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Service Relationship</w:t>
      </w:r>
      <w:r>
        <w:rPr>
          <w:rFonts w:ascii="Arial" w:cs="Arial" w:eastAsia="Arial" w:hAnsi="Arial"/>
          <w:sz w:val="18"/>
          <w:szCs w:val="18"/>
          <w:color w:val="auto"/>
        </w:rPr>
        <w:t>. Neither the Company nor any Subsidiary is obligated by or as a result of the Plan or this Agreement to continue the Optionee’s Service Relationship and neither the Plan nor this Agreement shall interfere in any way with the right of the Company or any Subsidiary to terminate the Service Relationship of the Optionee at any time.</w:t>
      </w:r>
    </w:p>
    <w:p>
      <w:pPr>
        <w:spacing w:after="0" w:line="73" w:lineRule="exact"/>
        <w:rPr>
          <w:rFonts w:ascii="Arial" w:cs="Arial" w:eastAsia="Arial" w:hAnsi="Arial"/>
          <w:sz w:val="18"/>
          <w:szCs w:val="18"/>
          <w:color w:val="auto"/>
        </w:rPr>
      </w:pPr>
    </w:p>
    <w:p>
      <w:pPr>
        <w:ind w:right="780" w:firstLine="464"/>
        <w:spacing w:after="0" w:line="277" w:lineRule="auto"/>
        <w:tabs>
          <w:tab w:leader="none" w:pos="636"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62" w:lineRule="exact"/>
        <w:rPr>
          <w:rFonts w:ascii="Arial" w:cs="Arial" w:eastAsia="Arial" w:hAnsi="Arial"/>
          <w:sz w:val="18"/>
          <w:szCs w:val="18"/>
          <w:color w:val="auto"/>
        </w:rPr>
      </w:pPr>
    </w:p>
    <w:p>
      <w:pPr>
        <w:ind w:right="80" w:firstLine="464"/>
        <w:spacing w:after="0" w:line="257" w:lineRule="auto"/>
        <w:tabs>
          <w:tab w:leader="none" w:pos="636"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352" w:name="page353"/>
    <w:bookmarkEnd w:id="352"/>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79" w:lineRule="exact"/>
        <w:rPr>
          <w:sz w:val="20"/>
          <w:szCs w:val="20"/>
          <w:color w:val="auto"/>
        </w:rPr>
      </w:pPr>
    </w:p>
    <w:p>
      <w:pPr>
        <w:ind w:right="120" w:firstLine="464"/>
        <w:spacing w:after="0" w:line="342" w:lineRule="auto"/>
        <w:tabs>
          <w:tab w:leader="none" w:pos="726" w:val="left"/>
        </w:tabs>
        <w:numPr>
          <w:ilvl w:val="0"/>
          <w:numId w:val="24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14605</wp:posOffset>
            </wp:positionV>
            <wp:extent cx="674941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674941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Optionee’s Signature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3675380</wp:posOffset>
            </wp:positionH>
            <wp:positionV relativeFrom="paragraph">
              <wp:posOffset>289560</wp:posOffset>
            </wp:positionV>
            <wp:extent cx="357632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0">
                      <a:extLst>
                        <a:ext uri="{28A0092B-C50C-407E-A947-70E740481C1C}"/>
                      </a:extLst>
                    </a:blip>
                    <a:srcRect/>
                    <a:stretch>
                      <a:fillRect/>
                    </a:stretch>
                  </pic:blipFill>
                  <pic:spPr bwMode="auto">
                    <a:xfrm>
                      <a:off x="0" y="0"/>
                      <a:ext cx="357632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581025</wp:posOffset>
            </wp:positionV>
            <wp:extent cx="35763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1">
                      <a:extLst>
                        <a:ext uri="{28A0092B-C50C-407E-A947-70E740481C1C}"/>
                      </a:extLst>
                    </a:blip>
                    <a:srcRect/>
                    <a:stretch>
                      <a:fillRect/>
                    </a:stretch>
                  </pic:blipFill>
                  <pic:spPr bwMode="auto">
                    <a:xfrm>
                      <a:off x="0" y="0"/>
                      <a:ext cx="3576320" cy="8890"/>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872490</wp:posOffset>
            </wp:positionV>
            <wp:extent cx="35763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2">
                      <a:extLst>
                        <a:ext uri="{28A0092B-C50C-407E-A947-70E740481C1C}"/>
                      </a:extLst>
                    </a:blip>
                    <a:srcRect/>
                    <a:stretch>
                      <a:fillRect/>
                    </a:stretch>
                  </pic:blipFill>
                  <pic:spPr bwMode="auto">
                    <a:xfrm>
                      <a:off x="0" y="0"/>
                      <a:ext cx="3576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3" w:right="259" w:bottom="1440" w:gutter="0" w:footer="0" w:header="0"/>
        </w:sectPr>
      </w:pPr>
    </w:p>
    <w:bookmarkStart w:id="353" w:name="page354"/>
    <w:bookmarkEnd w:id="353"/>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NON-QUALIFIED STOCK OPTION AGREEMENT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NON-EMPLOYEE CONSULTANTS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2018 STOCK OPTION AND INCENTIVE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-10160</wp:posOffset>
            </wp:positionV>
            <wp:extent cx="202882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4">
                      <a:extLst>
                        <a:ext uri="{28A0092B-C50C-407E-A947-70E740481C1C}"/>
                      </a:extLst>
                    </a:blip>
                    <a:srcRect/>
                    <a:stretch>
                      <a:fillRect/>
                    </a:stretch>
                  </pic:blipFill>
                  <pic:spPr bwMode="auto">
                    <a:xfrm>
                      <a:off x="0" y="0"/>
                      <a:ext cx="20288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 of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-10160</wp:posOffset>
            </wp:positionV>
            <wp:extent cx="202882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5">
                      <a:extLst>
                        <a:ext uri="{28A0092B-C50C-407E-A947-70E740481C1C}"/>
                      </a:extLst>
                    </a:blip>
                    <a:srcRect/>
                    <a:stretch>
                      <a:fillRect/>
                    </a:stretch>
                  </pic:blipFill>
                  <pic:spPr bwMode="auto">
                    <a:xfrm>
                      <a:off x="0" y="0"/>
                      <a:ext cx="2028825" cy="8890"/>
                    </a:xfrm>
                    <a:prstGeom prst="rect">
                      <a:avLst/>
                    </a:prstGeom>
                    <a:noFill/>
                  </pic:spPr>
                </pic:pic>
              </a:graphicData>
            </a:graphic>
          </wp:anchor>
        </w:drawing>
      </w:r>
    </w:p>
    <w:p>
      <w:pPr>
        <w:spacing w:after="0" w:line="205" w:lineRule="exact"/>
        <w:rPr>
          <w:sz w:val="20"/>
          <w:szCs w:val="20"/>
          <w:color w:val="auto"/>
        </w:rPr>
      </w:pPr>
    </w:p>
    <w:p>
      <w:pPr>
        <w:spacing w:after="0"/>
        <w:tabs>
          <w:tab w:leader="none" w:pos="3320" w:val="left"/>
        </w:tabs>
        <w:rPr>
          <w:sz w:val="20"/>
          <w:szCs w:val="20"/>
          <w:color w:val="auto"/>
        </w:rPr>
      </w:pPr>
      <w:r>
        <w:rPr>
          <w:rFonts w:ascii="Arial" w:cs="Arial" w:eastAsia="Arial" w:hAnsi="Arial"/>
          <w:sz w:val="18"/>
          <w:szCs w:val="18"/>
          <w:color w:val="auto"/>
        </w:rPr>
        <w:t>Option Exercise Price per Share:</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2171700</wp:posOffset>
            </wp:positionH>
            <wp:positionV relativeFrom="paragraph">
              <wp:posOffset>-10160</wp:posOffset>
            </wp:positionV>
            <wp:extent cx="197167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6">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-10160</wp:posOffset>
            </wp:positionV>
            <wp:extent cx="202882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7">
                      <a:extLst>
                        <a:ext uri="{28A0092B-C50C-407E-A947-70E740481C1C}"/>
                      </a:extLst>
                    </a:blip>
                    <a:srcRect/>
                    <a:stretch>
                      <a:fillRect/>
                    </a:stretch>
                  </pic:blipFill>
                  <pic:spPr bwMode="auto">
                    <a:xfrm>
                      <a:off x="0" y="0"/>
                      <a:ext cx="20288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-10160</wp:posOffset>
            </wp:positionV>
            <wp:extent cx="2028825"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8">
                      <a:extLst>
                        <a:ext uri="{28A0092B-C50C-407E-A947-70E740481C1C}"/>
                      </a:extLst>
                    </a:blip>
                    <a:srcRect/>
                    <a:stretch>
                      <a:fillRect/>
                    </a:stretch>
                  </pic:blipFill>
                  <pic:spPr bwMode="auto">
                    <a:xfrm>
                      <a:off x="0" y="0"/>
                      <a:ext cx="2028825" cy="8890"/>
                    </a:xfrm>
                    <a:prstGeom prst="rect">
                      <a:avLst/>
                    </a:prstGeom>
                    <a:noFill/>
                  </pic:spPr>
                </pic:pic>
              </a:graphicData>
            </a:graphic>
          </wp:anchor>
        </w:drawing>
      </w:r>
    </w:p>
    <w:p>
      <w:pPr>
        <w:spacing w:after="0" w:line="9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the AVROBIO, Inc. 2018 Stock Option and Incentive Plan as amended through the date hereof (the “Plan”), AVROBIO, Inc. (the “Company”) hereby grants to the Optionee named above, who is a Consultant of the Company, an option (the “Stock Option”) to purchase on or prior to the Expiration Date specified above all or part of the number of shares of Common Stock, par value $0.0001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73" w:lineRule="exact"/>
        <w:rPr>
          <w:sz w:val="20"/>
          <w:szCs w:val="20"/>
          <w:color w:val="auto"/>
        </w:rPr>
      </w:pPr>
    </w:p>
    <w:p>
      <w:pPr>
        <w:ind w:right="100" w:firstLine="464"/>
        <w:spacing w:after="0" w:line="259" w:lineRule="auto"/>
        <w:tabs>
          <w:tab w:leader="none" w:pos="636"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with respect to the following number of Option Shares on the dates indicated so long as the Optionee remains in service to the Company or a Subsidiary as a Consultant on such dates:</w:t>
      </w:r>
    </w:p>
    <w:p>
      <w:pPr>
        <w:sectPr>
          <w:pgSz w:w="11900" w:h="16838" w:orient="portrait"/>
          <w:cols w:equalWidth="0" w:num="1">
            <w:col w:w="11260"/>
          </w:cols>
          <w:pgMar w:left="240" w:top="270" w:right="399" w:bottom="1440" w:gutter="0" w:footer="0" w:header="0"/>
        </w:sectPr>
      </w:pPr>
    </w:p>
    <w:p>
      <w:pPr>
        <w:spacing w:after="0" w:line="209" w:lineRule="exact"/>
        <w:rPr>
          <w:sz w:val="20"/>
          <w:szCs w:val="20"/>
          <w:color w:val="auto"/>
        </w:rPr>
      </w:pPr>
    </w:p>
    <w:p>
      <w:pPr>
        <w:jc w:val="center"/>
        <w:ind w:left="480"/>
        <w:spacing w:after="0"/>
        <w:rPr>
          <w:sz w:val="20"/>
          <w:szCs w:val="20"/>
          <w:color w:val="auto"/>
        </w:rPr>
      </w:pPr>
      <w:r>
        <w:rPr>
          <w:rFonts w:ascii="Arial" w:cs="Arial" w:eastAsia="Arial" w:hAnsi="Arial"/>
          <w:sz w:val="14"/>
          <w:szCs w:val="14"/>
          <w:color w:val="auto"/>
        </w:rPr>
        <w:t>Incremental Number of</w:t>
      </w:r>
    </w:p>
    <w:p>
      <w:pPr>
        <w:jc w:val="center"/>
        <w:ind w:left="480"/>
        <w:spacing w:after="0"/>
        <w:rPr>
          <w:sz w:val="20"/>
          <w:szCs w:val="20"/>
          <w:color w:val="auto"/>
        </w:rPr>
      </w:pPr>
      <w:r>
        <w:rPr>
          <w:rFonts w:ascii="Arial" w:cs="Arial" w:eastAsia="Arial" w:hAnsi="Arial"/>
          <w:sz w:val="12"/>
          <w:szCs w:val="12"/>
          <w:color w:val="auto"/>
        </w:rPr>
        <w:t>Option Shares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19685</wp:posOffset>
            </wp:positionV>
            <wp:extent cx="1886585"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3"/>
          <w:szCs w:val="13"/>
          <w:color w:val="auto"/>
        </w:rPr>
        <w:t>Exercisability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19685</wp:posOffset>
            </wp:positionV>
            <wp:extent cx="115760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320" w:space="720"/>
            <w:col w:w="3220"/>
          </w:cols>
          <w:pgMar w:left="240" w:top="270" w:right="399" w:bottom="1440" w:gutter="0" w:footer="0" w:header="0"/>
          <w:type w:val="continuous"/>
        </w:sectPr>
      </w:pPr>
    </w:p>
    <w:p>
      <w:pPr>
        <w:spacing w:after="0" w:line="33" w:lineRule="exact"/>
        <w:rPr>
          <w:sz w:val="20"/>
          <w:szCs w:val="20"/>
          <w:color w:val="auto"/>
        </w:rPr>
      </w:pPr>
    </w:p>
    <w:p>
      <w:pPr>
        <w:ind w:left="4540" w:hanging="418"/>
        <w:spacing w:after="0"/>
        <w:tabs>
          <w:tab w:leader="none" w:pos="454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-10160</wp:posOffset>
            </wp:positionV>
            <wp:extent cx="135255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1">
                      <a:extLst>
                        <a:ext uri="{28A0092B-C50C-407E-A947-70E740481C1C}"/>
                      </a:extLst>
                    </a:blip>
                    <a:srcRect/>
                    <a:stretch>
                      <a:fillRect/>
                    </a:stretch>
                  </pic:blipFill>
                  <pic:spPr bwMode="auto">
                    <a:xfrm>
                      <a:off x="0" y="0"/>
                      <a:ext cx="135255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-10160</wp:posOffset>
            </wp:positionV>
            <wp:extent cx="102870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2">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3" w:lineRule="exact"/>
        <w:rPr>
          <w:sz w:val="20"/>
          <w:szCs w:val="20"/>
          <w:color w:val="auto"/>
        </w:rPr>
      </w:pPr>
    </w:p>
    <w:p>
      <w:pPr>
        <w:ind w:left="4540" w:hanging="418"/>
        <w:spacing w:after="0"/>
        <w:tabs>
          <w:tab w:leader="none" w:pos="454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-19050</wp:posOffset>
            </wp:positionV>
            <wp:extent cx="135255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3">
                      <a:extLst>
                        <a:ext uri="{28A0092B-C50C-407E-A947-70E740481C1C}"/>
                      </a:extLst>
                    </a:blip>
                    <a:srcRect/>
                    <a:stretch>
                      <a:fillRect/>
                    </a:stretch>
                  </pic:blipFill>
                  <pic:spPr bwMode="auto">
                    <a:xfrm>
                      <a:off x="0" y="0"/>
                      <a:ext cx="135255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-19050</wp:posOffset>
            </wp:positionV>
            <wp:extent cx="102870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4">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ind w:left="4540" w:hanging="418"/>
        <w:spacing w:after="0"/>
        <w:tabs>
          <w:tab w:leader="none" w:pos="4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-19050</wp:posOffset>
            </wp:positionV>
            <wp:extent cx="135255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5">
                      <a:extLst>
                        <a:ext uri="{28A0092B-C50C-407E-A947-70E740481C1C}"/>
                      </a:extLst>
                    </a:blip>
                    <a:srcRect/>
                    <a:stretch>
                      <a:fillRect/>
                    </a:stretch>
                  </pic:blipFill>
                  <pic:spPr bwMode="auto">
                    <a:xfrm>
                      <a:off x="0" y="0"/>
                      <a:ext cx="135255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-19050</wp:posOffset>
            </wp:positionV>
            <wp:extent cx="102870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6">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ind w:left="4540" w:hanging="418"/>
        <w:spacing w:after="0"/>
        <w:tabs>
          <w:tab w:leader="none" w:pos="4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540" w:hanging="418"/>
        <w:spacing w:after="0"/>
        <w:tabs>
          <w:tab w:leader="none" w:pos="454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-156210</wp:posOffset>
            </wp:positionV>
            <wp:extent cx="135255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7">
                      <a:extLst>
                        <a:ext uri="{28A0092B-C50C-407E-A947-70E740481C1C}"/>
                      </a:extLst>
                    </a:blip>
                    <a:srcRect/>
                    <a:stretch>
                      <a:fillRect/>
                    </a:stretch>
                  </pic:blipFill>
                  <pic:spPr bwMode="auto">
                    <a:xfrm>
                      <a:off x="0" y="0"/>
                      <a:ext cx="135255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-156210</wp:posOffset>
            </wp:positionV>
            <wp:extent cx="102870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8">
                      <a:extLst>
                        <a:ext uri="{28A0092B-C50C-407E-A947-70E740481C1C}"/>
                      </a:extLst>
                    </a:blip>
                    <a:srcRect/>
                    <a:stretch>
                      <a:fillRect/>
                    </a:stretch>
                  </pic:blipFill>
                  <pic:spPr bwMode="auto">
                    <a:xfrm>
                      <a:off x="0" y="0"/>
                      <a:ext cx="1028700" cy="889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-19050</wp:posOffset>
            </wp:positionV>
            <wp:extent cx="135255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9">
                      <a:extLst>
                        <a:ext uri="{28A0092B-C50C-407E-A947-70E740481C1C}"/>
                      </a:extLst>
                    </a:blip>
                    <a:srcRect/>
                    <a:stretch>
                      <a:fillRect/>
                    </a:stretch>
                  </pic:blipFill>
                  <pic:spPr bwMode="auto">
                    <a:xfrm>
                      <a:off x="0" y="0"/>
                      <a:ext cx="1352550" cy="8890"/>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-19050</wp:posOffset>
            </wp:positionV>
            <wp:extent cx="102870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0">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ectPr>
          <w:pgSz w:w="11900" w:h="16838" w:orient="portrait"/>
          <w:cols w:equalWidth="0" w:num="1">
            <w:col w:w="11260"/>
          </w:cols>
          <w:pgMar w:left="240" w:top="270" w:right="399" w:bottom="1440" w:gutter="0" w:footer="0" w:header="0"/>
          <w:type w:val="continuous"/>
        </w:sectPr>
      </w:pPr>
    </w:p>
    <w:bookmarkStart w:id="354" w:name="page355"/>
    <w:bookmarkEnd w:id="354"/>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Once exercisable, this Stock Option shall continue to be exercisable at any time or times prior to the close of business on the Expiration Date, subject to the provisions hereof and of the Plan.</w:t>
      </w:r>
    </w:p>
    <w:p>
      <w:pPr>
        <w:spacing w:after="0" w:line="62" w:lineRule="exact"/>
        <w:rPr>
          <w:sz w:val="20"/>
          <w:szCs w:val="20"/>
          <w:color w:val="auto"/>
        </w:rPr>
      </w:pPr>
    </w:p>
    <w:p>
      <w:pPr>
        <w:ind w:left="640" w:hanging="176"/>
        <w:spacing w:after="0"/>
        <w:tabs>
          <w:tab w:leader="none" w:pos="64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921"/>
        <w:spacing w:after="0" w:line="264" w:lineRule="auto"/>
        <w:tabs>
          <w:tab w:leader="none" w:pos="115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7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81" w:lineRule="exact"/>
        <w:rPr>
          <w:sz w:val="20"/>
          <w:szCs w:val="20"/>
          <w:color w:val="auto"/>
        </w:rPr>
      </w:pPr>
    </w:p>
    <w:p>
      <w:pPr>
        <w:ind w:firstLine="921"/>
        <w:spacing w:after="0" w:line="279" w:lineRule="auto"/>
        <w:tabs>
          <w:tab w:leader="none" w:pos="1168"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355" w:name="page356"/>
    <w:bookmarkEnd w:id="35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79" w:lineRule="exact"/>
        <w:rPr>
          <w:sz w:val="20"/>
          <w:szCs w:val="20"/>
          <w:color w:val="auto"/>
        </w:rPr>
      </w:pPr>
    </w:p>
    <w:p>
      <w:pPr>
        <w:ind w:right="180" w:firstLine="921"/>
        <w:spacing w:after="0" w:line="264" w:lineRule="auto"/>
        <w:tabs>
          <w:tab w:leader="none" w:pos="115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1"/>
          <w:numId w:val="253"/>
        </w:numPr>
        <w:rPr>
          <w:rFonts w:ascii="Arial" w:cs="Arial" w:eastAsia="Arial" w:hAnsi="Arial"/>
          <w:sz w:val="17"/>
          <w:szCs w:val="17"/>
          <w:color w:val="auto"/>
        </w:rPr>
      </w:pPr>
      <w:r>
        <w:rPr>
          <w:rFonts w:ascii="Arial" w:cs="Arial" w:eastAsia="Arial" w:hAnsi="Arial"/>
          <w:sz w:val="17"/>
          <w:szCs w:val="17"/>
          <w:color w:val="auto"/>
        </w:rPr>
        <w:t>Notwithstanding any other provision hereof or of the Plan, no portion of this Stock Option shall be exercisable after the Expiration Date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hereof.</w:t>
      </w:r>
    </w:p>
    <w:p>
      <w:pPr>
        <w:spacing w:after="0" w:line="102" w:lineRule="exact"/>
        <w:rPr>
          <w:rFonts w:ascii="Arial" w:cs="Arial" w:eastAsia="Arial" w:hAnsi="Arial"/>
          <w:sz w:val="17"/>
          <w:szCs w:val="17"/>
          <w:color w:val="auto"/>
        </w:rPr>
      </w:pPr>
    </w:p>
    <w:p>
      <w:pPr>
        <w:ind w:right="100" w:firstLine="464"/>
        <w:spacing w:after="0" w:line="257" w:lineRule="auto"/>
        <w:tabs>
          <w:tab w:leader="none" w:pos="636"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Termination of Service Relationship</w:t>
      </w:r>
      <w:r>
        <w:rPr>
          <w:rFonts w:ascii="Arial" w:cs="Arial" w:eastAsia="Arial" w:hAnsi="Arial"/>
          <w:sz w:val="18"/>
          <w:szCs w:val="18"/>
          <w:color w:val="auto"/>
        </w:rPr>
        <w:t>. If the Optionee ceases to have a Service Relationship with the Company or a Subsidiary for any reason, any portion of this Stock Option outstanding on such date may be exercised, to the extent exercisable on the date the Optionee ceased to provide services, for a period of three months from the date the Optionee ceased to provide services or until the Expiration Date, if earlier. Any portion of this Stock Option that is not exercisable on the date the Optionee ceases to have a Service Relationship with the Company or a Subsidiary shall terminate immediately and be of no further force or effect.</w:t>
      </w:r>
    </w:p>
    <w:p>
      <w:pPr>
        <w:spacing w:after="0" w:line="80" w:lineRule="exact"/>
        <w:rPr>
          <w:rFonts w:ascii="Arial" w:cs="Arial" w:eastAsia="Arial" w:hAnsi="Arial"/>
          <w:sz w:val="18"/>
          <w:szCs w:val="18"/>
          <w:color w:val="auto"/>
        </w:rPr>
      </w:pPr>
    </w:p>
    <w:p>
      <w:pPr>
        <w:ind w:right="320" w:firstLine="464"/>
        <w:spacing w:after="0" w:line="264" w:lineRule="auto"/>
        <w:tabs>
          <w:tab w:leader="none" w:pos="636"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73" w:lineRule="exact"/>
        <w:rPr>
          <w:rFonts w:ascii="Arial" w:cs="Arial" w:eastAsia="Arial" w:hAnsi="Arial"/>
          <w:sz w:val="18"/>
          <w:szCs w:val="18"/>
          <w:color w:val="auto"/>
        </w:rPr>
      </w:pPr>
    </w:p>
    <w:p>
      <w:pPr>
        <w:ind w:right="120" w:firstLine="464"/>
        <w:spacing w:after="0" w:line="264" w:lineRule="auto"/>
        <w:tabs>
          <w:tab w:leader="none" w:pos="636"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73" w:lineRule="exact"/>
        <w:rPr>
          <w:rFonts w:ascii="Arial" w:cs="Arial" w:eastAsia="Arial" w:hAnsi="Arial"/>
          <w:sz w:val="18"/>
          <w:szCs w:val="18"/>
          <w:color w:val="auto"/>
        </w:rPr>
      </w:pPr>
    </w:p>
    <w:p>
      <w:pPr>
        <w:ind w:right="280" w:firstLine="464"/>
        <w:spacing w:after="0" w:line="277" w:lineRule="auto"/>
        <w:tabs>
          <w:tab w:leader="none" w:pos="636"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Service Relationship</w:t>
      </w:r>
      <w:r>
        <w:rPr>
          <w:rFonts w:ascii="Arial" w:cs="Arial" w:eastAsia="Arial" w:hAnsi="Arial"/>
          <w:sz w:val="18"/>
          <w:szCs w:val="18"/>
          <w:color w:val="auto"/>
        </w:rPr>
        <w:t>. Neither the Plan nor this Stock Option confers upon the Optionee any rights with respect to the continuance of Optionee’s Service Relationship with the Company or a Subsidiary.</w:t>
      </w:r>
    </w:p>
    <w:p>
      <w:pPr>
        <w:spacing w:after="0" w:line="62" w:lineRule="exact"/>
        <w:rPr>
          <w:rFonts w:ascii="Arial" w:cs="Arial" w:eastAsia="Arial" w:hAnsi="Arial"/>
          <w:sz w:val="18"/>
          <w:szCs w:val="18"/>
          <w:color w:val="auto"/>
        </w:rPr>
      </w:pPr>
    </w:p>
    <w:p>
      <w:pPr>
        <w:ind w:right="700" w:firstLine="464"/>
        <w:spacing w:after="0" w:line="277" w:lineRule="auto"/>
        <w:tabs>
          <w:tab w:leader="none" w:pos="636"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62" w:lineRule="exact"/>
        <w:rPr>
          <w:rFonts w:ascii="Arial" w:cs="Arial" w:eastAsia="Arial" w:hAnsi="Arial"/>
          <w:sz w:val="18"/>
          <w:szCs w:val="18"/>
          <w:color w:val="auto"/>
        </w:rPr>
      </w:pPr>
    </w:p>
    <w:p>
      <w:pPr>
        <w:ind w:firstLine="464"/>
        <w:spacing w:after="0" w:line="259" w:lineRule="auto"/>
        <w:tabs>
          <w:tab w:leader="none" w:pos="636"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73" w:right="339" w:bottom="1440" w:gutter="0" w:footer="0" w:header="0"/>
        </w:sectPr>
      </w:pPr>
    </w:p>
    <w:bookmarkStart w:id="356" w:name="page357"/>
    <w:bookmarkEnd w:id="35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80" w:lineRule="exact"/>
        <w:rPr>
          <w:sz w:val="20"/>
          <w:szCs w:val="20"/>
          <w:color w:val="auto"/>
        </w:rPr>
      </w:pPr>
    </w:p>
    <w:p>
      <w:pPr>
        <w:ind w:firstLine="464"/>
        <w:spacing w:after="0" w:line="342" w:lineRule="auto"/>
        <w:tabs>
          <w:tab w:leader="none" w:pos="636" w:val="left"/>
        </w:tabs>
        <w:numPr>
          <w:ilvl w:val="0"/>
          <w:numId w:val="25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5">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wp:posOffset>
            </wp:positionH>
            <wp:positionV relativeFrom="paragraph">
              <wp:posOffset>-10160</wp:posOffset>
            </wp:positionV>
            <wp:extent cx="234315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6">
                      <a:extLst>
                        <a:ext uri="{28A0092B-C50C-407E-A947-70E740481C1C}"/>
                      </a:extLst>
                    </a:blip>
                    <a:srcRect/>
                    <a:stretch>
                      <a:fillRect/>
                    </a:stretch>
                  </pic:blipFill>
                  <pic:spPr bwMode="auto">
                    <a:xfrm>
                      <a:off x="0" y="0"/>
                      <a:ext cx="234315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Optionee’s 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Optionee’s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289560</wp:posOffset>
            </wp:positionV>
            <wp:extent cx="332740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7">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581025</wp:posOffset>
            </wp:positionV>
            <wp:extent cx="332740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8">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872490</wp:posOffset>
            </wp:positionV>
            <wp:extent cx="332740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274" w:right="379" w:bottom="1440" w:gutter="0" w:footer="0" w:header="0"/>
        </w:sectPr>
      </w:pPr>
    </w:p>
    <w:bookmarkStart w:id="357" w:name="page358"/>
    <w:bookmarkEnd w:id="3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STOCK UNIT AWARD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COMPANY EMPLOYEES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STOCK OPTION AND INCENTIVE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-10160</wp:posOffset>
            </wp:positionV>
            <wp:extent cx="325755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1">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-10160</wp:posOffset>
            </wp:positionV>
            <wp:extent cx="174307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2">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-10160</wp:posOffset>
            </wp:positionV>
            <wp:extent cx="174307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3">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9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Pursuant to the AVROBIO, Inc. 2018 Stock Option and Incentive Plan as amended through the date hereof (the “Plan”), AVROBIO, Inc. (the “Company”) hereby grants an award of the number of Restricted Stock Units listed above (an “Award”) to the Grantee named above. Each Restricted Stock Unit shall relate to one share of Common Stock, par value $0.0001 per share (the “Stock”) of the Company.</w:t>
      </w:r>
    </w:p>
    <w:p>
      <w:pPr>
        <w:spacing w:after="0" w:line="73" w:lineRule="exact"/>
        <w:rPr>
          <w:sz w:val="20"/>
          <w:szCs w:val="20"/>
          <w:color w:val="auto"/>
        </w:rPr>
      </w:pPr>
    </w:p>
    <w:p>
      <w:pPr>
        <w:ind w:right="180" w:firstLine="464"/>
        <w:spacing w:after="0" w:line="259" w:lineRule="auto"/>
        <w:tabs>
          <w:tab w:leader="none" w:pos="636"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Award</w:t>
      </w:r>
      <w:r>
        <w:rPr>
          <w:rFonts w:ascii="Arial" w:cs="Arial" w:eastAsia="Arial" w:hAnsi="Arial"/>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78" w:lineRule="exact"/>
        <w:rPr>
          <w:rFonts w:ascii="Arial" w:cs="Arial" w:eastAsia="Arial" w:hAnsi="Arial"/>
          <w:sz w:val="18"/>
          <w:szCs w:val="18"/>
          <w:color w:val="auto"/>
        </w:rPr>
      </w:pPr>
    </w:p>
    <w:p>
      <w:pPr>
        <w:ind w:firstLine="464"/>
        <w:spacing w:after="0" w:line="259" w:lineRule="auto"/>
        <w:tabs>
          <w:tab w:leader="none" w:pos="636" w:val="left"/>
        </w:tabs>
        <w:numPr>
          <w:ilvl w:val="0"/>
          <w:numId w:val="256"/>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 The restrictions and conditions of Paragraph 1 of this Agreement shall lapse on the Vesting Date or Dates specified in the following schedule so long as the Grantee continues to have a Service Relationship with the Company or a Subsidiary on such dates. If a series of Vesting Dates is specified, then the restrictions and conditions in Paragraph 1 shall lapse only with respect to the number of Restricted Stock Units specified as vested on such date.</w:t>
      </w:r>
    </w:p>
    <w:p>
      <w:pPr>
        <w:spacing w:after="0" w:line="197" w:lineRule="exact"/>
        <w:rPr>
          <w:sz w:val="20"/>
          <w:szCs w:val="20"/>
          <w:color w:val="auto"/>
        </w:rPr>
      </w:pPr>
    </w:p>
    <w:tbl>
      <w:tblPr>
        <w:tblLayout w:type="fixed"/>
        <w:tblInd w:w="3560" w:type="dxa"/>
        <w:tblCellMar>
          <w:top w:w="0" w:type="dxa"/>
          <w:left w:w="0" w:type="dxa"/>
          <w:bottom w:w="0" w:type="dxa"/>
          <w:right w:w="0" w:type="dxa"/>
        </w:tblCellMar>
      </w:tblPr>
      <w:tr>
        <w:trPr>
          <w:trHeight w:val="161"/>
        </w:trPr>
        <w:tc>
          <w:tcPr>
            <w:tcW w:w="3440" w:type="dxa"/>
            <w:vAlign w:val="bottom"/>
          </w:tcPr>
          <w:p>
            <w:pPr>
              <w:jc w:val="center"/>
              <w:ind w:right="1648"/>
              <w:spacing w:after="0"/>
              <w:rPr>
                <w:sz w:val="20"/>
                <w:szCs w:val="20"/>
                <w:color w:val="auto"/>
              </w:rPr>
            </w:pPr>
            <w:r>
              <w:rPr>
                <w:rFonts w:ascii="Arial" w:cs="Arial" w:eastAsia="Arial" w:hAnsi="Arial"/>
                <w:sz w:val="14"/>
                <w:szCs w:val="14"/>
                <w:color w:val="auto"/>
                <w:w w:val="95"/>
              </w:rPr>
              <w:t>Incremental Number of</w:t>
            </w:r>
          </w:p>
        </w:tc>
        <w:tc>
          <w:tcPr>
            <w:tcW w:w="2460" w:type="dxa"/>
            <w:vAlign w:val="bottom"/>
          </w:tcPr>
          <w:p>
            <w:pPr>
              <w:spacing w:after="0"/>
              <w:rPr>
                <w:sz w:val="14"/>
                <w:szCs w:val="14"/>
                <w:color w:val="auto"/>
              </w:rPr>
            </w:pPr>
          </w:p>
        </w:tc>
      </w:tr>
      <w:tr>
        <w:trPr>
          <w:trHeight w:val="196"/>
        </w:trPr>
        <w:tc>
          <w:tcPr>
            <w:tcW w:w="3440" w:type="dxa"/>
            <w:vAlign w:val="bottom"/>
          </w:tcPr>
          <w:p>
            <w:pPr>
              <w:jc w:val="center"/>
              <w:ind w:right="1648"/>
              <w:spacing w:after="0"/>
              <w:rPr>
                <w:sz w:val="20"/>
                <w:szCs w:val="20"/>
                <w:color w:val="auto"/>
              </w:rPr>
            </w:pPr>
            <w:r>
              <w:rPr>
                <w:rFonts w:ascii="Arial" w:cs="Arial" w:eastAsia="Arial" w:hAnsi="Arial"/>
                <w:sz w:val="14"/>
                <w:szCs w:val="14"/>
                <w:color w:val="auto"/>
                <w:w w:val="92"/>
              </w:rPr>
              <w:t>Restricted Stock Units Vested</w:t>
            </w:r>
          </w:p>
        </w:tc>
        <w:tc>
          <w:tcPr>
            <w:tcW w:w="2460" w:type="dxa"/>
            <w:vAlign w:val="bottom"/>
          </w:tcPr>
          <w:p>
            <w:pPr>
              <w:ind w:left="1720"/>
              <w:spacing w:after="0"/>
              <w:rPr>
                <w:sz w:val="20"/>
                <w:szCs w:val="20"/>
                <w:color w:val="auto"/>
              </w:rPr>
            </w:pPr>
            <w:r>
              <w:rPr>
                <w:rFonts w:ascii="Arial" w:cs="Arial" w:eastAsia="Arial" w:hAnsi="Arial"/>
                <w:sz w:val="14"/>
                <w:szCs w:val="14"/>
                <w:color w:val="auto"/>
                <w:w w:val="89"/>
              </w:rPr>
              <w:t>Vesting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5313680</wp:posOffset>
            </wp:positionH>
            <wp:positionV relativeFrom="paragraph">
              <wp:posOffset>-8890</wp:posOffset>
            </wp:positionV>
            <wp:extent cx="91757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4">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-8890</wp:posOffset>
            </wp:positionV>
            <wp:extent cx="185229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5">
                      <a:extLst>
                        <a:ext uri="{28A0092B-C50C-407E-A947-70E740481C1C}"/>
                      </a:extLst>
                    </a:blip>
                    <a:srcRect/>
                    <a:stretch>
                      <a:fillRect/>
                    </a:stretch>
                  </pic:blipFill>
                  <pic:spPr bwMode="auto">
                    <a:xfrm>
                      <a:off x="0" y="0"/>
                      <a:ext cx="1852295" cy="8890"/>
                    </a:xfrm>
                    <a:prstGeom prst="rect">
                      <a:avLst/>
                    </a:prstGeom>
                    <a:noFill/>
                  </pic:spPr>
                </pic:pic>
              </a:graphicData>
            </a:graphic>
          </wp:anchor>
        </w:drawing>
      </w:r>
    </w:p>
    <w:p>
      <w:pPr>
        <w:spacing w:after="0" w:line="167" w:lineRule="exact"/>
        <w:rPr>
          <w:sz w:val="20"/>
          <w:szCs w:val="20"/>
          <w:color w:val="auto"/>
        </w:rPr>
      </w:pPr>
    </w:p>
    <w:p>
      <w:pPr>
        <w:ind w:left="4920" w:hanging="469"/>
        <w:spacing w:after="0"/>
        <w:tabs>
          <w:tab w:leader="none" w:pos="492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-10160</wp:posOffset>
            </wp:positionV>
            <wp:extent cx="123825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6">
                      <a:extLst>
                        <a:ext uri="{28A0092B-C50C-407E-A947-70E740481C1C}"/>
                      </a:extLst>
                    </a:blip>
                    <a:srcRect/>
                    <a:stretch>
                      <a:fillRect/>
                    </a:stretch>
                  </pic:blipFill>
                  <pic:spPr bwMode="auto">
                    <a:xfrm>
                      <a:off x="0" y="0"/>
                      <a:ext cx="1238250" cy="889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-10160</wp:posOffset>
            </wp:positionV>
            <wp:extent cx="91440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7">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3" w:lineRule="exact"/>
        <w:rPr>
          <w:sz w:val="20"/>
          <w:szCs w:val="20"/>
          <w:color w:val="auto"/>
        </w:rPr>
      </w:pPr>
    </w:p>
    <w:p>
      <w:pPr>
        <w:ind w:left="4880" w:hanging="429"/>
        <w:spacing w:after="0"/>
        <w:tabs>
          <w:tab w:leader="none" w:pos="488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-19050</wp:posOffset>
            </wp:positionV>
            <wp:extent cx="120967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8">
                      <a:extLst>
                        <a:ext uri="{28A0092B-C50C-407E-A947-70E740481C1C}"/>
                      </a:extLst>
                    </a:blip>
                    <a:srcRect/>
                    <a:stretch>
                      <a:fillRect/>
                    </a:stretch>
                  </pic:blipFill>
                  <pic:spPr bwMode="auto">
                    <a:xfrm>
                      <a:off x="0" y="0"/>
                      <a:ext cx="1209675" cy="889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-19050</wp:posOffset>
            </wp:positionV>
            <wp:extent cx="91440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9">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ind w:left="4880" w:hanging="429"/>
        <w:spacing w:after="0"/>
        <w:tabs>
          <w:tab w:leader="none" w:pos="48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880" w:hanging="429"/>
        <w:spacing w:after="0"/>
        <w:tabs>
          <w:tab w:leader="none" w:pos="488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-156210</wp:posOffset>
            </wp:positionV>
            <wp:extent cx="120967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0">
                      <a:extLst>
                        <a:ext uri="{28A0092B-C50C-407E-A947-70E740481C1C}"/>
                      </a:extLst>
                    </a:blip>
                    <a:srcRect/>
                    <a:stretch>
                      <a:fillRect/>
                    </a:stretch>
                  </pic:blipFill>
                  <pic:spPr bwMode="auto">
                    <a:xfrm>
                      <a:off x="0" y="0"/>
                      <a:ext cx="1209675" cy="889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-156210</wp:posOffset>
            </wp:positionV>
            <wp:extent cx="91440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1">
                      <a:extLst>
                        <a:ext uri="{28A0092B-C50C-407E-A947-70E740481C1C}"/>
                      </a:extLst>
                    </a:blip>
                    <a:srcRect/>
                    <a:stretch>
                      <a:fillRect/>
                    </a:stretch>
                  </pic:blipFill>
                  <pic:spPr bwMode="auto">
                    <a:xfrm>
                      <a:off x="0" y="0"/>
                      <a:ext cx="914400" cy="8890"/>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-19050</wp:posOffset>
            </wp:positionV>
            <wp:extent cx="120967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2">
                      <a:extLst>
                        <a:ext uri="{28A0092B-C50C-407E-A947-70E740481C1C}"/>
                      </a:extLst>
                    </a:blip>
                    <a:srcRect/>
                    <a:stretch>
                      <a:fillRect/>
                    </a:stretch>
                  </pic:blipFill>
                  <pic:spPr bwMode="auto">
                    <a:xfrm>
                      <a:off x="0" y="0"/>
                      <a:ext cx="1209675" cy="8890"/>
                    </a:xfrm>
                    <a:prstGeom prst="rect">
                      <a:avLst/>
                    </a:prstGeom>
                    <a:noFill/>
                  </pic:spPr>
                </pic:pic>
              </a:graphicData>
            </a:graphic>
          </wp:anchor>
        </w:drawing>
        <w:drawing>
          <wp:anchor simplePos="0" relativeHeight="251657728" behindDoc="1" locked="0" layoutInCell="0" allowOverlap="1">
            <wp:simplePos x="0" y="0"/>
            <wp:positionH relativeFrom="column">
              <wp:posOffset>5313680</wp:posOffset>
            </wp:positionH>
            <wp:positionV relativeFrom="paragraph">
              <wp:posOffset>-19050</wp:posOffset>
            </wp:positionV>
            <wp:extent cx="91440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3">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Administrator may at any time accelerate the vesting schedule specified in this Paragraph 2.</w:t>
      </w:r>
    </w:p>
    <w:p>
      <w:pPr>
        <w:spacing w:after="0" w:line="117" w:lineRule="exact"/>
        <w:rPr>
          <w:sz w:val="20"/>
          <w:szCs w:val="20"/>
          <w:color w:val="auto"/>
        </w:rPr>
      </w:pPr>
    </w:p>
    <w:p>
      <w:pPr>
        <w:ind w:right="40" w:firstLine="464"/>
        <w:spacing w:after="0" w:line="279" w:lineRule="auto"/>
        <w:tabs>
          <w:tab w:leader="none" w:pos="636"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Termination of Service Relationship</w:t>
      </w:r>
      <w:r>
        <w:rPr>
          <w:rFonts w:ascii="Arial" w:cs="Arial" w:eastAsia="Arial" w:hAnsi="Arial"/>
          <w:sz w:val="17"/>
          <w:szCs w:val="17"/>
          <w:color w:val="auto"/>
        </w:rPr>
        <w:t>. If the Grantee’s Service Relationship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ectPr>
          <w:pgSz w:w="11900" w:h="16838" w:orient="portrait"/>
          <w:cols w:equalWidth="0" w:num="1">
            <w:col w:w="11420"/>
          </w:cols>
          <w:pgMar w:left="240" w:top="270" w:right="239" w:bottom="1440" w:gutter="0" w:footer="0" w:header="0"/>
        </w:sectPr>
      </w:pPr>
    </w:p>
    <w:bookmarkStart w:id="358" w:name="page359"/>
    <w:bookmarkEnd w:id="358"/>
    <w:p>
      <w:pPr>
        <w:jc w:val="both"/>
        <w:ind w:left="-20" w:firstLine="464"/>
        <w:spacing w:after="0" w:line="259" w:lineRule="auto"/>
        <w:tabs>
          <w:tab w:leader="none" w:pos="616"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Issuance of Shares of Stock</w:t>
      </w:r>
      <w:r>
        <w:rPr>
          <w:rFonts w:ascii="Arial" w:cs="Arial" w:eastAsia="Arial" w:hAnsi="Arial"/>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78" w:lineRule="exact"/>
        <w:rPr>
          <w:rFonts w:ascii="Arial" w:cs="Arial" w:eastAsia="Arial" w:hAnsi="Arial"/>
          <w:sz w:val="18"/>
          <w:szCs w:val="18"/>
          <w:color w:val="auto"/>
        </w:rPr>
      </w:pPr>
    </w:p>
    <w:p>
      <w:pPr>
        <w:ind w:left="-20" w:right="400" w:firstLine="464"/>
        <w:spacing w:after="0" w:line="264" w:lineRule="auto"/>
        <w:tabs>
          <w:tab w:leader="none" w:pos="616"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73" w:lineRule="exact"/>
        <w:rPr>
          <w:rFonts w:ascii="Arial" w:cs="Arial" w:eastAsia="Arial" w:hAnsi="Arial"/>
          <w:sz w:val="18"/>
          <w:szCs w:val="18"/>
          <w:color w:val="auto"/>
        </w:rPr>
      </w:pPr>
    </w:p>
    <w:p>
      <w:pPr>
        <w:ind w:left="-20" w:right="20" w:firstLine="464"/>
        <w:spacing w:after="0" w:line="273" w:lineRule="auto"/>
        <w:tabs>
          <w:tab w:leader="none" w:pos="616"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required tax withholding obligation to be satisfied, in whole or in part, by withholding from shares of Stock to be issued to the Grantee a number of shares of Stock with an aggregate Fair Market Value that would satisfy the withholding amount due; provided, however, that the amount withheld does not exceed the maximum statutory tax rate or such lesser amount as is necessary to avoid adverse accounting treatment or as determined by the Administrator.</w:t>
      </w:r>
    </w:p>
    <w:p>
      <w:pPr>
        <w:spacing w:after="0" w:line="70" w:lineRule="exact"/>
        <w:rPr>
          <w:rFonts w:ascii="Arial" w:cs="Arial" w:eastAsia="Arial" w:hAnsi="Arial"/>
          <w:sz w:val="17"/>
          <w:szCs w:val="17"/>
          <w:color w:val="auto"/>
        </w:rPr>
      </w:pPr>
    </w:p>
    <w:p>
      <w:pPr>
        <w:ind w:left="-20" w:right="540" w:firstLine="464"/>
        <w:spacing w:after="0" w:line="308" w:lineRule="auto"/>
        <w:tabs>
          <w:tab w:leader="none" w:pos="616"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38" w:lineRule="exact"/>
        <w:rPr>
          <w:rFonts w:ascii="Arial" w:cs="Arial" w:eastAsia="Arial" w:hAnsi="Arial"/>
          <w:sz w:val="17"/>
          <w:szCs w:val="17"/>
          <w:color w:val="auto"/>
        </w:rPr>
      </w:pPr>
    </w:p>
    <w:p>
      <w:pPr>
        <w:ind w:left="-20" w:right="20" w:firstLine="464"/>
        <w:spacing w:after="0" w:line="264" w:lineRule="auto"/>
        <w:tabs>
          <w:tab w:leader="none" w:pos="616"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Service Relationship</w:t>
      </w:r>
      <w:r>
        <w:rPr>
          <w:rFonts w:ascii="Arial" w:cs="Arial" w:eastAsia="Arial" w:hAnsi="Arial"/>
          <w:sz w:val="18"/>
          <w:szCs w:val="18"/>
          <w:color w:val="auto"/>
        </w:rPr>
        <w:t>. Neither the Company nor any Subsidiary is obligated by or as a result of the Plan or this Agreement to continue the Grantee in the Service Relationship and neither the Plan nor this Agreement shall interfere in any way with the right of the Company or any Subsidiary to terminate the Service Relationship of the Grantee at any time.</w:t>
      </w:r>
    </w:p>
    <w:p>
      <w:pPr>
        <w:spacing w:after="0" w:line="73" w:lineRule="exact"/>
        <w:rPr>
          <w:rFonts w:ascii="Arial" w:cs="Arial" w:eastAsia="Arial" w:hAnsi="Arial"/>
          <w:sz w:val="18"/>
          <w:szCs w:val="18"/>
          <w:color w:val="auto"/>
        </w:rPr>
      </w:pPr>
    </w:p>
    <w:p>
      <w:pPr>
        <w:ind w:left="-20" w:right="100" w:firstLine="464"/>
        <w:spacing w:after="0" w:line="277" w:lineRule="auto"/>
        <w:tabs>
          <w:tab w:leader="none" w:pos="616"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62" w:lineRule="exact"/>
        <w:rPr>
          <w:rFonts w:ascii="Arial" w:cs="Arial" w:eastAsia="Arial" w:hAnsi="Arial"/>
          <w:sz w:val="18"/>
          <w:szCs w:val="18"/>
          <w:color w:val="auto"/>
        </w:rPr>
      </w:pPr>
    </w:p>
    <w:p>
      <w:pPr>
        <w:ind w:left="-20" w:right="80" w:firstLine="464"/>
        <w:spacing w:after="0" w:line="259" w:lineRule="auto"/>
        <w:tabs>
          <w:tab w:leader="none" w:pos="706"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Data Privacy Consent</w:t>
      </w:r>
      <w:r>
        <w:rPr>
          <w:rFonts w:ascii="Arial" w:cs="Arial" w:eastAsia="Arial" w:hAnsi="Arial"/>
          <w:sz w:val="18"/>
          <w:szCs w:val="18"/>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60" w:top="274" w:right="259" w:bottom="1440" w:gutter="0" w:footer="0" w:header="0"/>
        </w:sectPr>
      </w:pPr>
    </w:p>
    <w:bookmarkStart w:id="359" w:name="page360"/>
    <w:bookmarkEnd w:id="359"/>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80" w:lineRule="exact"/>
        <w:rPr>
          <w:sz w:val="20"/>
          <w:szCs w:val="20"/>
          <w:color w:val="auto"/>
        </w:rPr>
      </w:pPr>
    </w:p>
    <w:p>
      <w:pPr>
        <w:ind w:right="140" w:firstLine="464"/>
        <w:spacing w:after="0" w:line="342" w:lineRule="auto"/>
        <w:tabs>
          <w:tab w:leader="none" w:pos="720" w:val="left"/>
        </w:tabs>
        <w:numPr>
          <w:ilvl w:val="0"/>
          <w:numId w:val="26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360" w:name="page361"/>
    <w:bookmarkEnd w:id="360"/>
    <w:p>
      <w:pPr>
        <w:ind w:left="6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AVROBIO,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-10160</wp:posOffset>
            </wp:positionV>
            <wp:extent cx="245745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8">
                      <a:extLst>
                        <a:ext uri="{28A0092B-C50C-407E-A947-70E740481C1C}"/>
                      </a:extLst>
                    </a:blip>
                    <a:srcRect/>
                    <a:stretch>
                      <a:fillRect/>
                    </a:stretch>
                  </pic:blipFill>
                  <pic:spPr bwMode="auto">
                    <a:xfrm>
                      <a:off x="0" y="0"/>
                      <a:ext cx="245745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126365</wp:posOffset>
            </wp:positionV>
            <wp:extent cx="257175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9">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20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Grantee’s Signature</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289560</wp:posOffset>
            </wp:positionV>
            <wp:extent cx="347345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0">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581025</wp:posOffset>
            </wp:positionV>
            <wp:extent cx="347345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1">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872490</wp:posOffset>
            </wp:positionV>
            <wp:extent cx="347345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1">
            <w:col w:w="10740"/>
          </w:cols>
          <w:pgMar w:left="240" w:top="269" w:right="919" w:bottom="1440" w:gutter="0" w:footer="0" w:header="0"/>
        </w:sectPr>
      </w:pPr>
    </w:p>
    <w:bookmarkStart w:id="361" w:name="page362"/>
    <w:bookmarkEnd w:id="3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STOCK UNIT AWARD AGREEMENT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NON-EMPLOYEE DIRECTORS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2018 STOCK OPTION AND INCENTIVE PLAN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-10160</wp:posOffset>
            </wp:positionV>
            <wp:extent cx="302895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4">
                      <a:extLst>
                        <a:ext uri="{28A0092B-C50C-407E-A947-70E740481C1C}"/>
                      </a:extLst>
                    </a:blip>
                    <a:srcRect/>
                    <a:stretch>
                      <a:fillRect/>
                    </a:stretch>
                  </pic:blipFill>
                  <pic:spPr bwMode="auto">
                    <a:xfrm>
                      <a:off x="0" y="0"/>
                      <a:ext cx="30289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-10160</wp:posOffset>
            </wp:positionV>
            <wp:extent cx="174307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5">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-10160</wp:posOffset>
            </wp:positionV>
            <wp:extent cx="174307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6">
                      <a:extLst>
                        <a:ext uri="{28A0092B-C50C-407E-A947-70E740481C1C}"/>
                      </a:extLst>
                    </a:blip>
                    <a:srcRect/>
                    <a:stretch>
                      <a:fillRect/>
                    </a:stretch>
                  </pic:blipFill>
                  <pic:spPr bwMode="auto">
                    <a:xfrm>
                      <a:off x="0" y="0"/>
                      <a:ext cx="1743075" cy="8890"/>
                    </a:xfrm>
                    <a:prstGeom prst="rect">
                      <a:avLst/>
                    </a:prstGeom>
                    <a:noFill/>
                  </pic:spPr>
                </pic:pic>
              </a:graphicData>
            </a:graphic>
          </wp:anchor>
        </w:drawing>
      </w:r>
    </w:p>
    <w:p>
      <w:pPr>
        <w:spacing w:after="0" w:line="97"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Pursuant to the AVROBIO, Inc. 2018 Stock Option and Incentive Plan as amended through the date hereof (the “Plan”), AVROBIO, Inc. (the “Company”) hereby grants an award of the number of Restricted Stock Units listed above (an “Award”) to the Grantee named above. Each Restricted Stock Unit shall relate to one share of Common Stock, par value $0.0001 per share (the “Stock”) of the Company.</w:t>
      </w:r>
    </w:p>
    <w:p>
      <w:pPr>
        <w:spacing w:after="0" w:line="73" w:lineRule="exact"/>
        <w:rPr>
          <w:sz w:val="20"/>
          <w:szCs w:val="20"/>
          <w:color w:val="auto"/>
        </w:rPr>
      </w:pPr>
    </w:p>
    <w:p>
      <w:pPr>
        <w:ind w:right="180" w:firstLine="464"/>
        <w:spacing w:after="0" w:line="259" w:lineRule="auto"/>
        <w:tabs>
          <w:tab w:leader="none" w:pos="636" w:val="left"/>
        </w:tabs>
        <w:numPr>
          <w:ilvl w:val="0"/>
          <w:numId w:val="263"/>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Award</w:t>
      </w:r>
      <w:r>
        <w:rPr>
          <w:rFonts w:ascii="Arial" w:cs="Arial" w:eastAsia="Arial" w:hAnsi="Arial"/>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78" w:lineRule="exact"/>
        <w:rPr>
          <w:rFonts w:ascii="Arial" w:cs="Arial" w:eastAsia="Arial" w:hAnsi="Arial"/>
          <w:sz w:val="18"/>
          <w:szCs w:val="18"/>
          <w:color w:val="auto"/>
        </w:rPr>
      </w:pPr>
    </w:p>
    <w:p>
      <w:pPr>
        <w:ind w:firstLine="464"/>
        <w:spacing w:after="0" w:line="312" w:lineRule="auto"/>
        <w:tabs>
          <w:tab w:leader="none" w:pos="636"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Vesting of Restricted Stock Units</w:t>
      </w:r>
      <w:r>
        <w:rPr>
          <w:rFonts w:ascii="Arial" w:cs="Arial" w:eastAsia="Arial" w:hAnsi="Arial"/>
          <w:sz w:val="16"/>
          <w:szCs w:val="16"/>
          <w:color w:val="auto"/>
        </w:rPr>
        <w:t>. The restrictions and conditions of Paragraph 1 of this Agreement shall lapse on the Vesting Date or Dates specified in the following schedule so long as the Grantee remains in service as a member of the Board on such Dates. If a series of Vesting Dates is specified, then the restrictions and conditions in Paragraph 1 shall lapse only with respect to the number of Restricted Stock Units specified as vested on such date.</w:t>
      </w:r>
    </w:p>
    <w:p>
      <w:pPr>
        <w:spacing w:after="0" w:line="157"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3540" w:type="dxa"/>
            <w:vAlign w:val="bottom"/>
          </w:tcPr>
          <w:p>
            <w:pPr>
              <w:jc w:val="center"/>
              <w:ind w:right="1768"/>
              <w:spacing w:after="0"/>
              <w:rPr>
                <w:sz w:val="20"/>
                <w:szCs w:val="20"/>
                <w:color w:val="auto"/>
              </w:rPr>
            </w:pPr>
            <w:r>
              <w:rPr>
                <w:rFonts w:ascii="Arial" w:cs="Arial" w:eastAsia="Arial" w:hAnsi="Arial"/>
                <w:sz w:val="14"/>
                <w:szCs w:val="14"/>
                <w:color w:val="auto"/>
                <w:w w:val="94"/>
              </w:rPr>
              <w:t>Incremental Number of</w:t>
            </w:r>
          </w:p>
        </w:tc>
        <w:tc>
          <w:tcPr>
            <w:tcW w:w="2600" w:type="dxa"/>
            <w:vAlign w:val="bottom"/>
          </w:tcPr>
          <w:p>
            <w:pPr>
              <w:spacing w:after="0"/>
              <w:rPr>
                <w:sz w:val="14"/>
                <w:szCs w:val="14"/>
                <w:color w:val="auto"/>
              </w:rPr>
            </w:pPr>
          </w:p>
        </w:tc>
      </w:tr>
      <w:tr>
        <w:trPr>
          <w:trHeight w:val="196"/>
        </w:trPr>
        <w:tc>
          <w:tcPr>
            <w:tcW w:w="3540" w:type="dxa"/>
            <w:vAlign w:val="bottom"/>
          </w:tcPr>
          <w:p>
            <w:pPr>
              <w:jc w:val="center"/>
              <w:ind w:right="1768"/>
              <w:spacing w:after="0"/>
              <w:rPr>
                <w:sz w:val="20"/>
                <w:szCs w:val="20"/>
                <w:color w:val="auto"/>
              </w:rPr>
            </w:pPr>
            <w:r>
              <w:rPr>
                <w:rFonts w:ascii="Arial" w:cs="Arial" w:eastAsia="Arial" w:hAnsi="Arial"/>
                <w:sz w:val="14"/>
                <w:szCs w:val="14"/>
                <w:color w:val="auto"/>
                <w:w w:val="91"/>
              </w:rPr>
              <w:t>Restricted Stock Units Vested</w:t>
            </w:r>
          </w:p>
        </w:tc>
        <w:tc>
          <w:tcPr>
            <w:tcW w:w="2600" w:type="dxa"/>
            <w:vAlign w:val="bottom"/>
          </w:tcPr>
          <w:p>
            <w:pPr>
              <w:ind w:left="1860"/>
              <w:spacing w:after="0"/>
              <w:rPr>
                <w:sz w:val="20"/>
                <w:szCs w:val="20"/>
                <w:color w:val="auto"/>
              </w:rPr>
            </w:pPr>
            <w:r>
              <w:rPr>
                <w:rFonts w:ascii="Arial" w:cs="Arial" w:eastAsia="Arial" w:hAnsi="Arial"/>
                <w:sz w:val="14"/>
                <w:szCs w:val="14"/>
                <w:u w:val="single" w:color="auto"/>
                <w:color w:val="auto"/>
                <w:w w:val="89"/>
              </w:rPr>
              <w:t>Vesting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-8890</wp:posOffset>
            </wp:positionV>
            <wp:extent cx="196405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7">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67" w:lineRule="exact"/>
        <w:rPr>
          <w:sz w:val="20"/>
          <w:szCs w:val="20"/>
          <w:color w:val="auto"/>
        </w:rPr>
      </w:pPr>
    </w:p>
    <w:p>
      <w:pPr>
        <w:ind w:left="4340" w:hanging="425"/>
        <w:spacing w:after="0"/>
        <w:tabs>
          <w:tab w:leader="none" w:pos="43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-10160</wp:posOffset>
            </wp:positionV>
            <wp:extent cx="158115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8">
                      <a:extLst>
                        <a:ext uri="{28A0092B-C50C-407E-A947-70E740481C1C}"/>
                      </a:extLst>
                    </a:blip>
                    <a:srcRect/>
                    <a:stretch>
                      <a:fillRect/>
                    </a:stretch>
                  </pic:blipFill>
                  <pic:spPr bwMode="auto">
                    <a:xfrm>
                      <a:off x="0" y="0"/>
                      <a:ext cx="158115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-10160</wp:posOffset>
            </wp:positionV>
            <wp:extent cx="151447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9">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3" w:lineRule="exact"/>
        <w:rPr>
          <w:sz w:val="20"/>
          <w:szCs w:val="20"/>
          <w:color w:val="auto"/>
        </w:rPr>
      </w:pPr>
    </w:p>
    <w:p>
      <w:pPr>
        <w:ind w:left="4340" w:hanging="425"/>
        <w:spacing w:after="0"/>
        <w:tabs>
          <w:tab w:leader="none" w:pos="43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-19050</wp:posOffset>
            </wp:positionV>
            <wp:extent cx="158115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0">
                      <a:extLst>
                        <a:ext uri="{28A0092B-C50C-407E-A947-70E740481C1C}"/>
                      </a:extLst>
                    </a:blip>
                    <a:srcRect/>
                    <a:stretch>
                      <a:fillRect/>
                    </a:stretch>
                  </pic:blipFill>
                  <pic:spPr bwMode="auto">
                    <a:xfrm>
                      <a:off x="0" y="0"/>
                      <a:ext cx="158115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-19050</wp:posOffset>
            </wp:positionV>
            <wp:extent cx="151447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1">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ind w:left="4340" w:hanging="425"/>
        <w:spacing w:after="0"/>
        <w:tabs>
          <w:tab w:leader="none" w:pos="43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340" w:hanging="425"/>
        <w:spacing w:after="0"/>
        <w:tabs>
          <w:tab w:leader="none" w:pos="43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-156210</wp:posOffset>
            </wp:positionV>
            <wp:extent cx="158115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2">
                      <a:extLst>
                        <a:ext uri="{28A0092B-C50C-407E-A947-70E740481C1C}"/>
                      </a:extLst>
                    </a:blip>
                    <a:srcRect/>
                    <a:stretch>
                      <a:fillRect/>
                    </a:stretch>
                  </pic:blipFill>
                  <pic:spPr bwMode="auto">
                    <a:xfrm>
                      <a:off x="0" y="0"/>
                      <a:ext cx="158115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-156210</wp:posOffset>
            </wp:positionV>
            <wp:extent cx="1514475"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3">
                      <a:extLst>
                        <a:ext uri="{28A0092B-C50C-407E-A947-70E740481C1C}"/>
                      </a:extLst>
                    </a:blip>
                    <a:srcRect/>
                    <a:stretch>
                      <a:fillRect/>
                    </a:stretch>
                  </pic:blipFill>
                  <pic:spPr bwMode="auto">
                    <a:xfrm>
                      <a:off x="0" y="0"/>
                      <a:ext cx="1514475" cy="8890"/>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-19050</wp:posOffset>
            </wp:positionV>
            <wp:extent cx="158115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4">
                      <a:extLst>
                        <a:ext uri="{28A0092B-C50C-407E-A947-70E740481C1C}"/>
                      </a:extLst>
                    </a:blip>
                    <a:srcRect/>
                    <a:stretch>
                      <a:fillRect/>
                    </a:stretch>
                  </pic:blipFill>
                  <pic:spPr bwMode="auto">
                    <a:xfrm>
                      <a:off x="0" y="0"/>
                      <a:ext cx="1581150" cy="8890"/>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-19050</wp:posOffset>
            </wp:positionV>
            <wp:extent cx="151447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5">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Administrator may at any time accelerate the vesting schedule specified in this Paragraph 2.</w:t>
      </w:r>
    </w:p>
    <w:p>
      <w:pPr>
        <w:spacing w:after="0" w:line="117" w:lineRule="exact"/>
        <w:rPr>
          <w:sz w:val="20"/>
          <w:szCs w:val="20"/>
          <w:color w:val="auto"/>
        </w:rPr>
      </w:pPr>
    </w:p>
    <w:p>
      <w:pPr>
        <w:jc w:val="both"/>
        <w:ind w:right="80" w:firstLine="464"/>
        <w:spacing w:after="0" w:line="259" w:lineRule="auto"/>
        <w:tabs>
          <w:tab w:leader="none" w:pos="636"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the Grantee’s service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ectPr>
          <w:pgSz w:w="11900" w:h="16838" w:orient="portrait"/>
          <w:cols w:equalWidth="0" w:num="1">
            <w:col w:w="11420"/>
          </w:cols>
          <w:pgMar w:left="240" w:top="270" w:right="239" w:bottom="1440" w:gutter="0" w:footer="0" w:header="0"/>
        </w:sectPr>
      </w:pPr>
    </w:p>
    <w:bookmarkStart w:id="362" w:name="page363"/>
    <w:bookmarkEnd w:id="362"/>
    <w:p>
      <w:pPr>
        <w:jc w:val="both"/>
        <w:ind w:firstLine="464"/>
        <w:spacing w:after="0" w:line="259" w:lineRule="auto"/>
        <w:tabs>
          <w:tab w:leader="none" w:pos="636"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Issuance of Shares of Stock</w:t>
      </w:r>
      <w:r>
        <w:rPr>
          <w:rFonts w:ascii="Arial" w:cs="Arial" w:eastAsia="Arial" w:hAnsi="Arial"/>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78" w:lineRule="exact"/>
        <w:rPr>
          <w:rFonts w:ascii="Arial" w:cs="Arial" w:eastAsia="Arial" w:hAnsi="Arial"/>
          <w:sz w:val="18"/>
          <w:szCs w:val="18"/>
          <w:color w:val="auto"/>
        </w:rPr>
      </w:pPr>
    </w:p>
    <w:p>
      <w:pPr>
        <w:ind w:right="400" w:firstLine="464"/>
        <w:spacing w:after="0" w:line="264" w:lineRule="auto"/>
        <w:tabs>
          <w:tab w:leader="none" w:pos="636"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73" w:lineRule="exact"/>
        <w:rPr>
          <w:rFonts w:ascii="Arial" w:cs="Arial" w:eastAsia="Arial" w:hAnsi="Arial"/>
          <w:sz w:val="18"/>
          <w:szCs w:val="18"/>
          <w:color w:val="auto"/>
        </w:rPr>
      </w:pPr>
    </w:p>
    <w:p>
      <w:pPr>
        <w:ind w:right="520" w:firstLine="464"/>
        <w:spacing w:after="0" w:line="308" w:lineRule="auto"/>
        <w:tabs>
          <w:tab w:leader="none" w:pos="636" w:val="left"/>
        </w:tabs>
        <w:numPr>
          <w:ilvl w:val="1"/>
          <w:numId w:val="268"/>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38" w:lineRule="exact"/>
        <w:rPr>
          <w:rFonts w:ascii="Arial" w:cs="Arial" w:eastAsia="Arial" w:hAnsi="Arial"/>
          <w:sz w:val="17"/>
          <w:szCs w:val="17"/>
          <w:color w:val="auto"/>
        </w:rPr>
      </w:pPr>
    </w:p>
    <w:p>
      <w:pPr>
        <w:ind w:left="640" w:hanging="176"/>
        <w:spacing w:after="0"/>
        <w:tabs>
          <w:tab w:leader="none" w:pos="640" w:val="left"/>
        </w:tabs>
        <w:numPr>
          <w:ilvl w:val="1"/>
          <w:numId w:val="268"/>
        </w:numPr>
        <w:rPr>
          <w:rFonts w:ascii="Arial" w:cs="Arial" w:eastAsia="Arial" w:hAnsi="Arial"/>
          <w:sz w:val="17"/>
          <w:szCs w:val="17"/>
          <w:color w:val="auto"/>
        </w:rPr>
      </w:pPr>
      <w:r>
        <w:rPr>
          <w:rFonts w:ascii="Arial" w:cs="Arial" w:eastAsia="Arial" w:hAnsi="Arial"/>
          <w:sz w:val="17"/>
          <w:szCs w:val="17"/>
          <w:u w:val="single" w:color="auto"/>
          <w:color w:val="auto"/>
        </w:rPr>
        <w:t>No Obligation to Continue as a Director</w:t>
      </w:r>
      <w:r>
        <w:rPr>
          <w:rFonts w:ascii="Arial" w:cs="Arial" w:eastAsia="Arial" w:hAnsi="Arial"/>
          <w:sz w:val="17"/>
          <w:szCs w:val="17"/>
          <w:color w:val="auto"/>
        </w:rPr>
        <w:t>. Neither the Plan nor this Award confers upon the Grantee any rights with respect to continuance as a</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Director.</w:t>
      </w:r>
    </w:p>
    <w:p>
      <w:pPr>
        <w:spacing w:after="0" w:line="102" w:lineRule="exact"/>
        <w:rPr>
          <w:rFonts w:ascii="Arial" w:cs="Arial" w:eastAsia="Arial" w:hAnsi="Arial"/>
          <w:sz w:val="17"/>
          <w:szCs w:val="17"/>
          <w:color w:val="auto"/>
        </w:rPr>
      </w:pPr>
    </w:p>
    <w:p>
      <w:pPr>
        <w:ind w:right="120" w:firstLine="464"/>
        <w:spacing w:after="0" w:line="277" w:lineRule="auto"/>
        <w:tabs>
          <w:tab w:leader="none" w:pos="636" w:val="left"/>
        </w:tabs>
        <w:numPr>
          <w:ilvl w:val="1"/>
          <w:numId w:val="268"/>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62" w:lineRule="exact"/>
        <w:rPr>
          <w:rFonts w:ascii="Arial" w:cs="Arial" w:eastAsia="Arial" w:hAnsi="Arial"/>
          <w:sz w:val="18"/>
          <w:szCs w:val="18"/>
          <w:color w:val="auto"/>
        </w:rPr>
      </w:pPr>
    </w:p>
    <w:p>
      <w:pPr>
        <w:ind w:right="80" w:firstLine="464"/>
        <w:spacing w:after="0" w:line="284" w:lineRule="auto"/>
        <w:tabs>
          <w:tab w:leader="none" w:pos="636" w:val="left"/>
        </w:tabs>
        <w:numPr>
          <w:ilvl w:val="1"/>
          <w:numId w:val="268"/>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w:t>
      </w:r>
    </w:p>
    <w:p>
      <w:pPr>
        <w:spacing w:after="0" w:line="4" w:lineRule="exact"/>
        <w:rPr>
          <w:rFonts w:ascii="Arial" w:cs="Arial" w:eastAsia="Arial" w:hAnsi="Arial"/>
          <w:sz w:val="16"/>
          <w:szCs w:val="16"/>
          <w:color w:val="auto"/>
        </w:rPr>
      </w:pPr>
    </w:p>
    <w:p>
      <w:pPr>
        <w:ind w:right="340" w:firstLine="8"/>
        <w:spacing w:after="0" w:line="290" w:lineRule="auto"/>
        <w:tabs>
          <w:tab w:leader="none" w:pos="305" w:val="left"/>
        </w:tabs>
        <w:numPr>
          <w:ilvl w:val="0"/>
          <w:numId w:val="269"/>
        </w:numPr>
        <w:rPr>
          <w:rFonts w:ascii="Arial" w:cs="Arial" w:eastAsia="Arial" w:hAnsi="Arial"/>
          <w:sz w:val="17"/>
          <w:szCs w:val="17"/>
          <w:color w:val="auto"/>
        </w:rPr>
      </w:pPr>
      <w:r>
        <w:rPr>
          <w:rFonts w:ascii="Arial" w:cs="Arial" w:eastAsia="Arial" w:hAnsi="Arial"/>
          <w:sz w:val="17"/>
          <w:szCs w:val="17"/>
          <w:color w:val="auto"/>
        </w:rPr>
        <w:t>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53" w:lineRule="exact"/>
        <w:rPr>
          <w:rFonts w:ascii="Arial" w:cs="Arial" w:eastAsia="Arial" w:hAnsi="Arial"/>
          <w:sz w:val="17"/>
          <w:szCs w:val="17"/>
          <w:color w:val="auto"/>
        </w:rPr>
      </w:pPr>
    </w:p>
    <w:p>
      <w:pPr>
        <w:ind w:right="200" w:firstLine="464"/>
        <w:spacing w:after="0" w:line="342" w:lineRule="auto"/>
        <w:tabs>
          <w:tab w:leader="none" w:pos="726" w:val="left"/>
        </w:tabs>
        <w:numPr>
          <w:ilvl w:val="1"/>
          <w:numId w:val="269"/>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63" w:name="page364"/>
    <w:bookmarkEnd w:id="363"/>
    <w:p>
      <w:pPr>
        <w:ind w:left="6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AVROBIO,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-10160</wp:posOffset>
            </wp:positionV>
            <wp:extent cx="604075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9">
                      <a:extLst>
                        <a:ext uri="{28A0092B-C50C-407E-A947-70E740481C1C}"/>
                      </a:extLst>
                    </a:blip>
                    <a:srcRect/>
                    <a:stretch>
                      <a:fillRect/>
                    </a:stretch>
                  </pic:blipFill>
                  <pic:spPr bwMode="auto">
                    <a:xfrm>
                      <a:off x="0" y="0"/>
                      <a:ext cx="6040755"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Grantee’s Signature</w:t>
      </w:r>
    </w:p>
    <w:p>
      <w:pPr>
        <w:spacing w:after="0" w:line="22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289560</wp:posOffset>
            </wp:positionV>
            <wp:extent cx="347345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0">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581025</wp:posOffset>
            </wp:positionV>
            <wp:extent cx="347345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1">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872490</wp:posOffset>
            </wp:positionV>
            <wp:extent cx="347345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1">
            <w:col w:w="10740"/>
          </w:cols>
          <w:pgMar w:left="240" w:top="270" w:right="919" w:bottom="1440" w:gutter="0" w:footer="0" w:header="0"/>
        </w:sectPr>
      </w:pPr>
    </w:p>
    <w:bookmarkStart w:id="364" w:name="page365"/>
    <w:bookmarkEnd w:id="36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RESTRICTED STOCK AWARD AGREEMENT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AVROBIO,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2018 STOCK OPTION AND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Name of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1309370</wp:posOffset>
            </wp:positionH>
            <wp:positionV relativeFrom="paragraph">
              <wp:posOffset>-10160</wp:posOffset>
            </wp:positionV>
            <wp:extent cx="302895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4">
                      <a:extLst>
                        <a:ext uri="{28A0092B-C50C-407E-A947-70E740481C1C}"/>
                      </a:extLst>
                    </a:blip>
                    <a:srcRect/>
                    <a:stretch>
                      <a:fillRect/>
                    </a:stretch>
                  </pic:blipFill>
                  <pic:spPr bwMode="auto">
                    <a:xfrm>
                      <a:off x="0" y="0"/>
                      <a:ext cx="30289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1262380</wp:posOffset>
            </wp:positionH>
            <wp:positionV relativeFrom="paragraph">
              <wp:posOffset>-10160</wp:posOffset>
            </wp:positionV>
            <wp:extent cx="188595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5">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1255395</wp:posOffset>
            </wp:positionH>
            <wp:positionV relativeFrom="paragraph">
              <wp:posOffset>-10160</wp:posOffset>
            </wp:positionV>
            <wp:extent cx="177165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6">
                      <a:extLst>
                        <a:ext uri="{28A0092B-C50C-407E-A947-70E740481C1C}"/>
                      </a:extLst>
                    </a:blip>
                    <a:srcRect/>
                    <a:stretch>
                      <a:fillRect/>
                    </a:stretch>
                  </pic:blipFill>
                  <pic:spPr bwMode="auto">
                    <a:xfrm>
                      <a:off x="0" y="0"/>
                      <a:ext cx="1771650" cy="8890"/>
                    </a:xfrm>
                    <a:prstGeom prst="rect">
                      <a:avLst/>
                    </a:prstGeom>
                    <a:noFill/>
                  </pic:spPr>
                </pic:pic>
              </a:graphicData>
            </a:graphic>
          </wp:anchor>
        </w:drawing>
      </w:r>
    </w:p>
    <w:p>
      <w:pPr>
        <w:spacing w:after="0" w:line="205"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Pursuant to the AVROBIO, Inc. 2018 Stock Option and Incentive Plan as amended through the date hereof (the “Plan”), AVROBIO, Inc. (the “Company”) hereby grants a Restricted Stock Award (an “Award”) to the Grantee named above. Upon acceptance of this Award, the Grantee shall receive the number of shares of Common Stock, par value $0.0001 per share (the “Stock”) of the Company specified above, subject to the restrictions and conditions set forth herein and in the Plan. The Company acknowledges the receipt from the Grantee of consideration with respect to the par value of the Stock in the form of cash, past or future services rendered to the Company by the Grantee or such other form of consideration as is acceptable to the Administrator.</w:t>
      </w:r>
    </w:p>
    <w:p>
      <w:pPr>
        <w:spacing w:after="0" w:line="50" w:lineRule="exact"/>
        <w:rPr>
          <w:sz w:val="20"/>
          <w:szCs w:val="20"/>
          <w:color w:val="auto"/>
        </w:rPr>
      </w:pPr>
    </w:p>
    <w:p>
      <w:pPr>
        <w:ind w:right="160" w:firstLine="464"/>
        <w:spacing w:after="0" w:line="302" w:lineRule="auto"/>
        <w:tabs>
          <w:tab w:leader="none" w:pos="636" w:val="left"/>
        </w:tabs>
        <w:numPr>
          <w:ilvl w:val="0"/>
          <w:numId w:val="270"/>
        </w:numPr>
        <w:rPr>
          <w:rFonts w:ascii="Arial" w:cs="Arial" w:eastAsia="Arial" w:hAnsi="Arial"/>
          <w:sz w:val="16"/>
          <w:szCs w:val="16"/>
          <w:color w:val="auto"/>
        </w:rPr>
      </w:pPr>
      <w:r>
        <w:rPr>
          <w:rFonts w:ascii="Arial" w:cs="Arial" w:eastAsia="Arial" w:hAnsi="Arial"/>
          <w:sz w:val="16"/>
          <w:szCs w:val="16"/>
          <w:u w:val="single" w:color="auto"/>
          <w:color w:val="auto"/>
        </w:rPr>
        <w:t>Award</w:t>
      </w:r>
      <w:r>
        <w:rPr>
          <w:rFonts w:ascii="Arial" w:cs="Arial" w:eastAsia="Arial" w:hAnsi="Arial"/>
          <w:sz w:val="16"/>
          <w:szCs w:val="16"/>
          <w:color w:val="auto"/>
        </w:rPr>
        <w:t>. The shares of Restricted Stock awarded hereunder shall be issued and held by the Company’s transfer agent in book entry form, and the Grantee’s name shall be entered as the stockholder of record on the books of the Company. Thereupon, the Grantee shall have all the rights of a stockholder with respect to such shares, including voting and dividend rights, subject, however, to the restrictions and conditions specified in Paragraph 2 below. The Grantee shall (i) sign and deliver to the Company a copy of this Award Agreement and (ii) deliver to the Company a stock power endorsed in blank.</w:t>
      </w:r>
    </w:p>
    <w:p>
      <w:pPr>
        <w:spacing w:after="0" w:line="46" w:lineRule="exact"/>
        <w:rPr>
          <w:rFonts w:ascii="Arial" w:cs="Arial" w:eastAsia="Arial" w:hAnsi="Arial"/>
          <w:sz w:val="16"/>
          <w:szCs w:val="16"/>
          <w:color w:val="auto"/>
        </w:rPr>
      </w:pPr>
    </w:p>
    <w:p>
      <w:pPr>
        <w:ind w:left="640" w:hanging="176"/>
        <w:spacing w:after="0"/>
        <w:tabs>
          <w:tab w:leader="none" w:pos="640"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Restrictions and Conditions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921"/>
        <w:spacing w:after="0" w:line="277" w:lineRule="auto"/>
        <w:tabs>
          <w:tab w:leader="none" w:pos="1158" w:val="left"/>
        </w:tabs>
        <w:numPr>
          <w:ilvl w:val="1"/>
          <w:numId w:val="270"/>
        </w:numPr>
        <w:rPr>
          <w:rFonts w:ascii="Arial" w:cs="Arial" w:eastAsia="Arial" w:hAnsi="Arial"/>
          <w:sz w:val="18"/>
          <w:szCs w:val="18"/>
          <w:color w:val="auto"/>
        </w:rPr>
      </w:pPr>
      <w:r>
        <w:rPr>
          <w:rFonts w:ascii="Arial" w:cs="Arial" w:eastAsia="Arial" w:hAnsi="Arial"/>
          <w:sz w:val="18"/>
          <w:szCs w:val="18"/>
          <w:color w:val="auto"/>
        </w:rPr>
        <w:t>Any book entries for the shares of Restricted Stock granted herein shall bear an appropriate legend, as determined by the Administrator in its sole discretion, to the effect that such shares are subject to restrictions as set forth herein and in the Plan.</w:t>
      </w:r>
    </w:p>
    <w:p>
      <w:pPr>
        <w:spacing w:after="0" w:line="62" w:lineRule="exact"/>
        <w:rPr>
          <w:rFonts w:ascii="Arial" w:cs="Arial" w:eastAsia="Arial" w:hAnsi="Arial"/>
          <w:sz w:val="18"/>
          <w:szCs w:val="18"/>
          <w:color w:val="auto"/>
        </w:rPr>
      </w:pPr>
    </w:p>
    <w:p>
      <w:pPr>
        <w:ind w:right="380" w:firstLine="921"/>
        <w:spacing w:after="0" w:line="277" w:lineRule="auto"/>
        <w:tabs>
          <w:tab w:leader="none" w:pos="1168" w:val="left"/>
        </w:tabs>
        <w:numPr>
          <w:ilvl w:val="1"/>
          <w:numId w:val="270"/>
        </w:numPr>
        <w:rPr>
          <w:rFonts w:ascii="Arial" w:cs="Arial" w:eastAsia="Arial" w:hAnsi="Arial"/>
          <w:sz w:val="18"/>
          <w:szCs w:val="18"/>
          <w:color w:val="auto"/>
        </w:rPr>
      </w:pPr>
      <w:r>
        <w:rPr>
          <w:rFonts w:ascii="Arial" w:cs="Arial" w:eastAsia="Arial" w:hAnsi="Arial"/>
          <w:sz w:val="18"/>
          <w:szCs w:val="18"/>
          <w:color w:val="auto"/>
        </w:rPr>
        <w:t>Shares of Restricted Stock granted herein may not be sold, assigned, transferred, pledged or otherwise encumbered or disposed of by the Grantee prior to vesting.</w:t>
      </w:r>
    </w:p>
    <w:p>
      <w:pPr>
        <w:spacing w:after="0" w:line="62" w:lineRule="exact"/>
        <w:rPr>
          <w:rFonts w:ascii="Arial" w:cs="Arial" w:eastAsia="Arial" w:hAnsi="Arial"/>
          <w:sz w:val="18"/>
          <w:szCs w:val="18"/>
          <w:color w:val="auto"/>
        </w:rPr>
      </w:pPr>
    </w:p>
    <w:p>
      <w:pPr>
        <w:ind w:right="80" w:firstLine="921"/>
        <w:spacing w:after="0" w:line="264" w:lineRule="auto"/>
        <w:tabs>
          <w:tab w:leader="none" w:pos="1158" w:val="left"/>
        </w:tabs>
        <w:numPr>
          <w:ilvl w:val="1"/>
          <w:numId w:val="270"/>
        </w:numPr>
        <w:rPr>
          <w:rFonts w:ascii="Arial" w:cs="Arial" w:eastAsia="Arial" w:hAnsi="Arial"/>
          <w:sz w:val="18"/>
          <w:szCs w:val="18"/>
          <w:color w:val="auto"/>
        </w:rPr>
      </w:pPr>
      <w:r>
        <w:rPr>
          <w:rFonts w:ascii="Arial" w:cs="Arial" w:eastAsia="Arial" w:hAnsi="Arial"/>
          <w:sz w:val="18"/>
          <w:szCs w:val="18"/>
          <w:color w:val="auto"/>
        </w:rPr>
        <w:t>If the Grantee’s Service Relationship with the Company and its Subsidiaries is voluntarily or involuntarily terminated for any reason (including death) prior to vesting of shares of Restricted Stock granted herein, all shares of Restricted Stock shall immediately and automatically be forfeited and returned to the Company.</w:t>
      </w:r>
    </w:p>
    <w:p>
      <w:pPr>
        <w:sectPr>
          <w:pgSz w:w="11900" w:h="16838" w:orient="portrait"/>
          <w:cols w:equalWidth="0" w:num="1">
            <w:col w:w="11380"/>
          </w:cols>
          <w:pgMar w:left="240" w:top="270" w:right="279" w:bottom="1440" w:gutter="0" w:footer="0" w:header="0"/>
        </w:sectPr>
      </w:pPr>
    </w:p>
    <w:bookmarkStart w:id="365" w:name="page366"/>
    <w:bookmarkEnd w:id="365"/>
    <w:p>
      <w:pPr>
        <w:ind w:firstLine="464"/>
        <w:spacing w:after="0" w:line="259" w:lineRule="auto"/>
        <w:tabs>
          <w:tab w:leader="none" w:pos="636" w:val="left"/>
        </w:tabs>
        <w:numPr>
          <w:ilvl w:val="0"/>
          <w:numId w:val="27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Vesting of Restricted Stock</w:t>
      </w:r>
      <w:r>
        <w:rPr>
          <w:rFonts w:ascii="Arial" w:cs="Arial" w:eastAsia="Arial" w:hAnsi="Arial"/>
          <w:sz w:val="18"/>
          <w:szCs w:val="18"/>
          <w:color w:val="auto"/>
        </w:rPr>
        <w:t>. The restrictions and conditions in Paragraph 2 of this Agreement shall lapse on the Vesting Date or Dates specified in the following schedule so long as the Grantee continues to have a Service Relationship with the Company or a Subsidiary on such Dates. If a series of Vesting Dates is specified, then the restrictions and conditions in Paragraph 2 shall lapse only with respect to the number of shares of Restricted Stock specified as vested on such date.</w:t>
      </w:r>
    </w:p>
    <w:p>
      <w:pPr>
        <w:spacing w:after="0" w:line="197"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3600" w:type="dxa"/>
            <w:vAlign w:val="bottom"/>
          </w:tcPr>
          <w:p>
            <w:pPr>
              <w:jc w:val="center"/>
              <w:ind w:right="2328"/>
              <w:spacing w:after="0"/>
              <w:rPr>
                <w:sz w:val="20"/>
                <w:szCs w:val="20"/>
                <w:color w:val="auto"/>
              </w:rPr>
            </w:pPr>
            <w:r>
              <w:rPr>
                <w:rFonts w:ascii="Arial" w:cs="Arial" w:eastAsia="Arial" w:hAnsi="Arial"/>
                <w:sz w:val="14"/>
                <w:szCs w:val="14"/>
                <w:color w:val="auto"/>
                <w:w w:val="94"/>
              </w:rPr>
              <w:t>Incremental Number</w:t>
            </w:r>
          </w:p>
        </w:tc>
        <w:tc>
          <w:tcPr>
            <w:tcW w:w="3160" w:type="dxa"/>
            <w:vAlign w:val="bottom"/>
          </w:tcPr>
          <w:p>
            <w:pPr>
              <w:spacing w:after="0"/>
              <w:rPr>
                <w:sz w:val="14"/>
                <w:szCs w:val="14"/>
                <w:color w:val="auto"/>
              </w:rPr>
            </w:pPr>
          </w:p>
        </w:tc>
      </w:tr>
      <w:tr>
        <w:trPr>
          <w:trHeight w:val="196"/>
        </w:trPr>
        <w:tc>
          <w:tcPr>
            <w:tcW w:w="3600" w:type="dxa"/>
            <w:vAlign w:val="bottom"/>
          </w:tcPr>
          <w:p>
            <w:pPr>
              <w:jc w:val="center"/>
              <w:ind w:right="2328"/>
              <w:spacing w:after="0"/>
              <w:rPr>
                <w:sz w:val="20"/>
                <w:szCs w:val="20"/>
                <w:color w:val="auto"/>
              </w:rPr>
            </w:pPr>
            <w:r>
              <w:rPr>
                <w:rFonts w:ascii="Arial" w:cs="Arial" w:eastAsia="Arial" w:hAnsi="Arial"/>
                <w:sz w:val="14"/>
                <w:szCs w:val="14"/>
                <w:color w:val="auto"/>
                <w:w w:val="89"/>
              </w:rPr>
              <w:t>of Shares Vested</w:t>
            </w:r>
          </w:p>
        </w:tc>
        <w:tc>
          <w:tcPr>
            <w:tcW w:w="3160" w:type="dxa"/>
            <w:vAlign w:val="bottom"/>
          </w:tcPr>
          <w:p>
            <w:pPr>
              <w:ind w:left="2420"/>
              <w:spacing w:after="0"/>
              <w:rPr>
                <w:sz w:val="20"/>
                <w:szCs w:val="20"/>
                <w:color w:val="auto"/>
              </w:rPr>
            </w:pPr>
            <w:r>
              <w:rPr>
                <w:rFonts w:ascii="Arial" w:cs="Arial" w:eastAsia="Arial" w:hAnsi="Arial"/>
                <w:sz w:val="14"/>
                <w:szCs w:val="14"/>
                <w:u w:val="single" w:color="auto"/>
                <w:color w:val="auto"/>
                <w:w w:val="89"/>
              </w:rPr>
              <w:t>Vesting 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-8890</wp:posOffset>
            </wp:positionV>
            <wp:extent cx="231521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7" w:lineRule="exact"/>
        <w:rPr>
          <w:sz w:val="20"/>
          <w:szCs w:val="20"/>
          <w:color w:val="auto"/>
        </w:rPr>
      </w:pPr>
    </w:p>
    <w:p>
      <w:pPr>
        <w:ind w:left="4560" w:hanging="420"/>
        <w:spacing w:after="0"/>
        <w:tabs>
          <w:tab w:leader="none" w:pos="45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-10160</wp:posOffset>
            </wp:positionV>
            <wp:extent cx="180975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9">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-10160</wp:posOffset>
            </wp:positionV>
            <wp:extent cx="1514475"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0">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3" w:lineRule="exact"/>
        <w:rPr>
          <w:sz w:val="20"/>
          <w:szCs w:val="20"/>
          <w:color w:val="auto"/>
        </w:rPr>
      </w:pPr>
    </w:p>
    <w:p>
      <w:pPr>
        <w:ind w:left="4560" w:hanging="420"/>
        <w:spacing w:after="0"/>
        <w:tabs>
          <w:tab w:leader="none" w:pos="45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-19050</wp:posOffset>
            </wp:positionV>
            <wp:extent cx="180975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1">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-19050</wp:posOffset>
            </wp:positionV>
            <wp:extent cx="151447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2">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ind w:left="4560" w:hanging="420"/>
        <w:spacing w:after="0"/>
        <w:tabs>
          <w:tab w:leader="none" w:pos="45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-19050</wp:posOffset>
            </wp:positionV>
            <wp:extent cx="180975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3">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-19050</wp:posOffset>
            </wp:positionV>
            <wp:extent cx="151447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4">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ind w:left="4560" w:hanging="420"/>
        <w:spacing w:after="0"/>
        <w:tabs>
          <w:tab w:leader="none" w:pos="45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560" w:hanging="420"/>
        <w:spacing w:after="0"/>
        <w:tabs>
          <w:tab w:leader="none" w:pos="45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-156210</wp:posOffset>
            </wp:positionV>
            <wp:extent cx="180975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5">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-156210</wp:posOffset>
            </wp:positionV>
            <wp:extent cx="151447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6">
                      <a:extLst>
                        <a:ext uri="{28A0092B-C50C-407E-A947-70E740481C1C}"/>
                      </a:extLst>
                    </a:blip>
                    <a:srcRect/>
                    <a:stretch>
                      <a:fillRect/>
                    </a:stretch>
                  </pic:blipFill>
                  <pic:spPr bwMode="auto">
                    <a:xfrm>
                      <a:off x="0" y="0"/>
                      <a:ext cx="1514475" cy="8890"/>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-19050</wp:posOffset>
            </wp:positionV>
            <wp:extent cx="180975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7">
                      <a:extLst>
                        <a:ext uri="{28A0092B-C50C-407E-A947-70E740481C1C}"/>
                      </a:extLst>
                    </a:blip>
                    <a:srcRect/>
                    <a:stretch>
                      <a:fillRect/>
                    </a:stretch>
                  </pic:blipFill>
                  <pic:spPr bwMode="auto">
                    <a:xfrm>
                      <a:off x="0" y="0"/>
                      <a:ext cx="1809750" cy="8890"/>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-19050</wp:posOffset>
            </wp:positionV>
            <wp:extent cx="151447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8">
                      <a:extLst>
                        <a:ext uri="{28A0092B-C50C-407E-A947-70E740481C1C}"/>
                      </a:extLst>
                    </a:blip>
                    <a:srcRect/>
                    <a:stretch>
                      <a:fillRect/>
                    </a:stretch>
                  </pic:blipFill>
                  <pic:spPr bwMode="auto">
                    <a:xfrm>
                      <a:off x="0" y="0"/>
                      <a:ext cx="1514475" cy="8890"/>
                    </a:xfrm>
                    <a:prstGeom prst="rect">
                      <a:avLst/>
                    </a:prstGeom>
                    <a:noFill/>
                  </pic:spPr>
                </pic:pic>
              </a:graphicData>
            </a:graphic>
          </wp:anchor>
        </w:drawing>
      </w:r>
    </w:p>
    <w:p>
      <w:pPr>
        <w:spacing w:after="0" w:line="19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Subsequent to such Vesting Date or Dates, the shares of Stock on which all restrictions and conditions have lapsed shall no longer be deemed Restricted Stock. The Administrator may at any time accelerate the vesting schedule specified in this Paragraph 3.</w:t>
      </w:r>
    </w:p>
    <w:p>
      <w:pPr>
        <w:spacing w:after="0" w:line="62" w:lineRule="exact"/>
        <w:rPr>
          <w:sz w:val="20"/>
          <w:szCs w:val="20"/>
          <w:color w:val="auto"/>
        </w:rPr>
      </w:pPr>
    </w:p>
    <w:p>
      <w:pPr>
        <w:ind w:left="640" w:hanging="176"/>
        <w:spacing w:after="0"/>
        <w:tabs>
          <w:tab w:leader="none" w:pos="64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Dividends on shares of Restricted Stock shall be paid currently to the Grantee.</w:t>
      </w:r>
    </w:p>
    <w:p>
      <w:pPr>
        <w:spacing w:after="0" w:line="117" w:lineRule="exact"/>
        <w:rPr>
          <w:rFonts w:ascii="Arial" w:cs="Arial" w:eastAsia="Arial" w:hAnsi="Arial"/>
          <w:sz w:val="18"/>
          <w:szCs w:val="18"/>
          <w:color w:val="auto"/>
        </w:rPr>
      </w:pPr>
    </w:p>
    <w:p>
      <w:pPr>
        <w:jc w:val="both"/>
        <w:ind w:right="20" w:firstLine="464"/>
        <w:spacing w:after="0" w:line="264" w:lineRule="auto"/>
        <w:tabs>
          <w:tab w:leader="none" w:pos="636"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Award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73" w:lineRule="exact"/>
        <w:rPr>
          <w:rFonts w:ascii="Arial" w:cs="Arial" w:eastAsia="Arial" w:hAnsi="Arial"/>
          <w:sz w:val="18"/>
          <w:szCs w:val="18"/>
          <w:color w:val="auto"/>
        </w:rPr>
      </w:pPr>
    </w:p>
    <w:p>
      <w:pPr>
        <w:ind w:right="60" w:firstLine="464"/>
        <w:spacing w:after="0" w:line="277" w:lineRule="auto"/>
        <w:tabs>
          <w:tab w:leader="none" w:pos="636"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This Agreement is personal to the Grantee, is non-assignable and is not transferable in any manner, by operation of law or otherwise, other than by will or the laws of descent and distribution.</w:t>
      </w:r>
    </w:p>
    <w:p>
      <w:pPr>
        <w:spacing w:after="0" w:line="62" w:lineRule="exact"/>
        <w:rPr>
          <w:rFonts w:ascii="Arial" w:cs="Arial" w:eastAsia="Arial" w:hAnsi="Arial"/>
          <w:sz w:val="18"/>
          <w:szCs w:val="18"/>
          <w:color w:val="auto"/>
        </w:rPr>
      </w:pPr>
    </w:p>
    <w:p>
      <w:pPr>
        <w:ind w:right="40" w:firstLine="464"/>
        <w:spacing w:after="0" w:line="255" w:lineRule="auto"/>
        <w:tabs>
          <w:tab w:leader="none" w:pos="636"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Except in the case where an election is made pursuant to Paragraph 8 below, the Company shall have the authority to cause the required tax withholding obligation to be satisfied, in whole or in part, by withholding from shares of Stock to be issued or released by the transfer agent a number of shares of Stock with an aggregate Fair Market Value that would satisfy the withholding amount due; provided, however, that the amount withheld does not exceed the maximum statutory tax rate or such lesser amount as is necessary to avoid adverse accounting treatment or as determined by the Administrator.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3" w:right="239" w:bottom="1440" w:gutter="0" w:footer="0" w:header="0"/>
        </w:sectPr>
      </w:pPr>
    </w:p>
    <w:bookmarkStart w:id="366" w:name="page367"/>
    <w:bookmarkEnd w:id="366"/>
    <w:p>
      <w:pPr>
        <w:ind w:left="-8" w:firstLine="464"/>
        <w:spacing w:after="0" w:line="257" w:lineRule="auto"/>
        <w:tabs>
          <w:tab w:leader="none" w:pos="628"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Election Under Section 83(b)</w:t>
      </w:r>
      <w:r>
        <w:rPr>
          <w:rFonts w:ascii="Arial" w:cs="Arial" w:eastAsia="Arial" w:hAnsi="Arial"/>
          <w:sz w:val="18"/>
          <w:szCs w:val="18"/>
          <w:color w:val="auto"/>
        </w:rPr>
        <w:t>. The Grantee and the Company hereby agree that the Grantee may, within 30 days following the Grant Date of this Award, file with the Internal Revenue Service and the Company an election under Section 83(b) of the Internal Revenue Code. In the event the Grantee makes such an election, he or she agrees to provide a copy of the election to the Company. The Grantee acknowledges that he or she is responsible for obtaining the advice of his or her tax advisors with regard to the Section 83(b) election and that he or she is relying solely on such advisors and not on any statements or representations of the Company or any of its agents with regard to such election.</w:t>
      </w:r>
    </w:p>
    <w:p>
      <w:pPr>
        <w:spacing w:after="0" w:line="80" w:lineRule="exact"/>
        <w:rPr>
          <w:rFonts w:ascii="Arial" w:cs="Arial" w:eastAsia="Arial" w:hAnsi="Arial"/>
          <w:sz w:val="18"/>
          <w:szCs w:val="18"/>
          <w:color w:val="auto"/>
        </w:rPr>
      </w:pPr>
    </w:p>
    <w:p>
      <w:pPr>
        <w:ind w:left="-8" w:right="40" w:firstLine="464"/>
        <w:spacing w:after="0" w:line="264" w:lineRule="auto"/>
        <w:tabs>
          <w:tab w:leader="none" w:pos="628"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Service Relationship</w:t>
      </w:r>
      <w:r>
        <w:rPr>
          <w:rFonts w:ascii="Arial" w:cs="Arial" w:eastAsia="Arial" w:hAnsi="Arial"/>
          <w:sz w:val="18"/>
          <w:szCs w:val="18"/>
          <w:color w:val="auto"/>
        </w:rPr>
        <w:t>. Neither the Company nor any Subsidiary is obligated by or as a result of the Plan or this Agreement to continue the Grantee in the Service Relationship and neither the Plan nor this Agreement shall interfere in any way with the right of the Company or any Subsidiary to terminate the Service Relationship of the Grantee at any time.</w:t>
      </w:r>
    </w:p>
    <w:p>
      <w:pPr>
        <w:spacing w:after="0" w:line="73" w:lineRule="exact"/>
        <w:rPr>
          <w:rFonts w:ascii="Arial" w:cs="Arial" w:eastAsia="Arial" w:hAnsi="Arial"/>
          <w:sz w:val="18"/>
          <w:szCs w:val="18"/>
          <w:color w:val="auto"/>
        </w:rPr>
      </w:pPr>
    </w:p>
    <w:p>
      <w:pPr>
        <w:ind w:left="-8" w:right="40" w:firstLine="464"/>
        <w:spacing w:after="0" w:line="277" w:lineRule="auto"/>
        <w:tabs>
          <w:tab w:leader="none" w:pos="718" w:val="left"/>
        </w:tabs>
        <w:numPr>
          <w:ilvl w:val="1"/>
          <w:numId w:val="277"/>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62" w:lineRule="exact"/>
        <w:rPr>
          <w:rFonts w:ascii="Arial" w:cs="Arial" w:eastAsia="Arial" w:hAnsi="Arial"/>
          <w:sz w:val="18"/>
          <w:szCs w:val="18"/>
          <w:color w:val="auto"/>
        </w:rPr>
      </w:pPr>
    </w:p>
    <w:p>
      <w:pPr>
        <w:ind w:left="-8" w:right="100" w:firstLine="464"/>
        <w:spacing w:after="0" w:line="284" w:lineRule="auto"/>
        <w:tabs>
          <w:tab w:leader="none" w:pos="712" w:val="left"/>
        </w:tabs>
        <w:numPr>
          <w:ilvl w:val="1"/>
          <w:numId w:val="277"/>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w:t>
      </w:r>
    </w:p>
    <w:p>
      <w:pPr>
        <w:spacing w:after="0" w:line="4" w:lineRule="exact"/>
        <w:rPr>
          <w:rFonts w:ascii="Arial" w:cs="Arial" w:eastAsia="Arial" w:hAnsi="Arial"/>
          <w:sz w:val="16"/>
          <w:szCs w:val="16"/>
          <w:color w:val="auto"/>
        </w:rPr>
      </w:pPr>
    </w:p>
    <w:p>
      <w:pPr>
        <w:ind w:left="-8" w:right="360" w:firstLine="8"/>
        <w:spacing w:after="0" w:line="290" w:lineRule="auto"/>
        <w:tabs>
          <w:tab w:leader="none" w:pos="297" w:val="left"/>
        </w:tabs>
        <w:numPr>
          <w:ilvl w:val="0"/>
          <w:numId w:val="278"/>
        </w:numPr>
        <w:rPr>
          <w:rFonts w:ascii="Arial" w:cs="Arial" w:eastAsia="Arial" w:hAnsi="Arial"/>
          <w:sz w:val="17"/>
          <w:szCs w:val="17"/>
          <w:color w:val="auto"/>
        </w:rPr>
      </w:pPr>
      <w:r>
        <w:rPr>
          <w:rFonts w:ascii="Arial" w:cs="Arial" w:eastAsia="Arial" w:hAnsi="Arial"/>
          <w:sz w:val="17"/>
          <w:szCs w:val="17"/>
          <w:color w:val="auto"/>
        </w:rPr>
        <w:t>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53" w:lineRule="exact"/>
        <w:rPr>
          <w:rFonts w:ascii="Arial" w:cs="Arial" w:eastAsia="Arial" w:hAnsi="Arial"/>
          <w:sz w:val="17"/>
          <w:szCs w:val="17"/>
          <w:color w:val="auto"/>
        </w:rPr>
      </w:pPr>
    </w:p>
    <w:p>
      <w:pPr>
        <w:ind w:left="-8" w:right="220" w:firstLine="464"/>
        <w:spacing w:after="0" w:line="342" w:lineRule="auto"/>
        <w:tabs>
          <w:tab w:leader="none" w:pos="718" w:val="left"/>
        </w:tabs>
        <w:numPr>
          <w:ilvl w:val="1"/>
          <w:numId w:val="278"/>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12"/>
          </w:cols>
          <w:pgMar w:left="248" w:top="273" w:right="239" w:bottom="1440" w:gutter="0" w:footer="0" w:header="0"/>
        </w:sectPr>
      </w:pPr>
    </w:p>
    <w:bookmarkStart w:id="367" w:name="page368"/>
    <w:bookmarkEnd w:id="367"/>
    <w:p>
      <w:pPr>
        <w:ind w:left="6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AVROBIO,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2">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424180</wp:posOffset>
            </wp:positionH>
            <wp:positionV relativeFrom="paragraph">
              <wp:posOffset>-10160</wp:posOffset>
            </wp:positionV>
            <wp:extent cx="2085975"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3">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Grantee’s Signature</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Grantee’s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289560</wp:posOffset>
            </wp:positionV>
            <wp:extent cx="347345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4">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581025</wp:posOffset>
            </wp:positionV>
            <wp:extent cx="347345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5">
                      <a:extLst>
                        <a:ext uri="{28A0092B-C50C-407E-A947-70E740481C1C}"/>
                      </a:extLst>
                    </a:blip>
                    <a:srcRect/>
                    <a:stretch>
                      <a:fillRect/>
                    </a:stretch>
                  </pic:blipFill>
                  <pic:spPr bwMode="auto">
                    <a:xfrm>
                      <a:off x="0" y="0"/>
                      <a:ext cx="3473450" cy="8890"/>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872490</wp:posOffset>
            </wp:positionV>
            <wp:extent cx="347345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ectPr>
          <w:pgSz w:w="11900" w:h="16838" w:orient="portrait"/>
          <w:cols w:equalWidth="0" w:num="1">
            <w:col w:w="10740"/>
          </w:cols>
          <w:pgMar w:left="240" w:top="270" w:right="919" w:bottom="1440" w:gutter="0" w:footer="0" w:header="0"/>
        </w:sectPr>
      </w:pPr>
    </w:p>
    <w:bookmarkStart w:id="368" w:name="page369"/>
    <w:bookmarkEnd w:id="368"/>
    <w:p>
      <w:pPr>
        <w:jc w:val="right"/>
        <w:spacing w:after="0"/>
        <w:rPr>
          <w:sz w:val="20"/>
          <w:szCs w:val="20"/>
          <w:color w:val="auto"/>
        </w:rPr>
      </w:pPr>
      <w:r>
        <w:rPr>
          <w:rFonts w:ascii="Arial" w:cs="Arial" w:eastAsia="Arial" w:hAnsi="Arial"/>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EXECUTIVE CASH INCENTIVE BONUS PLAN</w:t>
      </w:r>
    </w:p>
    <w:p>
      <w:pPr>
        <w:spacing w:after="0" w:line="319" w:lineRule="exact"/>
        <w:rPr>
          <w:sz w:val="20"/>
          <w:szCs w:val="20"/>
          <w:color w:val="auto"/>
        </w:rPr>
      </w:pPr>
    </w:p>
    <w:p>
      <w:pPr>
        <w:ind w:left="180" w:hanging="172"/>
        <w:spacing w:after="0"/>
        <w:tabs>
          <w:tab w:leader="none" w:pos="180" w:val="left"/>
        </w:tabs>
        <w:numPr>
          <w:ilvl w:val="0"/>
          <w:numId w:val="279"/>
        </w:numPr>
        <w:rPr>
          <w:rFonts w:ascii="Arial" w:cs="Arial" w:eastAsia="Arial" w:hAnsi="Arial"/>
          <w:sz w:val="18"/>
          <w:szCs w:val="18"/>
          <w:color w:val="auto"/>
        </w:rPr>
      </w:pPr>
      <w:r>
        <w:rPr>
          <w:rFonts w:ascii="Arial" w:cs="Arial" w:eastAsia="Arial" w:hAnsi="Arial"/>
          <w:sz w:val="18"/>
          <w:szCs w:val="18"/>
          <w:u w:val="single" w:color="auto"/>
          <w:color w:val="auto"/>
        </w:rPr>
        <w:t>Purpose</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Senior Executive Cash Incentive Bonus Plan (the “</w:t>
      </w:r>
      <w:r>
        <w:rPr>
          <w:rFonts w:ascii="Arial" w:cs="Arial" w:eastAsia="Arial" w:hAnsi="Arial"/>
          <w:sz w:val="18"/>
          <w:szCs w:val="18"/>
          <w:b w:val="1"/>
          <w:bCs w:val="1"/>
          <w:i w:val="1"/>
          <w:iCs w:val="1"/>
          <w:color w:val="auto"/>
        </w:rPr>
        <w:t>Incentive Plan</w:t>
      </w:r>
      <w:r>
        <w:rPr>
          <w:rFonts w:ascii="Arial" w:cs="Arial" w:eastAsia="Arial" w:hAnsi="Arial"/>
          <w:sz w:val="18"/>
          <w:szCs w:val="18"/>
          <w:color w:val="auto"/>
        </w:rPr>
        <w:t>”) is intended to provide an incentive for superior work and to motivate eligible executives of AVROBIO,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subsidiaries toward even higher achievement and business results, to tie their goals and interests to those of the Company and its stockholders and to enable the Company to attract and retain highly qualified executives. The Incentive Plan is for the benefit of Covered Executives (as defined below).</w:t>
      </w:r>
    </w:p>
    <w:p>
      <w:pPr>
        <w:spacing w:after="0" w:line="295" w:lineRule="exact"/>
        <w:rPr>
          <w:sz w:val="20"/>
          <w:szCs w:val="20"/>
          <w:color w:val="auto"/>
        </w:rPr>
      </w:pPr>
    </w:p>
    <w:p>
      <w:pPr>
        <w:ind w:left="180" w:hanging="172"/>
        <w:spacing w:after="0"/>
        <w:tabs>
          <w:tab w:leader="none" w:pos="18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Covered Executives</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From time to time, the Compensation Committee of the Board of Directors of the Company (the “</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may select certain key executives (the “</w:t>
      </w:r>
      <w:r>
        <w:rPr>
          <w:rFonts w:ascii="Arial" w:cs="Arial" w:eastAsia="Arial" w:hAnsi="Arial"/>
          <w:sz w:val="18"/>
          <w:szCs w:val="18"/>
          <w:b w:val="1"/>
          <w:bCs w:val="1"/>
          <w:i w:val="1"/>
          <w:iCs w:val="1"/>
          <w:color w:val="auto"/>
        </w:rPr>
        <w:t>Covered Executives</w:t>
      </w:r>
      <w:r>
        <w:rPr>
          <w:rFonts w:ascii="Arial" w:cs="Arial" w:eastAsia="Arial" w:hAnsi="Arial"/>
          <w:sz w:val="18"/>
          <w:szCs w:val="18"/>
          <w:color w:val="auto"/>
        </w:rPr>
        <w:t>”) to be eligible to receive bonuses hereunder. Participation in this Plan does not change the “at will” nature of a Covered Executive’s employment with the Company.</w:t>
      </w:r>
    </w:p>
    <w:p>
      <w:pPr>
        <w:spacing w:after="0" w:line="289" w:lineRule="exact"/>
        <w:rPr>
          <w:sz w:val="20"/>
          <w:szCs w:val="20"/>
          <w:color w:val="auto"/>
        </w:rPr>
      </w:pPr>
    </w:p>
    <w:p>
      <w:pPr>
        <w:ind w:left="180" w:hanging="172"/>
        <w:spacing w:after="0"/>
        <w:tabs>
          <w:tab w:leader="none" w:pos="18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Administration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Compensation Committee shall have the sole discretion and authority to administer and interpret the Incentive Plan.</w:t>
      </w:r>
    </w:p>
    <w:p>
      <w:pPr>
        <w:spacing w:after="0" w:line="333" w:lineRule="exact"/>
        <w:rPr>
          <w:sz w:val="20"/>
          <w:szCs w:val="20"/>
          <w:color w:val="auto"/>
        </w:rPr>
      </w:pPr>
    </w:p>
    <w:p>
      <w:pPr>
        <w:ind w:left="180" w:hanging="172"/>
        <w:spacing w:after="0"/>
        <w:tabs>
          <w:tab w:leader="none" w:pos="18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Bonus Determinations</w:t>
      </w:r>
    </w:p>
    <w:p>
      <w:pPr>
        <w:spacing w:after="0" w:line="117" w:lineRule="exact"/>
        <w:rPr>
          <w:rFonts w:ascii="Arial" w:cs="Arial" w:eastAsia="Arial" w:hAnsi="Arial"/>
          <w:sz w:val="18"/>
          <w:szCs w:val="18"/>
          <w:color w:val="auto"/>
        </w:rPr>
      </w:pPr>
    </w:p>
    <w:p>
      <w:pPr>
        <w:ind w:right="20" w:firstLine="464"/>
        <w:spacing w:after="0" w:line="283" w:lineRule="auto"/>
        <w:tabs>
          <w:tab w:leader="none" w:pos="701" w:val="left"/>
        </w:tabs>
        <w:numPr>
          <w:ilvl w:val="1"/>
          <w:numId w:val="282"/>
        </w:numPr>
        <w:rPr>
          <w:rFonts w:ascii="Arial" w:cs="Arial" w:eastAsia="Arial" w:hAnsi="Arial"/>
          <w:sz w:val="16"/>
          <w:szCs w:val="16"/>
          <w:color w:val="auto"/>
        </w:rPr>
      </w:pPr>
      <w:r>
        <w:rPr>
          <w:rFonts w:ascii="Arial" w:cs="Arial" w:eastAsia="Arial" w:hAnsi="Arial"/>
          <w:sz w:val="16"/>
          <w:szCs w:val="16"/>
          <w:u w:val="single" w:color="auto"/>
          <w:color w:val="auto"/>
        </w:rPr>
        <w:t>Corporate Performance Goals</w:t>
      </w:r>
      <w:r>
        <w:rPr>
          <w:rFonts w:ascii="Arial" w:cs="Arial" w:eastAsia="Arial" w:hAnsi="Arial"/>
          <w:sz w:val="16"/>
          <w:szCs w:val="16"/>
          <w:color w:val="auto"/>
        </w:rPr>
        <w:t>. A Covered Executive may receive a bonus payment under the Incentive Plan based upon the attainment of one or more performance objectives that are established by the Compensation Committee and relate to financial and operational metrics with respect to the Company or any of its subsidiaries (the “</w:t>
      </w:r>
      <w:r>
        <w:rPr>
          <w:rFonts w:ascii="Arial" w:cs="Arial" w:eastAsia="Arial" w:hAnsi="Arial"/>
          <w:sz w:val="16"/>
          <w:szCs w:val="16"/>
          <w:b w:val="1"/>
          <w:bCs w:val="1"/>
          <w:i w:val="1"/>
          <w:iCs w:val="1"/>
          <w:color w:val="auto"/>
        </w:rPr>
        <w:t>Corporate Performance Goals</w:t>
      </w:r>
      <w:r>
        <w:rPr>
          <w:rFonts w:ascii="Arial" w:cs="Arial" w:eastAsia="Arial" w:hAnsi="Arial"/>
          <w:sz w:val="16"/>
          <w:szCs w:val="16"/>
          <w:color w:val="auto"/>
        </w:rPr>
        <w:t>”), including, but not limited to, the following: cash flow (including, but not limited to, operating cash flow and free cash flow); research and development, publication, clinical and/or regulatory milestones; revenue; earnings before interest, taxes, depreciation and amortization; net income (loss) (either before or after interest, taxes, depreciation and/or amortization); changes in the market price of the Company’s common stock; economic value-added; acquisitions or strategic transactions, including licenses, collaborations, joint ventures or promotion arrangements; operating income (loss); return on capital, assets, equity, or investment; total stockholder returns; coverage decisions; productivity; expense efficiency; margins; operating efficiency; working capital; earnings (loss) per share of the Company’s common stock; sales or market shares; number of prescriptions or prescribing physicians; revenue; corporate revenue; operating income and/or net annual recurring revenue, any of which may be</w:t>
      </w:r>
    </w:p>
    <w:p>
      <w:pPr>
        <w:spacing w:after="0" w:line="6"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color w:val="auto"/>
        </w:rPr>
        <w:t>(A) measured in absolute terms or compared to any incremental increase, (B) measured in terms of growth, (C) compared to another company or companies or to results of a peer group, (D) measured against the market as a whole and/or as compared to applicable market indices and/or (E) measured on a pre-tax or post-tax basis (if applicable). Further, any Corporate Performance Goals may be used to measure the performance of the Company as a whole or a business unit or other segment of the Company, or one or more product lines or specific markets. The Corporate Performance Goals may differ from Covered Executive to Covered Executive.</w:t>
      </w:r>
    </w:p>
    <w:p>
      <w:pPr>
        <w:sectPr>
          <w:pgSz w:w="11900" w:h="16838" w:orient="portrait"/>
          <w:cols w:equalWidth="0" w:num="1">
            <w:col w:w="11420"/>
          </w:cols>
          <w:pgMar w:left="240" w:top="121" w:right="239" w:bottom="1440" w:gutter="0" w:footer="0" w:header="0"/>
        </w:sectPr>
      </w:pPr>
    </w:p>
    <w:bookmarkStart w:id="369" w:name="page370"/>
    <w:bookmarkEnd w:id="369"/>
    <w:p>
      <w:pPr>
        <w:ind w:left="-20" w:right="40" w:firstLine="464"/>
        <w:spacing w:after="0" w:line="276" w:lineRule="auto"/>
        <w:tabs>
          <w:tab w:leader="none" w:pos="691" w:val="left"/>
        </w:tabs>
        <w:numPr>
          <w:ilvl w:val="0"/>
          <w:numId w:val="28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Calculation of Corporate Performance Goals</w:t>
      </w:r>
      <w:r>
        <w:rPr>
          <w:rFonts w:ascii="Arial" w:cs="Arial" w:eastAsia="Arial" w:hAnsi="Arial"/>
          <w:sz w:val="17"/>
          <w:szCs w:val="17"/>
          <w:color w:val="auto"/>
        </w:rPr>
        <w:t>. At the beginning of each applicable performance period, the Compensation Committee will determine whether any significant element(s) will be included in or excluded from the calculation of any Corporate Performance Goal with respect to any Covered Executive. In all other respects, Corporate Performance Goals will be calculated in accordance with the Company’s financial statements, generally accepted accounting principles, or under a methodology established by the Compensation Committee at the beginning of the performance period and which is consistently applied with respect to a Corporate Performance Goal in the relevant performance period.</w:t>
      </w:r>
    </w:p>
    <w:p>
      <w:pPr>
        <w:spacing w:after="0" w:line="64" w:lineRule="exact"/>
        <w:rPr>
          <w:rFonts w:ascii="Arial" w:cs="Arial" w:eastAsia="Arial" w:hAnsi="Arial"/>
          <w:sz w:val="17"/>
          <w:szCs w:val="17"/>
          <w:color w:val="auto"/>
        </w:rPr>
      </w:pPr>
    </w:p>
    <w:p>
      <w:pPr>
        <w:ind w:left="-20" w:right="120" w:firstLine="464"/>
        <w:spacing w:after="0" w:line="277" w:lineRule="auto"/>
        <w:tabs>
          <w:tab w:leader="none" w:pos="681"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Target; Minimum; Maximum</w:t>
      </w:r>
      <w:r>
        <w:rPr>
          <w:rFonts w:ascii="Arial" w:cs="Arial" w:eastAsia="Arial" w:hAnsi="Arial"/>
          <w:sz w:val="18"/>
          <w:szCs w:val="18"/>
          <w:color w:val="auto"/>
        </w:rPr>
        <w:t>. Each Corporate Performance Goal shall have a “target” (100 percent attainment of the Corporate Performance Goal) and may also have a “minimum” hurdle and/or a “maximum” amount.</w:t>
      </w:r>
    </w:p>
    <w:p>
      <w:pPr>
        <w:spacing w:after="0" w:line="62" w:lineRule="exact"/>
        <w:rPr>
          <w:rFonts w:ascii="Arial" w:cs="Arial" w:eastAsia="Arial" w:hAnsi="Arial"/>
          <w:sz w:val="18"/>
          <w:szCs w:val="18"/>
          <w:color w:val="auto"/>
        </w:rPr>
      </w:pPr>
    </w:p>
    <w:p>
      <w:pPr>
        <w:ind w:left="-20" w:firstLine="464"/>
        <w:spacing w:after="0" w:line="290" w:lineRule="auto"/>
        <w:tabs>
          <w:tab w:leader="none" w:pos="691"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Bonus Requirements; Individual Goals</w:t>
      </w:r>
      <w:r>
        <w:rPr>
          <w:rFonts w:ascii="Arial" w:cs="Arial" w:eastAsia="Arial" w:hAnsi="Arial"/>
          <w:sz w:val="16"/>
          <w:szCs w:val="16"/>
          <w:color w:val="auto"/>
        </w:rPr>
        <w:t>. Except as otherwise set forth in this Section 4(d): (i) any bonuses paid to Covered Executives under the Incentive Plan shall be based upon objectively determinable bonus formulas that tie such bonuses to one or more performance targets relating to the Corporate Performance Goals, (ii) bonus formulas for Covered Executives shall be adopted in each performance period by the Compensation Committee and communicated to each Covered Executive at the beginning of each performance period and (iii) no bonuses shall be paid to Covered Executives unless and until the Compensation Committee makes a determination with respect to the attainment of the performance targets relating to the Corporate Performance Goals. Notwithstanding the foregoing, the Compensation Committee may adjust bonuses payable under the Incentive Plan based on achievement of one or more individual performance objectives or pay bonuses (including, without limitation, discretionary bonuses) to Covered Executives under the Incentive Plan based on individual performance goals and/or upon such other terms and conditions as the Compensation Committee may in its discretion determine.</w:t>
      </w:r>
    </w:p>
    <w:p>
      <w:pPr>
        <w:spacing w:after="0" w:line="58" w:lineRule="exact"/>
        <w:rPr>
          <w:rFonts w:ascii="Arial" w:cs="Arial" w:eastAsia="Arial" w:hAnsi="Arial"/>
          <w:sz w:val="16"/>
          <w:szCs w:val="16"/>
          <w:color w:val="auto"/>
        </w:rPr>
      </w:pPr>
    </w:p>
    <w:p>
      <w:pPr>
        <w:ind w:left="-20" w:firstLine="464"/>
        <w:spacing w:after="0" w:line="259" w:lineRule="auto"/>
        <w:tabs>
          <w:tab w:leader="none" w:pos="681"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Individual Target Bonuses</w:t>
      </w:r>
      <w:r>
        <w:rPr>
          <w:rFonts w:ascii="Arial" w:cs="Arial" w:eastAsia="Arial" w:hAnsi="Arial"/>
          <w:sz w:val="18"/>
          <w:szCs w:val="18"/>
          <w:color w:val="auto"/>
        </w:rPr>
        <w:t>. The Compensation Committee shall establish a target bonus opportunity for each Covered Executive for each performance period. For each Covered Executive, the Compensation Committee shall have the authority to apportion the target award so that a portion of the target award shall be tied to attainment of Corporate Performance Goals and a portion of the target award shall be tied to attainment of individual performance objectives.</w:t>
      </w:r>
    </w:p>
    <w:p>
      <w:pPr>
        <w:spacing w:after="0" w:line="78" w:lineRule="exact"/>
        <w:rPr>
          <w:rFonts w:ascii="Arial" w:cs="Arial" w:eastAsia="Arial" w:hAnsi="Arial"/>
          <w:sz w:val="18"/>
          <w:szCs w:val="18"/>
          <w:color w:val="auto"/>
        </w:rPr>
      </w:pPr>
    </w:p>
    <w:p>
      <w:pPr>
        <w:ind w:left="-20" w:right="60" w:firstLine="464"/>
        <w:spacing w:after="0" w:line="259" w:lineRule="auto"/>
        <w:tabs>
          <w:tab w:leader="none" w:pos="661"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Employment Requirement</w:t>
      </w:r>
      <w:r>
        <w:rPr>
          <w:rFonts w:ascii="Arial" w:cs="Arial" w:eastAsia="Arial" w:hAnsi="Arial"/>
          <w:sz w:val="18"/>
          <w:szCs w:val="18"/>
          <w:color w:val="auto"/>
        </w:rPr>
        <w:t>. Subject to any additional terms contained in a written agreement between the Covered Executive and the Company, the payment of a bonus to a Covered Executive with respect to a performance period shall be conditioned upon the Covered Executive’s employment by the Company on the bonus payment date. If a Covered Executive was not employed for an entire performance period, the Compensation Committee may pro rate the bonus based on the number of days employed during such period.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74" w:right="239" w:bottom="1440" w:gutter="0" w:footer="0" w:header="0"/>
        </w:sectPr>
      </w:pPr>
    </w:p>
    <w:bookmarkStart w:id="370" w:name="page371"/>
    <w:bookmarkEnd w:id="370"/>
    <w:p>
      <w:pPr>
        <w:ind w:left="172" w:hanging="172"/>
        <w:spacing w:after="0"/>
        <w:tabs>
          <w:tab w:leader="none" w:pos="172"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Timing of Payment</w:t>
      </w:r>
    </w:p>
    <w:p>
      <w:pPr>
        <w:spacing w:after="0" w:line="117" w:lineRule="exact"/>
        <w:rPr>
          <w:rFonts w:ascii="Arial" w:cs="Arial" w:eastAsia="Arial" w:hAnsi="Arial"/>
          <w:sz w:val="18"/>
          <w:szCs w:val="18"/>
          <w:color w:val="auto"/>
        </w:rPr>
      </w:pPr>
    </w:p>
    <w:p>
      <w:pPr>
        <w:jc w:val="both"/>
        <w:ind w:left="-8" w:firstLine="464"/>
        <w:spacing w:after="0" w:line="279" w:lineRule="auto"/>
        <w:tabs>
          <w:tab w:leader="none" w:pos="693" w:val="left"/>
        </w:tabs>
        <w:numPr>
          <w:ilvl w:val="1"/>
          <w:numId w:val="284"/>
        </w:numPr>
        <w:rPr>
          <w:rFonts w:ascii="Arial" w:cs="Arial" w:eastAsia="Arial" w:hAnsi="Arial"/>
          <w:sz w:val="17"/>
          <w:szCs w:val="17"/>
          <w:color w:val="auto"/>
        </w:rPr>
      </w:pPr>
      <w:r>
        <w:rPr>
          <w:rFonts w:ascii="Arial" w:cs="Arial" w:eastAsia="Arial" w:hAnsi="Arial"/>
          <w:sz w:val="17"/>
          <w:szCs w:val="17"/>
          <w:color w:val="auto"/>
        </w:rPr>
        <w:t>With respect to Corporate Performance Goals established and measured on a basis more frequently than annually (e.g., quarterly or semi-annually), the Corporate Performance Goals will be measured at the end of each performance period after the Company’s financial reports with respect to such period(s) have been published. If the Corporate Performance Goals and/or individual goals for such period are met, payments will be made as soon as practicable following the end of such period, but not later than 74 days after the end of the fiscal year in which such performance period ends.</w:t>
      </w:r>
    </w:p>
    <w:p>
      <w:pPr>
        <w:spacing w:after="0" w:line="63" w:lineRule="exact"/>
        <w:rPr>
          <w:rFonts w:ascii="Arial" w:cs="Arial" w:eastAsia="Arial" w:hAnsi="Arial"/>
          <w:sz w:val="17"/>
          <w:szCs w:val="17"/>
          <w:color w:val="auto"/>
        </w:rPr>
      </w:pPr>
    </w:p>
    <w:p>
      <w:pPr>
        <w:ind w:left="-8" w:firstLine="464"/>
        <w:spacing w:after="0" w:line="259" w:lineRule="auto"/>
        <w:tabs>
          <w:tab w:leader="none" w:pos="703" w:val="left"/>
        </w:tabs>
        <w:numPr>
          <w:ilvl w:val="1"/>
          <w:numId w:val="284"/>
        </w:numPr>
        <w:rPr>
          <w:rFonts w:ascii="Arial" w:cs="Arial" w:eastAsia="Arial" w:hAnsi="Arial"/>
          <w:sz w:val="18"/>
          <w:szCs w:val="18"/>
          <w:color w:val="auto"/>
        </w:rPr>
      </w:pPr>
      <w:r>
        <w:rPr>
          <w:rFonts w:ascii="Arial" w:cs="Arial" w:eastAsia="Arial" w:hAnsi="Arial"/>
          <w:sz w:val="18"/>
          <w:szCs w:val="18"/>
          <w:color w:val="auto"/>
        </w:rPr>
        <w:t>With respect to Corporate Performance Goals established and measured on an annual or multi-year basis, Corporate Performance Goals will be measured as of the end of each such performance period (e.g., the end of each fiscal year) after the Company’s financial reports with respect to such period(s) have been published. If the Corporate Performance Goals and/or individual goals for any such period are met, bonus payments will be made as soon as practicable, but not later than 74 days after the end of the relevant fiscal year.</w:t>
      </w:r>
    </w:p>
    <w:p>
      <w:pPr>
        <w:spacing w:after="0" w:line="78" w:lineRule="exact"/>
        <w:rPr>
          <w:rFonts w:ascii="Arial" w:cs="Arial" w:eastAsia="Arial" w:hAnsi="Arial"/>
          <w:sz w:val="18"/>
          <w:szCs w:val="18"/>
          <w:color w:val="auto"/>
        </w:rPr>
      </w:pPr>
    </w:p>
    <w:p>
      <w:pPr>
        <w:ind w:left="692" w:hanging="236"/>
        <w:spacing w:after="0"/>
        <w:tabs>
          <w:tab w:leader="none" w:pos="692" w:val="left"/>
        </w:tabs>
        <w:numPr>
          <w:ilvl w:val="1"/>
          <w:numId w:val="284"/>
        </w:numPr>
        <w:rPr>
          <w:rFonts w:ascii="Arial" w:cs="Arial" w:eastAsia="Arial" w:hAnsi="Arial"/>
          <w:sz w:val="16"/>
          <w:szCs w:val="16"/>
          <w:color w:val="auto"/>
        </w:rPr>
      </w:pPr>
      <w:r>
        <w:rPr>
          <w:rFonts w:ascii="Arial" w:cs="Arial" w:eastAsia="Arial" w:hAnsi="Arial"/>
          <w:sz w:val="16"/>
          <w:szCs w:val="16"/>
          <w:color w:val="auto"/>
        </w:rPr>
        <w:t>For the avoidance of doubt, bonuses earned at any time in a fiscal year must be paid no later than 74 days after the last day of such fiscal year.</w:t>
      </w:r>
    </w:p>
    <w:p>
      <w:pPr>
        <w:spacing w:after="0" w:line="356" w:lineRule="exact"/>
        <w:rPr>
          <w:rFonts w:ascii="Arial" w:cs="Arial" w:eastAsia="Arial" w:hAnsi="Arial"/>
          <w:sz w:val="16"/>
          <w:szCs w:val="16"/>
          <w:color w:val="auto"/>
        </w:rPr>
      </w:pPr>
    </w:p>
    <w:p>
      <w:pPr>
        <w:ind w:left="172" w:hanging="172"/>
        <w:spacing w:after="0"/>
        <w:tabs>
          <w:tab w:leader="none" w:pos="172" w:val="left"/>
        </w:tabs>
        <w:numPr>
          <w:ilvl w:val="0"/>
          <w:numId w:val="284"/>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p>
    <w:p>
      <w:pPr>
        <w:spacing w:after="0" w:line="11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Company reserves the right to amend or terminate the Incentive Plan at any time in its sole discretion.</w:t>
      </w:r>
    </w:p>
    <w:p>
      <w:pPr>
        <w:spacing w:after="0" w:line="158" w:lineRule="exact"/>
        <w:rPr>
          <w:sz w:val="20"/>
          <w:szCs w:val="20"/>
          <w:color w:val="auto"/>
        </w:rPr>
      </w:pPr>
    </w:p>
    <w:p>
      <w:pPr>
        <w:ind w:left="5652"/>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52"/>
          </w:cols>
          <w:pgMar w:left="248" w:top="273" w:right="299" w:bottom="1440" w:gutter="0" w:footer="0" w:header="0"/>
        </w:sectPr>
      </w:pPr>
    </w:p>
    <w:bookmarkStart w:id="371" w:name="page372"/>
    <w:bookmarkEnd w:id="371"/>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91"/>
              </w:rPr>
              <w:t>Exhibit 10.4</w:t>
            </w:r>
          </w:p>
        </w:tc>
      </w:tr>
      <w:tr>
        <w:trPr>
          <w:trHeight w:val="432"/>
        </w:trPr>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60" w:type="dxa"/>
            <w:vAlign w:val="bottom"/>
            <w:gridSpan w:val="3"/>
          </w:tcPr>
          <w:p>
            <w:pPr>
              <w:jc w:val="center"/>
              <w:ind w:right="5060"/>
              <w:spacing w:after="0"/>
              <w:rPr>
                <w:sz w:val="20"/>
                <w:szCs w:val="20"/>
                <w:color w:val="auto"/>
              </w:rPr>
            </w:pPr>
            <w:r>
              <w:rPr>
                <w:rFonts w:ascii="Arial" w:cs="Arial" w:eastAsia="Arial" w:hAnsi="Arial"/>
                <w:sz w:val="18"/>
                <w:szCs w:val="18"/>
                <w:b w:val="1"/>
                <w:bCs w:val="1"/>
                <w:color w:val="auto"/>
                <w:w w:val="99"/>
              </w:rPr>
              <w:t>AVROBIO, INC.</w:t>
            </w:r>
          </w:p>
        </w:tc>
      </w:tr>
      <w:tr>
        <w:trPr>
          <w:trHeight w:val="432"/>
        </w:trPr>
        <w:tc>
          <w:tcPr>
            <w:tcW w:w="1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20" w:type="dxa"/>
            <w:vAlign w:val="bottom"/>
            <w:gridSpan w:val="5"/>
          </w:tcPr>
          <w:p>
            <w:pPr>
              <w:jc w:val="center"/>
              <w:ind w:right="3000"/>
              <w:spacing w:after="0"/>
              <w:rPr>
                <w:sz w:val="20"/>
                <w:szCs w:val="20"/>
                <w:color w:val="auto"/>
              </w:rPr>
            </w:pPr>
            <w:r>
              <w:rPr>
                <w:rFonts w:ascii="Arial" w:cs="Arial" w:eastAsia="Arial" w:hAnsi="Arial"/>
                <w:sz w:val="18"/>
                <w:szCs w:val="18"/>
                <w:b w:val="1"/>
                <w:bCs w:val="1"/>
                <w:color w:val="auto"/>
              </w:rPr>
              <w:t>FORM OF DIRECTOR INDEMNIFICATION AGREEMENT</w:t>
            </w:r>
          </w:p>
        </w:tc>
      </w:tr>
      <w:tr>
        <w:trPr>
          <w:trHeight w:val="392"/>
        </w:trPr>
        <w:tc>
          <w:tcPr>
            <w:tcW w:w="5060" w:type="dxa"/>
            <w:vAlign w:val="bottom"/>
            <w:gridSpan w:val="5"/>
          </w:tcPr>
          <w:p>
            <w:pPr>
              <w:ind w:left="460"/>
              <w:spacing w:after="0"/>
              <w:rPr>
                <w:sz w:val="20"/>
                <w:szCs w:val="20"/>
                <w:color w:val="auto"/>
              </w:rPr>
            </w:pPr>
            <w:r>
              <w:rPr>
                <w:rFonts w:ascii="Arial" w:cs="Arial" w:eastAsia="Arial" w:hAnsi="Arial"/>
                <w:sz w:val="18"/>
                <w:szCs w:val="18"/>
                <w:color w:val="auto"/>
                <w:w w:val="93"/>
              </w:rPr>
              <w:t>This Indemnification Agreement (“Agreement”) is made as of [</w:t>
            </w:r>
          </w:p>
        </w:tc>
        <w:tc>
          <w:tcPr>
            <w:tcW w:w="6360" w:type="dxa"/>
            <w:vAlign w:val="bottom"/>
            <w:gridSpan w:val="3"/>
          </w:tcPr>
          <w:p>
            <w:pPr>
              <w:ind w:left="740"/>
              <w:spacing w:after="0"/>
              <w:rPr>
                <w:sz w:val="20"/>
                <w:szCs w:val="20"/>
                <w:color w:val="auto"/>
              </w:rPr>
            </w:pPr>
            <w:r>
              <w:rPr>
                <w:rFonts w:ascii="Arial" w:cs="Arial" w:eastAsia="Arial" w:hAnsi="Arial"/>
                <w:sz w:val="18"/>
                <w:szCs w:val="18"/>
                <w:color w:val="auto"/>
                <w:w w:val="93"/>
              </w:rPr>
              <w:t>],by and between AVROBIO, Inc., a Delaware corporation (the “Company”),</w:t>
            </w:r>
          </w:p>
        </w:tc>
      </w:tr>
      <w:tr>
        <w:trPr>
          <w:trHeight w:val="196"/>
        </w:trPr>
        <w:tc>
          <w:tcPr>
            <w:tcW w:w="3000" w:type="dxa"/>
            <w:vAlign w:val="bottom"/>
            <w:gridSpan w:val="3"/>
          </w:tcPr>
          <w:p>
            <w:pPr>
              <w:spacing w:after="0" w:line="196" w:lineRule="exact"/>
              <w:rPr>
                <w:sz w:val="20"/>
                <w:szCs w:val="20"/>
                <w:color w:val="auto"/>
              </w:rPr>
            </w:pPr>
            <w:r>
              <w:rPr>
                <w:rFonts w:ascii="Arial" w:cs="Arial" w:eastAsia="Arial" w:hAnsi="Arial"/>
                <w:sz w:val="18"/>
                <w:szCs w:val="18"/>
                <w:color w:val="auto"/>
              </w:rPr>
              <w:t>and [Director] (“Indemnitee”).</w:t>
            </w:r>
          </w:p>
        </w:tc>
        <w:tc>
          <w:tcPr>
            <w:tcW w:w="800" w:type="dxa"/>
            <w:vAlign w:val="bottom"/>
            <w:tcBorders>
              <w:top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r>
      <w:tr>
        <w:trPr>
          <w:trHeight w:val="453"/>
        </w:trPr>
        <w:tc>
          <w:tcPr>
            <w:tcW w:w="122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60" w:type="dxa"/>
            <w:vAlign w:val="bottom"/>
            <w:gridSpan w:val="3"/>
          </w:tcPr>
          <w:p>
            <w:pPr>
              <w:jc w:val="center"/>
              <w:ind w:right="5040"/>
              <w:spacing w:after="0"/>
              <w:rPr>
                <w:sz w:val="20"/>
                <w:szCs w:val="20"/>
                <w:color w:val="auto"/>
              </w:rPr>
            </w:pPr>
            <w:r>
              <w:rPr>
                <w:rFonts w:ascii="Arial" w:cs="Arial" w:eastAsia="Arial" w:hAnsi="Arial"/>
                <w:sz w:val="18"/>
                <w:szCs w:val="18"/>
                <w:color w:val="auto"/>
                <w:w w:val="95"/>
              </w:rPr>
              <w:t>RECITALS</w:t>
            </w:r>
          </w:p>
        </w:tc>
      </w:tr>
      <w:tr>
        <w:trPr>
          <w:trHeight w:val="432"/>
        </w:trPr>
        <w:tc>
          <w:tcPr>
            <w:tcW w:w="11420" w:type="dxa"/>
            <w:vAlign w:val="bottom"/>
            <w:gridSpan w:val="8"/>
          </w:tcPr>
          <w:p>
            <w:pPr>
              <w:ind w:left="460"/>
              <w:spacing w:after="0"/>
              <w:rPr>
                <w:sz w:val="20"/>
                <w:szCs w:val="20"/>
                <w:color w:val="auto"/>
              </w:rPr>
            </w:pPr>
            <w:r>
              <w:rPr>
                <w:rFonts w:ascii="Arial" w:cs="Arial" w:eastAsia="Arial" w:hAnsi="Arial"/>
                <w:sz w:val="18"/>
                <w:szCs w:val="18"/>
                <w:color w:val="auto"/>
                <w:w w:val="97"/>
              </w:rPr>
              <w:t>WHEREAS, the Company desires to attract and retain the services of highly qualified individuals, such as Indemnitee, to serve the Company;</w:t>
            </w:r>
          </w:p>
        </w:tc>
      </w:tr>
    </w:tbl>
    <w:p>
      <w:pPr>
        <w:spacing w:after="0" w:line="202"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WHEREAS, in order to induce Indemnitee to provide or continue to provide services to the Company, the Company wishes to provide for the indemnification of, and advancement of expenses to, Indemnitee to the maximum extent permitted by law;</w:t>
      </w:r>
    </w:p>
    <w:p>
      <w:pPr>
        <w:spacing w:after="0" w:line="170"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WHEREAS, the amended and restated certificate of incorporation (as amended and in effect from time to time, the “</w:t>
      </w:r>
      <w:r>
        <w:rPr>
          <w:rFonts w:ascii="Arial" w:cs="Arial" w:eastAsia="Arial" w:hAnsi="Arial"/>
          <w:sz w:val="16"/>
          <w:szCs w:val="16"/>
          <w:u w:val="single" w:color="auto"/>
          <w:color w:val="auto"/>
        </w:rPr>
        <w:t>Charter</w:t>
      </w:r>
      <w:r>
        <w:rPr>
          <w:rFonts w:ascii="Arial" w:cs="Arial" w:eastAsia="Arial" w:hAnsi="Arial"/>
          <w:sz w:val="16"/>
          <w:szCs w:val="16"/>
          <w:color w:val="auto"/>
        </w:rPr>
        <w:t>”) and the amended and restated bylaws (as amended and in effect from time to time, the “</w:t>
      </w:r>
      <w:r>
        <w:rPr>
          <w:rFonts w:ascii="Arial" w:cs="Arial" w:eastAsia="Arial" w:hAnsi="Arial"/>
          <w:sz w:val="16"/>
          <w:szCs w:val="16"/>
          <w:u w:val="single" w:color="auto"/>
          <w:color w:val="auto"/>
        </w:rPr>
        <w:t>Bylaws</w:t>
      </w:r>
      <w:r>
        <w:rPr>
          <w:rFonts w:ascii="Arial" w:cs="Arial" w:eastAsia="Arial" w:hAnsi="Arial"/>
          <w:sz w:val="16"/>
          <w:szCs w:val="16"/>
          <w:color w:val="auto"/>
        </w:rPr>
        <w:t>”) of the Company require indemnification of the officers and directors of the Company, and Indemnitee may also be entitled to indemnification pursuant to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has determined that the increased difficulty in attracting and retaining highly qualified persons such as Indemnitee is detrimental to the best interests of the Company’s stockholders;</w:t>
      </w:r>
    </w:p>
    <w:p>
      <w:pPr>
        <w:spacing w:after="0" w:line="170"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w:t>
      </w:r>
    </w:p>
    <w:p>
      <w:pPr>
        <w:spacing w:after="0" w:line="181"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 and</w:t>
      </w:r>
    </w:p>
    <w:p>
      <w:pPr>
        <w:spacing w:after="0" w:line="124" w:lineRule="exact"/>
        <w:rPr>
          <w:sz w:val="20"/>
          <w:szCs w:val="20"/>
          <w:color w:val="auto"/>
        </w:rPr>
      </w:pPr>
    </w:p>
    <w:p>
      <w:pPr>
        <w:ind w:right="340" w:firstLine="456"/>
        <w:spacing w:after="0" w:line="286" w:lineRule="auto"/>
        <w:rPr>
          <w:sz w:val="20"/>
          <w:szCs w:val="20"/>
          <w:color w:val="auto"/>
        </w:rPr>
      </w:pPr>
      <w:r>
        <w:rPr>
          <w:rFonts w:ascii="Arial" w:cs="Arial" w:eastAsia="Arial" w:hAnsi="Arial"/>
          <w:sz w:val="17"/>
          <w:szCs w:val="17"/>
          <w:color w:val="auto"/>
        </w:rPr>
        <w:t>[WHEREAS, Indemnitee has certain rights to indemnification and/or insurance provided by [ ] (“[ ]”) which Indemnitee and [ ] intend to be secondary to the primary obligation of the Company to indemnify Indemnitee as provided in this Agreement, with the Company’s acknowledgment and agreement to the foregoing being a material condition to Indemnitee’s willingness to serve or continue to serve on the Board.]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372" w:name="page373"/>
    <w:bookmarkEnd w:id="372"/>
    <w:p>
      <w:pPr>
        <w:ind w:right="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in consideration of the premises and the covenants contained herein, the Company and Indemnitee do hereby covenant and agree as follows:</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Services to the Company</w:t>
      </w:r>
      <w:r>
        <w:rPr>
          <w:rFonts w:ascii="Arial" w:cs="Arial" w:eastAsia="Arial" w:hAnsi="Arial"/>
          <w:sz w:val="18"/>
          <w:szCs w:val="18"/>
          <w:color w:val="auto"/>
        </w:rPr>
        <w:t>. Indemnitee agrees to [continue to] serve as a director of the Company. Indemnitee may at any time and for any reason resign from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187"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Agreement:</w:t>
      </w:r>
    </w:p>
    <w:p>
      <w:pPr>
        <w:spacing w:after="0" w:line="117" w:lineRule="exact"/>
        <w:rPr>
          <w:sz w:val="20"/>
          <w:szCs w:val="20"/>
          <w:color w:val="auto"/>
        </w:rPr>
      </w:pPr>
    </w:p>
    <w:p>
      <w:pPr>
        <w:ind w:right="280" w:firstLine="921"/>
        <w:spacing w:after="0" w:line="291" w:lineRule="auto"/>
        <w:tabs>
          <w:tab w:leader="none" w:pos="1158" w:val="left"/>
        </w:tabs>
        <w:numPr>
          <w:ilvl w:val="0"/>
          <w:numId w:val="28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59" w:lineRule="exact"/>
        <w:rPr>
          <w:rFonts w:ascii="Arial" w:cs="Arial" w:eastAsia="Arial" w:hAnsi="Arial"/>
          <w:sz w:val="16"/>
          <w:szCs w:val="16"/>
          <w:color w:val="auto"/>
        </w:rPr>
      </w:pPr>
    </w:p>
    <w:p>
      <w:pPr>
        <w:ind w:right="340" w:firstLine="921"/>
        <w:spacing w:after="0" w:line="308" w:lineRule="auto"/>
        <w:tabs>
          <w:tab w:leader="none" w:pos="1168" w:val="left"/>
        </w:tabs>
        <w:numPr>
          <w:ilvl w:val="0"/>
          <w:numId w:val="28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Corporate Status</w:t>
      </w:r>
      <w:r>
        <w:rPr>
          <w:rFonts w:ascii="Arial" w:cs="Arial" w:eastAsia="Arial" w:hAnsi="Arial"/>
          <w:sz w:val="17"/>
          <w:szCs w:val="17"/>
          <w:color w:val="auto"/>
        </w:rPr>
        <w:t>” describes the status of a person as a current or former director of the Company or current or former director, manager, partner, officer, employee, agent or trustee of any other Enterprise which such person is or was serving at the request of the Company.</w:t>
      </w:r>
    </w:p>
    <w:p>
      <w:pPr>
        <w:spacing w:after="0" w:line="38" w:lineRule="exact"/>
        <w:rPr>
          <w:rFonts w:ascii="Arial" w:cs="Arial" w:eastAsia="Arial" w:hAnsi="Arial"/>
          <w:sz w:val="17"/>
          <w:szCs w:val="17"/>
          <w:color w:val="auto"/>
        </w:rPr>
      </w:pPr>
    </w:p>
    <w:p>
      <w:pPr>
        <w:ind w:right="40" w:firstLine="921"/>
        <w:spacing w:after="0" w:line="259" w:lineRule="auto"/>
        <w:tabs>
          <w:tab w:leader="none" w:pos="115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Enforcement Expenses</w:t>
      </w:r>
      <w:r>
        <w:rPr>
          <w:rFonts w:ascii="Arial" w:cs="Arial" w:eastAsia="Arial" w:hAnsi="Arial"/>
          <w:sz w:val="18"/>
          <w:szCs w:val="18"/>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78" w:lineRule="exact"/>
        <w:rPr>
          <w:rFonts w:ascii="Arial" w:cs="Arial" w:eastAsia="Arial" w:hAnsi="Arial"/>
          <w:sz w:val="18"/>
          <w:szCs w:val="18"/>
          <w:color w:val="auto"/>
        </w:rPr>
      </w:pPr>
    </w:p>
    <w:p>
      <w:pPr>
        <w:ind w:firstLine="921"/>
        <w:spacing w:after="0" w:line="264" w:lineRule="auto"/>
        <w:tabs>
          <w:tab w:leader="none" w:pos="116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373" w:name="page374"/>
    <w:bookmarkEnd w:id="373"/>
    <w:p>
      <w:pPr>
        <w:ind w:right="120" w:firstLine="921"/>
        <w:spacing w:after="0" w:line="276" w:lineRule="auto"/>
        <w:tabs>
          <w:tab w:leader="none" w:pos="1158" w:val="left"/>
        </w:tabs>
        <w:numPr>
          <w:ilvl w:val="0"/>
          <w:numId w:val="2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64" w:lineRule="exact"/>
        <w:rPr>
          <w:rFonts w:ascii="Arial" w:cs="Arial" w:eastAsia="Arial" w:hAnsi="Arial"/>
          <w:sz w:val="17"/>
          <w:szCs w:val="17"/>
          <w:color w:val="auto"/>
        </w:rPr>
      </w:pPr>
    </w:p>
    <w:p>
      <w:pPr>
        <w:ind w:right="40" w:firstLine="921"/>
        <w:spacing w:after="0" w:line="254" w:lineRule="auto"/>
        <w:tabs>
          <w:tab w:leader="none" w:pos="113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Counsel</w:t>
      </w:r>
      <w:r>
        <w:rPr>
          <w:rFonts w:ascii="Arial" w:cs="Arial" w:eastAsia="Arial" w:hAnsi="Arial"/>
          <w:sz w:val="18"/>
          <w:szCs w:val="18"/>
          <w:color w:val="auto"/>
        </w:rPr>
        <w:t>”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84" w:lineRule="exact"/>
        <w:rPr>
          <w:rFonts w:ascii="Arial" w:cs="Arial" w:eastAsia="Arial" w:hAnsi="Arial"/>
          <w:sz w:val="18"/>
          <w:szCs w:val="18"/>
          <w:color w:val="auto"/>
        </w:rPr>
      </w:pPr>
    </w:p>
    <w:p>
      <w:pPr>
        <w:ind w:firstLine="921"/>
        <w:spacing w:after="0" w:line="270" w:lineRule="auto"/>
        <w:tabs>
          <w:tab w:leader="none" w:pos="1168" w:val="left"/>
        </w:tabs>
        <w:numPr>
          <w:ilvl w:val="0"/>
          <w:numId w:val="286"/>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of the Company or is or was serving at the request of the Company as a director, manager, partner, officer, employee, agent or trustee of any Enterprise or by reason of any action taken by Indemnitee or of any action taken on his or her part while acting as a director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“Proceeding” shall not include any action, suit or arbitration, or part thereof, initiated by Indemnitee to enforce Indemnitee’s rights under this Agreement as provided for in Section 12(a) of this Agreement.</w:t>
      </w:r>
    </w:p>
    <w:p>
      <w:pPr>
        <w:spacing w:after="0" w:line="178"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374" w:name="page375"/>
    <w:bookmarkEnd w:id="374"/>
    <w:p>
      <w:pPr>
        <w:ind w:right="3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8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w:t>
      </w:r>
      <w:r>
        <w:rPr>
          <w:rFonts w:ascii="Arial" w:cs="Arial" w:eastAsia="Arial" w:hAnsi="Arial"/>
          <w:sz w:val="16"/>
          <w:szCs w:val="16"/>
          <w:u w:val="single" w:color="auto"/>
          <w:color w:val="auto"/>
        </w:rPr>
        <w:t>Delaware Court</w:t>
      </w:r>
      <w:r>
        <w:rPr>
          <w:rFonts w:ascii="Arial" w:cs="Arial" w:eastAsia="Arial" w:hAnsi="Arial"/>
          <w:sz w:val="16"/>
          <w:szCs w:val="16"/>
          <w:color w:val="auto"/>
        </w:rPr>
        <w: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16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6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Reimbursement for Expenses of a Witness or in Response to a Subpoena</w:t>
      </w:r>
      <w:r>
        <w:rPr>
          <w:rFonts w:ascii="Arial" w:cs="Arial" w:eastAsia="Arial" w:hAnsi="Arial"/>
          <w:sz w:val="16"/>
          <w:szCs w:val="16"/>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Exclusions</w:t>
      </w:r>
      <w:r>
        <w:rPr>
          <w:rFonts w:ascii="Arial" w:cs="Arial" w:eastAsia="Arial" w:hAnsi="Arial"/>
          <w:sz w:val="17"/>
          <w:szCs w:val="17"/>
          <w:color w:val="auto"/>
        </w:rPr>
        <w:t>. Notwithstanding any provision in this Agreement to the contrary, the Company shall not be obligated under this Agreement:</w:t>
      </w:r>
    </w:p>
    <w:p>
      <w:pPr>
        <w:spacing w:after="0" w:line="129" w:lineRule="exact"/>
        <w:rPr>
          <w:sz w:val="20"/>
          <w:szCs w:val="20"/>
          <w:color w:val="auto"/>
        </w:rPr>
      </w:pPr>
    </w:p>
    <w:p>
      <w:pPr>
        <w:ind w:right="120" w:firstLine="921"/>
        <w:spacing w:after="0" w:line="264" w:lineRule="auto"/>
        <w:tabs>
          <w:tab w:leader="none" w:pos="115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to indemnify for amounts otherwise indemnifiable hereunder (or for which advancement is provided hereunder) if and to the extent that Indemnitee has otherwise actually received such amounts under any insurance policy, contract, agreement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affect the rights of Indemnitee or the Secondary Indemnitors as set forth in Section 13(c);</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75" w:name="page376"/>
    <w:bookmarkEnd w:id="375"/>
    <w:p>
      <w:pPr>
        <w:jc w:val="both"/>
        <w:ind w:right="60" w:firstLine="921"/>
        <w:spacing w:after="0" w:line="286" w:lineRule="auto"/>
        <w:tabs>
          <w:tab w:leader="none" w:pos="1168" w:val="left"/>
        </w:tabs>
        <w:numPr>
          <w:ilvl w:val="2"/>
          <w:numId w:val="28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indemnify for an accounting of profits made from the purchase and sale (or sale and purchase) by Indemnitee of securities of the Company within the meaning of Section 16(b) of the Securities Exchange Act of 1934, as amended, or similar provisions of state statutory law or common law, or from the purchase or sale by Indemnitee of such securities in violation of Section 306 of the Sarbanes Oxley Act of 2002 (“</w:t>
      </w:r>
      <w:r>
        <w:rPr>
          <w:rFonts w:ascii="Arial" w:cs="Arial" w:eastAsia="Arial" w:hAnsi="Arial"/>
          <w:sz w:val="17"/>
          <w:szCs w:val="17"/>
          <w:u w:val="single" w:color="auto"/>
          <w:color w:val="auto"/>
        </w:rPr>
        <w:t>SOX</w:t>
      </w:r>
      <w:r>
        <w:rPr>
          <w:rFonts w:ascii="Arial" w:cs="Arial" w:eastAsia="Arial" w:hAnsi="Arial"/>
          <w:sz w:val="17"/>
          <w:szCs w:val="17"/>
          <w:color w:val="auto"/>
        </w:rPr>
        <w:t>”);</w:t>
      </w:r>
    </w:p>
    <w:p>
      <w:pPr>
        <w:spacing w:after="0" w:line="57" w:lineRule="exact"/>
        <w:rPr>
          <w:rFonts w:ascii="Arial" w:cs="Arial" w:eastAsia="Arial" w:hAnsi="Arial"/>
          <w:sz w:val="17"/>
          <w:szCs w:val="17"/>
          <w:color w:val="auto"/>
        </w:rPr>
      </w:pPr>
    </w:p>
    <w:p>
      <w:pPr>
        <w:ind w:left="460" w:right="140" w:firstLine="443"/>
        <w:spacing w:after="0" w:line="286" w:lineRule="auto"/>
        <w:tabs>
          <w:tab w:leader="none" w:pos="1143" w:val="left"/>
        </w:tabs>
        <w:numPr>
          <w:ilvl w:val="1"/>
          <w:numId w:val="289"/>
        </w:numPr>
        <w:rPr>
          <w:rFonts w:ascii="Arial" w:cs="Arial" w:eastAsia="Arial" w:hAnsi="Arial"/>
          <w:sz w:val="16"/>
          <w:szCs w:val="16"/>
          <w:color w:val="auto"/>
        </w:rPr>
      </w:pPr>
      <w:r>
        <w:rPr>
          <w:rFonts w:ascii="Arial" w:cs="Arial" w:eastAsia="Arial" w:hAnsi="Arial"/>
          <w:sz w:val="16"/>
          <w:szCs w:val="16"/>
          <w:color w:val="auto"/>
        </w:rPr>
        <w:t xml:space="preserve">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Section 7(c) shall not apply to (A) counterclaims or affirmative defenses asserted by Indemnitee in an action brought against Indemnitee or</w:t>
      </w:r>
    </w:p>
    <w:p>
      <w:pPr>
        <w:spacing w:after="0" w:line="1" w:lineRule="exact"/>
        <w:rPr>
          <w:rFonts w:ascii="Arial" w:cs="Arial" w:eastAsia="Arial" w:hAnsi="Arial"/>
          <w:sz w:val="16"/>
          <w:szCs w:val="16"/>
          <w:color w:val="auto"/>
        </w:rPr>
      </w:pPr>
    </w:p>
    <w:p>
      <w:pPr>
        <w:ind w:left="460" w:right="200" w:firstLine="4"/>
        <w:spacing w:after="0" w:line="255" w:lineRule="auto"/>
        <w:tabs>
          <w:tab w:leader="none" w:pos="74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82" w:lineRule="exact"/>
        <w:rPr>
          <w:rFonts w:ascii="Arial" w:cs="Arial" w:eastAsia="Arial" w:hAnsi="Arial"/>
          <w:sz w:val="18"/>
          <w:szCs w:val="18"/>
          <w:color w:val="auto"/>
        </w:rPr>
      </w:pPr>
    </w:p>
    <w:p>
      <w:pPr>
        <w:ind w:firstLine="921"/>
        <w:spacing w:after="0" w:line="277" w:lineRule="auto"/>
        <w:tabs>
          <w:tab w:leader="none" w:pos="1168" w:val="left"/>
        </w:tabs>
        <w:numPr>
          <w:ilvl w:val="2"/>
          <w:numId w:val="290"/>
        </w:numPr>
        <w:rPr>
          <w:rFonts w:ascii="Arial" w:cs="Arial" w:eastAsia="Arial" w:hAnsi="Arial"/>
          <w:sz w:val="18"/>
          <w:szCs w:val="18"/>
          <w:color w:val="auto"/>
        </w:rPr>
      </w:pPr>
      <w:r>
        <w:rPr>
          <w:rFonts w:ascii="Arial" w:cs="Arial" w:eastAsia="Arial" w:hAnsi="Arial"/>
          <w:sz w:val="18"/>
          <w:szCs w:val="18"/>
          <w:color w:val="auto"/>
        </w:rPr>
        <w:t>to provide any indemnification or advancement of expenses that is prohibited by applicable law (as such law exists at the time payment would otherwise be required pursuant to this Agreement).</w:t>
      </w:r>
    </w:p>
    <w:p>
      <w:pPr>
        <w:spacing w:after="0" w:line="170"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Subject to Section 9(b), the Company shall advance, to the extent not prohibited by law, the Expenses incurred by Indemnitee in connection with any Proceeding, and such advancement shall be made as incurred, and such advancement shall be made within thirty</w:t>
      </w:r>
    </w:p>
    <w:p>
      <w:pPr>
        <w:ind w:right="20" w:firstLine="8"/>
        <w:spacing w:after="0" w:line="267" w:lineRule="auto"/>
        <w:tabs>
          <w:tab w:leader="none" w:pos="345" w:val="left"/>
        </w:tabs>
        <w:numPr>
          <w:ilvl w:val="0"/>
          <w:numId w:val="291"/>
        </w:numPr>
        <w:rPr>
          <w:rFonts w:ascii="Arial" w:cs="Arial" w:eastAsia="Arial" w:hAnsi="Arial"/>
          <w:sz w:val="17"/>
          <w:szCs w:val="17"/>
          <w:color w:val="auto"/>
        </w:rPr>
      </w:pPr>
      <w:r>
        <w:rPr>
          <w:rFonts w:ascii="Arial" w:cs="Arial" w:eastAsia="Arial" w:hAnsi="Arial"/>
          <w:sz w:val="17"/>
          <w:szCs w:val="17"/>
          <w:color w:val="auto"/>
        </w:rPr>
        <w:t>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of covered loss under the provisions of any applicable insurance policy (including ,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376" w:name="page377"/>
    <w:bookmarkEnd w:id="3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 </w:t>
      </w:r>
      <w:r>
        <w:rPr>
          <w:rFonts w:ascii="Arial" w:cs="Arial" w:eastAsia="Arial" w:hAnsi="Arial"/>
          <w:sz w:val="18"/>
          <w:szCs w:val="18"/>
          <w:u w:val="single" w:color="auto"/>
          <w:color w:val="auto"/>
        </w:rPr>
        <w:t>Procedure for Notification and Defense of Claim</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21"/>
        <w:spacing w:after="0" w:line="264" w:lineRule="auto"/>
        <w:tabs>
          <w:tab w:leader="none" w:pos="1158"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73" w:lineRule="exact"/>
        <w:rPr>
          <w:rFonts w:ascii="Arial" w:cs="Arial" w:eastAsia="Arial" w:hAnsi="Arial"/>
          <w:sz w:val="18"/>
          <w:szCs w:val="18"/>
          <w:color w:val="auto"/>
        </w:rPr>
      </w:pPr>
    </w:p>
    <w:p>
      <w:pPr>
        <w:ind w:firstLine="921"/>
        <w:spacing w:after="0" w:line="270" w:lineRule="auto"/>
        <w:tabs>
          <w:tab w:leader="none" w:pos="1168" w:val="left"/>
        </w:tabs>
        <w:numPr>
          <w:ilvl w:val="0"/>
          <w:numId w:val="292"/>
        </w:numPr>
        <w:rPr>
          <w:rFonts w:ascii="Arial" w:cs="Arial" w:eastAsia="Arial" w:hAnsi="Arial"/>
          <w:sz w:val="17"/>
          <w:szCs w:val="17"/>
          <w:color w:val="auto"/>
        </w:rPr>
      </w:pPr>
      <w:r>
        <w:rPr>
          <w:rFonts w:ascii="Arial" w:cs="Arial" w:eastAsia="Arial" w:hAnsi="Arial"/>
          <w:sz w:val="17"/>
          <w:szCs w:val="17"/>
          <w:color w:val="auto"/>
        </w:rPr>
        <w:t xml:space="preserve">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or (C) the Company shall not continue to retain such counsel to defend such Proceeding, then the fees and expenses actually and reasonably incurred by Indemnitee with respect to his or her separate counsel shall be Expenses hereunder.</w:t>
      </w:r>
    </w:p>
    <w:p>
      <w:pPr>
        <w:spacing w:after="0" w:line="69" w:lineRule="exact"/>
        <w:rPr>
          <w:rFonts w:ascii="Arial" w:cs="Arial" w:eastAsia="Arial" w:hAnsi="Arial"/>
          <w:sz w:val="17"/>
          <w:szCs w:val="17"/>
          <w:color w:val="auto"/>
        </w:rPr>
      </w:pPr>
    </w:p>
    <w:p>
      <w:pPr>
        <w:ind w:right="540" w:firstLine="921"/>
        <w:spacing w:after="0" w:line="277" w:lineRule="auto"/>
        <w:tabs>
          <w:tab w:leader="none" w:pos="1158"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In the event that the Company does not assume the defense in a Proceeding pursuant to paragraph (b) above, then the Company will be entitled to participate in the Proceeding at its own expense.</w:t>
      </w:r>
    </w:p>
    <w:p>
      <w:pPr>
        <w:spacing w:after="0" w:line="62" w:lineRule="exact"/>
        <w:rPr>
          <w:rFonts w:ascii="Arial" w:cs="Arial" w:eastAsia="Arial" w:hAnsi="Arial"/>
          <w:sz w:val="18"/>
          <w:szCs w:val="18"/>
          <w:color w:val="auto"/>
        </w:rPr>
      </w:pPr>
    </w:p>
    <w:p>
      <w:pPr>
        <w:ind w:right="300" w:firstLine="921"/>
        <w:spacing w:after="0" w:line="293" w:lineRule="auto"/>
        <w:tabs>
          <w:tab w:leader="none" w:pos="1168" w:val="left"/>
        </w:tabs>
        <w:numPr>
          <w:ilvl w:val="0"/>
          <w:numId w:val="292"/>
        </w:numPr>
        <w:rPr>
          <w:rFonts w:ascii="Arial" w:cs="Arial" w:eastAsia="Arial" w:hAnsi="Arial"/>
          <w:sz w:val="16"/>
          <w:szCs w:val="16"/>
          <w:color w:val="auto"/>
        </w:rPr>
      </w:pPr>
      <w:r>
        <w:rPr>
          <w:rFonts w:ascii="Arial" w:cs="Arial" w:eastAsia="Arial" w:hAnsi="Arial"/>
          <w:sz w:val="16"/>
          <w:szCs w:val="16"/>
          <w:color w:val="auto"/>
        </w:rPr>
        <w:t>The Company shall not be liable to indemnify Indemnitee under this Agreement for any amounts paid in settlement of any Proceeding effected without its prior written consent (which consent shall not be unreasonably withheld or delayed).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p>
    <w:p>
      <w:pPr>
        <w:spacing w:after="0" w:line="117" w:lineRule="exact"/>
        <w:rPr>
          <w:sz w:val="20"/>
          <w:szCs w:val="20"/>
          <w:color w:val="auto"/>
        </w:rPr>
      </w:pPr>
    </w:p>
    <w:p>
      <w:pPr>
        <w:ind w:right="380" w:firstLine="921"/>
        <w:spacing w:after="0" w:line="291" w:lineRule="auto"/>
        <w:tabs>
          <w:tab w:leader="none" w:pos="1158" w:val="left"/>
        </w:tabs>
        <w:numPr>
          <w:ilvl w:val="1"/>
          <w:numId w:val="293"/>
        </w:numPr>
        <w:rPr>
          <w:rFonts w:ascii="Arial" w:cs="Arial" w:eastAsia="Arial" w:hAnsi="Arial"/>
          <w:sz w:val="16"/>
          <w:szCs w:val="16"/>
          <w:color w:val="auto"/>
        </w:rPr>
      </w:pPr>
      <w:r>
        <w:rPr>
          <w:rFonts w:ascii="Arial" w:cs="Arial" w:eastAsia="Arial" w:hAnsi="Arial"/>
          <w:sz w:val="16"/>
          <w:szCs w:val="16"/>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w:t>
      </w:r>
    </w:p>
    <w:p>
      <w:pPr>
        <w:ind w:right="660" w:firstLine="8"/>
        <w:spacing w:after="0" w:line="261" w:lineRule="auto"/>
        <w:tabs>
          <w:tab w:leader="none" w:pos="255"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if a Change in Control shall have occurred, by Independent Counsel in a written opinion to the Board; or (y) if a Change in Control shall not have occurred: (i) by a majority vote of the disinterested directors, even though less than a quorum; (ii) by a</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77" w:name="page378"/>
    <w:bookmarkEnd w:id="377"/>
    <w:p>
      <w:pPr>
        <w:ind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65" w:lineRule="exact"/>
        <w:rPr>
          <w:sz w:val="20"/>
          <w:szCs w:val="20"/>
          <w:color w:val="auto"/>
        </w:rPr>
      </w:pPr>
    </w:p>
    <w:p>
      <w:pPr>
        <w:ind w:firstLine="921"/>
        <w:spacing w:after="0" w:line="268" w:lineRule="auto"/>
        <w:tabs>
          <w:tab w:leader="none" w:pos="1168" w:val="left"/>
        </w:tabs>
        <w:numPr>
          <w:ilvl w:val="0"/>
          <w:numId w:val="295"/>
        </w:numPr>
        <w:rPr>
          <w:rFonts w:ascii="Arial" w:cs="Arial" w:eastAsia="Arial" w:hAnsi="Arial"/>
          <w:sz w:val="17"/>
          <w:szCs w:val="17"/>
          <w:color w:val="auto"/>
        </w:rPr>
      </w:pPr>
      <w:r>
        <w:rPr>
          <w:rFonts w:ascii="Arial" w:cs="Arial" w:eastAsia="Arial" w:hAnsi="Arial"/>
          <w:sz w:val="17"/>
          <w:szCs w:val="17"/>
          <w:color w:val="auto"/>
        </w:rPr>
        <w:t xml:space="preserve">If the determination of entitlement to indemnification is to be made by Independent Counsel pursuant to Section 10(a), the Independent Counsel shall be selected by the Board if a Change in Control shall not have occurred or, if a Change in Control shall have occurred, by Indemnitee. Indemnitee or the Company, as the case may be, may, within ten (10) days after written notice of such selection, deliver to the Company or Indemnitee, as the case may be, a written objection to such selection;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3" w:right="279" w:bottom="1440" w:gutter="0" w:footer="0" w:header="0"/>
        </w:sectPr>
      </w:pPr>
    </w:p>
    <w:bookmarkStart w:id="378" w:name="page379"/>
    <w:bookmarkEnd w:id="37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 </w:t>
      </w: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117" w:lineRule="exact"/>
        <w:rPr>
          <w:sz w:val="20"/>
          <w:szCs w:val="20"/>
          <w:color w:val="auto"/>
        </w:rPr>
      </w:pPr>
    </w:p>
    <w:p>
      <w:pPr>
        <w:ind w:left="-20" w:right="220" w:firstLine="921"/>
        <w:spacing w:after="0" w:line="291" w:lineRule="auto"/>
        <w:tabs>
          <w:tab w:leader="none" w:pos="1138" w:val="left"/>
        </w:tabs>
        <w:numPr>
          <w:ilvl w:val="0"/>
          <w:numId w:val="296"/>
        </w:numPr>
        <w:rPr>
          <w:rFonts w:ascii="Arial" w:cs="Arial" w:eastAsia="Arial" w:hAnsi="Arial"/>
          <w:sz w:val="16"/>
          <w:szCs w:val="16"/>
          <w:color w:val="auto"/>
        </w:rPr>
      </w:pPr>
      <w:r>
        <w:rPr>
          <w:rFonts w:ascii="Arial" w:cs="Arial" w:eastAsia="Arial" w:hAnsi="Arial"/>
          <w:sz w:val="16"/>
          <w:szCs w:val="16"/>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to overcome that presumption in connection with the making of any determination contrary to that presumption. Neither (i) the failure of the Company or of Independent Counsel to have made a determination prior to the commencement of any action pursuant to this Agreement that indemnification is proper in the circumstances because Indemnitee has met the applicable standard of conduct, nor (ii) an actual determination by the Company or by Independent Counsel that Indemnitee has not met such applicable standard of conduct, shall be a defense to the action or create a presumption that Indemnitee has not met the applicable standard of conduct.</w:t>
      </w:r>
    </w:p>
    <w:p>
      <w:pPr>
        <w:spacing w:after="0" w:line="59" w:lineRule="exact"/>
        <w:rPr>
          <w:rFonts w:ascii="Arial" w:cs="Arial" w:eastAsia="Arial" w:hAnsi="Arial"/>
          <w:sz w:val="16"/>
          <w:szCs w:val="16"/>
          <w:color w:val="auto"/>
        </w:rPr>
      </w:pPr>
    </w:p>
    <w:p>
      <w:pPr>
        <w:ind w:left="-20" w:right="20" w:firstLine="921"/>
        <w:spacing w:after="0" w:line="257" w:lineRule="auto"/>
        <w:tabs>
          <w:tab w:leader="none" w:pos="1148"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The termination of any Proceeding or of any claim, issue or matter therein, by judgment, order, settlement or conviction, or upon a plea of guilty,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80" w:lineRule="exact"/>
        <w:rPr>
          <w:rFonts w:ascii="Arial" w:cs="Arial" w:eastAsia="Arial" w:hAnsi="Arial"/>
          <w:sz w:val="18"/>
          <w:szCs w:val="18"/>
          <w:color w:val="auto"/>
        </w:rPr>
      </w:pPr>
    </w:p>
    <w:p>
      <w:pPr>
        <w:ind w:left="-20" w:right="340" w:firstLine="921"/>
        <w:spacing w:after="0" w:line="264" w:lineRule="auto"/>
        <w:tabs>
          <w:tab w:leader="none" w:pos="1138"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117" w:lineRule="exact"/>
        <w:rPr>
          <w:sz w:val="20"/>
          <w:szCs w:val="20"/>
          <w:color w:val="auto"/>
        </w:rPr>
      </w:pPr>
    </w:p>
    <w:p>
      <w:pPr>
        <w:ind w:left="-20" w:firstLine="921"/>
        <w:spacing w:after="0" w:line="270" w:lineRule="auto"/>
        <w:tabs>
          <w:tab w:leader="none" w:pos="1138" w:val="left"/>
        </w:tabs>
        <w:numPr>
          <w:ilvl w:val="0"/>
          <w:numId w:val="297"/>
        </w:numPr>
        <w:rPr>
          <w:rFonts w:ascii="Arial" w:cs="Arial" w:eastAsia="Arial" w:hAnsi="Arial"/>
          <w:sz w:val="17"/>
          <w:szCs w:val="17"/>
          <w:color w:val="auto"/>
        </w:rPr>
      </w:pPr>
      <w:r>
        <w:rPr>
          <w:rFonts w:ascii="Arial" w:cs="Arial" w:eastAsia="Arial" w:hAnsi="Arial"/>
          <w:sz w:val="17"/>
          <w:szCs w:val="17"/>
          <w:color w:val="auto"/>
        </w:rPr>
        <w:t>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74" w:right="259" w:bottom="1440" w:gutter="0" w:footer="0" w:header="0"/>
        </w:sectPr>
      </w:pPr>
    </w:p>
    <w:bookmarkStart w:id="379" w:name="page380"/>
    <w:bookmarkEnd w:id="379"/>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79" w:lineRule="exact"/>
        <w:rPr>
          <w:sz w:val="20"/>
          <w:szCs w:val="20"/>
          <w:color w:val="auto"/>
        </w:rPr>
      </w:pPr>
    </w:p>
    <w:p>
      <w:pPr>
        <w:jc w:val="both"/>
        <w:ind w:firstLine="921"/>
        <w:spacing w:after="0" w:line="302" w:lineRule="auto"/>
        <w:tabs>
          <w:tab w:leader="none" w:pos="1168" w:val="left"/>
        </w:tabs>
        <w:numPr>
          <w:ilvl w:val="0"/>
          <w:numId w:val="298"/>
        </w:numPr>
        <w:rPr>
          <w:rFonts w:ascii="Arial" w:cs="Arial" w:eastAsia="Arial" w:hAnsi="Arial"/>
          <w:sz w:val="16"/>
          <w:szCs w:val="16"/>
          <w:color w:val="auto"/>
        </w:rPr>
      </w:pPr>
      <w:r>
        <w:rPr>
          <w:rFonts w:ascii="Arial" w:cs="Arial" w:eastAsia="Arial" w:hAnsi="Arial"/>
          <w:sz w:val="16"/>
          <w:szCs w:val="16"/>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46" w:lineRule="exact"/>
        <w:rPr>
          <w:rFonts w:ascii="Arial" w:cs="Arial" w:eastAsia="Arial" w:hAnsi="Arial"/>
          <w:sz w:val="16"/>
          <w:szCs w:val="16"/>
          <w:color w:val="auto"/>
        </w:rPr>
      </w:pPr>
    </w:p>
    <w:p>
      <w:pPr>
        <w:ind w:right="60" w:firstLine="921"/>
        <w:spacing w:after="0" w:line="279" w:lineRule="auto"/>
        <w:tabs>
          <w:tab w:leader="none" w:pos="1158" w:val="left"/>
        </w:tabs>
        <w:numPr>
          <w:ilvl w:val="0"/>
          <w:numId w:val="298"/>
        </w:numPr>
        <w:rPr>
          <w:rFonts w:ascii="Arial" w:cs="Arial" w:eastAsia="Arial" w:hAnsi="Arial"/>
          <w:sz w:val="17"/>
          <w:szCs w:val="17"/>
          <w:color w:val="auto"/>
        </w:rPr>
      </w:pPr>
      <w:r>
        <w:rPr>
          <w:rFonts w:ascii="Arial" w:cs="Arial" w:eastAsia="Arial" w:hAnsi="Arial"/>
          <w:sz w:val="17"/>
          <w:szCs w:val="17"/>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63" w:lineRule="exact"/>
        <w:rPr>
          <w:rFonts w:ascii="Arial" w:cs="Arial" w:eastAsia="Arial" w:hAnsi="Arial"/>
          <w:sz w:val="17"/>
          <w:szCs w:val="17"/>
          <w:color w:val="auto"/>
        </w:rPr>
      </w:pPr>
    </w:p>
    <w:p>
      <w:pPr>
        <w:ind w:right="140" w:firstLine="921"/>
        <w:spacing w:after="0" w:line="264" w:lineRule="auto"/>
        <w:tabs>
          <w:tab w:leader="none" w:pos="116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73" w:lineRule="exact"/>
        <w:rPr>
          <w:rFonts w:ascii="Arial" w:cs="Arial" w:eastAsia="Arial" w:hAnsi="Arial"/>
          <w:sz w:val="18"/>
          <w:szCs w:val="18"/>
          <w:color w:val="auto"/>
        </w:rPr>
      </w:pPr>
    </w:p>
    <w:p>
      <w:pPr>
        <w:ind w:firstLine="921"/>
        <w:spacing w:after="0" w:line="291" w:lineRule="auto"/>
        <w:tabs>
          <w:tab w:leader="none" w:pos="1158" w:val="left"/>
        </w:tabs>
        <w:numPr>
          <w:ilvl w:val="0"/>
          <w:numId w:val="298"/>
        </w:numPr>
        <w:rPr>
          <w:rFonts w:ascii="Arial" w:cs="Arial" w:eastAsia="Arial" w:hAnsi="Arial"/>
          <w:sz w:val="16"/>
          <w:szCs w:val="16"/>
          <w:color w:val="auto"/>
        </w:rPr>
      </w:pPr>
      <w:r>
        <w:rPr>
          <w:rFonts w:ascii="Arial" w:cs="Arial" w:eastAsia="Arial" w:hAnsi="Arial"/>
          <w:sz w:val="16"/>
          <w:szCs w:val="16"/>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59" w:lineRule="exact"/>
        <w:rPr>
          <w:rFonts w:ascii="Arial" w:cs="Arial" w:eastAsia="Arial" w:hAnsi="Arial"/>
          <w:sz w:val="16"/>
          <w:szCs w:val="16"/>
          <w:color w:val="auto"/>
        </w:rPr>
      </w:pPr>
    </w:p>
    <w:p>
      <w:pPr>
        <w:ind w:right="60" w:firstLine="921"/>
        <w:spacing w:after="0" w:line="277" w:lineRule="auto"/>
        <w:tabs>
          <w:tab w:leader="none" w:pos="113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380" w:name="page381"/>
    <w:bookmarkEnd w:id="38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 </w:t>
      </w:r>
      <w:r>
        <w:rPr>
          <w:rFonts w:ascii="Arial" w:cs="Arial" w:eastAsia="Arial" w:hAnsi="Arial"/>
          <w:sz w:val="18"/>
          <w:szCs w:val="18"/>
          <w:u w:val="single" w:color="auto"/>
          <w:color w:val="auto"/>
        </w:rPr>
        <w:t>Non-exclusivity; Survival of Rights; Insurance; Primacy of Indemnification; Subrogation</w:t>
      </w:r>
      <w:r>
        <w:rPr>
          <w:rFonts w:ascii="Arial" w:cs="Arial" w:eastAsia="Arial" w:hAnsi="Arial"/>
          <w:sz w:val="18"/>
          <w:szCs w:val="18"/>
          <w:color w:val="auto"/>
        </w:rPr>
        <w:t>.</w:t>
      </w:r>
    </w:p>
    <w:p>
      <w:pPr>
        <w:spacing w:after="0" w:line="117" w:lineRule="exact"/>
        <w:rPr>
          <w:sz w:val="20"/>
          <w:szCs w:val="20"/>
          <w:color w:val="auto"/>
        </w:rPr>
      </w:pPr>
    </w:p>
    <w:p>
      <w:pPr>
        <w:ind w:left="-20" w:firstLine="921"/>
        <w:spacing w:after="0" w:line="270" w:lineRule="auto"/>
        <w:tabs>
          <w:tab w:leader="none" w:pos="1138"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69" w:lineRule="exact"/>
        <w:rPr>
          <w:rFonts w:ascii="Arial" w:cs="Arial" w:eastAsia="Arial" w:hAnsi="Arial"/>
          <w:sz w:val="17"/>
          <w:szCs w:val="17"/>
          <w:color w:val="auto"/>
        </w:rPr>
      </w:pPr>
    </w:p>
    <w:p>
      <w:pPr>
        <w:ind w:left="-20" w:right="140" w:firstLine="921"/>
        <w:spacing w:after="0" w:line="272" w:lineRule="auto"/>
        <w:tabs>
          <w:tab w:leader="none" w:pos="1148"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69" w:lineRule="exact"/>
        <w:rPr>
          <w:rFonts w:ascii="Arial" w:cs="Arial" w:eastAsia="Arial" w:hAnsi="Arial"/>
          <w:sz w:val="17"/>
          <w:szCs w:val="17"/>
          <w:color w:val="auto"/>
        </w:rPr>
      </w:pPr>
    </w:p>
    <w:p>
      <w:pPr>
        <w:ind w:left="-20" w:firstLine="921"/>
        <w:spacing w:after="0" w:line="269" w:lineRule="auto"/>
        <w:tabs>
          <w:tab w:leader="none" w:pos="1138" w:val="left"/>
        </w:tabs>
        <w:numPr>
          <w:ilvl w:val="0"/>
          <w:numId w:val="299"/>
        </w:numPr>
        <w:rPr>
          <w:rFonts w:ascii="Arial" w:cs="Arial" w:eastAsia="Arial" w:hAnsi="Arial"/>
          <w:sz w:val="17"/>
          <w:szCs w:val="17"/>
          <w:color w:val="auto"/>
        </w:rPr>
      </w:pPr>
      <w:r>
        <w:rPr>
          <w:rFonts w:ascii="Arial" w:cs="Arial" w:eastAsia="Arial" w:hAnsi="Arial"/>
          <w:sz w:val="17"/>
          <w:szCs w:val="17"/>
          <w:color w:val="auto"/>
        </w:rPr>
        <w:t>[The Company hereby acknowledges that Indemnitee has certain rights to indemnification, advancement of expenses and/or insurance provided by [ ] and certain of its affiliates (collectively, the “</w:t>
      </w:r>
      <w:r>
        <w:rPr>
          <w:rFonts w:ascii="Arial" w:cs="Arial" w:eastAsia="Arial" w:hAnsi="Arial"/>
          <w:sz w:val="17"/>
          <w:szCs w:val="17"/>
          <w:u w:val="single" w:color="auto"/>
          <w:color w:val="auto"/>
        </w:rPr>
        <w:t>Secondary Indemnitors</w:t>
      </w:r>
      <w:r>
        <w:rPr>
          <w:rFonts w:ascii="Arial" w:cs="Arial" w:eastAsia="Arial" w:hAnsi="Arial"/>
          <w:sz w:val="17"/>
          <w:szCs w:val="17"/>
          <w:color w:val="auto"/>
        </w:rPr>
        <w:t>”). The Company hereby agrees (i) that it is the indemnitor of first resort (</w:t>
      </w:r>
      <w:r>
        <w:rPr>
          <w:rFonts w:ascii="Arial" w:cs="Arial" w:eastAsia="Arial" w:hAnsi="Arial"/>
          <w:sz w:val="17"/>
          <w:szCs w:val="17"/>
          <w:i w:val="1"/>
          <w:iCs w:val="1"/>
          <w:color w:val="auto"/>
        </w:rPr>
        <w:t>i.e.</w:t>
      </w:r>
      <w:r>
        <w:rPr>
          <w:rFonts w:ascii="Arial" w:cs="Arial" w:eastAsia="Arial" w:hAnsi="Arial"/>
          <w:sz w:val="17"/>
          <w:szCs w:val="17"/>
          <w:color w:val="auto"/>
        </w:rPr>
        <w:t>, its obligations to Indemnitee are primary and any obligation of the Secondary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Charter and/or Bylaws (or any other agreement between the Company and Indemnitee), without regard to any rights Indemnitee may have against the Secondary Indemnitors, and (iii) that it irrevocably waives, relinquishes and releases the Secondary Indemnitors from any and all claims against the Secondary Indemnitors for contribution, subrogation or any other recovery of any kind in respect thereof. The Company further agrees that no advancement or payment by the Secondary Indemnitors on behalf of Indemnitee with respect to any claim for which Indemnitee has sought indemnification from the Company shall affect the foregoing and the Secondary Indemnitors shall have a right of contribution and/or be subrogated to the extent of such advancement or payment to all of the rights of recovery of Indemnitee against the Company. The Company and Indemnitee agree that the Secondary Indemnitors are express third party beneficiaries of the terms of this Section 13(c).]</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60" w:top="273" w:right="259" w:bottom="1440" w:gutter="0" w:footer="0" w:header="0"/>
        </w:sectPr>
      </w:pPr>
    </w:p>
    <w:bookmarkStart w:id="381" w:name="page382"/>
    <w:bookmarkEnd w:id="381"/>
    <w:p>
      <w:pPr>
        <w:ind w:right="160" w:firstLine="921"/>
        <w:spacing w:after="0" w:line="259" w:lineRule="auto"/>
        <w:tabs>
          <w:tab w:leader="none" w:pos="1168" w:val="left"/>
        </w:tabs>
        <w:numPr>
          <w:ilvl w:val="0"/>
          <w:numId w:val="30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provided in paragraph (c) above,] in the event of any payment under this Agreement, the Company shall be subrogated to the extent of such payment to all of the rights of recovery of Indemnitee [(other than against the Secondary Indemnitors)], who shall execute all papers required and take all action necessary to secure such rights, including execution of such documents as are necessary to enable the Company to bring suit to enforce such rights.</w:t>
      </w:r>
    </w:p>
    <w:p>
      <w:pPr>
        <w:spacing w:after="0" w:line="78" w:lineRule="exact"/>
        <w:rPr>
          <w:rFonts w:ascii="Arial" w:cs="Arial" w:eastAsia="Arial" w:hAnsi="Arial"/>
          <w:sz w:val="18"/>
          <w:szCs w:val="18"/>
          <w:color w:val="auto"/>
        </w:rPr>
      </w:pPr>
    </w:p>
    <w:p>
      <w:pPr>
        <w:ind w:right="160" w:firstLine="921"/>
        <w:spacing w:after="0" w:line="286" w:lineRule="auto"/>
        <w:tabs>
          <w:tab w:leader="none" w:pos="1158" w:val="left"/>
        </w:tabs>
        <w:numPr>
          <w:ilvl w:val="0"/>
          <w:numId w:val="300"/>
        </w:numPr>
        <w:rPr>
          <w:rFonts w:ascii="Arial" w:cs="Arial" w:eastAsia="Arial" w:hAnsi="Arial"/>
          <w:sz w:val="17"/>
          <w:szCs w:val="17"/>
          <w:color w:val="auto"/>
        </w:rPr>
      </w:pPr>
      <w:r>
        <w:rPr>
          <w:rFonts w:ascii="Arial" w:cs="Arial" w:eastAsia="Arial" w:hAnsi="Arial"/>
          <w:sz w:val="17"/>
          <w:szCs w:val="17"/>
          <w:color w:val="auto"/>
        </w:rPr>
        <w:t>[Except as provided in paragraph (c) above,] 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66"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Duration of Agreement</w:t>
      </w:r>
      <w:r>
        <w:rPr>
          <w:rFonts w:ascii="Arial" w:cs="Arial" w:eastAsia="Arial" w:hAnsi="Arial"/>
          <w:sz w:val="17"/>
          <w:szCs w:val="17"/>
          <w:color w:val="auto"/>
        </w:rPr>
        <w:t>. This Agreement shall continue until and terminate upon the later of: (a) ten (10) years after the date that Indemnitee shall have ceased to serve as a director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79"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382" w:name="page383"/>
    <w:bookmarkEnd w:id="382"/>
    <w:p>
      <w:pPr>
        <w:ind w:right="180" w:firstLine="921"/>
        <w:spacing w:after="0" w:line="264" w:lineRule="auto"/>
        <w:tabs>
          <w:tab w:leader="none" w:pos="1158" w:val="left"/>
        </w:tabs>
        <w:numPr>
          <w:ilvl w:val="0"/>
          <w:numId w:val="30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expressly confirms and agrees that it has entered into this Agreement and assumed the obligations imposed on it hereby in order to induce Indemnitee to serve or continue to serve as a director of the Company, and the Company acknowledges that Indemnitee is relying upon this Agreement in serving as a director of the Company.</w:t>
      </w:r>
    </w:p>
    <w:p>
      <w:pPr>
        <w:spacing w:after="0" w:line="73" w:lineRule="exact"/>
        <w:rPr>
          <w:rFonts w:ascii="Arial" w:cs="Arial" w:eastAsia="Arial" w:hAnsi="Arial"/>
          <w:sz w:val="18"/>
          <w:szCs w:val="18"/>
          <w:color w:val="auto"/>
        </w:rPr>
      </w:pPr>
    </w:p>
    <w:p>
      <w:pPr>
        <w:ind w:right="40" w:firstLine="921"/>
        <w:spacing w:after="0" w:line="259" w:lineRule="auto"/>
        <w:tabs>
          <w:tab w:leader="none" w:pos="116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is a supplement to and in furtherance of the Charter, the Bylaws and applicable law, and shall not be deemed a substitute therefor, nor to diminish or abrogate any rights of Indemnitee thereunder.</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88"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Notice by Indemnitee</w:t>
      </w:r>
      <w:r>
        <w:rPr>
          <w:rFonts w:ascii="Arial" w:cs="Arial" w:eastAsia="Arial" w:hAnsi="Arial"/>
          <w:sz w:val="18"/>
          <w:szCs w:val="18"/>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shall not relieve the Company of any obligation which it may have to Indemnitee under this Agreement or otherwise.</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80" w:lineRule="exact"/>
        <w:rPr>
          <w:sz w:val="20"/>
          <w:szCs w:val="20"/>
          <w:color w:val="auto"/>
        </w:rPr>
      </w:pPr>
    </w:p>
    <w:p>
      <w:pPr>
        <w:ind w:left="5620" w:right="4600" w:hanging="4699"/>
        <w:spacing w:after="0" w:line="449" w:lineRule="auto"/>
        <w:tabs>
          <w:tab w:leader="none" w:pos="1162"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If to Indemnitee, at such address as Indemnitee shall provide to the Company. 12</w:t>
      </w:r>
    </w:p>
    <w:p>
      <w:pPr>
        <w:sectPr>
          <w:pgSz w:w="11900" w:h="16838" w:orient="portrait"/>
          <w:cols w:equalWidth="0" w:num="1">
            <w:col w:w="11360"/>
          </w:cols>
          <w:pgMar w:left="240" w:top="273" w:right="299" w:bottom="1440" w:gutter="0" w:footer="0" w:header="0"/>
        </w:sectPr>
      </w:pPr>
    </w:p>
    <w:bookmarkStart w:id="383" w:name="page384"/>
    <w:bookmarkEnd w:id="383"/>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If to the Company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One Kendall Square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Building 300, Suite 201</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by the Company.</w:t>
      </w:r>
    </w:p>
    <w:p>
      <w:pPr>
        <w:spacing w:after="0" w:line="225"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Contribution</w:t>
      </w:r>
      <w:r>
        <w:rPr>
          <w:rFonts w:ascii="Arial" w:cs="Arial" w:eastAsia="Arial" w:hAnsi="Arial"/>
          <w:sz w:val="17"/>
          <w:szCs w:val="17"/>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Internal Revenue Code Section 409A</w:t>
      </w:r>
      <w:r>
        <w:rPr>
          <w:rFonts w:ascii="Arial" w:cs="Arial" w:eastAsia="Arial" w:hAnsi="Arial"/>
          <w:sz w:val="18"/>
          <w:szCs w:val="18"/>
          <w:color w:val="auto"/>
        </w:rPr>
        <w:t>. The Company intends for this Agreement to comply with the Indemnification exception under Section 1.409A-1(b)(10) of the regulations promulgated under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9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384" w:name="page385"/>
    <w:bookmarkEnd w:id="384"/>
    <w:p>
      <w:pPr>
        <w:jc w:val="both"/>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385" w:name="page386"/>
    <w:bookmarkEnd w:id="38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Agreement to be signed as of the day and year first above written.</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151765</wp:posOffset>
            </wp:positionV>
            <wp:extent cx="265874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5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[Indemnitee]</w:t>
      </w:r>
    </w:p>
    <w:p>
      <w:pPr>
        <w:sectPr>
          <w:pgSz w:w="11900" w:h="16838" w:orient="portrait"/>
          <w:cols w:equalWidth="0" w:num="1">
            <w:col w:w="9759"/>
          </w:cols>
          <w:pgMar w:left="700" w:top="273" w:right="1440"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234"/>
        </w:trPr>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540" w:type="dxa"/>
            <w:vAlign w:val="bottom"/>
          </w:tcPr>
          <w:p>
            <w:pPr>
              <w:jc w:val="center"/>
              <w:ind w:right="4150"/>
              <w:spacing w:after="0"/>
              <w:rPr>
                <w:sz w:val="20"/>
                <w:szCs w:val="20"/>
                <w:color w:val="auto"/>
              </w:rPr>
            </w:pPr>
            <w:r>
              <w:rPr>
                <w:rFonts w:ascii="Arial" w:cs="Arial" w:eastAsia="Arial" w:hAnsi="Arial"/>
                <w:sz w:val="18"/>
                <w:szCs w:val="18"/>
                <w:b w:val="1"/>
                <w:bCs w:val="1"/>
                <w:color w:val="auto"/>
                <w:w w:val="99"/>
              </w:rPr>
              <w:t>AVROBIO, INC.</w:t>
            </w:r>
          </w:p>
        </w:tc>
      </w:tr>
      <w:tr>
        <w:trPr>
          <w:trHeight w:val="432"/>
        </w:trPr>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40" w:type="dxa"/>
            <w:vAlign w:val="bottom"/>
            <w:gridSpan w:val="3"/>
          </w:tcPr>
          <w:p>
            <w:pPr>
              <w:jc w:val="center"/>
              <w:ind w:right="2430"/>
              <w:spacing w:after="0"/>
              <w:rPr>
                <w:sz w:val="20"/>
                <w:szCs w:val="20"/>
                <w:color w:val="auto"/>
              </w:rPr>
            </w:pPr>
            <w:r>
              <w:rPr>
                <w:rFonts w:ascii="Arial" w:cs="Arial" w:eastAsia="Arial" w:hAnsi="Arial"/>
                <w:sz w:val="18"/>
                <w:szCs w:val="18"/>
                <w:b w:val="1"/>
                <w:bCs w:val="1"/>
                <w:color w:val="auto"/>
              </w:rPr>
              <w:t>FORM OF OFFICER INDEMNIFICATION AGREEMENT</w:t>
            </w:r>
          </w:p>
        </w:tc>
      </w:tr>
      <w:tr>
        <w:trPr>
          <w:trHeight w:val="392"/>
        </w:trPr>
        <w:tc>
          <w:tcPr>
            <w:tcW w:w="80" w:type="dxa"/>
            <w:vAlign w:val="bottom"/>
          </w:tcPr>
          <w:p>
            <w:pPr>
              <w:spacing w:after="0"/>
              <w:rPr>
                <w:sz w:val="24"/>
                <w:szCs w:val="24"/>
                <w:color w:val="auto"/>
              </w:rPr>
            </w:pPr>
          </w:p>
        </w:tc>
        <w:tc>
          <w:tcPr>
            <w:tcW w:w="4980" w:type="dxa"/>
            <w:vAlign w:val="bottom"/>
            <w:gridSpan w:val="7"/>
          </w:tcPr>
          <w:p>
            <w:pPr>
              <w:ind w:left="380"/>
              <w:spacing w:after="0"/>
              <w:rPr>
                <w:sz w:val="20"/>
                <w:szCs w:val="20"/>
                <w:color w:val="auto"/>
              </w:rPr>
            </w:pPr>
            <w:r>
              <w:rPr>
                <w:rFonts w:ascii="Arial" w:cs="Arial" w:eastAsia="Arial" w:hAnsi="Arial"/>
                <w:sz w:val="18"/>
                <w:szCs w:val="18"/>
                <w:color w:val="auto"/>
                <w:w w:val="93"/>
              </w:rPr>
              <w:t>This Indemnification Agreement (“Agreement”) is made as of [</w:t>
            </w:r>
          </w:p>
        </w:tc>
        <w:tc>
          <w:tcPr>
            <w:tcW w:w="5540" w:type="dxa"/>
            <w:vAlign w:val="bottom"/>
          </w:tcPr>
          <w:p>
            <w:pPr>
              <w:ind w:left="880"/>
              <w:spacing w:after="0"/>
              <w:rPr>
                <w:sz w:val="20"/>
                <w:szCs w:val="20"/>
                <w:color w:val="auto"/>
              </w:rPr>
            </w:pPr>
            <w:r>
              <w:rPr>
                <w:rFonts w:ascii="Arial" w:cs="Arial" w:eastAsia="Arial" w:hAnsi="Arial"/>
                <w:sz w:val="18"/>
                <w:szCs w:val="18"/>
                <w:color w:val="auto"/>
                <w:w w:val="91"/>
              </w:rPr>
              <w:t>], by and between AVRIOBIO, Inc., a Delaware corporation (the</w:t>
            </w:r>
          </w:p>
        </w:tc>
      </w:tr>
      <w:tr>
        <w:trPr>
          <w:trHeight w:val="20"/>
        </w:trPr>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r>
        <w:trPr>
          <w:trHeight w:val="196"/>
        </w:trPr>
        <w:tc>
          <w:tcPr>
            <w:tcW w:w="1840" w:type="dxa"/>
            <w:vAlign w:val="bottom"/>
            <w:gridSpan w:val="3"/>
          </w:tcPr>
          <w:p>
            <w:pPr>
              <w:spacing w:after="0" w:line="196" w:lineRule="exact"/>
              <w:rPr>
                <w:sz w:val="20"/>
                <w:szCs w:val="20"/>
                <w:color w:val="auto"/>
              </w:rPr>
            </w:pPr>
            <w:r>
              <w:rPr>
                <w:rFonts w:ascii="Arial" w:cs="Arial" w:eastAsia="Arial" w:hAnsi="Arial"/>
                <w:sz w:val="18"/>
                <w:szCs w:val="18"/>
                <w:color w:val="auto"/>
              </w:rPr>
              <w:t>“Company”), and</w:t>
            </w:r>
          </w:p>
        </w:tc>
        <w:tc>
          <w:tcPr>
            <w:tcW w:w="3220" w:type="dxa"/>
            <w:vAlign w:val="bottom"/>
            <w:gridSpan w:val="5"/>
          </w:tcPr>
          <w:p>
            <w:pPr>
              <w:ind w:left="560"/>
              <w:spacing w:after="0" w:line="196" w:lineRule="exact"/>
              <w:rPr>
                <w:sz w:val="20"/>
                <w:szCs w:val="20"/>
                <w:color w:val="auto"/>
              </w:rPr>
            </w:pPr>
            <w:r>
              <w:rPr>
                <w:rFonts w:ascii="Arial" w:cs="Arial" w:eastAsia="Arial" w:hAnsi="Arial"/>
                <w:sz w:val="18"/>
                <w:szCs w:val="18"/>
                <w:color w:val="auto"/>
              </w:rPr>
              <w:t>(“Indemnitee”).</w:t>
            </w:r>
            <w:r>
              <w:rPr>
                <w:rFonts w:ascii="Arial" w:cs="Arial" w:eastAsia="Arial" w:hAnsi="Arial"/>
                <w:sz w:val="15"/>
                <w:szCs w:val="15"/>
                <w:color w:val="auto"/>
              </w:rPr>
              <w:t>1</w:t>
            </w:r>
          </w:p>
        </w:tc>
        <w:tc>
          <w:tcPr>
            <w:tcW w:w="554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the Company desires to attract and retain the services of highly qualified individuals, such as Indemnitee, to serve the Company;</w:t>
      </w:r>
    </w:p>
    <w:p>
      <w:pPr>
        <w:spacing w:after="0" w:line="237"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WHEREAS, in order to induce Indemnitee to provide or continue to provide services to the Company, the Company wishes to provide for the indemnification of, and advancement of expenses to, Indemnitee to the maximum extent permitted by law;</w:t>
      </w:r>
    </w:p>
    <w:p>
      <w:pPr>
        <w:spacing w:after="0" w:line="170"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WHEREAS, the amended and restated certificate of incorporation (as amended and in effect from time to time, the “</w:t>
      </w:r>
      <w:r>
        <w:rPr>
          <w:rFonts w:ascii="Arial" w:cs="Arial" w:eastAsia="Arial" w:hAnsi="Arial"/>
          <w:sz w:val="16"/>
          <w:szCs w:val="16"/>
          <w:u w:val="single" w:color="auto"/>
          <w:color w:val="auto"/>
        </w:rPr>
        <w:t>Charter</w:t>
      </w:r>
      <w:r>
        <w:rPr>
          <w:rFonts w:ascii="Arial" w:cs="Arial" w:eastAsia="Arial" w:hAnsi="Arial"/>
          <w:sz w:val="16"/>
          <w:szCs w:val="16"/>
          <w:color w:val="auto"/>
        </w:rPr>
        <w:t>”) and the amended and restated bylaws (as amended and in effect from time to time, the “</w:t>
      </w:r>
      <w:r>
        <w:rPr>
          <w:rFonts w:ascii="Arial" w:cs="Arial" w:eastAsia="Arial" w:hAnsi="Arial"/>
          <w:sz w:val="16"/>
          <w:szCs w:val="16"/>
          <w:u w:val="single" w:color="auto"/>
          <w:color w:val="auto"/>
        </w:rPr>
        <w:t>Bylaws</w:t>
      </w:r>
      <w:r>
        <w:rPr>
          <w:rFonts w:ascii="Arial" w:cs="Arial" w:eastAsia="Arial" w:hAnsi="Arial"/>
          <w:sz w:val="16"/>
          <w:szCs w:val="16"/>
          <w:color w:val="auto"/>
        </w:rPr>
        <w:t>”) of the Company require indemnification of the officers and directors of the Company, and Indemnitee may also be entitled to indemnification pursuant to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81"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has determined that the increased difficulty in attracting and retaining highly qualified persons such as Indemnitee is detrimental to the best interests of the Company’s stockholders;</w:t>
      </w:r>
    </w:p>
    <w:p>
      <w:pPr>
        <w:spacing w:after="0" w:line="17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or continue to serve the Company free from undue concern that they will not be so indemnified; and</w:t>
      </w:r>
    </w:p>
    <w:p>
      <w:pPr>
        <w:spacing w:after="0" w:line="181"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w:t>
      </w:r>
    </w:p>
    <w:p>
      <w:pPr>
        <w:spacing w:after="0" w:line="12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NOW, THEREFORE, in consideration of the premises and the covenants contained herein, the Company and Indemnitee do hereby covenant and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898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3" w:lineRule="exact"/>
        <w:rPr>
          <w:sz w:val="20"/>
          <w:szCs w:val="20"/>
          <w:color w:val="auto"/>
        </w:rPr>
      </w:pPr>
    </w:p>
    <w:p>
      <w:pPr>
        <w:ind w:left="460" w:hanging="452"/>
        <w:spacing w:after="0"/>
        <w:tabs>
          <w:tab w:leader="none" w:pos="460" w:val="left"/>
        </w:tabs>
        <w:numPr>
          <w:ilvl w:val="0"/>
          <w:numId w:val="303"/>
        </w:numPr>
        <w:rPr>
          <w:rFonts w:ascii="Arial" w:cs="Arial" w:eastAsia="Arial" w:hAnsi="Arial"/>
          <w:sz w:val="15"/>
          <w:szCs w:val="15"/>
          <w:color w:val="auto"/>
        </w:rPr>
      </w:pPr>
      <w:r>
        <w:rPr>
          <w:rFonts w:ascii="Arial" w:cs="Arial" w:eastAsia="Arial" w:hAnsi="Arial"/>
          <w:sz w:val="18"/>
          <w:szCs w:val="18"/>
          <w:color w:val="auto"/>
        </w:rPr>
        <w:t>To be entered into with all C-level officers and Section 16 officers.</w:t>
      </w:r>
    </w:p>
    <w:p>
      <w:pPr>
        <w:sectPr>
          <w:pgSz w:w="11900" w:h="16838" w:orient="portrait"/>
          <w:cols w:equalWidth="0" w:num="1">
            <w:col w:w="11380"/>
          </w:cols>
          <w:pgMar w:left="240" w:top="270" w:right="279" w:bottom="1440" w:gutter="0" w:footer="0" w:header="0"/>
        </w:sectPr>
      </w:pPr>
    </w:p>
    <w:bookmarkStart w:id="387" w:name="page388"/>
    <w:bookmarkEnd w:id="387"/>
    <w:p>
      <w:pPr>
        <w:ind w:right="240" w:firstLine="456"/>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 </w:t>
      </w:r>
      <w:r>
        <w:rPr>
          <w:rFonts w:ascii="Arial" w:cs="Arial" w:eastAsia="Arial" w:hAnsi="Arial"/>
          <w:sz w:val="17"/>
          <w:szCs w:val="17"/>
          <w:u w:val="single" w:color="auto"/>
          <w:color w:val="auto"/>
        </w:rPr>
        <w:t>Services to the Company</w:t>
      </w:r>
      <w:r>
        <w:rPr>
          <w:rFonts w:ascii="Arial" w:cs="Arial" w:eastAsia="Arial" w:hAnsi="Arial"/>
          <w:sz w:val="17"/>
          <w:szCs w:val="17"/>
          <w:color w:val="auto"/>
        </w:rPr>
        <w:t>. Indemnitee agrees to [continue to] serve as [a director and] an officer of the Company. Indemnitee may at any time and for any reason resign from [any]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171" w:lineRule="exact"/>
        <w:rPr>
          <w:sz w:val="20"/>
          <w:szCs w:val="20"/>
          <w:color w:val="auto"/>
        </w:rPr>
      </w:pPr>
    </w:p>
    <w:p>
      <w:pPr>
        <w:ind w:left="460"/>
        <w:spacing w:after="0"/>
        <w:tabs>
          <w:tab w:leader="none" w:pos="13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Agreement:</w:t>
      </w:r>
    </w:p>
    <w:p>
      <w:pPr>
        <w:spacing w:after="0" w:line="117" w:lineRule="exact"/>
        <w:rPr>
          <w:sz w:val="20"/>
          <w:szCs w:val="20"/>
          <w:color w:val="auto"/>
        </w:rPr>
      </w:pPr>
    </w:p>
    <w:p>
      <w:pPr>
        <w:ind w:right="280" w:firstLine="921"/>
        <w:spacing w:after="0" w:line="291" w:lineRule="auto"/>
        <w:tabs>
          <w:tab w:leader="none" w:pos="1158" w:val="left"/>
        </w:tabs>
        <w:numPr>
          <w:ilvl w:val="0"/>
          <w:numId w:val="304"/>
        </w:numPr>
        <w:rPr>
          <w:rFonts w:ascii="Arial" w:cs="Arial" w:eastAsia="Arial" w:hAnsi="Arial"/>
          <w:sz w:val="16"/>
          <w:szCs w:val="16"/>
          <w:color w:val="auto"/>
        </w:rPr>
      </w:pPr>
      <w:r>
        <w:rPr>
          <w:rFonts w:ascii="Arial" w:cs="Arial" w:eastAsia="Arial" w:hAnsi="Arial"/>
          <w:sz w:val="16"/>
          <w:szCs w:val="16"/>
          <w:color w:val="auto"/>
        </w:rPr>
        <w:t>“Change in Control”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59" w:lineRule="exact"/>
        <w:rPr>
          <w:rFonts w:ascii="Arial" w:cs="Arial" w:eastAsia="Arial" w:hAnsi="Arial"/>
          <w:sz w:val="16"/>
          <w:szCs w:val="16"/>
          <w:color w:val="auto"/>
        </w:rPr>
      </w:pPr>
    </w:p>
    <w:p>
      <w:pPr>
        <w:ind w:right="200" w:firstLine="921"/>
        <w:spacing w:after="0" w:line="342" w:lineRule="auto"/>
        <w:tabs>
          <w:tab w:leader="none" w:pos="1168" w:val="left"/>
        </w:tabs>
        <w:numPr>
          <w:ilvl w:val="0"/>
          <w:numId w:val="3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Corporate Status</w:t>
      </w:r>
      <w:r>
        <w:rPr>
          <w:rFonts w:ascii="Arial" w:cs="Arial" w:eastAsia="Arial" w:hAnsi="Arial"/>
          <w:sz w:val="16"/>
          <w:szCs w:val="16"/>
          <w:color w:val="auto"/>
        </w:rPr>
        <w:t>” describes the status of a person as a current or former [director or] officer of the Company or current or former director, manager, partner, officer, employee, agent or trustee of any other Enterprise which such person is or was serving at the request of the Company.</w:t>
      </w:r>
    </w:p>
    <w:p>
      <w:pPr>
        <w:spacing w:after="0" w:line="15" w:lineRule="exact"/>
        <w:rPr>
          <w:rFonts w:ascii="Arial" w:cs="Arial" w:eastAsia="Arial" w:hAnsi="Arial"/>
          <w:sz w:val="16"/>
          <w:szCs w:val="16"/>
          <w:color w:val="auto"/>
        </w:rPr>
      </w:pPr>
    </w:p>
    <w:p>
      <w:pPr>
        <w:ind w:right="40" w:firstLine="921"/>
        <w:spacing w:after="0" w:line="259" w:lineRule="auto"/>
        <w:tabs>
          <w:tab w:leader="none" w:pos="115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Enforcement Expenses</w:t>
      </w:r>
      <w:r>
        <w:rPr>
          <w:rFonts w:ascii="Arial" w:cs="Arial" w:eastAsia="Arial" w:hAnsi="Arial"/>
          <w:sz w:val="18"/>
          <w:szCs w:val="18"/>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78" w:lineRule="exact"/>
        <w:rPr>
          <w:rFonts w:ascii="Arial" w:cs="Arial" w:eastAsia="Arial" w:hAnsi="Arial"/>
          <w:sz w:val="18"/>
          <w:szCs w:val="18"/>
          <w:color w:val="auto"/>
        </w:rPr>
      </w:pPr>
    </w:p>
    <w:p>
      <w:pPr>
        <w:ind w:firstLine="921"/>
        <w:spacing w:after="0" w:line="264" w:lineRule="auto"/>
        <w:tabs>
          <w:tab w:leader="none" w:pos="116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Enterprise</w:t>
      </w:r>
      <w:r>
        <w:rPr>
          <w:rFonts w:ascii="Arial" w:cs="Arial" w:eastAsia="Arial" w:hAnsi="Arial"/>
          <w:sz w:val="18"/>
          <w:szCs w:val="18"/>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73" w:lineRule="exact"/>
        <w:rPr>
          <w:rFonts w:ascii="Arial" w:cs="Arial" w:eastAsia="Arial" w:hAnsi="Arial"/>
          <w:sz w:val="18"/>
          <w:szCs w:val="18"/>
          <w:color w:val="auto"/>
        </w:rPr>
      </w:pPr>
    </w:p>
    <w:p>
      <w:pPr>
        <w:ind w:right="160" w:firstLine="921"/>
        <w:spacing w:after="0" w:line="276" w:lineRule="auto"/>
        <w:tabs>
          <w:tab w:leader="none" w:pos="1158" w:val="left"/>
        </w:tabs>
        <w:numPr>
          <w:ilvl w:val="0"/>
          <w:numId w:val="30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388" w:name="page389"/>
    <w:bookmarkEnd w:id="388"/>
    <w:p>
      <w:pPr>
        <w:ind w:right="120" w:firstLine="921"/>
        <w:spacing w:after="0" w:line="254" w:lineRule="auto"/>
        <w:tabs>
          <w:tab w:leader="none" w:pos="1138" w:val="left"/>
        </w:tabs>
        <w:numPr>
          <w:ilvl w:val="0"/>
          <w:numId w:val="3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Independent Counsel</w:t>
      </w:r>
      <w:r>
        <w:rPr>
          <w:rFonts w:ascii="Arial" w:cs="Arial" w:eastAsia="Arial" w:hAnsi="Arial"/>
          <w:sz w:val="18"/>
          <w:szCs w:val="18"/>
          <w:color w:val="auto"/>
        </w:rPr>
        <w:t>”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84" w:lineRule="exact"/>
        <w:rPr>
          <w:rFonts w:ascii="Arial" w:cs="Arial" w:eastAsia="Arial" w:hAnsi="Arial"/>
          <w:sz w:val="18"/>
          <w:szCs w:val="18"/>
          <w:color w:val="auto"/>
        </w:rPr>
      </w:pPr>
    </w:p>
    <w:p>
      <w:pPr>
        <w:ind w:firstLine="921"/>
        <w:spacing w:after="0" w:line="270" w:lineRule="auto"/>
        <w:tabs>
          <w:tab w:leader="none" w:pos="1168" w:val="left"/>
        </w:tabs>
        <w:numPr>
          <w:ilvl w:val="0"/>
          <w:numId w:val="305"/>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Proceeding</w:t>
      </w:r>
      <w:r>
        <w:rPr>
          <w:rFonts w:ascii="Arial" w:cs="Arial" w:eastAsia="Arial" w:hAnsi="Arial"/>
          <w:sz w:val="17"/>
          <w:szCs w:val="17"/>
          <w:color w:val="auto"/>
        </w:rPr>
        <w:t xml:space="preserve">”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or] an officer of the Company or is or was serving at the request of the Company as a director, manager, partner, officer, employee, agent or trustee of any Enterprise or by reason of any action taken by Indemnitee or of any action taken on his or her part while acting as [a director or] an officer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term “Proceeding” shall not include any action, suit or arbitration, or part thereof, initiated by Indemnitee to enforce Indemnitee’s rights under this Agreement as provided for in Section 12(a) of this Agreement.</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Indemnity in Third-Party Proceedings</w:t>
      </w:r>
      <w:r>
        <w:rPr>
          <w:rFonts w:ascii="Arial" w:cs="Arial" w:eastAsia="Arial" w:hAnsi="Arial"/>
          <w:sz w:val="17"/>
          <w:szCs w:val="17"/>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89" w:name="page390"/>
    <w:bookmarkEnd w:id="389"/>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6"/>
          <w:szCs w:val="16"/>
          <w:u w:val="single" w:color="auto"/>
          <w:color w:val="auto"/>
        </w:rPr>
        <w:t>Indemnity in Proceedings by or in the Right of the Company</w:t>
      </w:r>
      <w:r>
        <w:rPr>
          <w:rFonts w:ascii="Arial" w:cs="Arial" w:eastAsia="Arial" w:hAnsi="Arial"/>
          <w:sz w:val="16"/>
          <w:szCs w:val="16"/>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w:t>
      </w:r>
      <w:r>
        <w:rPr>
          <w:rFonts w:ascii="Arial" w:cs="Arial" w:eastAsia="Arial" w:hAnsi="Arial"/>
          <w:sz w:val="16"/>
          <w:szCs w:val="16"/>
          <w:u w:val="single" w:color="auto"/>
          <w:color w:val="auto"/>
        </w:rPr>
        <w:t>Delaware Court</w:t>
      </w:r>
      <w:r>
        <w:rPr>
          <w:rFonts w:ascii="Arial" w:cs="Arial" w:eastAsia="Arial" w:hAnsi="Arial"/>
          <w:sz w:val="16"/>
          <w:szCs w:val="16"/>
          <w:color w:val="auto"/>
        </w:rPr>
        <w: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16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Indemnification for Expenses of a Party Who is Wholly or Partly Successful</w:t>
      </w:r>
      <w:r>
        <w:rPr>
          <w:rFonts w:ascii="Arial" w:cs="Arial" w:eastAsia="Arial" w:hAnsi="Arial"/>
          <w:sz w:val="16"/>
          <w:szCs w:val="16"/>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6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Reimbursement for Expenses of a Witness or in Response to a Subpoena</w:t>
      </w:r>
      <w:r>
        <w:rPr>
          <w:rFonts w:ascii="Arial" w:cs="Arial" w:eastAsia="Arial" w:hAnsi="Arial"/>
          <w:sz w:val="16"/>
          <w:szCs w:val="16"/>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Exclusions</w:t>
      </w:r>
      <w:r>
        <w:rPr>
          <w:rFonts w:ascii="Arial" w:cs="Arial" w:eastAsia="Arial" w:hAnsi="Arial"/>
          <w:sz w:val="17"/>
          <w:szCs w:val="17"/>
          <w:color w:val="auto"/>
        </w:rPr>
        <w:t>. Notwithstanding any provision in this Agreement to the contrary, the Company shall not be obligated under this Agreement:</w:t>
      </w:r>
    </w:p>
    <w:p>
      <w:pPr>
        <w:spacing w:after="0" w:line="129" w:lineRule="exact"/>
        <w:rPr>
          <w:sz w:val="20"/>
          <w:szCs w:val="20"/>
          <w:color w:val="auto"/>
        </w:rPr>
      </w:pPr>
    </w:p>
    <w:p>
      <w:pPr>
        <w:ind w:right="500" w:firstLine="921"/>
        <w:spacing w:after="0" w:line="277" w:lineRule="auto"/>
        <w:tabs>
          <w:tab w:leader="none" w:pos="115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to indemnify for amounts otherwise indemnifiable hereunder (or for which advancement is provided hereunder) if and to the extent that Indemnitee has otherwise actually received such amounts under any insurance policy, contract, agreement or otherwise;</w:t>
      </w:r>
    </w:p>
    <w:p>
      <w:pPr>
        <w:spacing w:after="0" w:line="62" w:lineRule="exact"/>
        <w:rPr>
          <w:rFonts w:ascii="Arial" w:cs="Arial" w:eastAsia="Arial" w:hAnsi="Arial"/>
          <w:sz w:val="18"/>
          <w:szCs w:val="18"/>
          <w:color w:val="auto"/>
        </w:rPr>
      </w:pPr>
    </w:p>
    <w:p>
      <w:pPr>
        <w:jc w:val="both"/>
        <w:ind w:right="60" w:firstLine="921"/>
        <w:spacing w:after="0" w:line="286" w:lineRule="auto"/>
        <w:tabs>
          <w:tab w:leader="none" w:pos="1168" w:val="left"/>
        </w:tabs>
        <w:numPr>
          <w:ilvl w:val="0"/>
          <w:numId w:val="306"/>
        </w:numPr>
        <w:rPr>
          <w:rFonts w:ascii="Arial" w:cs="Arial" w:eastAsia="Arial" w:hAnsi="Arial"/>
          <w:sz w:val="17"/>
          <w:szCs w:val="17"/>
          <w:color w:val="auto"/>
        </w:rPr>
      </w:pPr>
      <w:r>
        <w:rPr>
          <w:rFonts w:ascii="Arial" w:cs="Arial" w:eastAsia="Arial" w:hAnsi="Arial"/>
          <w:sz w:val="17"/>
          <w:szCs w:val="17"/>
          <w:color w:val="auto"/>
        </w:rPr>
        <w:t>to indemnify for an accounting of profits made from the purchase and sale (or sale and purchase) by Indemnitee of securities of the Company within the meaning of Section 16(b) of the Securities Exchange Act of 1934, as amended, or similar provisions of state statutory law or common law, or from the purchase or sale by Indemnitee of such securities in violation of Section 306 of the Sarbanes-Oxley Act of 2022 (“</w:t>
      </w:r>
      <w:r>
        <w:rPr>
          <w:rFonts w:ascii="Arial" w:cs="Arial" w:eastAsia="Arial" w:hAnsi="Arial"/>
          <w:sz w:val="17"/>
          <w:szCs w:val="17"/>
          <w:u w:val="single" w:color="auto"/>
          <w:color w:val="auto"/>
        </w:rPr>
        <w:t>SOX</w:t>
      </w:r>
      <w:r>
        <w:rPr>
          <w:rFonts w:ascii="Arial" w:cs="Arial" w:eastAsia="Arial" w:hAnsi="Arial"/>
          <w:sz w:val="17"/>
          <w:szCs w:val="17"/>
          <w:color w:val="auto"/>
        </w:rPr>
        <w: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390" w:name="page391"/>
    <w:bookmarkEnd w:id="390"/>
    <w:p>
      <w:pPr>
        <w:ind w:right="40" w:firstLine="921"/>
        <w:spacing w:after="0" w:line="259" w:lineRule="auto"/>
        <w:tabs>
          <w:tab w:leader="none" w:pos="1158" w:val="left"/>
        </w:tabs>
        <w:numPr>
          <w:ilvl w:val="0"/>
          <w:numId w:val="3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indemnify for any reimbursement of, or payment to, the Company by Indemnitee of any bonus or other incentive-based or equity-based compensation or of any profits realized by Indemnitee from the sale of securities of the Company pursuant to Section 304 of SOX or any formal policy of the Company adopted by the Board (or a committee thereof), or any other remuneration paid to Indemnitee if it shall be determined by a final judgment or other final adjudication that such remuneration was in violation of law;</w:t>
      </w:r>
    </w:p>
    <w:p>
      <w:pPr>
        <w:spacing w:after="0" w:line="78" w:lineRule="exact"/>
        <w:rPr>
          <w:rFonts w:ascii="Arial" w:cs="Arial" w:eastAsia="Arial" w:hAnsi="Arial"/>
          <w:sz w:val="18"/>
          <w:szCs w:val="18"/>
          <w:color w:val="auto"/>
        </w:rPr>
      </w:pPr>
    </w:p>
    <w:p>
      <w:pPr>
        <w:ind w:right="120" w:firstLine="921"/>
        <w:spacing w:after="0" w:line="293" w:lineRule="auto"/>
        <w:tabs>
          <w:tab w:leader="none" w:pos="1168" w:val="left"/>
        </w:tabs>
        <w:numPr>
          <w:ilvl w:val="0"/>
          <w:numId w:val="307"/>
        </w:numPr>
        <w:rPr>
          <w:rFonts w:ascii="Arial" w:cs="Arial" w:eastAsia="Arial" w:hAnsi="Arial"/>
          <w:sz w:val="16"/>
          <w:szCs w:val="16"/>
          <w:color w:val="auto"/>
        </w:rPr>
      </w:pPr>
      <w:r>
        <w:rPr>
          <w:rFonts w:ascii="Arial" w:cs="Arial" w:eastAsia="Arial" w:hAnsi="Arial"/>
          <w:sz w:val="16"/>
          <w:szCs w:val="16"/>
          <w:color w:val="auto"/>
        </w:rPr>
        <w:t xml:space="preserve">to indemnify with respect to any Proceeding, or part thereof, brought by Indemnitee against the Company, any legal entity which it controls, any director or officer thereof or any third party, unless (i) the Board has consented to the initiation of such Proceeding or part thereof and (ii) the Company provides the indemnification, in its sole discretion, pursuant to the powers vested in the Company under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56" w:lineRule="exact"/>
        <w:rPr>
          <w:rFonts w:ascii="Arial" w:cs="Arial" w:eastAsia="Arial" w:hAnsi="Arial"/>
          <w:sz w:val="16"/>
          <w:szCs w:val="16"/>
          <w:color w:val="auto"/>
        </w:rPr>
      </w:pPr>
    </w:p>
    <w:p>
      <w:pPr>
        <w:ind w:firstLine="921"/>
        <w:spacing w:after="0" w:line="277" w:lineRule="auto"/>
        <w:tabs>
          <w:tab w:leader="none" w:pos="115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to provide any indemnification or advancement of expenses that is prohibited by applicable law (as such law exists at the time payment would otherwise be required pursuant to this Agreement).</w:t>
      </w:r>
    </w:p>
    <w:p>
      <w:pPr>
        <w:spacing w:after="0" w:line="170"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Advancement of Expenses</w:t>
      </w:r>
      <w:r>
        <w:rPr>
          <w:rFonts w:ascii="Arial" w:cs="Arial" w:eastAsia="Arial" w:hAnsi="Arial"/>
          <w:sz w:val="16"/>
          <w:szCs w:val="16"/>
          <w:color w:val="auto"/>
        </w:rPr>
        <w:t>. Subject to Section 9(b), the Company shall advance, to the extent not prohibited by law, the Expenses incurred by Indemnitee in connection with any Proceeding, and such advancement shall be made as incurred, and such advancement shall be made within thirty</w:t>
      </w:r>
    </w:p>
    <w:p>
      <w:pPr>
        <w:ind w:firstLine="8"/>
        <w:spacing w:after="0" w:line="267" w:lineRule="auto"/>
        <w:tabs>
          <w:tab w:leader="none" w:pos="345" w:val="left"/>
        </w:tabs>
        <w:numPr>
          <w:ilvl w:val="0"/>
          <w:numId w:val="308"/>
        </w:numPr>
        <w:rPr>
          <w:rFonts w:ascii="Arial" w:cs="Arial" w:eastAsia="Arial" w:hAnsi="Arial"/>
          <w:sz w:val="17"/>
          <w:szCs w:val="17"/>
          <w:color w:val="auto"/>
        </w:rPr>
      </w:pPr>
      <w:r>
        <w:rPr>
          <w:rFonts w:ascii="Arial" w:cs="Arial" w:eastAsia="Arial" w:hAnsi="Arial"/>
          <w:sz w:val="17"/>
          <w:szCs w:val="17"/>
          <w:color w:val="auto"/>
        </w:rPr>
        <w:t>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of covered loss under the provisions of any applicable insurance policy (including ,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91" w:name="page392"/>
    <w:bookmarkEnd w:id="39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 </w:t>
      </w:r>
      <w:r>
        <w:rPr>
          <w:rFonts w:ascii="Arial" w:cs="Arial" w:eastAsia="Arial" w:hAnsi="Arial"/>
          <w:sz w:val="18"/>
          <w:szCs w:val="18"/>
          <w:u w:val="single" w:color="auto"/>
          <w:color w:val="auto"/>
        </w:rPr>
        <w:t>Procedure for Notification and Defense of Claim</w:t>
      </w:r>
      <w:r>
        <w:rPr>
          <w:rFonts w:ascii="Arial" w:cs="Arial" w:eastAsia="Arial" w:hAnsi="Arial"/>
          <w:sz w:val="18"/>
          <w:szCs w:val="18"/>
          <w:color w:val="auto"/>
        </w:rPr>
        <w:t>.</w:t>
      </w:r>
    </w:p>
    <w:p>
      <w:pPr>
        <w:spacing w:after="0" w:line="117" w:lineRule="exact"/>
        <w:rPr>
          <w:sz w:val="20"/>
          <w:szCs w:val="20"/>
          <w:color w:val="auto"/>
        </w:rPr>
      </w:pPr>
    </w:p>
    <w:p>
      <w:pPr>
        <w:jc w:val="both"/>
        <w:ind w:right="140" w:firstLine="921"/>
        <w:spacing w:after="0" w:line="264" w:lineRule="auto"/>
        <w:tabs>
          <w:tab w:leader="none" w:pos="115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73" w:lineRule="exact"/>
        <w:rPr>
          <w:rFonts w:ascii="Arial" w:cs="Arial" w:eastAsia="Arial" w:hAnsi="Arial"/>
          <w:sz w:val="18"/>
          <w:szCs w:val="18"/>
          <w:color w:val="auto"/>
        </w:rPr>
      </w:pPr>
    </w:p>
    <w:p>
      <w:pPr>
        <w:ind w:firstLine="921"/>
        <w:spacing w:after="0" w:line="270" w:lineRule="auto"/>
        <w:tabs>
          <w:tab w:leader="none" w:pos="1168"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Proceeding;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or (C) the Company shall not continue to retain such counsel to defend such Proceeding, then the fees and expenses actually and reasonably incurred by Indemnitee with respect to his or her separate counsel shall be Expenses hereunder.</w:t>
      </w:r>
    </w:p>
    <w:p>
      <w:pPr>
        <w:spacing w:after="0" w:line="69" w:lineRule="exact"/>
        <w:rPr>
          <w:rFonts w:ascii="Arial" w:cs="Arial" w:eastAsia="Arial" w:hAnsi="Arial"/>
          <w:sz w:val="17"/>
          <w:szCs w:val="17"/>
          <w:color w:val="auto"/>
        </w:rPr>
      </w:pPr>
    </w:p>
    <w:p>
      <w:pPr>
        <w:ind w:right="540" w:firstLine="921"/>
        <w:spacing w:after="0" w:line="277" w:lineRule="auto"/>
        <w:tabs>
          <w:tab w:leader="none" w:pos="115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In the event that the Company does not assume the defense in a Proceeding pursuant to paragraph (b) above, then the Company will be entitled to participate in the Proceeding at its own expense.</w:t>
      </w:r>
    </w:p>
    <w:p>
      <w:pPr>
        <w:spacing w:after="0" w:line="62" w:lineRule="exact"/>
        <w:rPr>
          <w:rFonts w:ascii="Arial" w:cs="Arial" w:eastAsia="Arial" w:hAnsi="Arial"/>
          <w:sz w:val="18"/>
          <w:szCs w:val="18"/>
          <w:color w:val="auto"/>
        </w:rPr>
      </w:pPr>
    </w:p>
    <w:p>
      <w:pPr>
        <w:ind w:right="300" w:firstLine="921"/>
        <w:spacing w:after="0" w:line="293" w:lineRule="auto"/>
        <w:tabs>
          <w:tab w:leader="none" w:pos="1168"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Company shall not be liable to indemnify Indemnitee under this Agreement for any amounts paid in settlement of any Proceeding effected without its prior written consent (which consent shall not be unreasonably withheld or delayed).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Procedure Upon Application for Indemnification</w:t>
      </w:r>
      <w:r>
        <w:rPr>
          <w:rFonts w:ascii="Arial" w:cs="Arial" w:eastAsia="Arial" w:hAnsi="Arial"/>
          <w:sz w:val="18"/>
          <w:szCs w:val="18"/>
          <w:color w:val="auto"/>
        </w:rPr>
        <w:t>.</w:t>
      </w:r>
      <w:r>
        <w:rPr>
          <w:rFonts w:ascii="Arial" w:cs="Arial" w:eastAsia="Arial" w:hAnsi="Arial"/>
          <w:sz w:val="15"/>
          <w:szCs w:val="15"/>
          <w:color w:val="auto"/>
        </w:rPr>
        <w:t>2</w:t>
      </w:r>
    </w:p>
    <w:p>
      <w:pPr>
        <w:spacing w:after="0" w:line="117" w:lineRule="exact"/>
        <w:rPr>
          <w:sz w:val="20"/>
          <w:szCs w:val="20"/>
          <w:color w:val="auto"/>
        </w:rPr>
      </w:pPr>
    </w:p>
    <w:p>
      <w:pPr>
        <w:ind w:right="60" w:firstLine="921"/>
        <w:spacing w:after="0" w:line="264" w:lineRule="auto"/>
        <w:tabs>
          <w:tab w:leader="none" w:pos="115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and indemnification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hanging="452"/>
        <w:spacing w:after="0"/>
        <w:tabs>
          <w:tab w:leader="none" w:pos="460" w:val="left"/>
        </w:tabs>
        <w:numPr>
          <w:ilvl w:val="0"/>
          <w:numId w:val="311"/>
        </w:numPr>
        <w:rPr>
          <w:rFonts w:ascii="Arial" w:cs="Arial" w:eastAsia="Arial" w:hAnsi="Arial"/>
          <w:sz w:val="15"/>
          <w:szCs w:val="15"/>
          <w:color w:val="auto"/>
        </w:rPr>
      </w:pPr>
      <w:r>
        <w:rPr>
          <w:rFonts w:ascii="Arial" w:cs="Arial" w:eastAsia="Arial" w:hAnsi="Arial"/>
          <w:sz w:val="18"/>
          <w:szCs w:val="18"/>
          <w:color w:val="auto"/>
        </w:rPr>
        <w:t>Bracketed portions for CEO Director version only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392" w:name="page393"/>
    <w:bookmarkEnd w:id="39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being requested by Indemnitee hereunder in his or her capacity as a director of the Company, by Independent Counsel in a written opinion to the Board; or</w:t>
      </w:r>
    </w:p>
    <w:p>
      <w:pPr>
        <w:spacing w:after="0" w:line="46" w:lineRule="exact"/>
        <w:rPr>
          <w:sz w:val="20"/>
          <w:szCs w:val="20"/>
          <w:color w:val="auto"/>
        </w:rPr>
      </w:pPr>
    </w:p>
    <w:p>
      <w:pPr>
        <w:ind w:firstLine="8"/>
        <w:spacing w:after="0" w:line="267" w:lineRule="auto"/>
        <w:tabs>
          <w:tab w:leader="none" w:pos="255" w:val="left"/>
        </w:tabs>
        <w:numPr>
          <w:ilvl w:val="0"/>
          <w:numId w:val="312"/>
        </w:numPr>
        <w:rPr>
          <w:rFonts w:ascii="Arial" w:cs="Arial" w:eastAsia="Arial" w:hAnsi="Arial"/>
          <w:sz w:val="17"/>
          <w:szCs w:val="17"/>
          <w:color w:val="auto"/>
        </w:rPr>
      </w:pPr>
      <w:r>
        <w:rPr>
          <w:rFonts w:ascii="Arial" w:cs="Arial" w:eastAsia="Arial" w:hAnsi="Arial"/>
          <w:sz w:val="17"/>
          <w:szCs w:val="17"/>
          <w:color w:val="auto"/>
        </w:rPr>
        <w:t>in any other case,]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77" w:lineRule="exact"/>
        <w:rPr>
          <w:rFonts w:ascii="Arial" w:cs="Arial" w:eastAsia="Arial" w:hAnsi="Arial"/>
          <w:sz w:val="17"/>
          <w:szCs w:val="17"/>
          <w:color w:val="auto"/>
        </w:rPr>
      </w:pPr>
    </w:p>
    <w:p>
      <w:pPr>
        <w:ind w:right="20" w:firstLine="921"/>
        <w:spacing w:after="0" w:line="268" w:lineRule="auto"/>
        <w:tabs>
          <w:tab w:leader="none" w:pos="1168" w:val="left"/>
        </w:tabs>
        <w:numPr>
          <w:ilvl w:val="1"/>
          <w:numId w:val="312"/>
        </w:numPr>
        <w:rPr>
          <w:rFonts w:ascii="Arial" w:cs="Arial" w:eastAsia="Arial" w:hAnsi="Arial"/>
          <w:sz w:val="17"/>
          <w:szCs w:val="17"/>
          <w:color w:val="auto"/>
        </w:rPr>
      </w:pPr>
      <w:r>
        <w:rPr>
          <w:rFonts w:ascii="Arial" w:cs="Arial" w:eastAsia="Arial" w:hAnsi="Arial"/>
          <w:sz w:val="17"/>
          <w:szCs w:val="17"/>
          <w:color w:val="auto"/>
        </w:rPr>
        <w:t xml:space="preserve">If the determination of entitlement to indemnification is to be made by Independent Counsel pursuant to Section 10(a), the Independent Counsel shall be selected by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Change in Control shall have occurred and indemnification is being requested by Indemnitee hereunder in his or her capacity as a director of the Company, the Independent Counsel shall be selected by Indemnitee]. Indemnitee [or the Company, as the case may be,] may, within ten (10) days after written notice of such selection, deliver to the Company [or Indemnitee, as the case may be,] a written objection to such selection;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3" w:right="259" w:bottom="1440" w:gutter="0" w:footer="0" w:header="0"/>
        </w:sectPr>
      </w:pPr>
    </w:p>
    <w:bookmarkStart w:id="393" w:name="page394"/>
    <w:bookmarkEnd w:id="39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 </w:t>
      </w:r>
      <w:r>
        <w:rPr>
          <w:rFonts w:ascii="Arial" w:cs="Arial" w:eastAsia="Arial" w:hAnsi="Arial"/>
          <w:sz w:val="18"/>
          <w:szCs w:val="18"/>
          <w:u w:val="single" w:color="auto"/>
          <w:color w:val="auto"/>
        </w:rPr>
        <w:t>Presumptions and Effect of Certain Proceedings</w:t>
      </w:r>
      <w:r>
        <w:rPr>
          <w:rFonts w:ascii="Arial" w:cs="Arial" w:eastAsia="Arial" w:hAnsi="Arial"/>
          <w:sz w:val="18"/>
          <w:szCs w:val="18"/>
          <w:color w:val="auto"/>
        </w:rPr>
        <w:t>.</w:t>
      </w:r>
    </w:p>
    <w:p>
      <w:pPr>
        <w:spacing w:after="0" w:line="117" w:lineRule="exact"/>
        <w:rPr>
          <w:sz w:val="20"/>
          <w:szCs w:val="20"/>
          <w:color w:val="auto"/>
        </w:rPr>
      </w:pPr>
    </w:p>
    <w:p>
      <w:pPr>
        <w:ind w:left="-20" w:right="220" w:firstLine="921"/>
        <w:spacing w:after="0" w:line="291" w:lineRule="auto"/>
        <w:tabs>
          <w:tab w:leader="none" w:pos="1138" w:val="left"/>
        </w:tabs>
        <w:numPr>
          <w:ilvl w:val="0"/>
          <w:numId w:val="313"/>
        </w:numPr>
        <w:rPr>
          <w:rFonts w:ascii="Arial" w:cs="Arial" w:eastAsia="Arial" w:hAnsi="Arial"/>
          <w:sz w:val="16"/>
          <w:szCs w:val="16"/>
          <w:color w:val="auto"/>
        </w:rPr>
      </w:pPr>
      <w:r>
        <w:rPr>
          <w:rFonts w:ascii="Arial" w:cs="Arial" w:eastAsia="Arial" w:hAnsi="Arial"/>
          <w:sz w:val="16"/>
          <w:szCs w:val="16"/>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to overcome that presumption in connection with the making of any determination contrary to that presumption. Neither (i) the failure of the Company or of Independent Counsel to have made a determination prior to the commencement of any action pursuant to this Agreement that indemnification is proper in the circumstances because Indemnitee has met the applicable standard of conduct, nor (ii) an actual determination by the Company or by Independent Counsel that Indemnitee has not met such applicable standard of conduct, shall be a defense to the action or create a presumption that Indemnitee has not met the applicable standard of conduct.</w:t>
      </w:r>
    </w:p>
    <w:p>
      <w:pPr>
        <w:spacing w:after="0" w:line="59" w:lineRule="exact"/>
        <w:rPr>
          <w:rFonts w:ascii="Arial" w:cs="Arial" w:eastAsia="Arial" w:hAnsi="Arial"/>
          <w:sz w:val="16"/>
          <w:szCs w:val="16"/>
          <w:color w:val="auto"/>
        </w:rPr>
      </w:pPr>
    </w:p>
    <w:p>
      <w:pPr>
        <w:ind w:left="-20" w:right="20" w:firstLine="921"/>
        <w:spacing w:after="0" w:line="257" w:lineRule="auto"/>
        <w:tabs>
          <w:tab w:leader="none" w:pos="1148" w:val="left"/>
        </w:tabs>
        <w:numPr>
          <w:ilvl w:val="0"/>
          <w:numId w:val="313"/>
        </w:numPr>
        <w:rPr>
          <w:rFonts w:ascii="Arial" w:cs="Arial" w:eastAsia="Arial" w:hAnsi="Arial"/>
          <w:sz w:val="18"/>
          <w:szCs w:val="18"/>
          <w:color w:val="auto"/>
        </w:rPr>
      </w:pPr>
      <w:r>
        <w:rPr>
          <w:rFonts w:ascii="Arial" w:cs="Arial" w:eastAsia="Arial" w:hAnsi="Arial"/>
          <w:sz w:val="18"/>
          <w:szCs w:val="18"/>
          <w:color w:val="auto"/>
        </w:rPr>
        <w:t xml:space="preserve">The termination of any Proceeding or of any claim, issue or matter therein, by judgment, order, settlement or conviction, or upon a plea of guilty, </w:t>
      </w:r>
      <w:r>
        <w:rPr>
          <w:rFonts w:ascii="Arial" w:cs="Arial" w:eastAsia="Arial" w:hAnsi="Arial"/>
          <w:sz w:val="18"/>
          <w:szCs w:val="18"/>
          <w:u w:val="single" w:color="auto"/>
          <w:color w:val="auto"/>
        </w:rPr>
        <w:t>nolo contendere</w:t>
      </w:r>
      <w:r>
        <w:rPr>
          <w:rFonts w:ascii="Arial" w:cs="Arial" w:eastAsia="Arial" w:hAnsi="Arial"/>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80" w:lineRule="exact"/>
        <w:rPr>
          <w:rFonts w:ascii="Arial" w:cs="Arial" w:eastAsia="Arial" w:hAnsi="Arial"/>
          <w:sz w:val="18"/>
          <w:szCs w:val="18"/>
          <w:color w:val="auto"/>
        </w:rPr>
      </w:pPr>
    </w:p>
    <w:p>
      <w:pPr>
        <w:ind w:left="-20" w:right="340" w:firstLine="921"/>
        <w:spacing w:after="0" w:line="264" w:lineRule="auto"/>
        <w:tabs>
          <w:tab w:leader="none" w:pos="1138"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Remedies of Indemnitee</w:t>
      </w:r>
      <w:r>
        <w:rPr>
          <w:rFonts w:ascii="Arial" w:cs="Arial" w:eastAsia="Arial" w:hAnsi="Arial"/>
          <w:sz w:val="18"/>
          <w:szCs w:val="18"/>
          <w:color w:val="auto"/>
        </w:rPr>
        <w:t>.</w:t>
      </w:r>
    </w:p>
    <w:p>
      <w:pPr>
        <w:spacing w:after="0" w:line="117" w:lineRule="exact"/>
        <w:rPr>
          <w:sz w:val="20"/>
          <w:szCs w:val="20"/>
          <w:color w:val="auto"/>
        </w:rPr>
      </w:pPr>
    </w:p>
    <w:p>
      <w:pPr>
        <w:ind w:left="-20" w:firstLine="921"/>
        <w:spacing w:after="0" w:line="289" w:lineRule="auto"/>
        <w:tabs>
          <w:tab w:leader="none" w:pos="1138" w:val="left"/>
        </w:tabs>
        <w:numPr>
          <w:ilvl w:val="0"/>
          <w:numId w:val="314"/>
        </w:numPr>
        <w:rPr>
          <w:rFonts w:ascii="Arial" w:cs="Arial" w:eastAsia="Arial" w:hAnsi="Arial"/>
          <w:sz w:val="16"/>
          <w:szCs w:val="16"/>
          <w:color w:val="auto"/>
        </w:rPr>
      </w:pPr>
      <w:r>
        <w:rPr>
          <w:rFonts w:ascii="Arial" w:cs="Arial" w:eastAsia="Arial" w:hAnsi="Arial"/>
          <w:sz w:val="16"/>
          <w:szCs w:val="16"/>
          <w:color w:val="auto"/>
        </w:rPr>
        <w:t>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 (30) 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74" w:right="259" w:bottom="1440" w:gutter="0" w:footer="0" w:header="0"/>
        </w:sectPr>
      </w:pPr>
    </w:p>
    <w:bookmarkStart w:id="394" w:name="page395"/>
    <w:bookmarkEnd w:id="394"/>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80" w:lineRule="exact"/>
        <w:rPr>
          <w:sz w:val="20"/>
          <w:szCs w:val="20"/>
          <w:color w:val="auto"/>
        </w:rPr>
      </w:pPr>
    </w:p>
    <w:p>
      <w:pPr>
        <w:jc w:val="both"/>
        <w:ind w:firstLine="921"/>
        <w:spacing w:after="0" w:line="302" w:lineRule="auto"/>
        <w:tabs>
          <w:tab w:leader="none" w:pos="1168" w:val="left"/>
        </w:tabs>
        <w:numPr>
          <w:ilvl w:val="0"/>
          <w:numId w:val="315"/>
        </w:numPr>
        <w:rPr>
          <w:rFonts w:ascii="Arial" w:cs="Arial" w:eastAsia="Arial" w:hAnsi="Arial"/>
          <w:sz w:val="16"/>
          <w:szCs w:val="16"/>
          <w:color w:val="auto"/>
        </w:rPr>
      </w:pPr>
      <w:r>
        <w:rPr>
          <w:rFonts w:ascii="Arial" w:cs="Arial" w:eastAsia="Arial" w:hAnsi="Arial"/>
          <w:sz w:val="16"/>
          <w:szCs w:val="16"/>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46" w:lineRule="exact"/>
        <w:rPr>
          <w:rFonts w:ascii="Arial" w:cs="Arial" w:eastAsia="Arial" w:hAnsi="Arial"/>
          <w:sz w:val="16"/>
          <w:szCs w:val="16"/>
          <w:color w:val="auto"/>
        </w:rPr>
      </w:pPr>
    </w:p>
    <w:p>
      <w:pPr>
        <w:ind w:right="60" w:firstLine="921"/>
        <w:spacing w:after="0" w:line="279" w:lineRule="auto"/>
        <w:tabs>
          <w:tab w:leader="none" w:pos="1158" w:val="left"/>
        </w:tabs>
        <w:numPr>
          <w:ilvl w:val="0"/>
          <w:numId w:val="315"/>
        </w:numPr>
        <w:rPr>
          <w:rFonts w:ascii="Arial" w:cs="Arial" w:eastAsia="Arial" w:hAnsi="Arial"/>
          <w:sz w:val="17"/>
          <w:szCs w:val="17"/>
          <w:color w:val="auto"/>
        </w:rPr>
      </w:pPr>
      <w:r>
        <w:rPr>
          <w:rFonts w:ascii="Arial" w:cs="Arial" w:eastAsia="Arial" w:hAnsi="Arial"/>
          <w:sz w:val="17"/>
          <w:szCs w:val="17"/>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63" w:lineRule="exact"/>
        <w:rPr>
          <w:rFonts w:ascii="Arial" w:cs="Arial" w:eastAsia="Arial" w:hAnsi="Arial"/>
          <w:sz w:val="17"/>
          <w:szCs w:val="17"/>
          <w:color w:val="auto"/>
        </w:rPr>
      </w:pPr>
    </w:p>
    <w:p>
      <w:pPr>
        <w:ind w:right="140" w:firstLine="921"/>
        <w:spacing w:after="0" w:line="264" w:lineRule="auto"/>
        <w:tabs>
          <w:tab w:leader="none" w:pos="116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73" w:lineRule="exact"/>
        <w:rPr>
          <w:rFonts w:ascii="Arial" w:cs="Arial" w:eastAsia="Arial" w:hAnsi="Arial"/>
          <w:sz w:val="18"/>
          <w:szCs w:val="18"/>
          <w:color w:val="auto"/>
        </w:rPr>
      </w:pPr>
    </w:p>
    <w:p>
      <w:pPr>
        <w:ind w:firstLine="921"/>
        <w:spacing w:after="0" w:line="291" w:lineRule="auto"/>
        <w:tabs>
          <w:tab w:leader="none" w:pos="1158"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59" w:lineRule="exact"/>
        <w:rPr>
          <w:rFonts w:ascii="Arial" w:cs="Arial" w:eastAsia="Arial" w:hAnsi="Arial"/>
          <w:sz w:val="16"/>
          <w:szCs w:val="16"/>
          <w:color w:val="auto"/>
        </w:rPr>
      </w:pPr>
    </w:p>
    <w:p>
      <w:pPr>
        <w:ind w:right="60" w:firstLine="921"/>
        <w:spacing w:after="0" w:line="277" w:lineRule="auto"/>
        <w:tabs>
          <w:tab w:leader="none" w:pos="113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395" w:name="page396"/>
    <w:bookmarkEnd w:id="39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13. </w:t>
      </w:r>
      <w:r>
        <w:rPr>
          <w:rFonts w:ascii="Arial" w:cs="Arial" w:eastAsia="Arial" w:hAnsi="Arial"/>
          <w:sz w:val="18"/>
          <w:szCs w:val="18"/>
          <w:u w:val="single" w:color="auto"/>
          <w:color w:val="auto"/>
        </w:rPr>
        <w:t>Non-exclusivity; Survival of Rights; Insurance; Subrogation</w:t>
      </w:r>
      <w:r>
        <w:rPr>
          <w:rFonts w:ascii="Arial" w:cs="Arial" w:eastAsia="Arial" w:hAnsi="Arial"/>
          <w:sz w:val="18"/>
          <w:szCs w:val="18"/>
          <w:color w:val="auto"/>
        </w:rPr>
        <w:t>.</w:t>
      </w:r>
    </w:p>
    <w:p>
      <w:pPr>
        <w:spacing w:after="0" w:line="117" w:lineRule="exact"/>
        <w:rPr>
          <w:sz w:val="20"/>
          <w:szCs w:val="20"/>
          <w:color w:val="auto"/>
        </w:rPr>
      </w:pPr>
    </w:p>
    <w:p>
      <w:pPr>
        <w:ind w:firstLine="921"/>
        <w:spacing w:after="0" w:line="270" w:lineRule="auto"/>
        <w:tabs>
          <w:tab w:leader="none" w:pos="1158"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69" w:lineRule="exact"/>
        <w:rPr>
          <w:rFonts w:ascii="Arial" w:cs="Arial" w:eastAsia="Arial" w:hAnsi="Arial"/>
          <w:sz w:val="17"/>
          <w:szCs w:val="17"/>
          <w:color w:val="auto"/>
        </w:rPr>
      </w:pPr>
    </w:p>
    <w:p>
      <w:pPr>
        <w:ind w:right="140" w:firstLine="921"/>
        <w:spacing w:after="0" w:line="272" w:lineRule="auto"/>
        <w:tabs>
          <w:tab w:leader="none" w:pos="1168"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Indemnitee, all amounts payable as a result of such proceeding in accordance with the terms of such policies.</w:t>
      </w:r>
    </w:p>
    <w:p>
      <w:pPr>
        <w:spacing w:after="0" w:line="69" w:lineRule="exact"/>
        <w:rPr>
          <w:rFonts w:ascii="Arial" w:cs="Arial" w:eastAsia="Arial" w:hAnsi="Arial"/>
          <w:sz w:val="17"/>
          <w:szCs w:val="17"/>
          <w:color w:val="auto"/>
        </w:rPr>
      </w:pPr>
    </w:p>
    <w:p>
      <w:pPr>
        <w:ind w:right="220" w:firstLine="921"/>
        <w:spacing w:after="0" w:line="264" w:lineRule="auto"/>
        <w:tabs>
          <w:tab w:leader="none" w:pos="115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73" w:lineRule="exact"/>
        <w:rPr>
          <w:rFonts w:ascii="Arial" w:cs="Arial" w:eastAsia="Arial" w:hAnsi="Arial"/>
          <w:sz w:val="18"/>
          <w:szCs w:val="18"/>
          <w:color w:val="auto"/>
        </w:rPr>
      </w:pPr>
    </w:p>
    <w:p>
      <w:pPr>
        <w:ind w:right="140" w:firstLine="921"/>
        <w:spacing w:after="0" w:line="264" w:lineRule="auto"/>
        <w:tabs>
          <w:tab w:leader="none" w:pos="1168"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81"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Duration of Agreement</w:t>
      </w:r>
      <w:r>
        <w:rPr>
          <w:rFonts w:ascii="Arial" w:cs="Arial" w:eastAsia="Arial" w:hAnsi="Arial"/>
          <w:sz w:val="18"/>
          <w:szCs w:val="18"/>
          <w:color w:val="auto"/>
        </w:rPr>
        <w:t>. This Agreement shall continue until and terminate upon the later of: (a) ten (10) years after the date that Indemnitee shall have ceased to serve as [both a director and] an officer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396" w:name="page397"/>
    <w:bookmarkEnd w:id="396"/>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8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Enforcement</w:t>
      </w:r>
      <w:r>
        <w:rPr>
          <w:rFonts w:ascii="Arial" w:cs="Arial" w:eastAsia="Arial" w:hAnsi="Arial"/>
          <w:sz w:val="18"/>
          <w:szCs w:val="18"/>
          <w:color w:val="auto"/>
        </w:rPr>
        <w:t>.</w:t>
      </w:r>
    </w:p>
    <w:p>
      <w:pPr>
        <w:spacing w:after="0" w:line="117" w:lineRule="exact"/>
        <w:rPr>
          <w:sz w:val="20"/>
          <w:szCs w:val="20"/>
          <w:color w:val="auto"/>
        </w:rPr>
      </w:pPr>
    </w:p>
    <w:p>
      <w:pPr>
        <w:jc w:val="both"/>
        <w:ind w:right="280" w:firstLine="921"/>
        <w:spacing w:after="0" w:line="264" w:lineRule="auto"/>
        <w:tabs>
          <w:tab w:leader="none" w:pos="115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Company expressly confirms and agrees that it has entered into this Agreement and assumed the obligations imposed on it hereby in order to induce Indemnitee to serve or continue to serve as [a director and] an officer of the Company, and the Company acknowledges that Indemnitee is relying upon this Agreement in serving as [a director and] an officer of the Company.</w:t>
      </w:r>
    </w:p>
    <w:p>
      <w:pPr>
        <w:spacing w:after="0" w:line="73" w:lineRule="exact"/>
        <w:rPr>
          <w:rFonts w:ascii="Arial" w:cs="Arial" w:eastAsia="Arial" w:hAnsi="Arial"/>
          <w:sz w:val="18"/>
          <w:szCs w:val="18"/>
          <w:color w:val="auto"/>
        </w:rPr>
      </w:pPr>
    </w:p>
    <w:p>
      <w:pPr>
        <w:ind w:right="20" w:firstLine="921"/>
        <w:spacing w:after="0" w:line="259" w:lineRule="auto"/>
        <w:tabs>
          <w:tab w:leader="none" w:pos="116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This Agreement constitutes the entire agreement between the parties hereto with respect to the subject matter hereof and supersedes all prior agreements and understandings, oral, written and implied, between the parties hereto with respect to the subject matter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Agreement is a supplement to and in furtherance of the Charter, the Bylaws and applicable law, and shall not be deemed a substitute therefor, nor to diminish or abrogate any rights of Indemnitee thereunder.</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Modification and Waiver</w:t>
      </w:r>
      <w:r>
        <w:rPr>
          <w:rFonts w:ascii="Arial" w:cs="Arial" w:eastAsia="Arial" w:hAnsi="Arial"/>
          <w:sz w:val="18"/>
          <w:szCs w:val="18"/>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274" w:right="319" w:bottom="1440" w:gutter="0" w:footer="0" w:header="0"/>
        </w:sectPr>
      </w:pPr>
    </w:p>
    <w:bookmarkStart w:id="397" w:name="page398"/>
    <w:bookmarkEnd w:id="397"/>
    <w:p>
      <w:pPr>
        <w:ind w:right="2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18. </w:t>
      </w:r>
      <w:r>
        <w:rPr>
          <w:rFonts w:ascii="Arial" w:cs="Arial" w:eastAsia="Arial" w:hAnsi="Arial"/>
          <w:sz w:val="18"/>
          <w:szCs w:val="18"/>
          <w:u w:val="single" w:color="auto"/>
          <w:color w:val="auto"/>
        </w:rPr>
        <w:t>Notice by Indemnitee</w:t>
      </w:r>
      <w:r>
        <w:rPr>
          <w:rFonts w:ascii="Arial" w:cs="Arial" w:eastAsia="Arial" w:hAnsi="Arial"/>
          <w:sz w:val="18"/>
          <w:szCs w:val="18"/>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shall not relieve the Company of any obligation which it may have to Indemnitee under this Agreement or otherwise.</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 If to Indemnitee, at such address as Indemnitee shall provide to the Company.</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 If to the Company to:</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One Kendall Square</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Building 300, Suite 201</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 to any other address as may have been furnished to Indemnitee by the Company.</w:t>
      </w:r>
    </w:p>
    <w:p>
      <w:pPr>
        <w:spacing w:after="0" w:line="225"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 xml:space="preserve">Section 20. </w:t>
      </w:r>
      <w:r>
        <w:rPr>
          <w:rFonts w:ascii="Arial" w:cs="Arial" w:eastAsia="Arial" w:hAnsi="Arial"/>
          <w:sz w:val="17"/>
          <w:szCs w:val="17"/>
          <w:u w:val="single" w:color="auto"/>
          <w:color w:val="auto"/>
        </w:rPr>
        <w:t>Contribution</w:t>
      </w:r>
      <w:r>
        <w:rPr>
          <w:rFonts w:ascii="Arial" w:cs="Arial" w:eastAsia="Arial" w:hAnsi="Arial"/>
          <w:sz w:val="17"/>
          <w:szCs w:val="17"/>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7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Internal Revenue Code Section 409A</w:t>
      </w:r>
      <w:r>
        <w:rPr>
          <w:rFonts w:ascii="Arial" w:cs="Arial" w:eastAsia="Arial" w:hAnsi="Arial"/>
          <w:sz w:val="18"/>
          <w:szCs w:val="18"/>
          <w:color w:val="auto"/>
        </w:rPr>
        <w:t>. The Company intends for this Agreement to comply with the Indemnification exception under Section 1.409A-1(b)(10) of the regulations promulgated under the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3" w:right="239" w:bottom="1440" w:gutter="0" w:footer="0" w:header="0"/>
        </w:sectPr>
      </w:pPr>
    </w:p>
    <w:bookmarkStart w:id="398" w:name="page399"/>
    <w:bookmarkEnd w:id="398"/>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22. </w:t>
      </w:r>
      <w:r>
        <w:rPr>
          <w:rFonts w:ascii="Arial" w:cs="Arial" w:eastAsia="Arial" w:hAnsi="Arial"/>
          <w:sz w:val="16"/>
          <w:szCs w:val="16"/>
          <w:u w:val="single" w:color="auto"/>
          <w:color w:val="auto"/>
        </w:rPr>
        <w:t>Applicable Law and Consent to Jurisdiction</w:t>
      </w:r>
      <w:r>
        <w:rPr>
          <w:rFonts w:ascii="Arial" w:cs="Arial" w:eastAsia="Arial" w:hAnsi="Arial"/>
          <w:sz w:val="16"/>
          <w:szCs w:val="16"/>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67"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paragraphs of this Agreement are inserted for convenience only and shall not be deemed to constitute part of this Agreement or to affect the construction thereof.</w:t>
      </w:r>
    </w:p>
    <w:p>
      <w:pPr>
        <w:spacing w:after="0" w:line="170"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Identical Counterparts</w:t>
      </w:r>
      <w:r>
        <w:rPr>
          <w:rFonts w:ascii="Arial" w:cs="Arial" w:eastAsia="Arial" w:hAnsi="Arial"/>
          <w:sz w:val="18"/>
          <w:szCs w:val="18"/>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3" w:right="279" w:bottom="1440" w:gutter="0" w:footer="0" w:header="0"/>
        </w:sectPr>
      </w:pPr>
    </w:p>
    <w:bookmarkStart w:id="399" w:name="page400"/>
    <w:bookmarkEnd w:id="39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Agreement to be signed as of the day and year first above written.</w:t>
      </w:r>
    </w:p>
    <w:p>
      <w:pPr>
        <w:spacing w:after="0" w:line="27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AVROBIO, INC.</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151765</wp:posOffset>
            </wp:positionV>
            <wp:extent cx="265874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58"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 of Indemnitee]</w:t>
      </w:r>
    </w:p>
    <w:p>
      <w:pPr>
        <w:sectPr>
          <w:pgSz w:w="11900" w:h="16838" w:orient="portrait"/>
          <w:cols w:equalWidth="0" w:num="1">
            <w:col w:w="9759"/>
          </w:cols>
          <w:pgMar w:left="700" w:top="274" w:right="1440" w:bottom="1440" w:gutter="0" w:footer="0" w:header="0"/>
        </w:sectPr>
      </w:pPr>
    </w:p>
    <w:bookmarkStart w:id="400" w:name="page401"/>
    <w:bookmarkEnd w:id="400"/>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jc w:val="center"/>
        <w:ind w:left="260" w:right="1780"/>
        <w:spacing w:after="0" w:line="257" w:lineRule="auto"/>
        <w:rPr>
          <w:sz w:val="20"/>
          <w:szCs w:val="20"/>
          <w:color w:val="auto"/>
        </w:rPr>
      </w:pPr>
      <w:r>
        <w:rPr>
          <w:rFonts w:ascii="Arial" w:cs="Arial" w:eastAsia="Arial" w:hAnsi="Arial"/>
          <w:sz w:val="18"/>
          <w:szCs w:val="18"/>
          <w:color w:val="auto"/>
        </w:rPr>
        <w:t>CERTAIN CONFIDENTIAL PORTIONS OF THIS EXHIBIT WERE OMITTED AND REPLACED WITH “[***]”. A COMPLETE VERSION OF THIS EXHIBIT HAS BEEN FILED SEPARATELY WITH THE SECRETARY OF THE SECURITIES AND EXCHANGE COMMISSION PURSUANT TO AN APPLICATION REQUESTING CONFIDENTIAL TREATMENT PURSUANT TO RULE 406 PROMULGATED UNDER THE SECURITIES ACT OF 1933, AS AMENDED.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LICENSE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License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made and entered into effective as of </w:t>
      </w:r>
      <w:r>
        <w:rPr>
          <w:rFonts w:ascii="Arial" w:cs="Arial" w:eastAsia="Arial" w:hAnsi="Arial"/>
          <w:sz w:val="18"/>
          <w:szCs w:val="18"/>
          <w:b w:val="1"/>
          <w:bCs w:val="1"/>
          <w:color w:val="auto"/>
        </w:rPr>
        <w:t>August 31, 2017</w:t>
      </w:r>
      <w:r>
        <w:rPr>
          <w:rFonts w:ascii="Arial" w:cs="Arial" w:eastAsia="Arial" w:hAnsi="Arial"/>
          <w:sz w:val="18"/>
          <w:szCs w:val="18"/>
          <w:color w:val="auto"/>
        </w:rPr>
        <w:t xml:space="preserve">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BioMarin Pharmaceutical Inc</w:t>
      </w:r>
      <w:r>
        <w:rPr>
          <w:rFonts w:ascii="Arial" w:cs="Arial" w:eastAsia="Arial" w:hAnsi="Arial"/>
          <w:sz w:val="18"/>
          <w:szCs w:val="18"/>
          <w:color w:val="auto"/>
        </w:rPr>
        <w:t>., a Delaware corporation located at 770 Lindaro Street, San Rafael, CA 94901 (“</w:t>
      </w:r>
      <w:r>
        <w:rPr>
          <w:rFonts w:ascii="Arial" w:cs="Arial" w:eastAsia="Arial" w:hAnsi="Arial"/>
          <w:sz w:val="18"/>
          <w:szCs w:val="18"/>
          <w:b w:val="1"/>
          <w:bCs w:val="1"/>
          <w:color w:val="auto"/>
        </w:rPr>
        <w:t>BioMarin</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AVROBIO, Inc</w:t>
      </w:r>
      <w:r>
        <w:rPr>
          <w:rFonts w:ascii="Arial" w:cs="Arial" w:eastAsia="Arial" w:hAnsi="Arial"/>
          <w:sz w:val="17"/>
          <w:szCs w:val="17"/>
          <w:color w:val="auto"/>
        </w:rPr>
        <w:t>., a Delaware corporation having a place of business at 700 Technology Square, Suite 101, Cambridge, MA 02139 (“</w:t>
      </w:r>
      <w:r>
        <w:rPr>
          <w:rFonts w:ascii="Arial" w:cs="Arial" w:eastAsia="Arial" w:hAnsi="Arial"/>
          <w:sz w:val="17"/>
          <w:szCs w:val="17"/>
          <w:b w:val="1"/>
          <w:bCs w:val="1"/>
          <w:color w:val="auto"/>
        </w:rPr>
        <w:t>AVROBIO</w:t>
      </w:r>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BioMarin and AVROBIO each may be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or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ECITALS</w:t>
      </w:r>
    </w:p>
    <w:p>
      <w:pPr>
        <w:spacing w:after="0" w:line="225"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 BioMarin owns and/or controls certain patents and know-how pertaining to a fusion of a portion of the insulin-like growth factor 2 protein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GILT Tag</w:t>
      </w:r>
      <w:r>
        <w:rPr>
          <w:rFonts w:ascii="Arial" w:cs="Arial" w:eastAsia="Arial" w:hAnsi="Arial"/>
          <w:sz w:val="18"/>
          <w:szCs w:val="18"/>
          <w:color w:val="auto"/>
        </w:rPr>
        <w:t>”) with acid alpha-glucosidase and its use in the treatment of Pompe disease.</w:t>
      </w:r>
    </w:p>
    <w:p>
      <w:pPr>
        <w:spacing w:after="0" w:line="54"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 AVROBIO desires to obtain an exclusive license under such patents and know-how for the purpose of developing,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commercializing Licensed Products in the Field (each as defined below), and BioMarin desires to grant AVROBIO such a license on the terms and conditions set forth in this Agreement.</w:t>
      </w:r>
    </w:p>
    <w:p>
      <w:pPr>
        <w:spacing w:after="0" w:line="180"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In consideration of the foregoing premises, the mutual promises and covenants set forth in this Agreement, and other good and valuable consideration, the receipt and sufficiency of which are hereby acknowledged, BioMarin and AVROBIO hereby agree as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GREEMENT</w:t>
      </w:r>
    </w:p>
    <w:p>
      <w:pPr>
        <w:spacing w:after="0" w:line="252" w:lineRule="exact"/>
        <w:rPr>
          <w:sz w:val="20"/>
          <w:szCs w:val="20"/>
          <w:color w:val="auto"/>
        </w:rPr>
      </w:pPr>
    </w:p>
    <w:p>
      <w:pPr>
        <w:ind w:left="460" w:hanging="452"/>
        <w:spacing w:after="0"/>
        <w:tabs>
          <w:tab w:leader="none" w:pos="46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5"/>
          <w:szCs w:val="15"/>
          <w:b w:val="1"/>
          <w:bCs w:val="1"/>
          <w:color w:val="auto"/>
        </w:rPr>
        <w:t>EFINITIONS</w:t>
      </w:r>
    </w:p>
    <w:p>
      <w:pPr>
        <w:spacing w:after="0" w:line="12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When used in this Agreement, the following capitalized terms will have the meanings as defined below. Unless the context indicates otherwise, the singular will include the plural and the plural will include the singular.</w:t>
      </w:r>
    </w:p>
    <w:p>
      <w:pPr>
        <w:spacing w:after="0" w:line="166" w:lineRule="exact"/>
        <w:rPr>
          <w:sz w:val="20"/>
          <w:szCs w:val="20"/>
          <w:color w:val="auto"/>
        </w:rPr>
      </w:pPr>
    </w:p>
    <w:p>
      <w:pPr>
        <w:ind w:right="80" w:firstLine="456"/>
        <w:spacing w:after="0" w:line="295" w:lineRule="auto"/>
        <w:rPr>
          <w:sz w:val="20"/>
          <w:szCs w:val="20"/>
          <w:color w:val="auto"/>
        </w:rPr>
      </w:pPr>
      <w:r>
        <w:rPr>
          <w:rFonts w:ascii="Arial" w:cs="Arial" w:eastAsia="Arial" w:hAnsi="Arial"/>
          <w:sz w:val="16"/>
          <w:szCs w:val="16"/>
          <w:b w:val="1"/>
          <w:bCs w:val="1"/>
          <w:color w:val="auto"/>
        </w:rPr>
        <w:t xml:space="preserve">1.1 “Affiliate” </w:t>
      </w:r>
      <w:r>
        <w:rPr>
          <w:rFonts w:ascii="Arial" w:cs="Arial" w:eastAsia="Arial" w:hAnsi="Arial"/>
          <w:sz w:val="16"/>
          <w:szCs w:val="16"/>
          <w:color w:val="auto"/>
        </w:rPr>
        <w:t>means, with respect to a Party, any corporation, firm, partnership or other entity that directly or indirectly controls or is controlled by or</w:t>
      </w:r>
      <w:r>
        <w:rPr>
          <w:rFonts w:ascii="Arial" w:cs="Arial" w:eastAsia="Arial" w:hAnsi="Arial"/>
          <w:sz w:val="16"/>
          <w:szCs w:val="16"/>
          <w:b w:val="1"/>
          <w:bCs w:val="1"/>
          <w:color w:val="auto"/>
        </w:rPr>
        <w:t xml:space="preserve"> </w:t>
      </w:r>
      <w:r>
        <w:rPr>
          <w:rFonts w:ascii="Arial" w:cs="Arial" w:eastAsia="Arial" w:hAnsi="Arial"/>
          <w:sz w:val="16"/>
          <w:szCs w:val="16"/>
          <w:color w:val="auto"/>
        </w:rPr>
        <w:t>is under common control with such Party, but only for so long as such control exists. As used in this definition, “control” means (with correlative meanings for the terms “controlled by” and “under common control with”) that the applicable entity has the actual ability to direct and manage the business affairs of the Party, whether through ownership, directly or indirectly, of fifty percent (50%) or more of the shares of stock entitled to vote for the election of directors of the Party, in the case of a corporation, or fifty percent (50%) or more of the equity interests in the case of any other type of legal entity, status as a general partner in any partnership, or by contract or any other arrangement whereby such entity controls or has the right to control the business affairs of the Party.</w:t>
      </w:r>
    </w:p>
    <w:p>
      <w:pPr>
        <w:sectPr>
          <w:pgSz w:w="11900" w:h="16838" w:orient="portrait"/>
          <w:cols w:equalWidth="0" w:num="1">
            <w:col w:w="11420"/>
          </w:cols>
          <w:pgMar w:left="240" w:top="121" w:right="239" w:bottom="1440" w:gutter="0" w:footer="0" w:header="0"/>
        </w:sectPr>
      </w:pPr>
    </w:p>
    <w:bookmarkStart w:id="401" w:name="page402"/>
    <w:bookmarkEnd w:id="401"/>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1.2 “[***]” </w:t>
      </w:r>
      <w:r>
        <w:rPr>
          <w:rFonts w:ascii="Arial" w:cs="Arial" w:eastAsia="Arial" w:hAnsi="Arial"/>
          <w:sz w:val="18"/>
          <w:szCs w:val="18"/>
          <w:color w:val="auto"/>
        </w:rPr>
        <w:t>means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 “[***]” </w:t>
      </w:r>
      <w:r>
        <w:rPr>
          <w:rFonts w:ascii="Arial" w:cs="Arial" w:eastAsia="Arial" w:hAnsi="Arial"/>
          <w:sz w:val="18"/>
          <w:szCs w:val="18"/>
          <w:color w:val="auto"/>
        </w:rPr>
        <w:t>means [***].</w:t>
      </w:r>
    </w:p>
    <w:p>
      <w:pPr>
        <w:spacing w:after="0" w:line="11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color w:val="auto"/>
        </w:rPr>
        <w:t>1.4 “Change of Control</w:t>
      </w:r>
      <w:r>
        <w:rPr>
          <w:rFonts w:ascii="Arial" w:cs="Arial" w:eastAsia="Arial" w:hAnsi="Arial"/>
          <w:sz w:val="18"/>
          <w:szCs w:val="18"/>
          <w:color w:val="auto"/>
        </w:rPr>
        <w:t>” means with respect to AVROBIO: (a) a merger, reorganization or consolidation involving AVROBIO in which the voting</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of AVROBIO outstanding immediately prior thereto cease to represent at least fifty percent (50%) of the combined voting power of the surviving entity immediately after such merger, reorganization or consolidation; (b) a Third Party, or group of Third Parties acting in concert, acquire, directly or indirectly, other than in connection with a bona fide financing of AVROBIO, more than fifty percent (50%) of the voting equity securities or management control of AVROBIO; or (c) AVROBIO conveys, transfers, licenses (on an exclusive and worldwide basis) and/or leases all or substantially all of its assets to a Third Party.</w:t>
      </w:r>
    </w:p>
    <w:p>
      <w:pPr>
        <w:spacing w:after="0" w:line="80" w:lineRule="exact"/>
        <w:rPr>
          <w:sz w:val="20"/>
          <w:szCs w:val="20"/>
          <w:color w:val="auto"/>
        </w:rPr>
      </w:pPr>
    </w:p>
    <w:p>
      <w:pPr>
        <w:ind w:right="180" w:firstLine="456"/>
        <w:spacing w:after="0" w:line="347" w:lineRule="auto"/>
        <w:rPr>
          <w:sz w:val="20"/>
          <w:szCs w:val="20"/>
          <w:color w:val="auto"/>
        </w:rPr>
      </w:pPr>
      <w:r>
        <w:rPr>
          <w:rFonts w:ascii="Arial" w:cs="Arial" w:eastAsia="Arial" w:hAnsi="Arial"/>
          <w:sz w:val="16"/>
          <w:szCs w:val="16"/>
          <w:b w:val="1"/>
          <w:bCs w:val="1"/>
          <w:color w:val="auto"/>
        </w:rPr>
        <w:t xml:space="preserve">1.5 “Commercialization” </w:t>
      </w:r>
      <w:r>
        <w:rPr>
          <w:rFonts w:ascii="Arial" w:cs="Arial" w:eastAsia="Arial" w:hAnsi="Arial"/>
          <w:sz w:val="16"/>
          <w:szCs w:val="16"/>
          <w:color w:val="auto"/>
        </w:rPr>
        <w:t>means all activities relating to the manufacture, marketing, obtaining pricing and reimbursement approvals, promotion,</w:t>
      </w:r>
      <w:r>
        <w:rPr>
          <w:rFonts w:ascii="Arial" w:cs="Arial" w:eastAsia="Arial" w:hAnsi="Arial"/>
          <w:sz w:val="16"/>
          <w:szCs w:val="16"/>
          <w:b w:val="1"/>
          <w:bCs w:val="1"/>
          <w:color w:val="auto"/>
        </w:rPr>
        <w:t xml:space="preserve"> </w:t>
      </w:r>
      <w:r>
        <w:rPr>
          <w:rFonts w:ascii="Arial" w:cs="Arial" w:eastAsia="Arial" w:hAnsi="Arial"/>
          <w:sz w:val="16"/>
          <w:szCs w:val="16"/>
          <w:color w:val="auto"/>
        </w:rPr>
        <w:t>advertising, importing, selling, distribution and customer support of a Licensed Product in a country. The term “</w:t>
      </w:r>
      <w:r>
        <w:rPr>
          <w:rFonts w:ascii="Arial" w:cs="Arial" w:eastAsia="Arial" w:hAnsi="Arial"/>
          <w:sz w:val="16"/>
          <w:szCs w:val="16"/>
          <w:b w:val="1"/>
          <w:bCs w:val="1"/>
          <w:color w:val="auto"/>
        </w:rPr>
        <w:t>Commercialize</w:t>
      </w:r>
      <w:r>
        <w:rPr>
          <w:rFonts w:ascii="Arial" w:cs="Arial" w:eastAsia="Arial" w:hAnsi="Arial"/>
          <w:sz w:val="16"/>
          <w:szCs w:val="16"/>
          <w:color w:val="auto"/>
        </w:rPr>
        <w:t>” has a correlative meaning.</w:t>
      </w:r>
    </w:p>
    <w:p>
      <w:pPr>
        <w:spacing w:after="0" w:line="8" w:lineRule="exact"/>
        <w:rPr>
          <w:sz w:val="20"/>
          <w:szCs w:val="20"/>
          <w:color w:val="auto"/>
        </w:rPr>
      </w:pPr>
    </w:p>
    <w:p>
      <w:pPr>
        <w:ind w:right="420" w:firstLine="456"/>
        <w:spacing w:after="0" w:line="313" w:lineRule="auto"/>
        <w:rPr>
          <w:sz w:val="20"/>
          <w:szCs w:val="20"/>
          <w:color w:val="auto"/>
        </w:rPr>
      </w:pPr>
      <w:r>
        <w:rPr>
          <w:rFonts w:ascii="Arial" w:cs="Arial" w:eastAsia="Arial" w:hAnsi="Arial"/>
          <w:sz w:val="17"/>
          <w:szCs w:val="17"/>
          <w:b w:val="1"/>
          <w:bCs w:val="1"/>
          <w:color w:val="auto"/>
        </w:rPr>
        <w:t xml:space="preserve">1.6 “Commercially Reasonable Efforts” </w:t>
      </w:r>
      <w:r>
        <w:rPr>
          <w:rFonts w:ascii="Arial" w:cs="Arial" w:eastAsia="Arial" w:hAnsi="Arial"/>
          <w:sz w:val="17"/>
          <w:szCs w:val="17"/>
          <w:color w:val="auto"/>
        </w:rPr>
        <w:t>means, with respect to AVROBIO’s obligations under this Agreement to Develop and Commercialize a</w:t>
      </w:r>
      <w:r>
        <w:rPr>
          <w:rFonts w:ascii="Arial" w:cs="Arial" w:eastAsia="Arial" w:hAnsi="Arial"/>
          <w:sz w:val="17"/>
          <w:szCs w:val="17"/>
          <w:b w:val="1"/>
          <w:bCs w:val="1"/>
          <w:color w:val="auto"/>
        </w:rPr>
        <w:t xml:space="preserve"> </w:t>
      </w:r>
      <w:r>
        <w:rPr>
          <w:rFonts w:ascii="Arial" w:cs="Arial" w:eastAsia="Arial" w:hAnsi="Arial"/>
          <w:sz w:val="17"/>
          <w:szCs w:val="17"/>
          <w:color w:val="auto"/>
        </w:rPr>
        <w:t>Licensed Product, the carrying out of such obligations using good faith efforts equivalent to those efforts and resources [***].</w:t>
      </w:r>
    </w:p>
    <w:p>
      <w:pPr>
        <w:spacing w:after="0" w:line="30" w:lineRule="exact"/>
        <w:rPr>
          <w:sz w:val="20"/>
          <w:szCs w:val="20"/>
          <w:color w:val="auto"/>
        </w:rPr>
      </w:pPr>
    </w:p>
    <w:p>
      <w:pPr>
        <w:ind w:right="280" w:firstLine="456"/>
        <w:spacing w:after="0" w:line="261" w:lineRule="auto"/>
        <w:rPr>
          <w:sz w:val="20"/>
          <w:szCs w:val="20"/>
          <w:color w:val="auto"/>
        </w:rPr>
      </w:pPr>
      <w:r>
        <w:rPr>
          <w:rFonts w:ascii="Arial" w:cs="Arial" w:eastAsia="Arial" w:hAnsi="Arial"/>
          <w:sz w:val="18"/>
          <w:szCs w:val="18"/>
          <w:b w:val="1"/>
          <w:bCs w:val="1"/>
          <w:color w:val="auto"/>
        </w:rPr>
        <w:t xml:space="preserve">1.7 “Controlled” </w:t>
      </w:r>
      <w:r>
        <w:rPr>
          <w:rFonts w:ascii="Arial" w:cs="Arial" w:eastAsia="Arial" w:hAnsi="Arial"/>
          <w:sz w:val="18"/>
          <w:szCs w:val="18"/>
          <w:color w:val="auto"/>
        </w:rPr>
        <w:t>means, with respect to any Know-How, Patent Right, or other intellectual property right, that the applicable Party owns or has a</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under such Know-How, Patent Right, or other intellectual property right and has the ability to assign to the other Party, or grant to the other Party a license, sublicense or other right to or under, such Know-How, Patent Right or right as provided for herein without violating the terms of any agreement or other arrangements with any Third Party.</w:t>
      </w:r>
    </w:p>
    <w:p>
      <w:pPr>
        <w:spacing w:after="0" w:line="7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b w:val="1"/>
          <w:bCs w:val="1"/>
          <w:color w:val="auto"/>
        </w:rPr>
        <w:t xml:space="preserve">1.8 “Development” </w:t>
      </w:r>
      <w:r>
        <w:rPr>
          <w:rFonts w:ascii="Arial" w:cs="Arial" w:eastAsia="Arial" w:hAnsi="Arial"/>
          <w:sz w:val="16"/>
          <w:szCs w:val="16"/>
          <w:color w:val="auto"/>
        </w:rPr>
        <w:t>means non-clinical and clinical drug discovery, research and/or development activities that relate to (a) obtaining, maintaining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expanding Regulatory Approval(s) of Licensed Product or (b) developing the ability to manufacture clinical and commercial quantities of Licensed Product, including chemical synthesis, sequencing, toxicology, pharmacology and other discovery and pre-clinical efforts, test method development and stability testing, manufacturing process development, formulation development, delivery system development, quality assurance and quality control development, manufacturing, statistical analysis, and clinical studies. When used as a verb, </w:t>
      </w:r>
      <w:r>
        <w:rPr>
          <w:rFonts w:ascii="Arial" w:cs="Arial" w:eastAsia="Arial" w:hAnsi="Arial"/>
          <w:sz w:val="16"/>
          <w:szCs w:val="16"/>
          <w:b w:val="1"/>
          <w:bCs w:val="1"/>
          <w:color w:val="auto"/>
        </w:rPr>
        <w:t>“Develop”</w:t>
      </w:r>
      <w:r>
        <w:rPr>
          <w:rFonts w:ascii="Arial" w:cs="Arial" w:eastAsia="Arial" w:hAnsi="Arial"/>
          <w:sz w:val="16"/>
          <w:szCs w:val="16"/>
          <w:color w:val="auto"/>
        </w:rPr>
        <w:t xml:space="preserve"> means to engage in Development.</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1.9 “Dollars” </w:t>
      </w:r>
      <w:r>
        <w:rPr>
          <w:rFonts w:ascii="Arial" w:cs="Arial" w:eastAsia="Arial" w:hAnsi="Arial"/>
          <w:sz w:val="18"/>
          <w:szCs w:val="18"/>
          <w:color w:val="auto"/>
        </w:rPr>
        <w:t>or “</w:t>
      </w:r>
      <w:r>
        <w:rPr>
          <w:rFonts w:ascii="Arial" w:cs="Arial" w:eastAsia="Arial" w:hAnsi="Arial"/>
          <w:sz w:val="18"/>
          <w:szCs w:val="18"/>
          <w:b w:val="1"/>
          <w:bCs w:val="1"/>
          <w:color w:val="auto"/>
        </w:rPr>
        <w:t>$</w:t>
      </w:r>
      <w:r>
        <w:rPr>
          <w:rFonts w:ascii="Arial" w:cs="Arial" w:eastAsia="Arial" w:hAnsi="Arial"/>
          <w:sz w:val="18"/>
          <w:szCs w:val="18"/>
          <w:color w:val="auto"/>
        </w:rPr>
        <w:t>” means the legal tender of the U.S.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ERT</w:t>
      </w:r>
      <w:r>
        <w:rPr>
          <w:rFonts w:ascii="Arial" w:cs="Arial" w:eastAsia="Arial" w:hAnsi="Arial"/>
          <w:sz w:val="18"/>
          <w:szCs w:val="18"/>
          <w:color w:val="auto"/>
        </w:rPr>
        <w:t>” means enzyme replacement therapy.</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02" w:name="page403"/>
    <w:bookmarkEnd w:id="402"/>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1.11 “FDA” </w:t>
      </w:r>
      <w:r>
        <w:rPr>
          <w:rFonts w:ascii="Arial" w:cs="Arial" w:eastAsia="Arial" w:hAnsi="Arial"/>
          <w:sz w:val="18"/>
          <w:szCs w:val="18"/>
          <w:color w:val="auto"/>
        </w:rPr>
        <w:t>means the United States Food and Drug Administration, or any successor agency thereto.</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1.12 “Field” </w:t>
      </w:r>
      <w:r>
        <w:rPr>
          <w:rFonts w:ascii="Arial" w:cs="Arial" w:eastAsia="Arial" w:hAnsi="Arial"/>
          <w:sz w:val="16"/>
          <w:szCs w:val="16"/>
          <w:color w:val="auto"/>
        </w:rPr>
        <w:t>means Retroviridae-based gene therapy for the treatment, modification or prevention of Pompe disease (glycogen storage disease type II).</w:t>
      </w:r>
    </w:p>
    <w:p>
      <w:pPr>
        <w:spacing w:after="0" w:line="140"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1.13 “First Commercial Sale</w:t>
      </w:r>
      <w:r>
        <w:rPr>
          <w:rFonts w:ascii="Arial" w:cs="Arial" w:eastAsia="Arial" w:hAnsi="Arial"/>
          <w:sz w:val="18"/>
          <w:szCs w:val="18"/>
          <w:color w:val="auto"/>
        </w:rPr>
        <w:t>” means, with respect to a given Licensed Product in a particular country, the first sale to a Third Party of such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in such country, after obtaining all required Regulatory Approvals in such country. “First Commercial Sale” shall not include the supply of any unreimbursed Licensed Product for use in clinical trials or for compassionate use.</w:t>
      </w:r>
    </w:p>
    <w:p>
      <w:pPr>
        <w:spacing w:after="0" w:line="68" w:lineRule="exact"/>
        <w:rPr>
          <w:sz w:val="20"/>
          <w:szCs w:val="20"/>
          <w:color w:val="auto"/>
        </w:rPr>
      </w:pPr>
    </w:p>
    <w:p>
      <w:pPr>
        <w:ind w:right="340" w:firstLine="456"/>
        <w:spacing w:after="0" w:line="282" w:lineRule="auto"/>
        <w:rPr>
          <w:sz w:val="20"/>
          <w:szCs w:val="20"/>
          <w:color w:val="auto"/>
        </w:rPr>
      </w:pPr>
      <w:r>
        <w:rPr>
          <w:rFonts w:ascii="Arial" w:cs="Arial" w:eastAsia="Arial" w:hAnsi="Arial"/>
          <w:sz w:val="18"/>
          <w:szCs w:val="18"/>
          <w:b w:val="1"/>
          <w:bCs w:val="1"/>
          <w:color w:val="auto"/>
        </w:rPr>
        <w:t xml:space="preserve">1.14 “IND” </w:t>
      </w:r>
      <w:r>
        <w:rPr>
          <w:rFonts w:ascii="Arial" w:cs="Arial" w:eastAsia="Arial" w:hAnsi="Arial"/>
          <w:sz w:val="18"/>
          <w:szCs w:val="18"/>
          <w:color w:val="auto"/>
        </w:rPr>
        <w:t>means an Investigational New Drug application filed with the FDA and sufficient to satisfy the requirements of 21 CFR 312.20, or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filing with any relevant Regulatory Authority in any other jurisdiction.</w:t>
      </w:r>
    </w:p>
    <w:p>
      <w:pPr>
        <w:spacing w:after="0" w:line="54" w:lineRule="exact"/>
        <w:rPr>
          <w:sz w:val="20"/>
          <w:szCs w:val="20"/>
          <w:color w:val="auto"/>
        </w:rPr>
      </w:pPr>
    </w:p>
    <w:p>
      <w:pPr>
        <w:ind w:right="20" w:firstLine="456"/>
        <w:spacing w:after="0" w:line="281" w:lineRule="auto"/>
        <w:rPr>
          <w:sz w:val="20"/>
          <w:szCs w:val="20"/>
          <w:color w:val="auto"/>
        </w:rPr>
      </w:pPr>
      <w:r>
        <w:rPr>
          <w:rFonts w:ascii="Arial" w:cs="Arial" w:eastAsia="Arial" w:hAnsi="Arial"/>
          <w:sz w:val="17"/>
          <w:szCs w:val="17"/>
          <w:b w:val="1"/>
          <w:bCs w:val="1"/>
          <w:color w:val="auto"/>
        </w:rPr>
        <w:t xml:space="preserve">1.15 “Know-How” </w:t>
      </w:r>
      <w:r>
        <w:rPr>
          <w:rFonts w:ascii="Arial" w:cs="Arial" w:eastAsia="Arial" w:hAnsi="Arial"/>
          <w:sz w:val="17"/>
          <w:szCs w:val="17"/>
          <w:color w:val="auto"/>
        </w:rPr>
        <w:t>means any non-public, documented or otherwise recorded or memorialized knowledge, experience, know-how, technology,</w:t>
      </w:r>
      <w:r>
        <w:rPr>
          <w:rFonts w:ascii="Arial" w:cs="Arial" w:eastAsia="Arial" w:hAnsi="Arial"/>
          <w:sz w:val="17"/>
          <w:szCs w:val="17"/>
          <w:b w:val="1"/>
          <w:bCs w:val="1"/>
          <w:color w:val="auto"/>
        </w:rPr>
        <w:t xml:space="preserve"> </w:t>
      </w:r>
      <w:r>
        <w:rPr>
          <w:rFonts w:ascii="Arial" w:cs="Arial" w:eastAsia="Arial" w:hAnsi="Arial"/>
          <w:sz w:val="17"/>
          <w:szCs w:val="17"/>
          <w:color w:val="auto"/>
        </w:rPr>
        <w:t>technical information, results, trade secrets, data and all other information, including formulas and formulations, processes, techniques, unpatented inventions, discoveries, ideas, and developments, test procedures, and results, together with all documents and files embodying the foregoing, and including relevant proprietary materials. For clarity, Know-How excludes Patent Rights claiming or otherwise covering any of the foregoing.</w:t>
      </w:r>
    </w:p>
    <w:p>
      <w:pPr>
        <w:spacing w:after="0" w:line="57"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 xml:space="preserve">1.16 “Licensed Know-How” </w:t>
      </w:r>
      <w:r>
        <w:rPr>
          <w:rFonts w:ascii="Arial" w:cs="Arial" w:eastAsia="Arial" w:hAnsi="Arial"/>
          <w:sz w:val="18"/>
          <w:szCs w:val="18"/>
          <w:color w:val="auto"/>
        </w:rPr>
        <w:t>means Know-How Controlled by BioMarin or its Affiliates as of the Effective Date or during the Term that is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Develop and/or Commercialize Licensed Products in the Field, solely to the extent set forth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attached hereto.</w:t>
      </w:r>
    </w:p>
    <w:p>
      <w:pPr>
        <w:spacing w:after="0" w:line="54" w:lineRule="exact"/>
        <w:rPr>
          <w:sz w:val="20"/>
          <w:szCs w:val="20"/>
          <w:color w:val="auto"/>
        </w:rPr>
      </w:pPr>
    </w:p>
    <w:p>
      <w:pPr>
        <w:ind w:right="220" w:firstLine="456"/>
        <w:spacing w:after="0" w:line="281" w:lineRule="auto"/>
        <w:rPr>
          <w:sz w:val="20"/>
          <w:szCs w:val="20"/>
          <w:color w:val="auto"/>
        </w:rPr>
      </w:pPr>
      <w:r>
        <w:rPr>
          <w:rFonts w:ascii="Arial" w:cs="Arial" w:eastAsia="Arial" w:hAnsi="Arial"/>
          <w:sz w:val="17"/>
          <w:szCs w:val="17"/>
          <w:b w:val="1"/>
          <w:bCs w:val="1"/>
          <w:color w:val="auto"/>
        </w:rPr>
        <w:t xml:space="preserve">1.17 </w:t>
      </w:r>
      <w:r>
        <w:rPr>
          <w:rFonts w:ascii="Arial" w:cs="Arial" w:eastAsia="Arial" w:hAnsi="Arial"/>
          <w:sz w:val="17"/>
          <w:szCs w:val="17"/>
          <w:color w:val="auto"/>
        </w:rPr>
        <w:t>“</w:t>
      </w:r>
      <w:r>
        <w:rPr>
          <w:rFonts w:ascii="Arial" w:cs="Arial" w:eastAsia="Arial" w:hAnsi="Arial"/>
          <w:sz w:val="17"/>
          <w:szCs w:val="17"/>
          <w:b w:val="1"/>
          <w:bCs w:val="1"/>
          <w:color w:val="auto"/>
        </w:rPr>
        <w:t>Licensed Patent Rights</w:t>
      </w:r>
      <w:r>
        <w:rPr>
          <w:rFonts w:ascii="Arial" w:cs="Arial" w:eastAsia="Arial" w:hAnsi="Arial"/>
          <w:sz w:val="17"/>
          <w:szCs w:val="17"/>
          <w:color w:val="auto"/>
        </w:rPr>
        <w:t>” means: (a) any of the Patent Rights listed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A</w:t>
      </w:r>
      <w:r>
        <w:rPr>
          <w:rFonts w:ascii="Arial" w:cs="Arial" w:eastAsia="Arial" w:hAnsi="Arial"/>
          <w:sz w:val="17"/>
          <w:szCs w:val="17"/>
          <w:color w:val="auto"/>
        </w:rPr>
        <w:t>, and (b) any divisional, continuation, or continuation-in-part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(but only to the extent directed to subject matter specifically described in a patent or patent application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claiming priority to such listed patents and patent applications; any reissue, reexamination, substitution, renewal and/or extension of any of the foregoing patents and patent applications; and any foreign counterpart patent or patent application of any of the foregoing.</w:t>
      </w:r>
    </w:p>
    <w:p>
      <w:pPr>
        <w:spacing w:after="0" w:line="57" w:lineRule="exact"/>
        <w:rPr>
          <w:sz w:val="20"/>
          <w:szCs w:val="20"/>
          <w:color w:val="auto"/>
        </w:rPr>
      </w:pPr>
    </w:p>
    <w:p>
      <w:pPr>
        <w:ind w:right="120" w:firstLine="456"/>
        <w:spacing w:after="0" w:line="347" w:lineRule="auto"/>
        <w:rPr>
          <w:sz w:val="20"/>
          <w:szCs w:val="20"/>
          <w:color w:val="auto"/>
        </w:rPr>
      </w:pPr>
      <w:r>
        <w:rPr>
          <w:rFonts w:ascii="Arial" w:cs="Arial" w:eastAsia="Arial" w:hAnsi="Arial"/>
          <w:sz w:val="16"/>
          <w:szCs w:val="16"/>
          <w:b w:val="1"/>
          <w:bCs w:val="1"/>
          <w:color w:val="auto"/>
        </w:rPr>
        <w:t xml:space="preserve">1.18 </w:t>
      </w:r>
      <w:r>
        <w:rPr>
          <w:rFonts w:ascii="Arial" w:cs="Arial" w:eastAsia="Arial" w:hAnsi="Arial"/>
          <w:sz w:val="16"/>
          <w:szCs w:val="16"/>
          <w:color w:val="auto"/>
        </w:rPr>
        <w:t>“</w:t>
      </w:r>
      <w:r>
        <w:rPr>
          <w:rFonts w:ascii="Arial" w:cs="Arial" w:eastAsia="Arial" w:hAnsi="Arial"/>
          <w:sz w:val="16"/>
          <w:szCs w:val="16"/>
          <w:b w:val="1"/>
          <w:bCs w:val="1"/>
          <w:color w:val="auto"/>
        </w:rPr>
        <w:t>Licensed Product</w:t>
      </w:r>
      <w:r>
        <w:rPr>
          <w:rFonts w:ascii="Arial" w:cs="Arial" w:eastAsia="Arial" w:hAnsi="Arial"/>
          <w:sz w:val="16"/>
          <w:szCs w:val="16"/>
          <w:color w:val="auto"/>
        </w:rPr>
        <w:t>” means any product the composition, formulation, delivery, manufacture, use, sale, or importation of which: (a) is claimed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covered by a Valid Claim of the Licensed Patent Rights in any country in which it is made, used or sold; or (b) uses Licensed Know-How.</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1.19 “Licensed Technology” </w:t>
      </w:r>
      <w:r>
        <w:rPr>
          <w:rFonts w:ascii="Arial" w:cs="Arial" w:eastAsia="Arial" w:hAnsi="Arial"/>
          <w:sz w:val="18"/>
          <w:szCs w:val="18"/>
          <w:color w:val="auto"/>
        </w:rPr>
        <w:t>means the Licensed Patent Rights and the Licensed Know-How.</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1.20 “Major European Country” </w:t>
      </w:r>
      <w:r>
        <w:rPr>
          <w:rFonts w:ascii="Arial" w:cs="Arial" w:eastAsia="Arial" w:hAnsi="Arial"/>
          <w:sz w:val="18"/>
          <w:szCs w:val="18"/>
          <w:color w:val="auto"/>
        </w:rPr>
        <w:t>means any of the following countries: [***].</w:t>
      </w:r>
    </w:p>
    <w:p>
      <w:pPr>
        <w:spacing w:after="0" w:line="117"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 xml:space="preserve">1.21 “Net Sales” </w:t>
      </w:r>
      <w:r>
        <w:rPr>
          <w:rFonts w:ascii="Arial" w:cs="Arial" w:eastAsia="Arial" w:hAnsi="Arial"/>
          <w:sz w:val="18"/>
          <w:szCs w:val="18"/>
          <w:color w:val="auto"/>
        </w:rPr>
        <w:t>shall mean the amount invoiced or otherwise accrued by AVROBIO, its Affiliates or sublicensees for commercial sales of a 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to Third Party purchasers (but excluding sales to AVROBIO’s sublicensees for resale) less the following deductions, to the extent applicable to such sales of the Licensed Product for:</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03" w:name="page404"/>
    <w:bookmarkEnd w:id="403"/>
    <w:p>
      <w:pPr>
        <w:ind w:left="1140" w:hanging="219"/>
        <w:spacing w:after="0"/>
        <w:tabs>
          <w:tab w:leader="none" w:pos="11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0" w:hanging="319"/>
        <w:spacing w:after="0"/>
        <w:tabs>
          <w:tab w:leader="none" w:pos="124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Sales shall be determined in accordance with United States Generally Accepted Accounting Principles. Transfers of free Licensed Products solely for research or clinical testing purposes shall be excluded from the computation of Net Sales.</w:t>
      </w:r>
    </w:p>
    <w:p>
      <w:pPr>
        <w:spacing w:after="0" w:line="58" w:lineRule="exact"/>
        <w:rPr>
          <w:sz w:val="20"/>
          <w:szCs w:val="20"/>
          <w:color w:val="auto"/>
        </w:rPr>
      </w:pPr>
    </w:p>
    <w:p>
      <w:pPr>
        <w:ind w:right="380" w:firstLine="456"/>
        <w:spacing w:after="0" w:line="266" w:lineRule="auto"/>
        <w:rPr>
          <w:sz w:val="20"/>
          <w:szCs w:val="20"/>
          <w:color w:val="auto"/>
        </w:rPr>
      </w:pPr>
      <w:r>
        <w:rPr>
          <w:rFonts w:ascii="Arial" w:cs="Arial" w:eastAsia="Arial" w:hAnsi="Arial"/>
          <w:sz w:val="18"/>
          <w:szCs w:val="18"/>
          <w:b w:val="1"/>
          <w:bCs w:val="1"/>
          <w:color w:val="auto"/>
        </w:rPr>
        <w:t xml:space="preserve">1.22 “Patent Rights” </w:t>
      </w:r>
      <w:r>
        <w:rPr>
          <w:rFonts w:ascii="Arial" w:cs="Arial" w:eastAsia="Arial" w:hAnsi="Arial"/>
          <w:sz w:val="18"/>
          <w:szCs w:val="18"/>
          <w:color w:val="auto"/>
        </w:rPr>
        <w:t>means (a) all patents and patent applications in any country or supranational jurisdiction; (b) any divisional, continuation,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continuation-in-part, reissue, reexamination, substitution, renewal and/or extension of any such patents and patent applications; and (c) any foreign counterpart patent or patent application of any of the foregoing.</w:t>
      </w:r>
    </w:p>
    <w:p>
      <w:pPr>
        <w:spacing w:after="0" w:line="68"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b w:val="1"/>
          <w:bCs w:val="1"/>
          <w:color w:val="auto"/>
        </w:rPr>
        <w:t xml:space="preserve">1.23 “Phase I Clinical Trial” </w:t>
      </w:r>
      <w:r>
        <w:rPr>
          <w:rFonts w:ascii="Arial" w:cs="Arial" w:eastAsia="Arial" w:hAnsi="Arial"/>
          <w:sz w:val="18"/>
          <w:szCs w:val="18"/>
          <w:color w:val="auto"/>
        </w:rPr>
        <w:t>shall mean a human clinical trial of a Licensed Product that is designed to satisfy the requirements of 21 CFR 312.21(a),</w:t>
      </w:r>
      <w:r>
        <w:rPr>
          <w:rFonts w:ascii="Arial" w:cs="Arial" w:eastAsia="Arial" w:hAnsi="Arial"/>
          <w:sz w:val="18"/>
          <w:szCs w:val="18"/>
          <w:b w:val="1"/>
          <w:bCs w:val="1"/>
          <w:color w:val="auto"/>
        </w:rPr>
        <w:t xml:space="preserve"> </w:t>
      </w:r>
      <w:r>
        <w:rPr>
          <w:rFonts w:ascii="Arial" w:cs="Arial" w:eastAsia="Arial" w:hAnsi="Arial"/>
          <w:sz w:val="18"/>
          <w:szCs w:val="18"/>
          <w:color w:val="auto"/>
        </w:rPr>
        <w:t>regardless of whether such human clinical trial also satisfies the requirements of 21 CFR. 312.21(b) or any other requirements, or a similar clinical study prescribed by the Regulatory Authorities in a country other than the United States.</w:t>
      </w:r>
    </w:p>
    <w:p>
      <w:pPr>
        <w:spacing w:after="0" w:line="68" w:lineRule="exact"/>
        <w:rPr>
          <w:sz w:val="20"/>
          <w:szCs w:val="20"/>
          <w:color w:val="auto"/>
        </w:rPr>
      </w:pPr>
    </w:p>
    <w:p>
      <w:pPr>
        <w:ind w:right="160" w:firstLine="456"/>
        <w:spacing w:after="0" w:line="261" w:lineRule="auto"/>
        <w:rPr>
          <w:sz w:val="20"/>
          <w:szCs w:val="20"/>
          <w:color w:val="auto"/>
        </w:rPr>
      </w:pPr>
      <w:r>
        <w:rPr>
          <w:rFonts w:ascii="Arial" w:cs="Arial" w:eastAsia="Arial" w:hAnsi="Arial"/>
          <w:sz w:val="18"/>
          <w:szCs w:val="18"/>
          <w:b w:val="1"/>
          <w:bCs w:val="1"/>
          <w:color w:val="auto"/>
        </w:rPr>
        <w:t xml:space="preserve">1.24 “Pivotal Trial” </w:t>
      </w:r>
      <w:r>
        <w:rPr>
          <w:rFonts w:ascii="Arial" w:cs="Arial" w:eastAsia="Arial" w:hAnsi="Arial"/>
          <w:sz w:val="18"/>
          <w:szCs w:val="18"/>
          <w:color w:val="auto"/>
        </w:rPr>
        <w:t>means a clinical study in humans of the efficacy and safety of a Licensed Product that is prospectively designed to demonstrate</w:t>
      </w:r>
      <w:r>
        <w:rPr>
          <w:rFonts w:ascii="Arial" w:cs="Arial" w:eastAsia="Arial" w:hAnsi="Arial"/>
          <w:sz w:val="18"/>
          <w:szCs w:val="18"/>
          <w:b w:val="1"/>
          <w:bCs w:val="1"/>
          <w:color w:val="auto"/>
        </w:rPr>
        <w:t xml:space="preserve"> </w:t>
      </w:r>
      <w:r>
        <w:rPr>
          <w:rFonts w:ascii="Arial" w:cs="Arial" w:eastAsia="Arial" w:hAnsi="Arial"/>
          <w:sz w:val="18"/>
          <w:szCs w:val="18"/>
          <w:color w:val="auto"/>
        </w:rPr>
        <w:t>with statistical significance that such product is effective and safe for use in a particular indication in a manner sufficient to file for Marketing Approval of such product and would satisfy the requirements of 21 CFR 312.21(c), or a similar clinical study prescribed by the Regulatory Authorities in a country other than the United States.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1.25 “Preferred Stock” </w:t>
      </w:r>
      <w:r>
        <w:rPr>
          <w:rFonts w:ascii="Arial" w:cs="Arial" w:eastAsia="Arial" w:hAnsi="Arial"/>
          <w:sz w:val="18"/>
          <w:szCs w:val="18"/>
          <w:color w:val="auto"/>
        </w:rPr>
        <w:t>means shares of the series of preferred stock issued in the Preferred Stock Financing.</w:t>
      </w:r>
    </w:p>
    <w:p>
      <w:pPr>
        <w:spacing w:after="0" w:line="117"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 xml:space="preserve">1.26 “Preferred Stock Financing” </w:t>
      </w:r>
      <w:r>
        <w:rPr>
          <w:rFonts w:ascii="Arial" w:cs="Arial" w:eastAsia="Arial" w:hAnsi="Arial"/>
          <w:sz w:val="18"/>
          <w:szCs w:val="18"/>
          <w:color w:val="auto"/>
        </w:rPr>
        <w:t>means AVROBIO’s first issuance and sale of shares of a newly-authorized series of preferred stock (e.g., Series B</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after the date of this Agreement to venture capital funds or other institutional investors in an equity financing with gross proceeds to the Company from sales occurring after the date of this Agreement of not less than [***].</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1.27 “Preferred Stock Financing Deadline” </w:t>
      </w:r>
      <w:r>
        <w:rPr>
          <w:rFonts w:ascii="Arial" w:cs="Arial" w:eastAsia="Arial" w:hAnsi="Arial"/>
          <w:sz w:val="18"/>
          <w:szCs w:val="18"/>
          <w:color w:val="auto"/>
        </w:rPr>
        <w:t>means [***].</w:t>
      </w:r>
    </w:p>
    <w:p>
      <w:pPr>
        <w:spacing w:after="0" w:line="117" w:lineRule="exact"/>
        <w:rPr>
          <w:sz w:val="20"/>
          <w:szCs w:val="20"/>
          <w:color w:val="auto"/>
        </w:rPr>
      </w:pPr>
    </w:p>
    <w:p>
      <w:pPr>
        <w:ind w:right="180" w:firstLine="456"/>
        <w:spacing w:after="0" w:line="266" w:lineRule="auto"/>
        <w:rPr>
          <w:sz w:val="20"/>
          <w:szCs w:val="20"/>
          <w:color w:val="auto"/>
        </w:rPr>
      </w:pPr>
      <w:r>
        <w:rPr>
          <w:rFonts w:ascii="Arial" w:cs="Arial" w:eastAsia="Arial" w:hAnsi="Arial"/>
          <w:sz w:val="18"/>
          <w:szCs w:val="18"/>
          <w:b w:val="1"/>
          <w:bCs w:val="1"/>
          <w:color w:val="auto"/>
        </w:rPr>
        <w:t xml:space="preserve">1.28 “Preferred Stock Issuance Price” </w:t>
      </w:r>
      <w:r>
        <w:rPr>
          <w:rFonts w:ascii="Arial" w:cs="Arial" w:eastAsia="Arial" w:hAnsi="Arial"/>
          <w:sz w:val="18"/>
          <w:szCs w:val="18"/>
          <w:color w:val="auto"/>
        </w:rPr>
        <w:t>means the lowest price per share paid by purchasers of the Preferred Stock as of the date of issuance of</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to BioMarin (as adjusted for stock splits, combinations and the like occurring after such purchase but before the issuance of Preferred Stock to BioMarin).</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3" w:right="239" w:bottom="1440" w:gutter="0" w:footer="0" w:header="0"/>
        </w:sectPr>
      </w:pPr>
    </w:p>
    <w:bookmarkStart w:id="404" w:name="page405"/>
    <w:bookmarkEnd w:id="404"/>
    <w:p>
      <w:pPr>
        <w:ind w:right="34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1.29 “Regulatory Approvals” </w:t>
      </w:r>
      <w:r>
        <w:rPr>
          <w:rFonts w:ascii="Arial" w:cs="Arial" w:eastAsia="Arial" w:hAnsi="Arial"/>
          <w:sz w:val="18"/>
          <w:szCs w:val="18"/>
          <w:color w:val="auto"/>
        </w:rPr>
        <w:t>means, with respect to a Licensed Product, the approvals, registrations, licenses and permits of any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in a country, including pricing and/or reimbursement approvals, that are necessary to be obtained in order to market and sell commercially such Licensed Product in that country.</w:t>
      </w:r>
    </w:p>
    <w:p>
      <w:pPr>
        <w:spacing w:after="0" w:line="68" w:lineRule="exact"/>
        <w:rPr>
          <w:sz w:val="20"/>
          <w:szCs w:val="20"/>
          <w:color w:val="auto"/>
        </w:rPr>
      </w:pPr>
    </w:p>
    <w:p>
      <w:pPr>
        <w:jc w:val="both"/>
        <w:ind w:right="140" w:firstLine="456"/>
        <w:spacing w:after="0" w:line="266" w:lineRule="auto"/>
        <w:rPr>
          <w:sz w:val="20"/>
          <w:szCs w:val="20"/>
          <w:color w:val="auto"/>
        </w:rPr>
      </w:pPr>
      <w:r>
        <w:rPr>
          <w:rFonts w:ascii="Arial" w:cs="Arial" w:eastAsia="Arial" w:hAnsi="Arial"/>
          <w:sz w:val="18"/>
          <w:szCs w:val="18"/>
          <w:b w:val="1"/>
          <w:bCs w:val="1"/>
          <w:color w:val="auto"/>
        </w:rPr>
        <w:t xml:space="preserve">1.30 “Regulatory Authority” </w:t>
      </w:r>
      <w:r>
        <w:rPr>
          <w:rFonts w:ascii="Arial" w:cs="Arial" w:eastAsia="Arial" w:hAnsi="Arial"/>
          <w:sz w:val="18"/>
          <w:szCs w:val="18"/>
          <w:color w:val="auto"/>
        </w:rPr>
        <w:t>means any federal, state or local regulatory agency, department, bureau or other government entity, including the FDA,</w:t>
      </w:r>
      <w:r>
        <w:rPr>
          <w:rFonts w:ascii="Arial" w:cs="Arial" w:eastAsia="Arial" w:hAnsi="Arial"/>
          <w:sz w:val="18"/>
          <w:szCs w:val="18"/>
          <w:b w:val="1"/>
          <w:bCs w:val="1"/>
          <w:color w:val="auto"/>
        </w:rPr>
        <w:t xml:space="preserve"> </w:t>
      </w:r>
      <w:r>
        <w:rPr>
          <w:rFonts w:ascii="Arial" w:cs="Arial" w:eastAsia="Arial" w:hAnsi="Arial"/>
          <w:sz w:val="18"/>
          <w:szCs w:val="18"/>
          <w:color w:val="auto"/>
        </w:rPr>
        <w:t>which has responsibility for granting any licenses or approvals or granting pricing and/or reimbursement approvals necessary for the marketing and sale of a Licensed Product in any country.</w:t>
      </w:r>
    </w:p>
    <w:p>
      <w:pPr>
        <w:spacing w:after="0" w:line="68"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 xml:space="preserve">1.31 “Regulatory Exclusivity” </w:t>
      </w:r>
      <w:r>
        <w:rPr>
          <w:rFonts w:ascii="Arial" w:cs="Arial" w:eastAsia="Arial" w:hAnsi="Arial"/>
          <w:sz w:val="18"/>
          <w:szCs w:val="18"/>
          <w:color w:val="auto"/>
        </w:rPr>
        <w:t>means market exclusivity granted by a Regulatory Authority designed to prevent the entry of generic product(s) onto</w:t>
      </w:r>
      <w:r>
        <w:rPr>
          <w:rFonts w:ascii="Arial" w:cs="Arial" w:eastAsia="Arial" w:hAnsi="Arial"/>
          <w:sz w:val="18"/>
          <w:szCs w:val="18"/>
          <w:b w:val="1"/>
          <w:bCs w:val="1"/>
          <w:color w:val="auto"/>
        </w:rPr>
        <w:t xml:space="preserve"> </w:t>
      </w:r>
      <w:r>
        <w:rPr>
          <w:rFonts w:ascii="Arial" w:cs="Arial" w:eastAsia="Arial" w:hAnsi="Arial"/>
          <w:sz w:val="18"/>
          <w:szCs w:val="18"/>
          <w:color w:val="auto"/>
        </w:rPr>
        <w:t>the market, including without limitation new use or indication exclusivity, new formulation exclusivity, orphan drug exclusivity, pediatric exclusivity and any exclusivity applicable to biologic products, or any equivalent of the foregoing.</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1.32 “[***]” </w:t>
      </w:r>
      <w:r>
        <w:rPr>
          <w:rFonts w:ascii="Arial" w:cs="Arial" w:eastAsia="Arial" w:hAnsi="Arial"/>
          <w:sz w:val="18"/>
          <w:szCs w:val="18"/>
          <w:color w:val="auto"/>
        </w:rPr>
        <w:t>means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1.33 “Royalty Term” </w:t>
      </w:r>
      <w:r>
        <w:rPr>
          <w:rFonts w:ascii="Arial" w:cs="Arial" w:eastAsia="Arial" w:hAnsi="Arial"/>
          <w:sz w:val="18"/>
          <w:szCs w:val="18"/>
          <w:color w:val="auto"/>
        </w:rPr>
        <w:t>has the meaning assigned to it in Section 4.3.3.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1.34 “Term” </w:t>
      </w:r>
      <w:r>
        <w:rPr>
          <w:rFonts w:ascii="Arial" w:cs="Arial" w:eastAsia="Arial" w:hAnsi="Arial"/>
          <w:sz w:val="18"/>
          <w:szCs w:val="18"/>
          <w:color w:val="auto"/>
        </w:rPr>
        <w:t>has the meaning assigned to it in Section 8.1.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1.35 “Territory” </w:t>
      </w:r>
      <w:r>
        <w:rPr>
          <w:rFonts w:ascii="Arial" w:cs="Arial" w:eastAsia="Arial" w:hAnsi="Arial"/>
          <w:sz w:val="18"/>
          <w:szCs w:val="18"/>
          <w:color w:val="auto"/>
        </w:rPr>
        <w:t>means all countries of the world.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1.36 “Third Party” </w:t>
      </w:r>
      <w:r>
        <w:rPr>
          <w:rFonts w:ascii="Arial" w:cs="Arial" w:eastAsia="Arial" w:hAnsi="Arial"/>
          <w:sz w:val="18"/>
          <w:szCs w:val="18"/>
          <w:color w:val="auto"/>
        </w:rPr>
        <w:t>means any party other than BioMarin, AVROBIO, or their respective Affiliates.</w:t>
      </w:r>
    </w:p>
    <w:p>
      <w:pPr>
        <w:spacing w:after="0" w:line="117" w:lineRule="exact"/>
        <w:rPr>
          <w:sz w:val="20"/>
          <w:szCs w:val="20"/>
          <w:color w:val="auto"/>
        </w:rPr>
      </w:pPr>
    </w:p>
    <w:p>
      <w:pPr>
        <w:ind w:right="140" w:firstLine="456"/>
        <w:spacing w:after="0" w:line="258" w:lineRule="auto"/>
        <w:rPr>
          <w:sz w:val="20"/>
          <w:szCs w:val="20"/>
          <w:color w:val="auto"/>
        </w:rPr>
      </w:pPr>
      <w:r>
        <w:rPr>
          <w:rFonts w:ascii="Arial" w:cs="Arial" w:eastAsia="Arial" w:hAnsi="Arial"/>
          <w:sz w:val="18"/>
          <w:szCs w:val="18"/>
          <w:b w:val="1"/>
          <w:bCs w:val="1"/>
          <w:color w:val="auto"/>
        </w:rPr>
        <w:t xml:space="preserve">1.37 “Valid Claim” </w:t>
      </w:r>
      <w:r>
        <w:rPr>
          <w:rFonts w:ascii="Arial" w:cs="Arial" w:eastAsia="Arial" w:hAnsi="Arial"/>
          <w:sz w:val="18"/>
          <w:szCs w:val="18"/>
          <w:color w:val="auto"/>
        </w:rPr>
        <w:t>means either (a) a claim of an issued and unexpired patent or a supplementary protection certificate, which has not been held</w:t>
      </w:r>
      <w:r>
        <w:rPr>
          <w:rFonts w:ascii="Arial" w:cs="Arial" w:eastAsia="Arial" w:hAnsi="Arial"/>
          <w:sz w:val="18"/>
          <w:szCs w:val="18"/>
          <w:b w:val="1"/>
          <w:bCs w:val="1"/>
          <w:color w:val="auto"/>
        </w:rPr>
        <w:t xml:space="preserve"> </w:t>
      </w:r>
      <w:r>
        <w:rPr>
          <w:rFonts w:ascii="Arial" w:cs="Arial" w:eastAsia="Arial" w:hAnsi="Arial"/>
          <w:sz w:val="18"/>
          <w:szCs w:val="18"/>
          <w:color w:val="auto"/>
        </w:rPr>
        <w:t>permanently revoked, unenforceable or invalid by a decision of a court, patent office or other forum of competent jurisdiction, unappealable or unappealed within the time allowed for appeal and that is not admitted to be invalid or unenforceable through reissue, disclaimer or otherwise (i.e., only to the extent the subject matter is disclaimed or is sought to be deleted or amended through reissue), or (b) a claim of a pending patent application that has not been abandoned, finally rejected or expired without the possibility of appeal or refiling.</w:t>
      </w:r>
    </w:p>
    <w:p>
      <w:pPr>
        <w:spacing w:after="0" w:line="333" w:lineRule="exact"/>
        <w:rPr>
          <w:sz w:val="20"/>
          <w:szCs w:val="20"/>
          <w:color w:val="auto"/>
        </w:rPr>
      </w:pPr>
    </w:p>
    <w:p>
      <w:pPr>
        <w:ind w:left="460" w:hanging="452"/>
        <w:spacing w:after="0"/>
        <w:tabs>
          <w:tab w:leader="none" w:pos="460"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ICENSES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7"/>
          <w:szCs w:val="17"/>
          <w:b w:val="1"/>
          <w:bCs w:val="1"/>
          <w:color w:val="auto"/>
        </w:rPr>
        <w:t>2.1 License Grant</w:t>
      </w:r>
      <w:r>
        <w:rPr>
          <w:rFonts w:ascii="Arial" w:cs="Arial" w:eastAsia="Arial" w:hAnsi="Arial"/>
          <w:sz w:val="17"/>
          <w:szCs w:val="17"/>
          <w:color w:val="auto"/>
        </w:rPr>
        <w:t>. Subject to the terms and conditions of this Agreement, BioMarin hereby grants to AVROBIO an exclusive, royalty-bearing license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the Licensed Patent Rights and Licensed Know-How to research, have researched, develop, have developed, make, have made, use, have used, sell, have sold, offer for sale, have offered for sale, import, have imported, export and have exported Licensed Products in the Field in the Territory, including the right to grant sublicenses through multiple tiers, subject to any limitations on sublicensing expressly set forth in this Agreement (the </w:t>
      </w:r>
      <w:r>
        <w:rPr>
          <w:rFonts w:ascii="Arial" w:cs="Arial" w:eastAsia="Arial" w:hAnsi="Arial"/>
          <w:sz w:val="17"/>
          <w:szCs w:val="17"/>
          <w:b w:val="1"/>
          <w:bCs w:val="1"/>
          <w:color w:val="auto"/>
        </w:rPr>
        <w:t>“License”</w:t>
      </w:r>
      <w:r>
        <w:rPr>
          <w:rFonts w:ascii="Arial" w:cs="Arial" w:eastAsia="Arial" w:hAnsi="Arial"/>
          <w:sz w:val="17"/>
          <w:szCs w:val="17"/>
          <w:color w:val="auto"/>
        </w:rPr>
        <w:t>). For clarity, AVROBIO shall have no license rights either outside the Field or with respect to products other than Licensed Products.</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05" w:name="page406"/>
    <w:bookmarkEnd w:id="40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 Reservation of Rights; Restrictive Covenants.</w:t>
      </w:r>
    </w:p>
    <w:p>
      <w:pPr>
        <w:spacing w:after="0" w:line="12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2.2.1 AVROBIO hereby covenants that it shall not, nor shall it cause or permit any Affiliate or sublicensee to, use or practice, directly or indirectly, any Licensed Technology for any purposes other than those expressly permitted by this Agreement. BioMarin retains the sole right to practice the Licensed Technology with respect to any and all purposes and areas of use outside the Field and with respect to the Development and/or Commercialization of any product or service other than Licensed Products.</w:t>
      </w:r>
    </w:p>
    <w:p>
      <w:pPr>
        <w:spacing w:after="0" w:line="79" w:lineRule="exact"/>
        <w:rPr>
          <w:sz w:val="20"/>
          <w:szCs w:val="20"/>
          <w:color w:val="auto"/>
        </w:rPr>
      </w:pPr>
    </w:p>
    <w:p>
      <w:pPr>
        <w:ind w:right="600" w:firstLine="913"/>
        <w:spacing w:after="0" w:line="277" w:lineRule="auto"/>
        <w:rPr>
          <w:sz w:val="20"/>
          <w:szCs w:val="20"/>
          <w:color w:val="auto"/>
        </w:rPr>
      </w:pPr>
      <w:r>
        <w:rPr>
          <w:rFonts w:ascii="Arial" w:cs="Arial" w:eastAsia="Arial" w:hAnsi="Arial"/>
          <w:sz w:val="18"/>
          <w:szCs w:val="18"/>
          <w:color w:val="auto"/>
        </w:rPr>
        <w:t>2.2.2 No implied licenses are granted under this Agreement, and each Party reserves all rights to all of its technology except for the rights expressly granted herein.</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2.2.3 [***].</w:t>
      </w:r>
    </w:p>
    <w:p>
      <w:pPr>
        <w:spacing w:after="0" w:line="113" w:lineRule="exact"/>
        <w:rPr>
          <w:sz w:val="20"/>
          <w:szCs w:val="20"/>
          <w:color w:val="auto"/>
        </w:rPr>
      </w:pPr>
    </w:p>
    <w:p>
      <w:pPr>
        <w:ind w:right="280" w:firstLine="456"/>
        <w:spacing w:after="0" w:line="266" w:lineRule="auto"/>
        <w:rPr>
          <w:sz w:val="20"/>
          <w:szCs w:val="20"/>
          <w:color w:val="auto"/>
        </w:rPr>
      </w:pPr>
      <w:r>
        <w:rPr>
          <w:rFonts w:ascii="Arial" w:cs="Arial" w:eastAsia="Arial" w:hAnsi="Arial"/>
          <w:sz w:val="18"/>
          <w:szCs w:val="18"/>
          <w:b w:val="1"/>
          <w:bCs w:val="1"/>
          <w:color w:val="auto"/>
        </w:rPr>
        <w:t>2.3 Right to Sublicense</w:t>
      </w:r>
      <w:r>
        <w:rPr>
          <w:rFonts w:ascii="Arial" w:cs="Arial" w:eastAsia="Arial" w:hAnsi="Arial"/>
          <w:sz w:val="18"/>
          <w:szCs w:val="18"/>
          <w:color w:val="auto"/>
        </w:rPr>
        <w:t>. AVROBIO may grant sublicenses under the license set forth in Section 2.1 to its Affiliates and Third Parties,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and conditions set forth in this Section 2.3. An existing sublicensee in good standing may grant further sublicenses, also subject to such terms and conditions.</w:t>
      </w:r>
    </w:p>
    <w:p>
      <w:pPr>
        <w:spacing w:after="0" w:line="72"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2.3.1 Each sublicense agreement shall be consistent with and subject to the terms and conditions of this Agreement. AVROBIO shall remain responsible for the performance of all sublicensees under any such sublicenses as if such performance were carried out by AVROBIO itself, including, without limitation, the payment of any royalties or other payments provided for hereunder.</w:t>
      </w:r>
    </w:p>
    <w:p>
      <w:pPr>
        <w:spacing w:after="0" w:line="73"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2.3.2 Each sublicense agreement shall include (a) diligence obligations consistent with efforts that will allow AVROBIO to meet relevant obligations set forth in Section 3 below; (b) a direct indemnity by the sublicensee in favor of BioMarin similar in scope to that set forth in Section 9; and (c) a provision making BioMarin an express third party beneficiary of such sublicense agreement with respect to such indemnification provisions.</w:t>
      </w:r>
    </w:p>
    <w:p>
      <w:pPr>
        <w:spacing w:after="0" w:line="5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2.3.3 AVROBIO will provide BioMarin with a copy of each sublicense agreement within [***] of execution of such agreement, [***].</w:t>
      </w:r>
    </w:p>
    <w:p>
      <w:pPr>
        <w:spacing w:after="0" w:line="113" w:lineRule="exact"/>
        <w:rPr>
          <w:sz w:val="20"/>
          <w:szCs w:val="20"/>
          <w:color w:val="auto"/>
        </w:rPr>
      </w:pPr>
    </w:p>
    <w:p>
      <w:pPr>
        <w:ind w:right="40" w:firstLine="456"/>
        <w:spacing w:after="0" w:line="281" w:lineRule="auto"/>
        <w:rPr>
          <w:sz w:val="20"/>
          <w:szCs w:val="20"/>
          <w:color w:val="auto"/>
        </w:rPr>
      </w:pPr>
      <w:r>
        <w:rPr>
          <w:rFonts w:ascii="Arial" w:cs="Arial" w:eastAsia="Arial" w:hAnsi="Arial"/>
          <w:sz w:val="17"/>
          <w:szCs w:val="17"/>
          <w:b w:val="1"/>
          <w:bCs w:val="1"/>
          <w:color w:val="auto"/>
        </w:rPr>
        <w:t>2.4 Technology Transfer</w:t>
      </w:r>
      <w:r>
        <w:rPr>
          <w:rFonts w:ascii="Arial" w:cs="Arial" w:eastAsia="Arial" w:hAnsi="Arial"/>
          <w:sz w:val="17"/>
          <w:szCs w:val="17"/>
          <w:color w:val="auto"/>
        </w:rPr>
        <w:t>. BioMarin will provide to AVROBIO, [***], copies of the Licensed Know-How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B</w:t>
      </w:r>
      <w:r>
        <w:rPr>
          <w:rFonts w:ascii="Arial" w:cs="Arial" w:eastAsia="Arial" w:hAnsi="Arial"/>
          <w:sz w:val="17"/>
          <w:szCs w:val="17"/>
          <w:color w:val="auto"/>
        </w:rPr>
        <w:t>, which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provided to AVROBIO within [***] of the Effective Date to the extent practicable, and in any event within [***] after the Effective Date. In addition, [***]. For purposes hereof, MAA means (a) a Biologics License Application as defined in the United States Federal Food, Drug and Cosmetics Act, as amended, and the regulations promulgated thereunder, or (b) a Marketing Authorization Application in the European Union.</w:t>
      </w:r>
    </w:p>
    <w:p>
      <w:pPr>
        <w:spacing w:after="0" w:line="57"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2.5 Other Technology</w:t>
      </w:r>
      <w:r>
        <w:rPr>
          <w:rFonts w:ascii="Arial" w:cs="Arial" w:eastAsia="Arial" w:hAnsi="Arial"/>
          <w:sz w:val="18"/>
          <w:szCs w:val="18"/>
          <w:color w:val="auto"/>
        </w:rPr>
        <w:t>. AVROBIO shall be solely responsible for obtaining, at its sole expense, any agreements with Third Parties required in order for</w:t>
      </w:r>
      <w:r>
        <w:rPr>
          <w:rFonts w:ascii="Arial" w:cs="Arial" w:eastAsia="Arial" w:hAnsi="Arial"/>
          <w:sz w:val="18"/>
          <w:szCs w:val="18"/>
          <w:b w:val="1"/>
          <w:bCs w:val="1"/>
          <w:color w:val="auto"/>
        </w:rPr>
        <w:t xml:space="preserve"> </w:t>
      </w:r>
      <w:r>
        <w:rPr>
          <w:rFonts w:ascii="Arial" w:cs="Arial" w:eastAsia="Arial" w:hAnsi="Arial"/>
          <w:sz w:val="18"/>
          <w:szCs w:val="18"/>
          <w:color w:val="auto"/>
        </w:rPr>
        <w:t>AVROBIO to conduct the Development and Commercialization of Licensed Products in the Field in the Territory. AVROBIO’s right to credit any costs and expenses that it incurs under or as a result of such Third Party agreements against amounts due under this Agreement shall be solely as set forth in Section 4.3.2.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06" w:name="page407"/>
    <w:bookmarkEnd w:id="406"/>
    <w:p>
      <w:pPr>
        <w:ind w:left="460" w:hanging="452"/>
        <w:spacing w:after="0"/>
        <w:tabs>
          <w:tab w:leader="none" w:pos="460"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w:t>
      </w:r>
      <w:r>
        <w:rPr>
          <w:rFonts w:ascii="Arial" w:cs="Arial" w:eastAsia="Arial" w:hAnsi="Arial"/>
          <w:sz w:val="15"/>
          <w:szCs w:val="15"/>
          <w:b w:val="1"/>
          <w:bCs w:val="1"/>
          <w:color w:val="auto"/>
        </w:rPr>
        <w:t>EVELOPMENT AND</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OMMERCIALIZATION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RODUCTS</w:t>
      </w:r>
    </w:p>
    <w:p>
      <w:pPr>
        <w:spacing w:after="0" w:line="11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3.1 Responsibilities</w:t>
      </w:r>
      <w:r>
        <w:rPr>
          <w:rFonts w:ascii="Arial" w:cs="Arial" w:eastAsia="Arial" w:hAnsi="Arial"/>
          <w:sz w:val="18"/>
          <w:szCs w:val="18"/>
          <w:color w:val="auto"/>
        </w:rPr>
        <w:t>. Subject to the terms and conditions of this Agreement (including without limitation this Section 3), AVROBIO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and sublicensees) will be solely responsible, at AVROBIO’s expense, for the Development and Commercialization of Licensed Products in the Field in the Territory, using Commercially Reasonable Efforts. AVROBIO will conduct, and will cause its Affiliates and sublicensees to conduct, such activities in a good scientific manner and in compliance in all material respects with all applicable laws.</w:t>
      </w:r>
    </w:p>
    <w:p>
      <w:pPr>
        <w:spacing w:after="0" w:line="72"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color w:val="auto"/>
        </w:rPr>
        <w:t>3.2 Communication</w:t>
      </w:r>
      <w:r>
        <w:rPr>
          <w:rFonts w:ascii="Arial" w:cs="Arial" w:eastAsia="Arial" w:hAnsi="Arial"/>
          <w:sz w:val="18"/>
          <w:szCs w:val="18"/>
          <w:color w:val="auto"/>
        </w:rPr>
        <w:t>. Each Party will appoint one of its employees to serve as a liaison and alliance manager hereunder (</w:t>
      </w:r>
      <w:r>
        <w:rPr>
          <w:rFonts w:ascii="Arial" w:cs="Arial" w:eastAsia="Arial" w:hAnsi="Arial"/>
          <w:sz w:val="18"/>
          <w:szCs w:val="18"/>
          <w:b w:val="1"/>
          <w:bCs w:val="1"/>
          <w:color w:val="auto"/>
        </w:rPr>
        <w:t>“Alliance Manager”</w:t>
      </w:r>
      <w:r>
        <w:rPr>
          <w:rFonts w:ascii="Arial" w:cs="Arial" w:eastAsia="Arial" w:hAnsi="Arial"/>
          <w:sz w:val="18"/>
          <w:szCs w:val="18"/>
          <w:color w:val="auto"/>
        </w:rPr>
        <w:t>)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responsibility for overseeing communications between the Parties relevant to this Agreement, including without limitation communications regarding: (a) the transfer of the Licensed Know-How to AVROBIO as contemplated in Section 2.4 above, (b) patent matters, and (c) AVROBIO’s diligence obligations. The initial Alliance Manager for AVROBIO shall be [***] and for BioMarin shall be [***]. Each Party may replace its Alliance Manager at any time by notice in writing to the other Party.</w:t>
      </w:r>
    </w:p>
    <w:p>
      <w:pPr>
        <w:spacing w:after="0" w:line="76"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b w:val="1"/>
          <w:bCs w:val="1"/>
          <w:color w:val="auto"/>
        </w:rPr>
        <w:t>3.3 Diligence</w:t>
      </w:r>
      <w:r>
        <w:rPr>
          <w:rFonts w:ascii="Arial" w:cs="Arial" w:eastAsia="Arial" w:hAnsi="Arial"/>
          <w:sz w:val="17"/>
          <w:szCs w:val="17"/>
          <w:color w:val="auto"/>
        </w:rPr>
        <w:t>. AVROBIO will use Commercially Reasonable Efforts to Develop and Commercialize one or more Licensed Products in the United</w:t>
      </w:r>
      <w:r>
        <w:rPr>
          <w:rFonts w:ascii="Arial" w:cs="Arial" w:eastAsia="Arial" w:hAnsi="Arial"/>
          <w:sz w:val="17"/>
          <w:szCs w:val="17"/>
          <w:b w:val="1"/>
          <w:bCs w:val="1"/>
          <w:color w:val="auto"/>
        </w:rPr>
        <w:t xml:space="preserve"> </w:t>
      </w:r>
      <w:r>
        <w:rPr>
          <w:rFonts w:ascii="Arial" w:cs="Arial" w:eastAsia="Arial" w:hAnsi="Arial"/>
          <w:sz w:val="17"/>
          <w:szCs w:val="17"/>
          <w:color w:val="auto"/>
        </w:rPr>
        <w:t>States and in the Major European Countries. In addition, and without limiting the generality of the foregoing, AVROBIO shall initiate an IND-enabling pharmacology/toxicology study of a Licensed Product within [***] of the Effective Date. In the event that BioMarin believes AVROBIO is in material breach of its obligation to use Commercially Reasonable Efforts under this Section 3.3, then BioMarin may so notify AVROBIO in writing, which notice shall provide available details regarding the basis for its belief and specifying that such notice (a “</w:t>
      </w:r>
      <w:r>
        <w:rPr>
          <w:rFonts w:ascii="Arial" w:cs="Arial" w:eastAsia="Arial" w:hAnsi="Arial"/>
          <w:sz w:val="17"/>
          <w:szCs w:val="17"/>
          <w:b w:val="1"/>
          <w:bCs w:val="1"/>
          <w:color w:val="auto"/>
        </w:rPr>
        <w:t>Diligence Breach Notice</w:t>
      </w:r>
      <w:r>
        <w:rPr>
          <w:rFonts w:ascii="Arial" w:cs="Arial" w:eastAsia="Arial" w:hAnsi="Arial"/>
          <w:sz w:val="17"/>
          <w:szCs w:val="17"/>
          <w:color w:val="auto"/>
        </w:rPr>
        <w:t>”) is being provided by BioMarin pursuant to this Section 3.3. If a Diligence Breach Notice is provided to AVROBIO, AVROBIO may, within a further period of [***] after receipt of such notice, provide a written report to BioMarin to justify why AVROBIO believes it is not in such material breach of such diligence obligation. If no such report is provided by AVROBIO by the end of such time period, BioMarin shall be permitted to terminate this Agreement pursuant to Section 8.2. If AVROBIO provides a response, the Parties shall then conduct an initial meeting within [***] after delivery of such a written report from AVROBIO to discuss in good faith the concerns raised by BioMarin and shall conduct such additional meetings as are reasonably necessary to reach agreement as to whether or not AVROBIO is in material breach of its obligations under this Section 3.3 for an additional [***] after such initial meeting. If after such [***] period following the initial meeting, the Parties cannot reach agreement then, upon request of either Party, the matter shall be referred to the dispute resolution procedure outlined under Section 11.3, which procedure shall be required to: (a) determine whether there was, in fact, a material breach by AVROBIO of its diligence obligation, and (b) if it is determined that there was an uncured material breach, specify what additional efforts AVROBIO must undertake to cure such breach, and the time period during which such efforts must be commenced and completed (which time period shall be commercially reasonable). If such procedure determines that there was a material</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07" w:name="page408"/>
    <w:bookmarkEnd w:id="40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breach of the diligence obligation hereunder, and AVROBIO does not commence or complete the cure efforts specified by the arbitration result (in response to the clause (b) requirement above) by the required relevant dates, then BioMarin may terminate the Agreement pursuant to Section 8.2. All efforts of AVROBIO’s Affiliates, Third Party contractors and sublicensees will be considered efforts of AVROBIO for the purpose of determining AVROBIO’s compliance with its obligations under this Section 3.3.</w:t>
      </w:r>
    </w:p>
    <w:p>
      <w:pPr>
        <w:spacing w:after="0" w:line="7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7"/>
          <w:szCs w:val="17"/>
          <w:b w:val="1"/>
          <w:bCs w:val="1"/>
          <w:color w:val="auto"/>
        </w:rPr>
        <w:t>3.4 Reports</w:t>
      </w:r>
      <w:r>
        <w:rPr>
          <w:rFonts w:ascii="Arial" w:cs="Arial" w:eastAsia="Arial" w:hAnsi="Arial"/>
          <w:sz w:val="17"/>
          <w:szCs w:val="17"/>
          <w:color w:val="auto"/>
        </w:rPr>
        <w:t>. AVROBIO will keep BioMarin reasonably informed regarding the progress and results of AVROBIO’s Development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Commercialization activities and those of its Affiliates, sublicensees, and Third Party contractors as set forth below. [***] each year, no later than [***], AVROBIO shall provide BioMarin with a written report that summarizes, in reasonable detail, the Development and Commercialization activities performed by AVROBIO and its Affiliates, sublicensees, and Third Party contractors with respect to Licensed Products during the preceding [***] period, as well as AVROBIO’s expected future Development and Commercialization timeline for Licensed Products.</w:t>
      </w:r>
    </w:p>
    <w:p>
      <w:pPr>
        <w:spacing w:after="0" w:line="317" w:lineRule="exact"/>
        <w:rPr>
          <w:sz w:val="20"/>
          <w:szCs w:val="20"/>
          <w:color w:val="auto"/>
        </w:rPr>
      </w:pPr>
    </w:p>
    <w:p>
      <w:pPr>
        <w:ind w:left="460" w:hanging="452"/>
        <w:spacing w:after="0"/>
        <w:tabs>
          <w:tab w:leader="none" w:pos="460" w:val="left"/>
        </w:tabs>
        <w:numPr>
          <w:ilvl w:val="0"/>
          <w:numId w:val="322"/>
        </w:numPr>
        <w:rPr>
          <w:rFonts w:ascii="Arial" w:cs="Arial" w:eastAsia="Arial" w:hAnsi="Arial"/>
          <w:sz w:val="18"/>
          <w:szCs w:val="18"/>
          <w:b w:val="1"/>
          <w:bCs w:val="1"/>
          <w:color w:val="auto"/>
        </w:rPr>
      </w:pPr>
      <w:r>
        <w:rPr>
          <w:rFonts w:ascii="Arial" w:cs="Arial" w:eastAsia="Arial" w:hAnsi="Arial"/>
          <w:sz w:val="18"/>
          <w:szCs w:val="18"/>
          <w:b w:val="1"/>
          <w:bCs w:val="1"/>
          <w:color w:val="auto"/>
        </w:rPr>
        <w:t>F</w:t>
      </w:r>
      <w:r>
        <w:rPr>
          <w:rFonts w:ascii="Arial" w:cs="Arial" w:eastAsia="Arial" w:hAnsi="Arial"/>
          <w:sz w:val="15"/>
          <w:szCs w:val="15"/>
          <w:b w:val="1"/>
          <w:bCs w:val="1"/>
          <w:color w:val="auto"/>
        </w:rPr>
        <w:t>INANCIAL</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ERMS</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b w:val="1"/>
          <w:bCs w:val="1"/>
          <w:color w:val="auto"/>
        </w:rPr>
        <w:t>4.1 Initial License Fee</w:t>
      </w:r>
      <w:r>
        <w:rPr>
          <w:rFonts w:ascii="Arial" w:cs="Arial" w:eastAsia="Arial" w:hAnsi="Arial"/>
          <w:sz w:val="17"/>
          <w:szCs w:val="17"/>
          <w:color w:val="auto"/>
        </w:rPr>
        <w:t>. As initial consideration for the grant of rights set forth herein, AVROBIO will (a) pay to BioMarin a non-creditable, non-refundable initial license fee of five hundred thousand Dollars ($500,000), payable within [***] of the Effective Date, and (b) on or before the Preferred Stock Financing Deadline, issue to BioMarin that number of shares of Preferred Stock equal to five hundred thousand Dollars ($500,000) divided by the Preferred Stock Issuance Price, rounded to the nearest whole share, for no additional cash but otherwise on the same terms and conditions at which such shares of Preferred Stock were sold by AVROBIO to the other investor(s) in the Preferred Stock Financing. As a condition to its receipt of any Preferred Stock, BioMarin will enter into AVROBIO’s investor rights agreement, voting agreement, and right of first refusal and co-sale agreement, or other similar agreements, all on the same terms and conditions as the other investor(s) in the Preferred Stock Financing. [***]. Notwithstanding clause (b) above, in the event AVROBIO completes a Change of Control prior to the closing of the Preferred Stock Financing, then AVROBIO will pay to BioMarin a non-creditable, non-refundable payment of [***], in cash, payable within [***] of the date on which such Change of Control becomes effective and will not have the right to issue shares of Preferred Stock to BioMarin as set forth in clause (b) above. Unless a Change of Control has occurred prior to such time. AVROBIO shall notify BioMarin of the completion of the Preferred Stock Financing within [***] after such completion and shall notify BioMarin of any failure to complete the Preferred Stock Financing no later than [***] following the Preferred Stock Financing Deadline. In the event AVROBIO does not complete the Preferred Stock Financing by the Preferred Stock Financing Deadline and has not completed a Change of Control, then AVROBIO shall pay to BioMarin a non-creditable, non-refundable license fee of [***] within [***] of the Preferred Stock Financing Deadline in lieu of the obligation to issue Preferred Stock set forth in clause (b) above.</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3" w:right="239" w:bottom="1440" w:gutter="0" w:footer="0" w:header="0"/>
        </w:sectPr>
      </w:pPr>
    </w:p>
    <w:bookmarkStart w:id="408" w:name="page409"/>
    <w:bookmarkEnd w:id="408"/>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 Milestone Payments.</w:t>
      </w:r>
    </w:p>
    <w:p>
      <w:pPr>
        <w:spacing w:after="0" w:line="117" w:lineRule="exact"/>
        <w:rPr>
          <w:sz w:val="20"/>
          <w:szCs w:val="20"/>
          <w:color w:val="auto"/>
        </w:rPr>
      </w:pPr>
    </w:p>
    <w:p>
      <w:pPr>
        <w:ind w:right="60" w:firstLine="913"/>
        <w:spacing w:after="0" w:line="303" w:lineRule="auto"/>
        <w:rPr>
          <w:sz w:val="20"/>
          <w:szCs w:val="20"/>
          <w:color w:val="auto"/>
        </w:rPr>
      </w:pPr>
      <w:r>
        <w:rPr>
          <w:rFonts w:ascii="Arial" w:cs="Arial" w:eastAsia="Arial" w:hAnsi="Arial"/>
          <w:sz w:val="16"/>
          <w:szCs w:val="16"/>
          <w:b w:val="1"/>
          <w:bCs w:val="1"/>
          <w:color w:val="auto"/>
        </w:rPr>
        <w:t>4.2.1 Development Milestones</w:t>
      </w:r>
      <w:r>
        <w:rPr>
          <w:rFonts w:ascii="Arial" w:cs="Arial" w:eastAsia="Arial" w:hAnsi="Arial"/>
          <w:sz w:val="16"/>
          <w:szCs w:val="16"/>
          <w:color w:val="auto"/>
        </w:rPr>
        <w:t>. AVROBIO will pay to BioMarin the following non-creditable, non-refundable milestone payments within [***]</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first achievement of the corresponding events described in the table below by the first Licensed Product being Developed by or on behalf of AVROBIO, its Affiliates or sublicensees to achieve such event. For clarity, each Development Milestone payment below shall be made only once, upon the first attainment of the applicable milestone event by any Licensed Product being Developed by or on behalf of AVROBIO, its Affiliates or sublicensees.</w:t>
      </w:r>
    </w:p>
    <w:p>
      <w:pPr>
        <w:spacing w:after="0" w:line="178" w:lineRule="exact"/>
        <w:rPr>
          <w:sz w:val="20"/>
          <w:szCs w:val="20"/>
          <w:color w:val="auto"/>
        </w:rPr>
      </w:pPr>
    </w:p>
    <w:tbl>
      <w:tblPr>
        <w:tblLayout w:type="fixed"/>
        <w:tblInd w:w="720" w:type="dxa"/>
        <w:tblCellMar>
          <w:top w:w="0" w:type="dxa"/>
          <w:left w:w="0" w:type="dxa"/>
          <w:bottom w:w="0" w:type="dxa"/>
          <w:right w:w="0" w:type="dxa"/>
        </w:tblCellMar>
      </w:tblPr>
      <w:tr>
        <w:trPr>
          <w:trHeight w:val="220"/>
        </w:trPr>
        <w:tc>
          <w:tcPr>
            <w:tcW w:w="5060" w:type="dxa"/>
            <w:vAlign w:val="bottom"/>
          </w:tcPr>
          <w:p>
            <w:pPr>
              <w:jc w:val="right"/>
              <w:ind w:right="201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ILESTONE</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VENT</w:t>
            </w:r>
          </w:p>
        </w:tc>
        <w:tc>
          <w:tcPr>
            <w:tcW w:w="3840" w:type="dxa"/>
            <w:vAlign w:val="bottom"/>
          </w:tcPr>
          <w:p>
            <w:pPr>
              <w:jc w:val="center"/>
              <w:ind w:left="1990"/>
              <w:spacing w:after="0"/>
              <w:rPr>
                <w:sz w:val="20"/>
                <w:szCs w:val="20"/>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ILESTONE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AYMENT</w:t>
            </w:r>
          </w:p>
        </w:tc>
      </w:tr>
      <w:tr>
        <w:trPr>
          <w:trHeight w:val="216"/>
        </w:trPr>
        <w:tc>
          <w:tcPr>
            <w:tcW w:w="5060" w:type="dxa"/>
            <w:vAlign w:val="bottom"/>
          </w:tcPr>
          <w:p>
            <w:pPr>
              <w:jc w:val="right"/>
              <w:ind w:right="4390"/>
              <w:spacing w:after="0"/>
              <w:rPr>
                <w:sz w:val="20"/>
                <w:szCs w:val="20"/>
                <w:color w:val="auto"/>
              </w:rPr>
            </w:pPr>
            <w:r>
              <w:rPr>
                <w:rFonts w:ascii="Arial" w:cs="Arial" w:eastAsia="Arial" w:hAnsi="Arial"/>
                <w:sz w:val="18"/>
                <w:szCs w:val="18"/>
                <w:color w:val="auto"/>
              </w:rPr>
              <w:t>1. [***]</w:t>
            </w:r>
          </w:p>
        </w:tc>
        <w:tc>
          <w:tcPr>
            <w:tcW w:w="3840" w:type="dxa"/>
            <w:vAlign w:val="bottom"/>
          </w:tcPr>
          <w:p>
            <w:pPr>
              <w:jc w:val="center"/>
              <w:ind w:left="199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jc w:val="right"/>
              <w:ind w:right="4390"/>
              <w:spacing w:after="0"/>
              <w:rPr>
                <w:sz w:val="20"/>
                <w:szCs w:val="20"/>
                <w:color w:val="auto"/>
              </w:rPr>
            </w:pPr>
            <w:r>
              <w:rPr>
                <w:rFonts w:ascii="Arial" w:cs="Arial" w:eastAsia="Arial" w:hAnsi="Arial"/>
                <w:sz w:val="18"/>
                <w:szCs w:val="18"/>
                <w:color w:val="auto"/>
              </w:rPr>
              <w:t>2. [***]</w:t>
            </w:r>
          </w:p>
        </w:tc>
        <w:tc>
          <w:tcPr>
            <w:tcW w:w="3840" w:type="dxa"/>
            <w:vAlign w:val="bottom"/>
          </w:tcPr>
          <w:p>
            <w:pPr>
              <w:jc w:val="center"/>
              <w:ind w:left="199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jc w:val="right"/>
              <w:ind w:right="4390"/>
              <w:spacing w:after="0"/>
              <w:rPr>
                <w:sz w:val="20"/>
                <w:szCs w:val="20"/>
                <w:color w:val="auto"/>
              </w:rPr>
            </w:pPr>
            <w:r>
              <w:rPr>
                <w:rFonts w:ascii="Arial" w:cs="Arial" w:eastAsia="Arial" w:hAnsi="Arial"/>
                <w:sz w:val="18"/>
                <w:szCs w:val="18"/>
                <w:color w:val="auto"/>
              </w:rPr>
              <w:t>3. [***]</w:t>
            </w:r>
          </w:p>
        </w:tc>
        <w:tc>
          <w:tcPr>
            <w:tcW w:w="3840" w:type="dxa"/>
            <w:vAlign w:val="bottom"/>
          </w:tcPr>
          <w:p>
            <w:pPr>
              <w:jc w:val="center"/>
              <w:ind w:left="1990"/>
              <w:spacing w:after="0"/>
              <w:rPr>
                <w:sz w:val="20"/>
                <w:szCs w:val="20"/>
                <w:color w:val="auto"/>
              </w:rPr>
            </w:pPr>
            <w:r>
              <w:rPr>
                <w:rFonts w:ascii="Arial" w:cs="Arial" w:eastAsia="Arial" w:hAnsi="Arial"/>
                <w:sz w:val="18"/>
                <w:szCs w:val="18"/>
                <w:color w:val="auto"/>
              </w:rPr>
              <w:t>$[***]</w:t>
            </w:r>
          </w:p>
        </w:tc>
      </w:tr>
      <w:tr>
        <w:trPr>
          <w:trHeight w:val="230"/>
        </w:trPr>
        <w:tc>
          <w:tcPr>
            <w:tcW w:w="5060" w:type="dxa"/>
            <w:vAlign w:val="bottom"/>
          </w:tcPr>
          <w:p>
            <w:pPr>
              <w:jc w:val="right"/>
              <w:ind w:right="4390"/>
              <w:spacing w:after="0"/>
              <w:rPr>
                <w:sz w:val="20"/>
                <w:szCs w:val="20"/>
                <w:color w:val="auto"/>
              </w:rPr>
            </w:pPr>
            <w:r>
              <w:rPr>
                <w:rFonts w:ascii="Arial" w:cs="Arial" w:eastAsia="Arial" w:hAnsi="Arial"/>
                <w:sz w:val="18"/>
                <w:szCs w:val="18"/>
                <w:color w:val="auto"/>
              </w:rPr>
              <w:t>4. [***]</w:t>
            </w:r>
          </w:p>
        </w:tc>
        <w:tc>
          <w:tcPr>
            <w:tcW w:w="3840" w:type="dxa"/>
            <w:vAlign w:val="bottom"/>
          </w:tcPr>
          <w:p>
            <w:pPr>
              <w:jc w:val="center"/>
              <w:ind w:left="199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4.3 Royalties</w:t>
      </w:r>
      <w:r>
        <w:rPr>
          <w:rFonts w:ascii="Arial" w:cs="Arial" w:eastAsia="Arial" w:hAnsi="Arial"/>
          <w:sz w:val="18"/>
          <w:szCs w:val="18"/>
          <w:color w:val="auto"/>
        </w:rPr>
        <w:t>.</w:t>
      </w:r>
    </w:p>
    <w:p>
      <w:pPr>
        <w:spacing w:after="0" w:line="117" w:lineRule="exact"/>
        <w:rPr>
          <w:sz w:val="20"/>
          <w:szCs w:val="20"/>
          <w:color w:val="auto"/>
        </w:rPr>
      </w:pPr>
    </w:p>
    <w:p>
      <w:pPr>
        <w:jc w:val="both"/>
        <w:ind w:right="220" w:firstLine="913"/>
        <w:spacing w:after="0" w:line="289"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b w:val="1"/>
          <w:bCs w:val="1"/>
          <w:color w:val="auto"/>
        </w:rPr>
        <w:t>Royalty Rates</w:t>
      </w:r>
      <w:r>
        <w:rPr>
          <w:rFonts w:ascii="Arial" w:cs="Arial" w:eastAsia="Arial" w:hAnsi="Arial"/>
          <w:sz w:val="17"/>
          <w:szCs w:val="17"/>
          <w:color w:val="auto"/>
        </w:rPr>
        <w:t>. During the applicable Royalty Term, AVROBIO will pay to BioMarin a royalty of [***] on Net Sales by AVROBIO, its Affiliates and sublicensees of those Licensed Products the composition, formulation, delivery, manufacture, use, sale, or importation of which is claimed or otherwise covered by a Valid Claim of the Licensed Patent Rights in at least one country in which it is made, used or sold.</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4.3.2 [***]</w:t>
      </w:r>
    </w:p>
    <w:p>
      <w:pPr>
        <w:spacing w:after="0" w:line="113" w:lineRule="exact"/>
        <w:rPr>
          <w:sz w:val="20"/>
          <w:szCs w:val="20"/>
          <w:color w:val="auto"/>
        </w:rPr>
      </w:pPr>
    </w:p>
    <w:p>
      <w:pPr>
        <w:ind w:right="40" w:firstLine="913"/>
        <w:spacing w:after="0" w:line="274" w:lineRule="auto"/>
        <w:rPr>
          <w:sz w:val="20"/>
          <w:szCs w:val="20"/>
          <w:color w:val="auto"/>
        </w:rPr>
      </w:pPr>
      <w:r>
        <w:rPr>
          <w:rFonts w:ascii="Arial" w:cs="Arial" w:eastAsia="Arial" w:hAnsi="Arial"/>
          <w:sz w:val="17"/>
          <w:szCs w:val="17"/>
          <w:color w:val="auto"/>
        </w:rPr>
        <w:t xml:space="preserve">4.3.3 </w:t>
      </w:r>
      <w:r>
        <w:rPr>
          <w:rFonts w:ascii="Arial" w:cs="Arial" w:eastAsia="Arial" w:hAnsi="Arial"/>
          <w:sz w:val="17"/>
          <w:szCs w:val="17"/>
          <w:b w:val="1"/>
          <w:bCs w:val="1"/>
          <w:color w:val="auto"/>
        </w:rPr>
        <w:t>Royalty Term</w:t>
      </w:r>
      <w:r>
        <w:rPr>
          <w:rFonts w:ascii="Arial" w:cs="Arial" w:eastAsia="Arial" w:hAnsi="Arial"/>
          <w:sz w:val="17"/>
          <w:szCs w:val="17"/>
          <w:color w:val="auto"/>
        </w:rPr>
        <w:t>. AVROBIO’s royalty payment obligations under this Section 4.3 will expire, with respect to a particular Licensed Product sold in a given country (on a Licensed Product-by-Licensed Product and country-by-country basis), upon the expiration of the period (the “</w:t>
      </w:r>
      <w:r>
        <w:rPr>
          <w:rFonts w:ascii="Arial" w:cs="Arial" w:eastAsia="Arial" w:hAnsi="Arial"/>
          <w:sz w:val="17"/>
          <w:szCs w:val="17"/>
          <w:b w:val="1"/>
          <w:bCs w:val="1"/>
          <w:color w:val="auto"/>
        </w:rPr>
        <w:t>Royalty Term</w:t>
      </w:r>
      <w:r>
        <w:rPr>
          <w:rFonts w:ascii="Arial" w:cs="Arial" w:eastAsia="Arial" w:hAnsi="Arial"/>
          <w:sz w:val="17"/>
          <w:szCs w:val="17"/>
          <w:color w:val="auto"/>
        </w:rPr>
        <w:t>” for such Licensed Product in such country) commencing upon First Commercial Sale of the applicable Licensed Product in such country and ending upon the latest of: (a) expiration of the last-to-expire Valid Claim of a Licensed Patent Right in such country; (b) the date ten (10) years after the First Commercial Sale of such Licensed Product by AVROBIO, its Affiliates or sublicensees in such country; and (c) expiration of any applicable Regulatory Exclusivity in such country granted by a Regulatory Authority with respect to the Licensed Product.</w:t>
      </w:r>
    </w:p>
    <w:p>
      <w:pPr>
        <w:spacing w:after="0" w:line="66" w:lineRule="exact"/>
        <w:rPr>
          <w:sz w:val="20"/>
          <w:szCs w:val="20"/>
          <w:color w:val="auto"/>
        </w:rPr>
      </w:pPr>
    </w:p>
    <w:p>
      <w:pPr>
        <w:ind w:right="60" w:firstLine="456"/>
        <w:spacing w:after="0" w:line="266" w:lineRule="auto"/>
        <w:rPr>
          <w:sz w:val="20"/>
          <w:szCs w:val="20"/>
          <w:color w:val="auto"/>
        </w:rPr>
      </w:pPr>
      <w:r>
        <w:rPr>
          <w:rFonts w:ascii="Arial" w:cs="Arial" w:eastAsia="Arial" w:hAnsi="Arial"/>
          <w:sz w:val="18"/>
          <w:szCs w:val="18"/>
          <w:b w:val="1"/>
          <w:bCs w:val="1"/>
          <w:color w:val="auto"/>
        </w:rPr>
        <w:t>4.4 Royalty Reports; Payment</w:t>
      </w:r>
      <w:r>
        <w:rPr>
          <w:rFonts w:ascii="Arial" w:cs="Arial" w:eastAsia="Arial" w:hAnsi="Arial"/>
          <w:sz w:val="18"/>
          <w:szCs w:val="18"/>
          <w:color w:val="auto"/>
        </w:rPr>
        <w:t>. Following the First Commercial Sale of any Licensed Product for which royalties are due pursuant to Section 4.3,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continuing for so long as royalties are due hereunder, within [***] after the end of each [***], AVROBIO shall provide a royalty-report showing, on a Licensed Product-by-Licensed Product and country-by-country basis:</w:t>
      </w:r>
    </w:p>
    <w:p>
      <w:pPr>
        <w:spacing w:after="0" w:line="72" w:lineRule="exact"/>
        <w:rPr>
          <w:sz w:val="20"/>
          <w:szCs w:val="20"/>
          <w:color w:val="auto"/>
        </w:rPr>
      </w:pPr>
    </w:p>
    <w:p>
      <w:pPr>
        <w:ind w:left="460" w:right="220" w:firstLine="881"/>
        <w:spacing w:after="0" w:line="277" w:lineRule="auto"/>
        <w:tabs>
          <w:tab w:leader="none" w:pos="1581" w:val="left"/>
        </w:tabs>
        <w:numPr>
          <w:ilvl w:val="0"/>
          <w:numId w:val="323"/>
        </w:numPr>
        <w:rPr>
          <w:rFonts w:ascii="Arial" w:cs="Arial" w:eastAsia="Arial" w:hAnsi="Arial"/>
          <w:sz w:val="18"/>
          <w:szCs w:val="18"/>
          <w:color w:val="auto"/>
        </w:rPr>
      </w:pPr>
      <w:r>
        <w:rPr>
          <w:rFonts w:ascii="Arial" w:cs="Arial" w:eastAsia="Arial" w:hAnsi="Arial"/>
          <w:sz w:val="18"/>
          <w:szCs w:val="18"/>
          <w:color w:val="auto"/>
        </w:rPr>
        <w:t>gross sales of Licensed Products sold by AVROBIO, its Affiliates and sublicensees during such [***] reporting period (on a Licensed Product by Licensed Product and country by country basis);</w:t>
      </w:r>
    </w:p>
    <w:p>
      <w:pPr>
        <w:spacing w:after="0" w:line="62" w:lineRule="exact"/>
        <w:rPr>
          <w:rFonts w:ascii="Arial" w:cs="Arial" w:eastAsia="Arial" w:hAnsi="Arial"/>
          <w:sz w:val="18"/>
          <w:szCs w:val="18"/>
          <w:color w:val="auto"/>
        </w:rPr>
      </w:pPr>
    </w:p>
    <w:p>
      <w:pPr>
        <w:jc w:val="both"/>
        <w:ind w:left="460" w:right="460" w:firstLine="881"/>
        <w:spacing w:after="0" w:line="342" w:lineRule="auto"/>
        <w:tabs>
          <w:tab w:leader="none" w:pos="1591" w:val="left"/>
        </w:tabs>
        <w:numPr>
          <w:ilvl w:val="0"/>
          <w:numId w:val="323"/>
        </w:numPr>
        <w:rPr>
          <w:rFonts w:ascii="Arial" w:cs="Arial" w:eastAsia="Arial" w:hAnsi="Arial"/>
          <w:sz w:val="16"/>
          <w:szCs w:val="16"/>
          <w:color w:val="auto"/>
        </w:rPr>
      </w:pPr>
      <w:r>
        <w:rPr>
          <w:rFonts w:ascii="Arial" w:cs="Arial" w:eastAsia="Arial" w:hAnsi="Arial"/>
          <w:sz w:val="16"/>
          <w:szCs w:val="16"/>
          <w:color w:val="auto"/>
        </w:rPr>
        <w:t>an itemized calculation of the Net Sales (showing all deductions taken pursuant to Section 1.20) of each Licensed Product sold by AVROBIO, its Affiliates and sublicensees during such [***] reporting period, along with cumulative Net Sales for the then-current calendar year;</w:t>
      </w:r>
    </w:p>
    <w:p>
      <w:pPr>
        <w:spacing w:after="0" w:line="56" w:lineRule="exact"/>
        <w:rPr>
          <w:rFonts w:ascii="Arial" w:cs="Arial" w:eastAsia="Arial" w:hAnsi="Arial"/>
          <w:sz w:val="16"/>
          <w:szCs w:val="16"/>
          <w:color w:val="auto"/>
        </w:rPr>
      </w:pPr>
    </w:p>
    <w:p>
      <w:pPr>
        <w:ind w:left="8640" w:hanging="323"/>
        <w:spacing w:after="0"/>
        <w:tabs>
          <w:tab w:leader="none" w:pos="8640" w:val="left"/>
        </w:tabs>
        <w:numPr>
          <w:ilvl w:val="1"/>
          <w:numId w:val="323"/>
        </w:numPr>
        <w:rPr>
          <w:rFonts w:ascii="Arial" w:cs="Arial" w:eastAsia="Arial" w:hAnsi="Arial"/>
          <w:sz w:val="16"/>
          <w:szCs w:val="16"/>
          <w:color w:val="auto"/>
        </w:rPr>
      </w:pPr>
      <w:r>
        <w:rPr>
          <w:rFonts w:ascii="Arial" w:cs="Arial" w:eastAsia="Arial" w:hAnsi="Arial"/>
          <w:sz w:val="16"/>
          <w:szCs w:val="16"/>
          <w:color w:val="auto"/>
        </w:rPr>
        <w:t>Confidential Treatment Requested ***</w:t>
      </w:r>
    </w:p>
    <w:p>
      <w:pPr>
        <w:sectPr>
          <w:pgSz w:w="11900" w:h="16838" w:orient="portrait"/>
          <w:cols w:equalWidth="0" w:num="1">
            <w:col w:w="11420"/>
          </w:cols>
          <w:pgMar w:left="240" w:top="269" w:right="239" w:bottom="1440" w:gutter="0" w:footer="0" w:header="0"/>
        </w:sectPr>
      </w:pPr>
    </w:p>
    <w:bookmarkStart w:id="409" w:name="page410"/>
    <w:bookmarkEnd w:id="409"/>
    <w:p>
      <w:pPr>
        <w:ind w:left="1580" w:hanging="239"/>
        <w:spacing w:after="0"/>
        <w:tabs>
          <w:tab w:leader="none" w:pos="15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royalties payable in United States Dollars which shall have accrued hereunder with respect to such Net Sales;</w:t>
      </w:r>
    </w:p>
    <w:p>
      <w:pPr>
        <w:spacing w:after="0" w:line="117" w:lineRule="exact"/>
        <w:rPr>
          <w:rFonts w:ascii="Arial" w:cs="Arial" w:eastAsia="Arial" w:hAnsi="Arial"/>
          <w:sz w:val="18"/>
          <w:szCs w:val="18"/>
          <w:color w:val="auto"/>
        </w:rPr>
      </w:pPr>
    </w:p>
    <w:p>
      <w:pPr>
        <w:ind w:left="1600" w:hanging="259"/>
        <w:spacing w:after="0"/>
        <w:tabs>
          <w:tab w:leader="none" w:pos="1600" w:val="left"/>
        </w:tabs>
        <w:numPr>
          <w:ilvl w:val="0"/>
          <w:numId w:val="324"/>
        </w:numPr>
        <w:rPr>
          <w:rFonts w:ascii="Arial" w:cs="Arial" w:eastAsia="Arial" w:hAnsi="Arial"/>
          <w:sz w:val="17"/>
          <w:szCs w:val="17"/>
          <w:color w:val="auto"/>
        </w:rPr>
      </w:pPr>
      <w:r>
        <w:rPr>
          <w:rFonts w:ascii="Arial" w:cs="Arial" w:eastAsia="Arial" w:hAnsi="Arial"/>
          <w:sz w:val="17"/>
          <w:szCs w:val="17"/>
          <w:color w:val="auto"/>
        </w:rPr>
        <w:t>Withholding Taxes (as defined in Section 4.9), if any, required by applicable law to be deducted with respect to such royalties; and</w:t>
      </w:r>
    </w:p>
    <w:p>
      <w:pPr>
        <w:spacing w:after="0" w:line="128" w:lineRule="exact"/>
        <w:rPr>
          <w:rFonts w:ascii="Arial" w:cs="Arial" w:eastAsia="Arial" w:hAnsi="Arial"/>
          <w:sz w:val="17"/>
          <w:szCs w:val="17"/>
          <w:color w:val="auto"/>
        </w:rPr>
      </w:pPr>
    </w:p>
    <w:p>
      <w:pPr>
        <w:ind w:left="460" w:right="280" w:firstLine="881"/>
        <w:spacing w:after="0" w:line="277" w:lineRule="auto"/>
        <w:tabs>
          <w:tab w:leader="none" w:pos="1581"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rate of exchange with supporting calculations, determined in accordance with Section 4.5, used by AVROBIO in determining the amount of United States Dollars payable hereunder.</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AVROBIO shall pay to BioMarin the royalties for each [***] at the time of submission of AVROBIO’s royalty report. If no royalty is due for any royalty period hereunder following commencement of the reporting obligation, AVROBIO shall so report.</w:t>
      </w:r>
    </w:p>
    <w:p>
      <w:pPr>
        <w:spacing w:after="0" w:line="58" w:lineRule="exact"/>
        <w:rPr>
          <w:sz w:val="20"/>
          <w:szCs w:val="20"/>
          <w:color w:val="auto"/>
        </w:rPr>
      </w:pPr>
    </w:p>
    <w:p>
      <w:pPr>
        <w:ind w:right="220" w:firstLine="456"/>
        <w:spacing w:after="0" w:line="266" w:lineRule="auto"/>
        <w:rPr>
          <w:sz w:val="20"/>
          <w:szCs w:val="20"/>
          <w:color w:val="auto"/>
        </w:rPr>
      </w:pPr>
      <w:r>
        <w:rPr>
          <w:rFonts w:ascii="Arial" w:cs="Arial" w:eastAsia="Arial" w:hAnsi="Arial"/>
          <w:sz w:val="18"/>
          <w:szCs w:val="18"/>
          <w:b w:val="1"/>
          <w:bCs w:val="1"/>
          <w:color w:val="auto"/>
        </w:rPr>
        <w:t>4.5 Currency Exchange</w:t>
      </w:r>
      <w:r>
        <w:rPr>
          <w:rFonts w:ascii="Arial" w:cs="Arial" w:eastAsia="Arial" w:hAnsi="Arial"/>
          <w:sz w:val="18"/>
          <w:szCs w:val="18"/>
          <w:color w:val="auto"/>
        </w:rPr>
        <w:t>. In the case of Net Sales outside the United States, the rate of exchange to be used in computing the amount of currency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equivalent in United States Dollars shall be the closing exchange rate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(U.S., Eastern Edition) on the last business day of the applicable [***] for which the payment is made.</w:t>
      </w:r>
    </w:p>
    <w:p>
      <w:pPr>
        <w:spacing w:after="0" w:line="6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b w:val="1"/>
          <w:bCs w:val="1"/>
          <w:color w:val="auto"/>
        </w:rPr>
        <w:t>4.6 Records; Audit, Records and Audits</w:t>
      </w:r>
      <w:r>
        <w:rPr>
          <w:rFonts w:ascii="Arial" w:cs="Arial" w:eastAsia="Arial" w:hAnsi="Arial"/>
          <w:sz w:val="16"/>
          <w:szCs w:val="16"/>
          <w:color w:val="auto"/>
        </w:rPr>
        <w:t>. AVROBIO shall keep, and shall require its Affiliates and (sub)licensees to keep (all in accordance with U.S.</w:t>
      </w:r>
      <w:r>
        <w:rPr>
          <w:rFonts w:ascii="Arial" w:cs="Arial" w:eastAsia="Arial" w:hAnsi="Arial"/>
          <w:sz w:val="16"/>
          <w:szCs w:val="16"/>
          <w:b w:val="1"/>
          <w:bCs w:val="1"/>
          <w:color w:val="auto"/>
        </w:rPr>
        <w:t xml:space="preserve"> </w:t>
      </w:r>
      <w:r>
        <w:rPr>
          <w:rFonts w:ascii="Arial" w:cs="Arial" w:eastAsia="Arial" w:hAnsi="Arial"/>
          <w:sz w:val="16"/>
          <w:szCs w:val="16"/>
          <w:color w:val="auto"/>
        </w:rPr>
        <w:t>generally accepted accounting principles, consistently applied), complete and accurate records in sufficient detail to properly reflect Net Sales and to enable any milestones payable hereunder to be determined. Upon the written request of BioMarin and not more than once in each calendar year, AVROBIO and its Affiliates shall permit an independent certified public accounting firm of nationally recognized standing selected by BioMarin and reasonably acceptable to AVROBIO, at BioMarin’s expense, to have access during normal business hours to such records of AVROBIO and/or its Affiliates as may be reasonably necessary to verify the accuracy of the payments hereunder for any calendar year ending not more than [***] prior to the date of such request. These rights with respect to any calendar year shall terminate [***] after the end of any such calendar year. BioMarin shall provide AVROBIO with a copy of the accounting firm’s written report within [***] of completion of such report. If such accounting firm correctly concludes that an underpayment was made, then AVROBIO shall pay the amount due within [***] of the date BioMarin delivers to AVROBIO such accounting firm’s written report so correctly concluding. BioMarin shall bear the full cost of such audit, unless such audit correctly discloses that the additional payment payable by AVROBIO for the audited period is more than [***] percent ([***]%) of the amount otherwise paid for that audited period, in which case AVROBIO shall pay the fees and expenses charged by the accounting firm. AVROBIO shall include in each relevant license granted by it a provision requiring any (sub)licensee to maintain records of sales of Licensed Products made pursuant to such license, and to grant access to such records by AVROBIO’s independent accountant to the same extent and under the same obligations as required of AVROBIO under this Agreement. AVROBIO shall advise BioMarin in advance of each audit of any such (sub)licensee with respect to Licensed Product sales. AVROBIO will provide BioMarin with a summary of the results received from the audit and, if BioMarin so requests, a copy of the audit report, with respect to relevant Licensed Product sales.</w:t>
      </w:r>
    </w:p>
    <w:p>
      <w:pPr>
        <w:spacing w:after="0" w:line="1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10" w:name="page411"/>
    <w:bookmarkEnd w:id="410"/>
    <w:p>
      <w:pPr>
        <w:jc w:val="both"/>
        <w:ind w:right="240" w:firstLine="456"/>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4.7 Confidentiality</w:t>
      </w:r>
      <w:r>
        <w:rPr>
          <w:rFonts w:ascii="Arial" w:cs="Arial" w:eastAsia="Arial" w:hAnsi="Arial"/>
          <w:sz w:val="18"/>
          <w:szCs w:val="18"/>
          <w:color w:val="auto"/>
        </w:rPr>
        <w:t>. Each Party will treat all information subject to review under Section 4.6 in accordance with the provisions of Section 7 and will</w:t>
      </w:r>
      <w:r>
        <w:rPr>
          <w:rFonts w:ascii="Arial" w:cs="Arial" w:eastAsia="Arial" w:hAnsi="Arial"/>
          <w:sz w:val="18"/>
          <w:szCs w:val="18"/>
          <w:b w:val="1"/>
          <w:bCs w:val="1"/>
          <w:color w:val="auto"/>
        </w:rPr>
        <w:t xml:space="preserve"> </w:t>
      </w:r>
      <w:r>
        <w:rPr>
          <w:rFonts w:ascii="Arial" w:cs="Arial" w:eastAsia="Arial" w:hAnsi="Arial"/>
          <w:sz w:val="18"/>
          <w:szCs w:val="18"/>
          <w:color w:val="auto"/>
        </w:rPr>
        <w:t>cause its accounting firm and the independent expert to enter into a reasonably acceptable confidentiality agreement with the audited Party obligating such entity to maintain all such financial information in confidence pursuant to such confidentiality agreement.</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4.8 Payment Terms; Interest.</w:t>
      </w:r>
    </w:p>
    <w:p>
      <w:pPr>
        <w:spacing w:after="0" w:line="121"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4.8.1 Payments under this Agreement shall be made in U.S. Dollars by wire transfer of immediately available funds to an account at a commercial bank designated by BioMarin, such designation in writing to be provided to AVROBIO at least [***] before payment is due. Any payments due under this Agreement shall be due on such date as specified in the Agreement or, in the event that such date is not a business day, the next succeeding business day. Any payments for reimbursement of patent expenses that are based on invoices shall be made within [***] from AVROBIO’s receipt of such invoice.</w:t>
      </w:r>
    </w:p>
    <w:p>
      <w:pPr>
        <w:spacing w:after="0" w:line="80"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4.8.2 If AVROBIO does not make a payment that is owed under the terms of this Agreement by the date when due, then AVROBIO shall be obligated to pay computed simple interest, the interest period commencing from such date and ending on the date that payment of the amount owed is actually made, at an interest rate per annum equal to [***] percent ([***]%), or the highest rate allowed by law, whichever is lower. The interest calculation shall be based on the Actual/360 computation method. Such interest shall be due and payable on the tender of the underlying principal payment.</w:t>
      </w:r>
    </w:p>
    <w:p>
      <w:pPr>
        <w:spacing w:after="0" w:line="42"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color w:val="auto"/>
        </w:rPr>
        <w:t>4.9 Taxes</w:t>
      </w:r>
      <w:r>
        <w:rPr>
          <w:rFonts w:ascii="Arial" w:cs="Arial" w:eastAsia="Arial" w:hAnsi="Arial"/>
          <w:sz w:val="17"/>
          <w:szCs w:val="17"/>
          <w:color w:val="auto"/>
        </w:rPr>
        <w:t>. BioMarin will be responsible for any income or other taxes owed by BioMarin and required by applicable law to be withheld or deducted</w:t>
      </w:r>
      <w:r>
        <w:rPr>
          <w:rFonts w:ascii="Arial" w:cs="Arial" w:eastAsia="Arial" w:hAnsi="Arial"/>
          <w:sz w:val="17"/>
          <w:szCs w:val="17"/>
          <w:b w:val="1"/>
          <w:bCs w:val="1"/>
          <w:color w:val="auto"/>
        </w:rPr>
        <w:t xml:space="preserve"> </w:t>
      </w:r>
      <w:r>
        <w:rPr>
          <w:rFonts w:ascii="Arial" w:cs="Arial" w:eastAsia="Arial" w:hAnsi="Arial"/>
          <w:sz w:val="17"/>
          <w:szCs w:val="17"/>
          <w:color w:val="auto"/>
        </w:rPr>
        <w:t>from any of the royalty and other payments made by or on behalf of AVROBIO to BioMarin hereunder (“</w:t>
      </w:r>
      <w:r>
        <w:rPr>
          <w:rFonts w:ascii="Arial" w:cs="Arial" w:eastAsia="Arial" w:hAnsi="Arial"/>
          <w:sz w:val="17"/>
          <w:szCs w:val="17"/>
          <w:b w:val="1"/>
          <w:bCs w:val="1"/>
          <w:color w:val="auto"/>
        </w:rPr>
        <w:t>Withholding Taxes</w:t>
      </w:r>
      <w:r>
        <w:rPr>
          <w:rFonts w:ascii="Arial" w:cs="Arial" w:eastAsia="Arial" w:hAnsi="Arial"/>
          <w:sz w:val="17"/>
          <w:szCs w:val="17"/>
          <w:color w:val="auto"/>
        </w:rPr>
        <w:t>”), and AVROBIO may deduct from any amounts that AVROBIO is required to pay hereunder to BioMarin an amount equal to any such Withholding Taxes required by AVROBIO to be withheld and paid to the proper tax authority. BioMarin will provide AVROBIO any information available to BioMarin that is necessary to determine the Withholding Taxes. Such Withholding Taxes will be paid to the proper taxing authority for BioMarin’s account and evidence of such payment will be secured and sent to BioMarin within [***] of such payment. The Parties will use reasonable efforts to do such lawful acts and sign such lawful deeds and documents as either Party may reasonably request from the other Party to enable BioMarin and AVROBIO or its Affiliates or sublicensees to take advantage of any applicable legal provision or any double taxation treaties with the object of paying the sums due to BioMarin hereunder without, or to minimize the amount of, such withholding or deduction of any Withholding Taxes.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11" w:name="page412"/>
    <w:bookmarkEnd w:id="411"/>
    <w:p>
      <w:pPr>
        <w:ind w:left="460" w:hanging="452"/>
        <w:spacing w:after="0"/>
        <w:tabs>
          <w:tab w:leader="none" w:pos="4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w:t>
      </w:r>
      <w:r>
        <w:rPr>
          <w:rFonts w:ascii="Arial" w:cs="Arial" w:eastAsia="Arial" w:hAnsi="Arial"/>
          <w:sz w:val="15"/>
          <w:szCs w:val="15"/>
          <w:b w:val="1"/>
          <w:bCs w:val="1"/>
          <w:color w:val="auto"/>
        </w:rPr>
        <w:t>NTELLECTUAL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ROPERTY</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5.1 Prosecution of Licensed Patent Rights.</w:t>
      </w:r>
    </w:p>
    <w:p>
      <w:pPr>
        <w:spacing w:after="0" w:line="121" w:lineRule="exact"/>
        <w:rPr>
          <w:sz w:val="20"/>
          <w:szCs w:val="20"/>
          <w:color w:val="auto"/>
        </w:rPr>
      </w:pPr>
    </w:p>
    <w:p>
      <w:pPr>
        <w:ind w:right="60" w:firstLine="913"/>
        <w:spacing w:after="0" w:line="286" w:lineRule="auto"/>
        <w:rPr>
          <w:sz w:val="20"/>
          <w:szCs w:val="20"/>
          <w:color w:val="auto"/>
        </w:rPr>
      </w:pPr>
      <w:r>
        <w:rPr>
          <w:rFonts w:ascii="Arial" w:cs="Arial" w:eastAsia="Arial" w:hAnsi="Arial"/>
          <w:sz w:val="16"/>
          <w:szCs w:val="16"/>
          <w:color w:val="auto"/>
        </w:rPr>
        <w:t>5.1.1 In accordance with this Section 5.1.1, unless the Parties otherwise agree in writing for a given Licensed Patent Right, BioMarin will have lead responsibility for the preparation, filing, prosecution, defense and maintenance (“</w:t>
      </w:r>
      <w:r>
        <w:rPr>
          <w:rFonts w:ascii="Arial" w:cs="Arial" w:eastAsia="Arial" w:hAnsi="Arial"/>
          <w:sz w:val="16"/>
          <w:szCs w:val="16"/>
          <w:b w:val="1"/>
          <w:bCs w:val="1"/>
          <w:color w:val="auto"/>
        </w:rPr>
        <w:t>Prosecution”</w:t>
      </w:r>
      <w:r>
        <w:rPr>
          <w:rFonts w:ascii="Arial" w:cs="Arial" w:eastAsia="Arial" w:hAnsi="Arial"/>
          <w:sz w:val="16"/>
          <w:szCs w:val="16"/>
          <w:color w:val="auto"/>
        </w:rPr>
        <w:t>) in the Territory of the Licensed Patent Rights. BioMarin shall be responsible for all costs and expenses with respect to such activities, except to the extent that any such activities are undertaken after the Effective Date at the express request of AVROBIO and in cooperation with AVROBIO as further provided in Section 5.1.2 below. BioMarin will perform such activities either itself or through patent counsel of its choice. BioMarin will provide AVROBIO with copies of all official correspondence received from patent offices with respect to any claims of Licensed Patent Rights submitted pursuant to Section 5.1.2, and with any proposed substantive responses thereto sufficiently in advance for AVROBIO to provide comments and suggestions on such proposed responses, which comments and suggestions shall be considered by BioMarin in good faith. At AVROBIO’s request, BioMarin will provide AVROBIO with an update of the filing, prosecution and maintenance status for each Licensed Patent Right; provided that BioMarin shall not be obligated to provide such updates more than [***] times per year. In the event that BioMarin elects not to pursue or continue the Prosecution of any Licensed Patent Right in any country, BioMarin shall provide AVROBIO with notice of this decision at least [***] prior to any pending lapse or abandonment thereof and provide AVROBIO with an opportunity to assume responsibility for such Prosecution, at AVROBIO’s sole expense. In the event that AVROBIO elects in writing to assume responsibility for such Prosecution, AVROBIO shall have the right, at AVROBIO’s sole expense, to transfer the responsibility for such Prosecution of such patent applications and patents to patent counsel selected by it, and BioMarin shall cooperate with AVROBIO as reasonably requested to facilitate transfer of the control of such Prosecution to AVROBIO. For clarity, all filings with respect to Licensed Patent Rights shall at all times continue to be pursued in the name of BioMarin or its designee.</w:t>
      </w:r>
    </w:p>
    <w:p>
      <w:pPr>
        <w:spacing w:after="0" w:line="6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5.1.2 Promptly following the Effective Date, [***].</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5.2 Enforcement.</w:t>
      </w:r>
    </w:p>
    <w:p>
      <w:pPr>
        <w:spacing w:after="0" w:line="11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 xml:space="preserve">5.2.1 </w:t>
      </w:r>
      <w:r>
        <w:rPr>
          <w:rFonts w:ascii="Arial" w:cs="Arial" w:eastAsia="Arial" w:hAnsi="Arial"/>
          <w:sz w:val="17"/>
          <w:szCs w:val="17"/>
          <w:b w:val="1"/>
          <w:bCs w:val="1"/>
          <w:color w:val="auto"/>
        </w:rPr>
        <w:t>Initiation</w:t>
      </w:r>
      <w:r>
        <w:rPr>
          <w:rFonts w:ascii="Arial" w:cs="Arial" w:eastAsia="Arial" w:hAnsi="Arial"/>
          <w:sz w:val="17"/>
          <w:szCs w:val="17"/>
          <w:color w:val="auto"/>
        </w:rPr>
        <w:t>. If either Party learns of any infringement or threatened infringement by a Third Party of any Licensed Patent Right in the Field, such Party shall promptly notify the other Party and shall provide such other Party with available evidence of such infringement. AVROBIO shall have the first right, but not the obligation, at its sole expense, to bring suit or other appropriate legal action against any actual or suspected infringement, in the Field, of any Licensed Patent Rights impacting the Development or Commercialization of Licensed Products in the Field, in the Territory. BioMarin shall have the right to participate and be represented in any such suit by its own counsel at its own expense. No settlement of any such action or defense which restricts the scope, or adversely affects the enforceability, of any such Licensed Patent Right may be entered into by AVROBIO without the prior written consent of BioMarin. If AVROBIO does not take such action within [***] after written notice from BioMarin of such infringement, then on written request by BioMarin, and with AVROBIO’s prior written consent (not to be unreasonably withheld) BioMarin shall have the right but not the obligation, at its own expense, to bring suit or other appropriate legal action against such infringement. BioMarin shall have the sole right but not the obligation, at its own expense, to bring suit or other appropriate legal action against infringement of the Licensed Patents outside the Field. Notwithstanding the foregoing, with respect to the Licensed Patent Rights listed in Part 2 of Schedule A, Section 5.2.2 shall apply.</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12" w:name="page413"/>
    <w:bookmarkEnd w:id="412"/>
    <w:p>
      <w:pPr>
        <w:ind w:right="120" w:firstLine="913"/>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5.2.2 </w:t>
      </w:r>
      <w:r>
        <w:rPr>
          <w:rFonts w:ascii="Arial" w:cs="Arial" w:eastAsia="Arial" w:hAnsi="Arial"/>
          <w:sz w:val="16"/>
          <w:szCs w:val="16"/>
          <w:b w:val="1"/>
          <w:bCs w:val="1"/>
          <w:color w:val="auto"/>
        </w:rPr>
        <w:t>Part 2 Patents.</w:t>
      </w:r>
      <w:r>
        <w:rPr>
          <w:rFonts w:ascii="Arial" w:cs="Arial" w:eastAsia="Arial" w:hAnsi="Arial"/>
          <w:sz w:val="16"/>
          <w:szCs w:val="16"/>
          <w:color w:val="auto"/>
        </w:rPr>
        <w:t xml:space="preserve"> BioMarin shall have the first right, but not the obligation, at its sole expense, to bring suit or other appropriate legal action against any actual or suspected infringement, in the Field, of any Licensed Patent Rights included in Part 2 of Schedule A impacting the Development or Commercialization of Licensed Products in the Field, in the Territory. AVROBIO shall have the right to participate and be represented in any such suit by its own counsel at its own expense. No settlement of any such action or defense which could reasonably be expected to have a material adverse effect on AVROBIO’s exclusive rights under this Agreement regarding the Development or Commercialization of Licensed Products in the Field in the Territory may be entered into by BioMarin without the prior written consent of AVROBIO, which consent shall not be unreasonably withheld, conditioned or delayed. If BioMarin does not take such action within [***] after written notice from AVROBIO of such infringement, then on written request by AVROBIO, and with BioMarin’s prior written consent (not to be unreasonably withheld) AVROBIO shall have the right but not the obligation, at its own expense, to bring suit or other appropriate legal action against such infringement; provided that BioMarin will have the right to participate in and control any such litigation with respect to invalidity defenses and counterclaims at AVROBIO’s expense, and to otherwise participate and be represented in any such suit, using its own counsel at BioMarin’s expense, provided that BioMarin shall use all reasonable efforts to control the expenses to be borne by AVROBIO.</w:t>
      </w:r>
    </w:p>
    <w:p>
      <w:pPr>
        <w:spacing w:after="0" w:line="164" w:lineRule="exact"/>
        <w:rPr>
          <w:sz w:val="20"/>
          <w:szCs w:val="20"/>
          <w:color w:val="auto"/>
        </w:rPr>
      </w:pPr>
    </w:p>
    <w:p>
      <w:pPr>
        <w:ind w:right="20" w:firstLine="913"/>
        <w:spacing w:after="0" w:line="292" w:lineRule="auto"/>
        <w:rPr>
          <w:sz w:val="20"/>
          <w:szCs w:val="20"/>
          <w:color w:val="auto"/>
        </w:rPr>
      </w:pPr>
      <w:r>
        <w:rPr>
          <w:rFonts w:ascii="Arial" w:cs="Arial" w:eastAsia="Arial" w:hAnsi="Arial"/>
          <w:sz w:val="16"/>
          <w:szCs w:val="16"/>
          <w:color w:val="auto"/>
        </w:rPr>
        <w:t xml:space="preserve">5.2.3 </w:t>
      </w:r>
      <w:r>
        <w:rPr>
          <w:rFonts w:ascii="Arial" w:cs="Arial" w:eastAsia="Arial" w:hAnsi="Arial"/>
          <w:sz w:val="16"/>
          <w:szCs w:val="16"/>
          <w:b w:val="1"/>
          <w:bCs w:val="1"/>
          <w:color w:val="auto"/>
        </w:rPr>
        <w:t>Cooperation</w:t>
      </w:r>
      <w:r>
        <w:rPr>
          <w:rFonts w:ascii="Arial" w:cs="Arial" w:eastAsia="Arial" w:hAnsi="Arial"/>
          <w:sz w:val="16"/>
          <w:szCs w:val="16"/>
          <w:color w:val="auto"/>
        </w:rPr>
        <w:t>. Each Party shall, at the other Party’s expense, execute all papers and perform such other acts as may be reasonably required to bring and/or maintain any infringement suit brought by the other Party in accordance with Section 5.2.1 or Section 5.2.2 above (including joining as a party to such actions or proceedings if required by applicable law). In the event BioMarin is joined as a party to an action initiated by AVROBIO pursuant to Section 5.2, AVROBIO shall indemnify and secure BioMarin as to any costs (including internal costs), damages and expenses to the extent incurred as a direct result of BioMarin’s joinder. In addition, the Parties shall cooperate with each other in obtaining patent term restoration or supplemental protection certificates or their equivalents in any country where applicable to Licensed Products. In the event that elections with respect to obtaining such patent term restoration, supplemental protection certificates or their equivalents are to be made, the Parties shall agree upon such elections.</w:t>
      </w:r>
    </w:p>
    <w:p>
      <w:pPr>
        <w:spacing w:after="0" w:line="162" w:lineRule="exact"/>
        <w:rPr>
          <w:sz w:val="20"/>
          <w:szCs w:val="20"/>
          <w:color w:val="auto"/>
        </w:rPr>
      </w:pPr>
    </w:p>
    <w:p>
      <w:pPr>
        <w:ind w:right="80" w:firstLine="913"/>
        <w:spacing w:after="0" w:line="266" w:lineRule="auto"/>
        <w:rPr>
          <w:sz w:val="20"/>
          <w:szCs w:val="20"/>
          <w:color w:val="auto"/>
        </w:rPr>
      </w:pPr>
      <w:r>
        <w:rPr>
          <w:rFonts w:ascii="Arial" w:cs="Arial" w:eastAsia="Arial" w:hAnsi="Arial"/>
          <w:sz w:val="18"/>
          <w:szCs w:val="18"/>
          <w:color w:val="auto"/>
        </w:rPr>
        <w:t xml:space="preserve">5.2.4 </w:t>
      </w:r>
      <w:r>
        <w:rPr>
          <w:rFonts w:ascii="Arial" w:cs="Arial" w:eastAsia="Arial" w:hAnsi="Arial"/>
          <w:sz w:val="18"/>
          <w:szCs w:val="18"/>
          <w:b w:val="1"/>
          <w:bCs w:val="1"/>
          <w:color w:val="auto"/>
        </w:rPr>
        <w:t>Recovery</w:t>
      </w:r>
      <w:r>
        <w:rPr>
          <w:rFonts w:ascii="Arial" w:cs="Arial" w:eastAsia="Arial" w:hAnsi="Arial"/>
          <w:sz w:val="18"/>
          <w:szCs w:val="18"/>
          <w:color w:val="auto"/>
        </w:rPr>
        <w:t>. Any amount recovered, whether by judgment or settlement, shall first be applied to reimburse the costs and expenses (including attorneys’ fees) of the Party bringing suit, then to the costs and expenses (including attorneys’ fees), if any, of the other Party. Any net amounts of recovery(remaining after payment of costs and expenses as above shall be allocated [***].</w:t>
      </w:r>
    </w:p>
    <w:p>
      <w:pPr>
        <w:spacing w:after="0" w:line="17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color w:val="auto"/>
        </w:rPr>
        <w:t>5.3 Defense of Infringement Claims</w:t>
      </w:r>
      <w:r>
        <w:rPr>
          <w:rFonts w:ascii="Arial" w:cs="Arial" w:eastAsia="Arial" w:hAnsi="Arial"/>
          <w:sz w:val="18"/>
          <w:szCs w:val="18"/>
          <w:color w:val="auto"/>
        </w:rPr>
        <w:t>. If the manufacture, sale or use of a Licensed Product pursuant to this Agreement results in, or may result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claim, suit, or proceeding by a Third Party alleging patent infringement by AVROBIO (or its Affiliates or sublicensees) in the Field in the Territory, AVROBIO will promptly notify BioMarin thereof in writing, and AVROBIO shall indemnify BioMarin with respect to any such claims as required in Section 9. AVROBIO or its Affiliate or sublicensee will have the exclusive right to defend and control the defense of any such claim, suit, action or proceeding at its own expense, using counsel of its own choice, and may settle any such claim, suit, action or proceeding at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that if any such settlement would admit or concede that any material aspect of the Licensed</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13" w:name="page414"/>
    <w:bookmarkEnd w:id="413"/>
    <w:p>
      <w:pPr>
        <w:jc w:val="both"/>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Patent Rights are invalid or unenforceable, or would shorten the life of any of the Licensed Patent Rights or narrow their scope, or require BioMarin to pay any amounts, the aspects of such settlement directly involving such admission or concession or payment shall require the prior written consent of BioMarin. AVROBIO will keep BioMarin reasonably informed of all material developments in connection with any such claim, suit, or proceeding.</w:t>
      </w:r>
    </w:p>
    <w:p>
      <w:pPr>
        <w:spacing w:after="0" w:line="53" w:lineRule="exact"/>
        <w:rPr>
          <w:sz w:val="20"/>
          <w:szCs w:val="20"/>
          <w:color w:val="auto"/>
        </w:rPr>
      </w:pPr>
    </w:p>
    <w:p>
      <w:pPr>
        <w:ind w:right="340" w:firstLine="456"/>
        <w:spacing w:after="0" w:line="289" w:lineRule="auto"/>
        <w:rPr>
          <w:sz w:val="20"/>
          <w:szCs w:val="20"/>
          <w:color w:val="auto"/>
        </w:rPr>
      </w:pPr>
      <w:r>
        <w:rPr>
          <w:rFonts w:ascii="Arial" w:cs="Arial" w:eastAsia="Arial" w:hAnsi="Arial"/>
          <w:sz w:val="17"/>
          <w:szCs w:val="17"/>
          <w:b w:val="1"/>
          <w:bCs w:val="1"/>
          <w:color w:val="auto"/>
        </w:rPr>
        <w:t>5.4 Patent Marking</w:t>
      </w:r>
      <w:r>
        <w:rPr>
          <w:rFonts w:ascii="Arial" w:cs="Arial" w:eastAsia="Arial" w:hAnsi="Arial"/>
          <w:sz w:val="17"/>
          <w:szCs w:val="17"/>
          <w:color w:val="auto"/>
        </w:rPr>
        <w:t>. AVROBIO shall, and shall require its Affiliates and sublicensees to, mark Licensed Products sold by it hereunder with</w:t>
      </w:r>
      <w:r>
        <w:rPr>
          <w:rFonts w:ascii="Arial" w:cs="Arial" w:eastAsia="Arial" w:hAnsi="Arial"/>
          <w:sz w:val="17"/>
          <w:szCs w:val="17"/>
          <w:b w:val="1"/>
          <w:bCs w:val="1"/>
          <w:color w:val="auto"/>
        </w:rPr>
        <w:t xml:space="preserve"> </w:t>
      </w:r>
      <w:r>
        <w:rPr>
          <w:rFonts w:ascii="Arial" w:cs="Arial" w:eastAsia="Arial" w:hAnsi="Arial"/>
          <w:sz w:val="17"/>
          <w:szCs w:val="17"/>
          <w:color w:val="auto"/>
        </w:rPr>
        <w:t>appropriate patent numbers or indicia to the extent permitted by applicable law and regulations, in those countries in which such markings or such notices impact recoveries of damages or equitable remedies available with respect to infringements of Patent Rights.</w:t>
      </w:r>
    </w:p>
    <w:p>
      <w:pPr>
        <w:spacing w:after="0" w:line="307" w:lineRule="exact"/>
        <w:rPr>
          <w:sz w:val="20"/>
          <w:szCs w:val="20"/>
          <w:color w:val="auto"/>
        </w:rPr>
      </w:pPr>
    </w:p>
    <w:p>
      <w:pPr>
        <w:ind w:left="460" w:hanging="452"/>
        <w:spacing w:after="0"/>
        <w:tabs>
          <w:tab w:leader="none" w:pos="460"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EPRESENTATION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w:t>
      </w:r>
      <w:r>
        <w:rPr>
          <w:rFonts w:ascii="Arial" w:cs="Arial" w:eastAsia="Arial" w:hAnsi="Arial"/>
          <w:sz w:val="18"/>
          <w:szCs w:val="18"/>
          <w:b w:val="1"/>
          <w:bCs w:val="1"/>
          <w:color w:val="auto"/>
        </w:rPr>
        <w:t>; C</w:t>
      </w:r>
      <w:r>
        <w:rPr>
          <w:rFonts w:ascii="Arial" w:cs="Arial" w:eastAsia="Arial" w:hAnsi="Arial"/>
          <w:sz w:val="15"/>
          <w:szCs w:val="15"/>
          <w:b w:val="1"/>
          <w:bCs w:val="1"/>
          <w:color w:val="auto"/>
        </w:rPr>
        <w:t>OVENANTS</w:t>
      </w:r>
    </w:p>
    <w:p>
      <w:pPr>
        <w:spacing w:after="0" w:line="11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color w:val="auto"/>
        </w:rPr>
        <w:t xml:space="preserve">6.1 BioMarin Warranties. </w:t>
      </w:r>
      <w:r>
        <w:rPr>
          <w:rFonts w:ascii="Arial" w:cs="Arial" w:eastAsia="Arial" w:hAnsi="Arial"/>
          <w:sz w:val="18"/>
          <w:szCs w:val="18"/>
          <w:color w:val="auto"/>
        </w:rPr>
        <w:t>BioMarin hereby warrants and represents to AVROBIO, as of the Effective Date, that: (i) BioMarin owns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the Licensed Technology and has the right to grant the licenses under the Licensed Technology as set forth in this Agreement; (ii) BioMarin has not entered into any agreement, arrangement or understanding regarding the use of the Licensed Technology in the Field in the Territory that would prevent BioMarin from granting the license to AVROBIO as set forth in Section 2.1 of this Agreement; (iii) during the Term of this Agreement, BioMarin shall not grant a license under the Licensed Technology to any Third Party in the Field in the Territory; (iv) none of the Licensed Technology has been misappropriated from any Third Party; and [***].</w:t>
      </w:r>
    </w:p>
    <w:p>
      <w:pPr>
        <w:spacing w:after="0" w:line="80" w:lineRule="exact"/>
        <w:rPr>
          <w:sz w:val="20"/>
          <w:szCs w:val="20"/>
          <w:color w:val="auto"/>
        </w:rPr>
      </w:pPr>
    </w:p>
    <w:p>
      <w:pPr>
        <w:ind w:right="100" w:firstLine="456"/>
        <w:spacing w:after="0" w:line="261" w:lineRule="auto"/>
        <w:rPr>
          <w:sz w:val="20"/>
          <w:szCs w:val="20"/>
          <w:color w:val="auto"/>
        </w:rPr>
      </w:pPr>
      <w:r>
        <w:rPr>
          <w:rFonts w:ascii="Arial" w:cs="Arial" w:eastAsia="Arial" w:hAnsi="Arial"/>
          <w:sz w:val="18"/>
          <w:szCs w:val="18"/>
          <w:b w:val="1"/>
          <w:bCs w:val="1"/>
          <w:color w:val="auto"/>
        </w:rPr>
        <w:t>6.2 Reciprocal Representations and Warranties</w:t>
      </w:r>
      <w:r>
        <w:rPr>
          <w:rFonts w:ascii="Arial" w:cs="Arial" w:eastAsia="Arial" w:hAnsi="Arial"/>
          <w:sz w:val="18"/>
          <w:szCs w:val="18"/>
          <w:color w:val="auto"/>
        </w:rPr>
        <w:t>. Each Party represents and warrants to the other Party that: (i) this Agreement is a legal and valid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binding upon its execution and enforceable against it in accordance with its terms and conditions; and (ii) the execution, delivery and performance of this Agreement by such Party has been duly authorized by all necessary corporate action, and (iii) the person executing this Agreement on behalf of such Party has been duly authorized to do so by all requisite corporate actions.</w:t>
      </w:r>
    </w:p>
    <w:p>
      <w:pPr>
        <w:spacing w:after="0" w:line="7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color w:val="auto"/>
        </w:rPr>
        <w:t>6.3 DISCLAIMER OF WARRANTY</w:t>
      </w:r>
      <w:r>
        <w:rPr>
          <w:rFonts w:ascii="Arial" w:cs="Arial" w:eastAsia="Arial" w:hAnsi="Arial"/>
          <w:sz w:val="18"/>
          <w:szCs w:val="18"/>
          <w:color w:val="auto"/>
        </w:rPr>
        <w:t>. EXCEPT FOR THE EXPRESS WARRANTIES SET FORTH HEREIN, NEITHER PARTY MAKES ANY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REPRESENTATIONS NOR GRANTS ANY OTHER WARRANTIES, EXPRESS OR IMPLIED, EITHER IN FACT OR BY OPERATION OF LAW, BY STATUTE OR OTHERWISE, AND BIOMARIN AND AVROBIO EACH SPECIFICALLY DISCLAIMS ANY OTHER WARRANTIES, WHETHER WRITTEN OR ORAL, OR EXPRESS OR IMPLIED, INCLUDING ANY WARRANTY OF QUALITY OR MERCHANTABILITY, OR ANY WARRANTY AS TO THE VALIDITY OR ENFORCEABILITY OF ANY PATENTS OR THE NONINFRINGEMENT OF ANY INTELLECTUAL PROPERTY RIGHTS OF THIRD PARTIES.</w:t>
      </w:r>
    </w:p>
    <w:p>
      <w:pPr>
        <w:spacing w:after="0" w:line="336" w:lineRule="exact"/>
        <w:rPr>
          <w:sz w:val="20"/>
          <w:szCs w:val="20"/>
          <w:color w:val="auto"/>
        </w:rPr>
      </w:pPr>
    </w:p>
    <w:p>
      <w:pPr>
        <w:ind w:left="460" w:hanging="452"/>
        <w:spacing w:after="0"/>
        <w:tabs>
          <w:tab w:leader="none" w:pos="460"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17" w:lineRule="exact"/>
        <w:rPr>
          <w:sz w:val="20"/>
          <w:szCs w:val="20"/>
          <w:color w:val="auto"/>
        </w:rPr>
      </w:pPr>
    </w:p>
    <w:p>
      <w:pPr>
        <w:ind w:right="480" w:firstLine="456"/>
        <w:spacing w:after="0" w:line="313" w:lineRule="auto"/>
        <w:rPr>
          <w:sz w:val="20"/>
          <w:szCs w:val="20"/>
          <w:color w:val="auto"/>
        </w:rPr>
      </w:pPr>
      <w:r>
        <w:rPr>
          <w:rFonts w:ascii="Arial" w:cs="Arial" w:eastAsia="Arial" w:hAnsi="Arial"/>
          <w:sz w:val="17"/>
          <w:szCs w:val="17"/>
          <w:b w:val="1"/>
          <w:bCs w:val="1"/>
          <w:color w:val="auto"/>
        </w:rPr>
        <w:t>7.1 Definition</w:t>
      </w:r>
      <w:r>
        <w:rPr>
          <w:rFonts w:ascii="Arial" w:cs="Arial" w:eastAsia="Arial" w:hAnsi="Arial"/>
          <w:sz w:val="17"/>
          <w:szCs w:val="17"/>
          <w:color w:val="auto"/>
        </w:rPr>
        <w:t>. During the Term, a Party (the “</w:t>
      </w:r>
      <w:r>
        <w:rPr>
          <w:rFonts w:ascii="Arial" w:cs="Arial" w:eastAsia="Arial" w:hAnsi="Arial"/>
          <w:sz w:val="17"/>
          <w:szCs w:val="17"/>
          <w:b w:val="1"/>
          <w:bCs w:val="1"/>
          <w:color w:val="auto"/>
        </w:rPr>
        <w:t>Disclosing Party</w:t>
      </w:r>
      <w:r>
        <w:rPr>
          <w:rFonts w:ascii="Arial" w:cs="Arial" w:eastAsia="Arial" w:hAnsi="Arial"/>
          <w:sz w:val="17"/>
          <w:szCs w:val="17"/>
          <w:color w:val="auto"/>
        </w:rPr>
        <w:t>”, with respect to information disclosed by such Party) may disclose or otherwise</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communicate to the other Party (the “</w:t>
      </w:r>
      <w:r>
        <w:rPr>
          <w:rFonts w:ascii="Arial" w:cs="Arial" w:eastAsia="Arial" w:hAnsi="Arial"/>
          <w:sz w:val="17"/>
          <w:szCs w:val="17"/>
          <w:b w:val="1"/>
          <w:bCs w:val="1"/>
          <w:color w:val="auto"/>
        </w:rPr>
        <w:t>Receiving Party</w:t>
      </w:r>
      <w:r>
        <w:rPr>
          <w:rFonts w:ascii="Arial" w:cs="Arial" w:eastAsia="Arial" w:hAnsi="Arial"/>
          <w:sz w:val="17"/>
          <w:szCs w:val="17"/>
          <w:color w:val="auto"/>
        </w:rPr>
        <w:t>”, with respect to information disclosed to such Party by the other Party)</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3" w:right="239" w:bottom="1440" w:gutter="0" w:footer="0" w:header="0"/>
        </w:sectPr>
      </w:pPr>
    </w:p>
    <w:bookmarkStart w:id="414" w:name="page415"/>
    <w:bookmarkEnd w:id="414"/>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information in connection with this Agreement or the performance of its obligations hereunder (the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of the disclosing Party), which may include scientific and manufacturing information and plans, marketing and business plans, and financial and personnel matters relating to a Party or its present or future products, sales, suppliers, customers, employees, investors or business. Without limiting the foregoing,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of a Party is hereby deemed to include any information disclosed by such Party to the other Party pursuant to that certain confidentiality agreement between the Parties dated as of March 1, 2017 (the “</w:t>
      </w:r>
      <w:r>
        <w:rPr>
          <w:rFonts w:ascii="Arial" w:cs="Arial" w:eastAsia="Arial" w:hAnsi="Arial"/>
          <w:sz w:val="18"/>
          <w:szCs w:val="18"/>
          <w:b w:val="1"/>
          <w:bCs w:val="1"/>
          <w:color w:val="auto"/>
        </w:rPr>
        <w:t>Prior CDA</w:t>
      </w:r>
      <w:r>
        <w:rPr>
          <w:rFonts w:ascii="Arial" w:cs="Arial" w:eastAsia="Arial" w:hAnsi="Arial"/>
          <w:sz w:val="18"/>
          <w:szCs w:val="18"/>
          <w:color w:val="auto"/>
        </w:rPr>
        <w:t>”). For clarity, the Licensed Technology is the Confidential Information of BioMarin, subject to the exceptions set forth in Section 7.2.</w:t>
      </w:r>
    </w:p>
    <w:p>
      <w:pPr>
        <w:spacing w:after="0" w:line="80" w:lineRule="exact"/>
        <w:rPr>
          <w:sz w:val="20"/>
          <w:szCs w:val="20"/>
          <w:color w:val="auto"/>
        </w:rPr>
      </w:pPr>
    </w:p>
    <w:p>
      <w:pPr>
        <w:ind w:right="140" w:firstLine="456"/>
        <w:spacing w:after="0" w:line="282" w:lineRule="auto"/>
        <w:rPr>
          <w:sz w:val="20"/>
          <w:szCs w:val="20"/>
          <w:color w:val="auto"/>
        </w:rPr>
      </w:pPr>
      <w:r>
        <w:rPr>
          <w:rFonts w:ascii="Arial" w:cs="Arial" w:eastAsia="Arial" w:hAnsi="Arial"/>
          <w:sz w:val="18"/>
          <w:szCs w:val="18"/>
          <w:b w:val="1"/>
          <w:bCs w:val="1"/>
          <w:color w:val="auto"/>
        </w:rPr>
        <w:t>7.2 Exclusions</w:t>
      </w:r>
      <w:r>
        <w:rPr>
          <w:rFonts w:ascii="Arial" w:cs="Arial" w:eastAsia="Arial" w:hAnsi="Arial"/>
          <w:sz w:val="18"/>
          <w:szCs w:val="18"/>
          <w:color w:val="auto"/>
        </w:rPr>
        <w:t>. Notwithstanding the foregoing, information disclosed by a Disclosing Party will not be deemed Confidential Information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Receiving Party for purposes of this Agreement if such information:</w:t>
      </w:r>
    </w:p>
    <w:p>
      <w:pPr>
        <w:spacing w:after="0" w:line="58" w:lineRule="exact"/>
        <w:rPr>
          <w:sz w:val="20"/>
          <w:szCs w:val="20"/>
          <w:color w:val="auto"/>
        </w:rPr>
      </w:pPr>
    </w:p>
    <w:p>
      <w:pPr>
        <w:ind w:left="460" w:right="900" w:firstLine="443"/>
        <w:spacing w:after="0" w:line="277" w:lineRule="auto"/>
        <w:tabs>
          <w:tab w:leader="none" w:pos="114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was already known to the Receiving Party or its Affiliates, as evidenced by their written records, other than under an obligation of confidentiality or non-use, at the time of disclosure to the Receiving Party;</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was generally available or was otherwise part of the public domain at the time of its disclosure to the Receiving Party;</w:t>
      </w:r>
    </w:p>
    <w:p>
      <w:pPr>
        <w:spacing w:after="0" w:line="117" w:lineRule="exact"/>
        <w:rPr>
          <w:rFonts w:ascii="Arial" w:cs="Arial" w:eastAsia="Arial" w:hAnsi="Arial"/>
          <w:sz w:val="18"/>
          <w:szCs w:val="18"/>
          <w:color w:val="auto"/>
        </w:rPr>
      </w:pPr>
    </w:p>
    <w:p>
      <w:pPr>
        <w:ind w:left="460" w:right="280" w:firstLine="443"/>
        <w:spacing w:after="0" w:line="277" w:lineRule="auto"/>
        <w:tabs>
          <w:tab w:leader="none" w:pos="114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became generally available or otherwise became part of the public domain after its disclosure to the Receiving Party, through no fault of or breach of its obligations under this Section 9 or the Prior CDA (as defined above) by the Receiving Party;</w:t>
      </w:r>
    </w:p>
    <w:p>
      <w:pPr>
        <w:spacing w:after="0" w:line="62" w:lineRule="exact"/>
        <w:rPr>
          <w:rFonts w:ascii="Arial" w:cs="Arial" w:eastAsia="Arial" w:hAnsi="Arial"/>
          <w:sz w:val="18"/>
          <w:szCs w:val="18"/>
          <w:color w:val="auto"/>
        </w:rPr>
      </w:pPr>
    </w:p>
    <w:p>
      <w:pPr>
        <w:ind w:left="460" w:right="160" w:firstLine="443"/>
        <w:spacing w:after="0" w:line="277" w:lineRule="auto"/>
        <w:tabs>
          <w:tab w:leader="none" w:pos="115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was disclosed to the Receiving Party, other than under an obligation of confidentiality or non-use, by a Third Party who had no obligation to the Party that controls such information not to disclose such information to others and has the lawful right to disclose it; or</w:t>
      </w:r>
    </w:p>
    <w:p>
      <w:pPr>
        <w:spacing w:after="0" w:line="62" w:lineRule="exact"/>
        <w:rPr>
          <w:rFonts w:ascii="Arial" w:cs="Arial" w:eastAsia="Arial" w:hAnsi="Arial"/>
          <w:sz w:val="18"/>
          <w:szCs w:val="18"/>
          <w:color w:val="auto"/>
        </w:rPr>
      </w:pPr>
    </w:p>
    <w:p>
      <w:pPr>
        <w:ind w:left="460" w:right="620" w:firstLine="443"/>
        <w:spacing w:after="0" w:line="277" w:lineRule="auto"/>
        <w:tabs>
          <w:tab w:leader="none" w:pos="114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was independently discovered or developed by the Receiving Party or its Affiliate, as evidenced by written records, without the use of Confidential Information belonging to the Disclosing Party.</w:t>
      </w:r>
    </w:p>
    <w:p>
      <w:pPr>
        <w:spacing w:after="0" w:line="58" w:lineRule="exact"/>
        <w:rPr>
          <w:sz w:val="20"/>
          <w:szCs w:val="20"/>
          <w:color w:val="auto"/>
        </w:rPr>
      </w:pPr>
    </w:p>
    <w:p>
      <w:pPr>
        <w:ind w:right="220" w:firstLine="456"/>
        <w:spacing w:after="0" w:line="261" w:lineRule="auto"/>
        <w:rPr>
          <w:sz w:val="20"/>
          <w:szCs w:val="20"/>
          <w:color w:val="auto"/>
        </w:rPr>
      </w:pPr>
      <w:r>
        <w:rPr>
          <w:rFonts w:ascii="Arial" w:cs="Arial" w:eastAsia="Arial" w:hAnsi="Arial"/>
          <w:sz w:val="18"/>
          <w:szCs w:val="18"/>
          <w:b w:val="1"/>
          <w:bCs w:val="1"/>
          <w:color w:val="auto"/>
        </w:rPr>
        <w:t>7.3 Disclosure and Use Restriction</w:t>
      </w:r>
      <w:r>
        <w:rPr>
          <w:rFonts w:ascii="Arial" w:cs="Arial" w:eastAsia="Arial" w:hAnsi="Arial"/>
          <w:sz w:val="18"/>
          <w:szCs w:val="18"/>
          <w:color w:val="auto"/>
        </w:rPr>
        <w:t>. Except as expressly otherwise provided herein, each Party agrees that, during the Term and for [***] thereafter,</w:t>
      </w:r>
      <w:r>
        <w:rPr>
          <w:rFonts w:ascii="Arial" w:cs="Arial" w:eastAsia="Arial" w:hAnsi="Arial"/>
          <w:sz w:val="18"/>
          <w:szCs w:val="18"/>
          <w:b w:val="1"/>
          <w:bCs w:val="1"/>
          <w:color w:val="auto"/>
        </w:rPr>
        <w:t xml:space="preserve"> </w:t>
      </w:r>
      <w:r>
        <w:rPr>
          <w:rFonts w:ascii="Arial" w:cs="Arial" w:eastAsia="Arial" w:hAnsi="Arial"/>
          <w:sz w:val="18"/>
          <w:szCs w:val="18"/>
          <w:color w:val="auto"/>
        </w:rPr>
        <w:t>such Party (as the Receiving Party with respect to Confidential Information of the other Party) and its Affiliates and sublicensees will keep completely confidential, and will not publish or otherwise disclose and will not use for any purpose except for the purposes expressly contemplated by this Agreement, any Confidential Information of the Disclosing Party.</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15" w:name="page416"/>
    <w:bookmarkEnd w:id="415"/>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7.4 Authorized Disclosure</w:t>
      </w:r>
      <w:r>
        <w:rPr>
          <w:rFonts w:ascii="Arial" w:cs="Arial" w:eastAsia="Arial" w:hAnsi="Arial"/>
          <w:sz w:val="16"/>
          <w:szCs w:val="16"/>
          <w:color w:val="auto"/>
        </w:rPr>
        <w:t>. A Receiving Party may disclose specific Confidential Information of the Disclosing Party to the extent that such disclosure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is:</w:t>
      </w:r>
    </w:p>
    <w:p>
      <w:pPr>
        <w:spacing w:after="0" w:line="103" w:lineRule="exact"/>
        <w:rPr>
          <w:sz w:val="20"/>
          <w:szCs w:val="20"/>
          <w:color w:val="auto"/>
        </w:rPr>
      </w:pPr>
    </w:p>
    <w:p>
      <w:pPr>
        <w:ind w:right="40" w:firstLine="913"/>
        <w:spacing w:after="0" w:line="291" w:lineRule="auto"/>
        <w:rPr>
          <w:sz w:val="20"/>
          <w:szCs w:val="20"/>
          <w:color w:val="auto"/>
        </w:rPr>
      </w:pPr>
      <w:r>
        <w:rPr>
          <w:rFonts w:ascii="Arial" w:cs="Arial" w:eastAsia="Arial" w:hAnsi="Arial"/>
          <w:sz w:val="16"/>
          <w:szCs w:val="16"/>
          <w:color w:val="auto"/>
        </w:rPr>
        <w:t xml:space="preserve">7.4.1 required by a valid order of a court of competent jurisdiction or other governmental or regulatory body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Receiving Party will first have given reasonable prior notice of such disclosure requirement to the Disclosing Party and given the Disclosing Party a reasonable opportunity to quash such order and/or to obtain a protective or order limiting such disclosure and/or requiring that the Confidential Information and documents that are the subject of such order be held in confidence by such court or governmental or regulatory body and/or, if disclosed, be used only for the purposes for which the order was issued;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the disclosure requirement is not quashed, the Confidential Information disclosed in response to such court or governmental order will be limited to that information that is legally required to be disclosed in response to such court or governmental order, taking into account any protective or other similar order limiting such disclosure obligation;</w:t>
      </w:r>
    </w:p>
    <w:p>
      <w:pPr>
        <w:spacing w:after="0" w:line="59"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 xml:space="preserve">7.4.2 required by law;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Disclosing Party will provide the Receiving Party with notice of such disclosure in advance thereof to the extent practicable and the disclosure will be limited to that information that is legally required to be disclosed in response to such court or governmental order;</w:t>
      </w:r>
    </w:p>
    <w:p>
      <w:pPr>
        <w:spacing w:after="0" w:line="73" w:lineRule="exact"/>
        <w:rPr>
          <w:sz w:val="20"/>
          <w:szCs w:val="20"/>
          <w:color w:val="auto"/>
        </w:rPr>
      </w:pPr>
    </w:p>
    <w:p>
      <w:pPr>
        <w:jc w:val="both"/>
        <w:ind w:right="720" w:firstLine="913"/>
        <w:spacing w:after="0" w:line="342" w:lineRule="auto"/>
        <w:rPr>
          <w:sz w:val="20"/>
          <w:szCs w:val="20"/>
          <w:color w:val="auto"/>
        </w:rPr>
      </w:pPr>
      <w:r>
        <w:rPr>
          <w:rFonts w:ascii="Arial" w:cs="Arial" w:eastAsia="Arial" w:hAnsi="Arial"/>
          <w:sz w:val="16"/>
          <w:szCs w:val="16"/>
          <w:color w:val="auto"/>
        </w:rPr>
        <w:t xml:space="preserve">7.4.3 made by the Receiving Party to Regulatory Authorities as required in connection with any regulatory filing or application made in accordance with the terms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reasonable measures will be taken to assure confidential treatment of such information;</w:t>
      </w:r>
    </w:p>
    <w:p>
      <w:pPr>
        <w:spacing w:after="0" w:line="16"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7.4.4 made by the Receiving Party as reasonably required in connection with the performance of this Agreement, to Affiliates, employees, consultants, representatives or agents, each of whom prior to disclosure must be bound by obligations of confidentiality and non-use at least equivalent in scope to those set forth in this Section 7;</w:t>
      </w:r>
    </w:p>
    <w:p>
      <w:pPr>
        <w:spacing w:after="0" w:line="73"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7.4.5 made by the Receiving Party to existing or potential acquirers or merger candidates; potential sublicensees or collaborators (to the extent contemplated hereunder); investment bankers; existing or potential investors, venture capital firms or other financial institutions or investors for purposes of obtaining financing; or Affiliates, each of whom prior to disclosure must be bound by obligations of confidentiality and non-use at least equivalent in scope to those set forth in this Section 7.4;</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7.4.6 made by the Receiving Party with the prior written consent of the Disclosing Party.</w:t>
      </w:r>
    </w:p>
    <w:p>
      <w:pPr>
        <w:spacing w:after="0" w:line="113" w:lineRule="exact"/>
        <w:rPr>
          <w:sz w:val="20"/>
          <w:szCs w:val="20"/>
          <w:color w:val="auto"/>
        </w:rPr>
      </w:pPr>
    </w:p>
    <w:p>
      <w:pPr>
        <w:ind w:right="380" w:firstLine="456"/>
        <w:spacing w:after="0" w:line="347" w:lineRule="auto"/>
        <w:rPr>
          <w:sz w:val="20"/>
          <w:szCs w:val="20"/>
          <w:color w:val="auto"/>
        </w:rPr>
      </w:pPr>
      <w:r>
        <w:rPr>
          <w:rFonts w:ascii="Arial" w:cs="Arial" w:eastAsia="Arial" w:hAnsi="Arial"/>
          <w:sz w:val="16"/>
          <w:szCs w:val="16"/>
          <w:b w:val="1"/>
          <w:bCs w:val="1"/>
          <w:color w:val="auto"/>
        </w:rPr>
        <w:t>7.5 Use of Name</w:t>
      </w:r>
      <w:r>
        <w:rPr>
          <w:rFonts w:ascii="Arial" w:cs="Arial" w:eastAsia="Arial" w:hAnsi="Arial"/>
          <w:sz w:val="16"/>
          <w:szCs w:val="16"/>
          <w:color w:val="auto"/>
        </w:rPr>
        <w:t>. Neither Party may make public use of the other Party’s name except (a) in connection with the activities contemplated hereby as</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in this Section 7, (b) as required by applicable law, subject to this Section 7, and (c) otherwise as agreed in writing by such other Party.</w:t>
      </w:r>
    </w:p>
    <w:p>
      <w:pPr>
        <w:spacing w:after="0" w:line="8"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b w:val="1"/>
          <w:bCs w:val="1"/>
          <w:color w:val="auto"/>
        </w:rPr>
        <w:t>7.6 Terms of Agreement to be Maintained in Confidence</w:t>
      </w:r>
      <w:r>
        <w:rPr>
          <w:rFonts w:ascii="Arial" w:cs="Arial" w:eastAsia="Arial" w:hAnsi="Arial"/>
          <w:sz w:val="17"/>
          <w:szCs w:val="17"/>
          <w:color w:val="auto"/>
        </w:rPr>
        <w:t>. The Parties agree that the terms of this Agreement are confidential and will not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disclosed by either Party to any Third Party (except to a Party’s professional advisor, in accordance with Section 7.4.4) without prior written permission of the other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either Party may make any filings of this Agreement required by law or regulation in any country so long as such Party uses its reasonable efforts to obtain confidential treatment for portions of this Agreement as available, consults with the other Party, and permits the other Party to participate, to the extent practicable, in seeking a protective order or other confidential treatment;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a Party may publicly disclose, without regard to the preceding requirements of this Section 7.6, information that was previously disclosed in compliance with such requirements; and </w:t>
      </w:r>
      <w:r>
        <w:rPr>
          <w:rFonts w:ascii="Arial" w:cs="Arial" w:eastAsia="Arial" w:hAnsi="Arial"/>
          <w:sz w:val="17"/>
          <w:szCs w:val="17"/>
          <w:i w:val="1"/>
          <w:iCs w:val="1"/>
          <w:color w:val="auto"/>
        </w:rPr>
        <w:t xml:space="preserve">provided further, </w:t>
      </w:r>
      <w:r>
        <w:rPr>
          <w:rFonts w:ascii="Arial" w:cs="Arial" w:eastAsia="Arial" w:hAnsi="Arial"/>
          <w:sz w:val="17"/>
          <w:szCs w:val="17"/>
          <w:color w:val="auto"/>
        </w:rPr>
        <w:t>that a Party may disclose such terms in confidence as provided in Section 7.4.5.</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16" w:name="page417"/>
    <w:bookmarkEnd w:id="416"/>
    <w:p>
      <w:pPr>
        <w:ind w:right="60" w:firstLine="456"/>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7.7 Press Release</w:t>
      </w:r>
      <w:r>
        <w:rPr>
          <w:rFonts w:ascii="Arial" w:cs="Arial" w:eastAsia="Arial" w:hAnsi="Arial"/>
          <w:sz w:val="18"/>
          <w:szCs w:val="18"/>
          <w:color w:val="auto"/>
        </w:rPr>
        <w:t>. Neither Party shall issue any press release or other public announcement relating to the existence of this Agreement or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without obtaining the other Party’s written approval. For clarity, subject to AVROBIO’s compliance with its obligations regarding Confidential Information of BioMarin hereunder and with Sections 7.5 and 7.6, and as long as specific reference to [***] is not made unless and until use of [***] by AVROBIO has been disclosed in scientific publications or presentations made by AVROBIO in the normal course of business, nothing in this Agreement shall be deemed to prohibit AVROBIO from making customary public disclosures regarding the Licensed Product development program in the Field to be conducted by AVROBIO hereunder. For further clarity, AVROBIO may make disclosures regarding this Agreement to its current and prospective investors as permitted under Section 7.4.5 and as permitted in Section 7.5.</w:t>
      </w:r>
    </w:p>
    <w:p>
      <w:pPr>
        <w:spacing w:after="0" w:line="81" w:lineRule="exact"/>
        <w:rPr>
          <w:sz w:val="20"/>
          <w:szCs w:val="20"/>
          <w:color w:val="auto"/>
        </w:rPr>
      </w:pPr>
    </w:p>
    <w:p>
      <w:pPr>
        <w:ind w:left="180" w:hanging="172"/>
        <w:spacing w:after="0"/>
        <w:tabs>
          <w:tab w:leader="none" w:pos="180"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5"/>
          <w:szCs w:val="15"/>
          <w:b w:val="1"/>
          <w:bCs w:val="1"/>
          <w:color w:val="auto"/>
        </w:rPr>
        <w:t>ERM AND</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ERMINATION</w:t>
      </w:r>
    </w:p>
    <w:p>
      <w:pPr>
        <w:spacing w:after="0" w:line="117" w:lineRule="exact"/>
        <w:rPr>
          <w:sz w:val="20"/>
          <w:szCs w:val="20"/>
          <w:color w:val="auto"/>
        </w:rPr>
      </w:pPr>
    </w:p>
    <w:p>
      <w:pPr>
        <w:ind w:right="140" w:firstLine="456"/>
        <w:spacing w:after="0" w:line="266" w:lineRule="auto"/>
        <w:rPr>
          <w:sz w:val="20"/>
          <w:szCs w:val="20"/>
          <w:color w:val="auto"/>
        </w:rPr>
      </w:pPr>
      <w:r>
        <w:rPr>
          <w:rFonts w:ascii="Arial" w:cs="Arial" w:eastAsia="Arial" w:hAnsi="Arial"/>
          <w:sz w:val="18"/>
          <w:szCs w:val="18"/>
          <w:b w:val="1"/>
          <w:bCs w:val="1"/>
          <w:color w:val="auto"/>
        </w:rPr>
        <w:t>8.1 Term</w:t>
      </w:r>
      <w:r>
        <w:rPr>
          <w:rFonts w:ascii="Arial" w:cs="Arial" w:eastAsia="Arial" w:hAnsi="Arial"/>
          <w:sz w:val="18"/>
          <w:szCs w:val="18"/>
          <w:color w:val="auto"/>
        </w:rPr>
        <w:t>. The term of this Agreement will commence as of the Effective Date and, will expire upon the expiration of the last Royalty Term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Licensed Products in all countries in the Territory, or will terminate if the Agreement is earlier terminated in accordance with this Section 8 (such period,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6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8.2 Termination for Material Breach.</w:t>
      </w:r>
    </w:p>
    <w:p>
      <w:pPr>
        <w:spacing w:after="0" w:line="117" w:lineRule="exact"/>
        <w:rPr>
          <w:sz w:val="20"/>
          <w:szCs w:val="20"/>
          <w:color w:val="auto"/>
        </w:rPr>
      </w:pPr>
    </w:p>
    <w:p>
      <w:pPr>
        <w:jc w:val="both"/>
        <w:ind w:right="40" w:firstLine="913"/>
        <w:spacing w:after="0" w:line="314" w:lineRule="auto"/>
        <w:rPr>
          <w:sz w:val="20"/>
          <w:szCs w:val="20"/>
          <w:color w:val="auto"/>
        </w:rPr>
      </w:pPr>
      <w:r>
        <w:rPr>
          <w:rFonts w:ascii="Arial" w:cs="Arial" w:eastAsia="Arial" w:hAnsi="Arial"/>
          <w:sz w:val="16"/>
          <w:szCs w:val="16"/>
          <w:color w:val="auto"/>
        </w:rPr>
        <w:t>8.2.1 Any material failure by a Party (the “</w:t>
      </w:r>
      <w:r>
        <w:rPr>
          <w:rFonts w:ascii="Arial" w:cs="Arial" w:eastAsia="Arial" w:hAnsi="Arial"/>
          <w:sz w:val="16"/>
          <w:szCs w:val="16"/>
          <w:b w:val="1"/>
          <w:bCs w:val="1"/>
          <w:color w:val="auto"/>
        </w:rPr>
        <w:t>Breaching Party</w:t>
      </w:r>
      <w:r>
        <w:rPr>
          <w:rFonts w:ascii="Arial" w:cs="Arial" w:eastAsia="Arial" w:hAnsi="Arial"/>
          <w:sz w:val="16"/>
          <w:szCs w:val="16"/>
          <w:color w:val="auto"/>
        </w:rPr>
        <w:t>”) to comply with its material obligations contained in this Agreement (such failure a “</w:t>
      </w:r>
      <w:r>
        <w:rPr>
          <w:rFonts w:ascii="Arial" w:cs="Arial" w:eastAsia="Arial" w:hAnsi="Arial"/>
          <w:sz w:val="16"/>
          <w:szCs w:val="16"/>
          <w:b w:val="1"/>
          <w:bCs w:val="1"/>
          <w:color w:val="auto"/>
        </w:rPr>
        <w:t>Material Breach</w:t>
      </w:r>
      <w:r>
        <w:rPr>
          <w:rFonts w:ascii="Arial" w:cs="Arial" w:eastAsia="Arial" w:hAnsi="Arial"/>
          <w:sz w:val="16"/>
          <w:szCs w:val="16"/>
          <w:color w:val="auto"/>
        </w:rPr>
        <w:t>”) will entitle the other Party (“</w:t>
      </w:r>
      <w:r>
        <w:rPr>
          <w:rFonts w:ascii="Arial" w:cs="Arial" w:eastAsia="Arial" w:hAnsi="Arial"/>
          <w:sz w:val="16"/>
          <w:szCs w:val="16"/>
          <w:b w:val="1"/>
          <w:bCs w:val="1"/>
          <w:color w:val="auto"/>
        </w:rPr>
        <w:t>Non-Breaching Party</w:t>
      </w:r>
      <w:r>
        <w:rPr>
          <w:rFonts w:ascii="Arial" w:cs="Arial" w:eastAsia="Arial" w:hAnsi="Arial"/>
          <w:sz w:val="16"/>
          <w:szCs w:val="16"/>
          <w:color w:val="auto"/>
        </w:rPr>
        <w:t>”) to give to the Breaching Party written notice of the Material Breach, which notice shall specify in detail the nature of the breach and shall, require the Breaching Party to make good or otherwise cure such Material Breach.</w:t>
      </w:r>
    </w:p>
    <w:p>
      <w:pPr>
        <w:spacing w:after="0" w:line="38" w:lineRule="exact"/>
        <w:rPr>
          <w:sz w:val="20"/>
          <w:szCs w:val="20"/>
          <w:color w:val="auto"/>
        </w:rPr>
      </w:pPr>
    </w:p>
    <w:p>
      <w:pPr>
        <w:ind w:right="260" w:firstLine="913"/>
        <w:spacing w:after="0" w:line="312" w:lineRule="auto"/>
        <w:rPr>
          <w:sz w:val="20"/>
          <w:szCs w:val="20"/>
          <w:color w:val="auto"/>
        </w:rPr>
      </w:pPr>
      <w:r>
        <w:rPr>
          <w:rFonts w:ascii="Arial" w:cs="Arial" w:eastAsia="Arial" w:hAnsi="Arial"/>
          <w:sz w:val="16"/>
          <w:szCs w:val="16"/>
          <w:color w:val="auto"/>
        </w:rPr>
        <w:t>8.2.2 If such Material Breach is not cured within [***] ([***] for Material Breach of any payment obligation or obligation to issue Preferred Stock) after the receipt of notice pursuant to Section 8.2.1 above, the Non-Breaching Party will be entitled to terminate this Agreement on written notice to the Breaching Party and without prejudice to any of its other rights conferred on it by this Agreement and other remedies available under applicable law.</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8.3 Termination at Will.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8.3.1 AVROBIO may terminate this Agreement at will upon [***] prior written notice to BioMarin.</w:t>
      </w:r>
    </w:p>
    <w:p>
      <w:pPr>
        <w:spacing w:after="0" w:line="117"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8.3.2 BioMarin may terminate this Agreement in its entirety upon written notice to AVROBIO in the event of (i) any challenge or opposition to the validity, patentability, enforceability, scope and/or non-infringement of any of the Licensed Patent Rights, or any actions otherwise opposing any of such Licensed Patent Rights, if brought by AVROBIO, its Affiliates or sublicensees anywhere in the Territory, or (ii) any assistance with respect to any of the foregoing actions which any of AVROBIO, its Affiliates or sublicensees knowingly provides to a Third Party anywhere in the Territory (except as required under a court order or subpoena).</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17" w:name="page418"/>
    <w:bookmarkEnd w:id="417"/>
    <w:p>
      <w:pPr>
        <w:ind w:right="40" w:firstLine="913"/>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8.3.3 BioMarin may terminate this Agreement at will immediately, by providing written notice to AVROBIO upon the filing or institution of bankruptcy, reorganization, liquidation or receivership proceedings, or upon an assignment of a substantial portion of the assets for the benefit of creditors, by or against AVROBIO;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any involuntary bankruptcy proceeding such right to terminate shall only become effective if AVROBIO consents to the involuntary bankruptcy or such proceeding is not dismissed within [***] after the filing thereof.</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8.4 Consequences of Expiration and Termination.</w:t>
      </w:r>
    </w:p>
    <w:p>
      <w:pPr>
        <w:spacing w:after="0" w:line="117" w:lineRule="exact"/>
        <w:rPr>
          <w:sz w:val="20"/>
          <w:szCs w:val="20"/>
          <w:color w:val="auto"/>
        </w:rPr>
      </w:pPr>
    </w:p>
    <w:p>
      <w:pPr>
        <w:ind w:right="740" w:firstLine="913"/>
        <w:spacing w:after="0" w:line="313" w:lineRule="auto"/>
        <w:rPr>
          <w:sz w:val="20"/>
          <w:szCs w:val="20"/>
          <w:color w:val="auto"/>
        </w:rPr>
      </w:pPr>
      <w:r>
        <w:rPr>
          <w:rFonts w:ascii="Arial" w:cs="Arial" w:eastAsia="Arial" w:hAnsi="Arial"/>
          <w:sz w:val="17"/>
          <w:szCs w:val="17"/>
          <w:color w:val="auto"/>
        </w:rPr>
        <w:t xml:space="preserve">8.4.1 </w:t>
      </w:r>
      <w:r>
        <w:rPr>
          <w:rFonts w:ascii="Arial" w:cs="Arial" w:eastAsia="Arial" w:hAnsi="Arial"/>
          <w:sz w:val="17"/>
          <w:szCs w:val="17"/>
          <w:b w:val="1"/>
          <w:bCs w:val="1"/>
          <w:color w:val="auto"/>
        </w:rPr>
        <w:t>Expiration</w:t>
      </w:r>
      <w:r>
        <w:rPr>
          <w:rFonts w:ascii="Arial" w:cs="Arial" w:eastAsia="Arial" w:hAnsi="Arial"/>
          <w:sz w:val="17"/>
          <w:szCs w:val="17"/>
          <w:color w:val="auto"/>
        </w:rPr>
        <w:t>. Upon expiration of the Royalty Term in a particular country for a given Licensed Product, AVROBIO’s license under Section 2.1 with respect to such Licensed Product in the Field in such country will become irrevocable, perpetual and fully-paid.</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8.4.2 </w:t>
      </w:r>
      <w:r>
        <w:rPr>
          <w:rFonts w:ascii="Arial" w:cs="Arial" w:eastAsia="Arial" w:hAnsi="Arial"/>
          <w:sz w:val="16"/>
          <w:szCs w:val="16"/>
          <w:b w:val="1"/>
          <w:bCs w:val="1"/>
          <w:color w:val="auto"/>
        </w:rPr>
        <w:t>Early Termination</w:t>
      </w:r>
      <w:r>
        <w:rPr>
          <w:rFonts w:ascii="Arial" w:cs="Arial" w:eastAsia="Arial" w:hAnsi="Arial"/>
          <w:sz w:val="16"/>
          <w:szCs w:val="16"/>
          <w:color w:val="auto"/>
        </w:rPr>
        <w:t>. Upon termination of this Agreement by a Party for Material Breach pursuant to Section 8.2, or by a Party pursuant to</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Section 8.3, the following provisions will apply:</w:t>
      </w:r>
    </w:p>
    <w:p>
      <w:pPr>
        <w:spacing w:after="0" w:line="103" w:lineRule="exact"/>
        <w:rPr>
          <w:sz w:val="20"/>
          <w:szCs w:val="20"/>
          <w:color w:val="auto"/>
        </w:rPr>
      </w:pPr>
    </w:p>
    <w:p>
      <w:pPr>
        <w:ind w:left="1580" w:hanging="239"/>
        <w:spacing w:after="0"/>
        <w:tabs>
          <w:tab w:leader="none" w:pos="158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All rights and licenses granted by BioMarin to AVROBIO under this Agreement will terminate immediately.</w:t>
      </w:r>
    </w:p>
    <w:p>
      <w:pPr>
        <w:spacing w:after="0" w:line="117" w:lineRule="exact"/>
        <w:rPr>
          <w:rFonts w:ascii="Arial" w:cs="Arial" w:eastAsia="Arial" w:hAnsi="Arial"/>
          <w:sz w:val="18"/>
          <w:szCs w:val="18"/>
          <w:color w:val="auto"/>
        </w:rPr>
      </w:pPr>
    </w:p>
    <w:p>
      <w:pPr>
        <w:ind w:left="920" w:right="40" w:firstLine="421"/>
        <w:spacing w:after="0" w:line="259" w:lineRule="auto"/>
        <w:tabs>
          <w:tab w:leader="none" w:pos="159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AVROBIO and its Affiliates shall discontinue making any representations regarding its or their status as a licensee(s) of BioMarin and with respect to Licensed Products, and shall cause any sublicensees (except as set forth in clause (c) below) to do the same. AVROBIO and its Affiliates shall cease conducting any activities with respect to the Development and Commercialization of the Licensed Products, and shall cause any sublicensees to do the same.</w:t>
      </w:r>
    </w:p>
    <w:p>
      <w:pPr>
        <w:spacing w:after="0" w:line="78" w:lineRule="exact"/>
        <w:rPr>
          <w:rFonts w:ascii="Arial" w:cs="Arial" w:eastAsia="Arial" w:hAnsi="Arial"/>
          <w:sz w:val="18"/>
          <w:szCs w:val="18"/>
          <w:color w:val="auto"/>
        </w:rPr>
      </w:pPr>
    </w:p>
    <w:p>
      <w:pPr>
        <w:ind w:left="920" w:right="160" w:firstLine="421"/>
        <w:spacing w:after="0" w:line="279" w:lineRule="auto"/>
        <w:tabs>
          <w:tab w:leader="none" w:pos="1585" w:val="left"/>
        </w:tabs>
        <w:numPr>
          <w:ilvl w:val="0"/>
          <w:numId w:val="330"/>
        </w:numPr>
        <w:rPr>
          <w:rFonts w:ascii="Arial" w:cs="Arial" w:eastAsia="Arial" w:hAnsi="Arial"/>
          <w:sz w:val="17"/>
          <w:szCs w:val="17"/>
          <w:color w:val="auto"/>
        </w:rPr>
      </w:pPr>
      <w:r>
        <w:rPr>
          <w:rFonts w:ascii="Arial" w:cs="Arial" w:eastAsia="Arial" w:hAnsi="Arial"/>
          <w:sz w:val="17"/>
          <w:szCs w:val="17"/>
          <w:color w:val="auto"/>
        </w:rPr>
        <w:t>Subject to BioMarin’s written consent, such consent to not be unreasonably withheld, a sublicense granted by AVROBIO or any of its Affiliates to a sublicensee shall survive termination of this Agreement, provided that such subicensee agrees in writing within [***] of termination of this Agreement to fully perform what would otherwise be AVROBIO’s obligations to BioMarin under this Agreement, including without limitation an agreement to cure any then-existing breaches of this Agreement by AVROBIO.</w:t>
      </w:r>
    </w:p>
    <w:p>
      <w:pPr>
        <w:spacing w:after="0" w:line="63"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8.4.3 Upon termination or expiration of the Agreement in whole or in part, upon the request of the Disclosing Party, the Receiving Party shall promptly return to the Disclosing Party or destroy the Disclosing Party’s Confidential Information, including all copies thereof, except to the extent that retention of such Confidential Information is reasonably necessary for the Receiving Party to exploit any continuing rights it may have (including, without limitation, the right to exploit any fully paid-up license pursuant to Section 8.4.1 in the event of an expiration of the Agreement in whole or in part) and/or to fulfill its obligations contemplated herein, including its obligations of non-disclosure and non-use hereunder. The return and/or destruction of such Confidential Information as provided above shall not relieve the Receiving</w:t>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3" w:right="239" w:bottom="1440" w:gutter="0" w:footer="0" w:header="0"/>
        </w:sectPr>
      </w:pPr>
    </w:p>
    <w:bookmarkStart w:id="418" w:name="page419"/>
    <w:bookmarkEnd w:id="418"/>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of its obligations under the Agreement. The provisions of this section shall not apply to copies of electronically exchanged Confidential Information made as a matter of routine information technology backup and maintained in a secure manner, or to Confidential Information or copies thereof which must be stored by the Receiving Party according to provisions of applicable law; provided that such Confidential Information shall remain subject to the terms of Section 7.</w:t>
      </w:r>
    </w:p>
    <w:p>
      <w:pPr>
        <w:spacing w:after="0" w:line="75" w:lineRule="exact"/>
        <w:rPr>
          <w:sz w:val="20"/>
          <w:szCs w:val="20"/>
          <w:color w:val="auto"/>
        </w:rPr>
      </w:pPr>
    </w:p>
    <w:p>
      <w:pPr>
        <w:ind w:right="380" w:firstLine="913"/>
        <w:spacing w:after="0" w:line="282" w:lineRule="auto"/>
        <w:rPr>
          <w:sz w:val="20"/>
          <w:szCs w:val="20"/>
          <w:color w:val="auto"/>
        </w:rPr>
      </w:pPr>
      <w:r>
        <w:rPr>
          <w:rFonts w:ascii="Arial" w:cs="Arial" w:eastAsia="Arial" w:hAnsi="Arial"/>
          <w:sz w:val="18"/>
          <w:szCs w:val="18"/>
          <w:color w:val="auto"/>
        </w:rPr>
        <w:t xml:space="preserve">8.4.4 </w:t>
      </w:r>
      <w:r>
        <w:rPr>
          <w:rFonts w:ascii="Arial" w:cs="Arial" w:eastAsia="Arial" w:hAnsi="Arial"/>
          <w:sz w:val="18"/>
          <w:szCs w:val="18"/>
          <w:b w:val="1"/>
          <w:bCs w:val="1"/>
          <w:color w:val="auto"/>
        </w:rPr>
        <w:t>Survival</w:t>
      </w:r>
      <w:r>
        <w:rPr>
          <w:rFonts w:ascii="Arial" w:cs="Arial" w:eastAsia="Arial" w:hAnsi="Arial"/>
          <w:sz w:val="18"/>
          <w:szCs w:val="18"/>
          <w:color w:val="auto"/>
        </w:rPr>
        <w:t>. Expiration or termination of this Agreement will not relieve the Parties of any obligation accruing prior to such expiration or termination. The provisions of Sections [***] will survive any termination or expiration of this Agreement.</w:t>
      </w:r>
    </w:p>
    <w:p>
      <w:pPr>
        <w:spacing w:after="0" w:line="310" w:lineRule="exact"/>
        <w:rPr>
          <w:sz w:val="20"/>
          <w:szCs w:val="20"/>
          <w:color w:val="auto"/>
        </w:rPr>
      </w:pPr>
    </w:p>
    <w:p>
      <w:pPr>
        <w:ind w:left="460" w:hanging="452"/>
        <w:spacing w:after="0"/>
        <w:tabs>
          <w:tab w:leader="none" w:pos="460"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NDEMNIFICATION AND</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NSURANCE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9.1 Indemnification by BioMarin. BioMarin will indemnify AVROBIO, its Affiliates, and their respective directors, officers, employees and agents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“AVROBIO Indemnitees”</w:t>
      </w:r>
      <w:r>
        <w:rPr>
          <w:rFonts w:ascii="Arial" w:cs="Arial" w:eastAsia="Arial" w:hAnsi="Arial"/>
          <w:sz w:val="16"/>
          <w:szCs w:val="16"/>
          <w:color w:val="auto"/>
        </w:rPr>
        <w:t>), and defend and hold each of them harmless, from and against any and all liabilities, expenses and/or losses (including without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limitation attorneys’ fees, court costs, witness fees, damages, judgments, fines and amounts paid in settlement) (“</w:t>
      </w:r>
      <w:r>
        <w:rPr>
          <w:rFonts w:ascii="Arial" w:cs="Arial" w:eastAsia="Arial" w:hAnsi="Arial"/>
          <w:sz w:val="16"/>
          <w:szCs w:val="16"/>
          <w:b w:val="1"/>
          <w:bCs w:val="1"/>
          <w:color w:val="auto"/>
        </w:rPr>
        <w:t>Losses</w:t>
      </w:r>
      <w:r>
        <w:rPr>
          <w:rFonts w:ascii="Arial" w:cs="Arial" w:eastAsia="Arial" w:hAnsi="Arial"/>
          <w:sz w:val="16"/>
          <w:szCs w:val="16"/>
          <w:color w:val="auto"/>
        </w:rPr>
        <w:t>”) based on or suffered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any Third Party suits, claims, actions, and demands (“</w:t>
      </w:r>
      <w:r>
        <w:rPr>
          <w:rFonts w:ascii="Arial" w:cs="Arial" w:eastAsia="Arial" w:hAnsi="Arial"/>
          <w:sz w:val="17"/>
          <w:szCs w:val="17"/>
          <w:b w:val="1"/>
          <w:bCs w:val="1"/>
          <w:color w:val="auto"/>
        </w:rPr>
        <w:t>Claims”</w:t>
      </w:r>
      <w:r>
        <w:rPr>
          <w:rFonts w:ascii="Arial" w:cs="Arial" w:eastAsia="Arial" w:hAnsi="Arial"/>
          <w:sz w:val="17"/>
          <w:szCs w:val="17"/>
          <w:color w:val="auto"/>
        </w:rPr>
        <w:t>) against any such AVROBIO Indemnitee to the extent arising from or occurring as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result of or in connection with (i) any material breach by BioMarin of its representations and warranties in Section [***] of this Agreement, or (ii) the gross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negligence or willful misconduct of BioMarin or its Affiliates; except, to the extent that such Losses arise out of or result from the gross negligence or willful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misconduct of any AVROBIO lndemnitee, or a breach by AVROBIO of any provision of this Agreement.</w:t>
      </w:r>
    </w:p>
    <w:p>
      <w:pPr>
        <w:spacing w:after="0" w:line="99"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color w:val="auto"/>
        </w:rPr>
        <w:t>Indemnification by AVROBIO</w:t>
      </w:r>
      <w:r>
        <w:rPr>
          <w:rFonts w:ascii="Arial" w:cs="Arial" w:eastAsia="Arial" w:hAnsi="Arial"/>
          <w:sz w:val="17"/>
          <w:szCs w:val="17"/>
          <w:color w:val="auto"/>
        </w:rPr>
        <w:t>. AVROBIO will indemnify BioMarin, its Affiliates, and their respective directors, officers, employees, and agents (“</w:t>
      </w:r>
      <w:r>
        <w:rPr>
          <w:rFonts w:ascii="Arial" w:cs="Arial" w:eastAsia="Arial" w:hAnsi="Arial"/>
          <w:sz w:val="17"/>
          <w:szCs w:val="17"/>
          <w:b w:val="1"/>
          <w:bCs w:val="1"/>
          <w:color w:val="auto"/>
        </w:rPr>
        <w:t>BioMarin Indemnitees</w:t>
      </w:r>
      <w:r>
        <w:rPr>
          <w:rFonts w:ascii="Arial" w:cs="Arial" w:eastAsia="Arial" w:hAnsi="Arial"/>
          <w:sz w:val="17"/>
          <w:szCs w:val="17"/>
          <w:color w:val="auto"/>
        </w:rPr>
        <w:t>”), and defend and hold each of them harmless, from and against any and all Losses based on or suffered in connection with any Claims against any such BioMarin Indemnitee to the extent arising from or occurring as a result of or in connection with: (i) the Development and Commercialization of Licensed Products by or on behalf of AVROBIO, its Affiliates, and sublicensees, and each of their distributors, wholesalers, and agents, including, without limitation, Losses arising from Claims based on any theory of product liability (including actions in the form of tort, warranty or strict liability), (ii) any breach by AVROBIO, its Affiliates or sublicensees (including each of their respective directors, officers, employees, independent contractors, and agents) of this Agreement or of applicable law, (iii) the negligence or willful misconduct of AVROBIO, its Affiliates or sublicensees (including each of their respective directors, officers, employees, independent contractors, and agents); (iv) breach of a contractual or fiduciary obligation owed by AVROBIO or its Affiliates or sublicensees to a Third Party (including misappropriation of trade secrets); or (v) criminal investigations of, defense of criminal charges against, and criminal penalties levied on, AVROBIO or its Affiliates or sublicensees, or their respective directors, employees and agents; except, in each case, to the extent that such Losses arise out of or result from the gross negligence or willful misconduct of any BioMarin Indemnitee, or a breach by BioMarin of any provision of this Agreement.</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9.3 Indemnification Procedure.</w:t>
      </w:r>
    </w:p>
    <w:p>
      <w:pPr>
        <w:spacing w:after="0" w:line="117" w:lineRule="exact"/>
        <w:rPr>
          <w:sz w:val="20"/>
          <w:szCs w:val="20"/>
          <w:color w:val="auto"/>
        </w:rPr>
      </w:pPr>
    </w:p>
    <w:p>
      <w:pPr>
        <w:ind w:right="100" w:firstLine="913"/>
        <w:spacing w:after="0" w:line="272" w:lineRule="auto"/>
        <w:rPr>
          <w:sz w:val="20"/>
          <w:szCs w:val="20"/>
          <w:color w:val="auto"/>
        </w:rPr>
      </w:pPr>
      <w:r>
        <w:rPr>
          <w:rFonts w:ascii="Arial" w:cs="Arial" w:eastAsia="Arial" w:hAnsi="Arial"/>
          <w:sz w:val="17"/>
          <w:szCs w:val="17"/>
          <w:color w:val="auto"/>
        </w:rPr>
        <w:t xml:space="preserve">9.3.1 </w:t>
      </w:r>
      <w:r>
        <w:rPr>
          <w:rFonts w:ascii="Arial" w:cs="Arial" w:eastAsia="Arial" w:hAnsi="Arial"/>
          <w:sz w:val="17"/>
          <w:szCs w:val="17"/>
          <w:b w:val="1"/>
          <w:bCs w:val="1"/>
          <w:color w:val="auto"/>
        </w:rPr>
        <w:t>Notice of Claim</w:t>
      </w:r>
      <w:r>
        <w:rPr>
          <w:rFonts w:ascii="Arial" w:cs="Arial" w:eastAsia="Arial" w:hAnsi="Arial"/>
          <w:sz w:val="17"/>
          <w:szCs w:val="17"/>
          <w:color w:val="auto"/>
        </w:rPr>
        <w:t>. Each of AVROBIO and BioMarin, as applicable (the “</w:t>
      </w:r>
      <w:r>
        <w:rPr>
          <w:rFonts w:ascii="Arial" w:cs="Arial" w:eastAsia="Arial" w:hAnsi="Arial"/>
          <w:sz w:val="17"/>
          <w:szCs w:val="17"/>
          <w:b w:val="1"/>
          <w:bCs w:val="1"/>
          <w:color w:val="auto"/>
        </w:rPr>
        <w:t>Indemnitee</w:t>
      </w:r>
      <w:r>
        <w:rPr>
          <w:rFonts w:ascii="Arial" w:cs="Arial" w:eastAsia="Arial" w:hAnsi="Arial"/>
          <w:sz w:val="17"/>
          <w:szCs w:val="17"/>
          <w:color w:val="auto"/>
        </w:rPr>
        <w:t>”) will give the other Party (the “</w:t>
      </w:r>
      <w:r>
        <w:rPr>
          <w:rFonts w:ascii="Arial" w:cs="Arial" w:eastAsia="Arial" w:hAnsi="Arial"/>
          <w:sz w:val="17"/>
          <w:szCs w:val="17"/>
          <w:b w:val="1"/>
          <w:bCs w:val="1"/>
          <w:color w:val="auto"/>
        </w:rPr>
        <w:t>Indemnifying</w:t>
      </w:r>
      <w:r>
        <w:rPr>
          <w:rFonts w:ascii="Arial" w:cs="Arial" w:eastAsia="Arial" w:hAnsi="Arial"/>
          <w:sz w:val="17"/>
          <w:szCs w:val="17"/>
          <w:color w:val="auto"/>
        </w:rPr>
        <w:t xml:space="preserve"> </w:t>
      </w:r>
      <w:r>
        <w:rPr>
          <w:rFonts w:ascii="Arial" w:cs="Arial" w:eastAsia="Arial" w:hAnsi="Arial"/>
          <w:sz w:val="17"/>
          <w:szCs w:val="17"/>
          <w:b w:val="1"/>
          <w:bCs w:val="1"/>
          <w:color w:val="auto"/>
        </w:rPr>
        <w:t>Party</w:t>
      </w:r>
      <w:r>
        <w:rPr>
          <w:rFonts w:ascii="Arial" w:cs="Arial" w:eastAsia="Arial" w:hAnsi="Arial"/>
          <w:sz w:val="17"/>
          <w:szCs w:val="17"/>
          <w:color w:val="auto"/>
        </w:rPr>
        <w:t>”) prompt written notice (an “</w:t>
      </w:r>
      <w:r>
        <w:rPr>
          <w:rFonts w:ascii="Arial" w:cs="Arial" w:eastAsia="Arial" w:hAnsi="Arial"/>
          <w:sz w:val="17"/>
          <w:szCs w:val="17"/>
          <w:b w:val="1"/>
          <w:bCs w:val="1"/>
          <w:color w:val="auto"/>
        </w:rPr>
        <w:t>Indemnification Claim Notice</w:t>
      </w:r>
      <w:r>
        <w:rPr>
          <w:rFonts w:ascii="Arial" w:cs="Arial" w:eastAsia="Arial" w:hAnsi="Arial"/>
          <w:sz w:val="17"/>
          <w:szCs w:val="17"/>
          <w:color w:val="auto"/>
        </w:rPr>
        <w:t>”) of any Claims or discovery of fact upon which an Indemnitee intends to base a request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indemnification under Section 9.1 or 9.2, as applicable;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failure to give such prompt written notice will not relieve the Indemnifying Party of its indemnification obligation under this Agreement except and only to the extent that the Indemnifying Party is actually prejudiced as a result of such failure. In no event will the Indemnifying Party be liable for any Losses that result from any delay in providing such notice. Each Indemnification Claim Notice must contain a description of the Claim and the nature and amount of such Loss (but only to the extent that the nature and amount of such Loss are known at such time). The Indemnitee will furnish promptly to the Indemnifying Party copies of all papers and official documents received by it or any of its fellow Indemnitees, as applicable, in respect of any Losses.</w:t>
      </w:r>
    </w:p>
    <w:p>
      <w:pPr>
        <w:spacing w:after="0" w:line="64" w:lineRule="exact"/>
        <w:rPr>
          <w:sz w:val="20"/>
          <w:szCs w:val="20"/>
          <w:color w:val="auto"/>
        </w:rPr>
      </w:pPr>
    </w:p>
    <w:p>
      <w:pPr>
        <w:ind w:right="140" w:firstLine="913"/>
        <w:spacing w:after="0" w:line="282" w:lineRule="auto"/>
        <w:rPr>
          <w:sz w:val="20"/>
          <w:szCs w:val="20"/>
          <w:color w:val="auto"/>
        </w:rPr>
      </w:pPr>
      <w:r>
        <w:rPr>
          <w:rFonts w:ascii="Arial" w:cs="Arial" w:eastAsia="Arial" w:hAnsi="Arial"/>
          <w:sz w:val="18"/>
          <w:szCs w:val="18"/>
          <w:color w:val="auto"/>
        </w:rPr>
        <w:t xml:space="preserve">9.3.2 </w:t>
      </w:r>
      <w:r>
        <w:rPr>
          <w:rFonts w:ascii="Arial" w:cs="Arial" w:eastAsia="Arial" w:hAnsi="Arial"/>
          <w:sz w:val="18"/>
          <w:szCs w:val="18"/>
          <w:b w:val="1"/>
          <w:bCs w:val="1"/>
          <w:color w:val="auto"/>
        </w:rPr>
        <w:t>Control of Defense</w:t>
      </w:r>
      <w:r>
        <w:rPr>
          <w:rFonts w:ascii="Arial" w:cs="Arial" w:eastAsia="Arial" w:hAnsi="Arial"/>
          <w:sz w:val="18"/>
          <w:szCs w:val="18"/>
          <w:color w:val="auto"/>
        </w:rPr>
        <w:t>. Within [***] after the Indemnifying Party’s receipt of an Indemnification Claim Notice pursuant to Section 9.3.1, the Indemnifying Party shall assume the defense of the Claim(s) referenced in such notice and provide written confirmation to</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19" w:name="page420"/>
    <w:bookmarkEnd w:id="419"/>
    <w:p>
      <w:pPr>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other Party and any other of its fellow Indemnitees. Upon assuming the defense of a Claim, the Indemnifying Party shall appoint lead counsel in the defense of the Claim; provided that such lead counsel shall be reasonably acceptable to the other Party. Upon the Indemnifying Party’s assumption of the defense of a Claim, the Indemnitees will immediately deliver to the Indemnifying Party all original notices and documents (including court papers) received by such Indemnitees in connection with the Claim. The Indemnifying Party will keep the other Party regularly informed with respect to the status of its defense of any such Claim, and will respond promptly to the other Party’s questions with respect to such (including, where requested by the Indemnitee, providing copies of related court filings).</w:t>
      </w:r>
    </w:p>
    <w:p>
      <w:pPr>
        <w:spacing w:after="0" w:line="81" w:lineRule="exact"/>
        <w:rPr>
          <w:sz w:val="20"/>
          <w:szCs w:val="20"/>
          <w:color w:val="auto"/>
        </w:rPr>
      </w:pPr>
    </w:p>
    <w:p>
      <w:pPr>
        <w:ind w:right="20" w:firstLine="913"/>
        <w:spacing w:after="0" w:line="266" w:lineRule="auto"/>
        <w:rPr>
          <w:sz w:val="20"/>
          <w:szCs w:val="20"/>
          <w:color w:val="auto"/>
        </w:rPr>
      </w:pPr>
      <w:r>
        <w:rPr>
          <w:rFonts w:ascii="Arial" w:cs="Arial" w:eastAsia="Arial" w:hAnsi="Arial"/>
          <w:sz w:val="18"/>
          <w:szCs w:val="18"/>
          <w:color w:val="auto"/>
        </w:rPr>
        <w:t xml:space="preserve">9.3.3 </w:t>
      </w:r>
      <w:r>
        <w:rPr>
          <w:rFonts w:ascii="Arial" w:cs="Arial" w:eastAsia="Arial" w:hAnsi="Arial"/>
          <w:sz w:val="18"/>
          <w:szCs w:val="18"/>
          <w:b w:val="1"/>
          <w:bCs w:val="1"/>
          <w:color w:val="auto"/>
        </w:rPr>
        <w:t>Right to Participate in Defense</w:t>
      </w:r>
      <w:r>
        <w:rPr>
          <w:rFonts w:ascii="Arial" w:cs="Arial" w:eastAsia="Arial" w:hAnsi="Arial"/>
          <w:sz w:val="18"/>
          <w:szCs w:val="18"/>
          <w:color w:val="auto"/>
        </w:rPr>
        <w:t>. Without limiting Section 9.3.2 above, any Indemnitee will be entitled to participate in, but not control, the defense of such Claim and to employ counsel of its choice for such purpose; provided, that such employment will be at the Indemnitee’s own expense unless the employment thereof has been specifically authorized by the Indemnifying Party in writing.</w:t>
      </w:r>
    </w:p>
    <w:p>
      <w:pPr>
        <w:spacing w:after="0" w:line="68"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 xml:space="preserve">9.3.4 </w:t>
      </w:r>
      <w:r>
        <w:rPr>
          <w:rFonts w:ascii="Arial" w:cs="Arial" w:eastAsia="Arial" w:hAnsi="Arial"/>
          <w:sz w:val="17"/>
          <w:szCs w:val="17"/>
          <w:b w:val="1"/>
          <w:bCs w:val="1"/>
          <w:color w:val="auto"/>
        </w:rPr>
        <w:t>Settlement</w:t>
      </w:r>
      <w:r>
        <w:rPr>
          <w:rFonts w:ascii="Arial" w:cs="Arial" w:eastAsia="Arial" w:hAnsi="Arial"/>
          <w:sz w:val="17"/>
          <w:szCs w:val="17"/>
          <w:color w:val="auto"/>
        </w:rPr>
        <w:t>. With respect to any Losses (a) relating solely to the payment of money damages in connection with a Claim and (b) that will not (i) result in the Indemnitee’s becoming subject to injunctive or other relief, (ii) require an admission of fault by a Indemnitee, or (iii) otherwise adversely affect the business of the Indemnitee in any manner, and (c) that includes a complete release of the Indemnitee, the Indemnifying Party will have the sole right to enter into a settlement on such terms as AVROBIO, in its sole discretion, will deem appropriate. The Indemnifying Party will pay all Losses resulting from such settlement pursuant to the terms of such settlement, including any conditions set by the court adjudicating such Claim. With respect to all other Losses in connection with Claims, the Indemnifying Party will have authority to consent to the entry of any judgment, enter into any settlement or otherwise dispose of such Loss provided it obtains the prior written consent of the other Party and all relevant Indemnitees (which consent will be at the other Party’s and such other Indemnitees’ sole and absolute discretion).</w:t>
      </w:r>
    </w:p>
    <w:p>
      <w:pPr>
        <w:spacing w:after="0" w:line="64"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9.3.5 </w:t>
      </w:r>
      <w:r>
        <w:rPr>
          <w:rFonts w:ascii="Arial" w:cs="Arial" w:eastAsia="Arial" w:hAnsi="Arial"/>
          <w:sz w:val="17"/>
          <w:szCs w:val="17"/>
          <w:b w:val="1"/>
          <w:bCs w:val="1"/>
          <w:color w:val="auto"/>
        </w:rPr>
        <w:t>Cooperation</w:t>
      </w:r>
      <w:r>
        <w:rPr>
          <w:rFonts w:ascii="Arial" w:cs="Arial" w:eastAsia="Arial" w:hAnsi="Arial"/>
          <w:sz w:val="17"/>
          <w:szCs w:val="17"/>
          <w:color w:val="auto"/>
        </w:rPr>
        <w:t>. Each Indemnitee will cooperate in the defense of any Claim by the Indemnifying Party under this Section 9 and will furnish such records, information and testimony, provide such witnesses and attend such conferences, discovery proceedings, hearings, trials and appeals as may be reasonably requested by the Indemnifying Party in connection with such defense. Such cooperation will include access during normal business hours afforded to counsel selected by the Indemnifying Party under Section 9.3.2 to, and reasonable retention by the Indemnitee, as required under applicable law, of records and information that are reasonably relevant to such Claim, and making a reasonably limited number of employees and agents available on a mutually convenient basis to provide additional information and explanation of any material provided hereunder. The Indemnifying Party will reimburse the Indemnitee for all its reasonable out-of-pocket expenses in connection therewith.</w:t>
      </w:r>
    </w:p>
    <w:p>
      <w:pPr>
        <w:spacing w:after="0" w:line="64" w:lineRule="exact"/>
        <w:rPr>
          <w:sz w:val="20"/>
          <w:szCs w:val="20"/>
          <w:color w:val="auto"/>
        </w:rPr>
      </w:pPr>
    </w:p>
    <w:p>
      <w:pPr>
        <w:ind w:right="620" w:firstLine="456"/>
        <w:spacing w:after="0" w:line="261" w:lineRule="auto"/>
        <w:rPr>
          <w:sz w:val="20"/>
          <w:szCs w:val="20"/>
          <w:color w:val="auto"/>
        </w:rPr>
      </w:pPr>
      <w:r>
        <w:rPr>
          <w:rFonts w:ascii="Arial" w:cs="Arial" w:eastAsia="Arial" w:hAnsi="Arial"/>
          <w:sz w:val="18"/>
          <w:szCs w:val="18"/>
          <w:b w:val="1"/>
          <w:bCs w:val="1"/>
          <w:color w:val="auto"/>
        </w:rPr>
        <w:t>9.4 Expenses</w:t>
      </w:r>
      <w:r>
        <w:rPr>
          <w:rFonts w:ascii="Arial" w:cs="Arial" w:eastAsia="Arial" w:hAnsi="Arial"/>
          <w:sz w:val="18"/>
          <w:szCs w:val="18"/>
          <w:color w:val="auto"/>
        </w:rPr>
        <w:t>. Except as provided above, any costs and expenses, including fees and disbursements of counsel, incurred by an Indemnitee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any Claim will be reimbursed on a [***] by the Indemnifying Party without prejudice to the Indemnifying Party’s right to contest the Indemnitee’s right to indemnification and subject to refund in the event the Indemnifying Party is ultimately held not to be obligated to indemnify the Indemnitee.</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20" w:name="page421"/>
    <w:bookmarkEnd w:id="420"/>
    <w:p>
      <w:pPr>
        <w:ind w:right="40"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9.5 </w:t>
      </w:r>
      <w:r>
        <w:rPr>
          <w:rFonts w:ascii="Arial" w:cs="Arial" w:eastAsia="Arial" w:hAnsi="Arial"/>
          <w:sz w:val="17"/>
          <w:szCs w:val="17"/>
          <w:b w:val="1"/>
          <w:bCs w:val="1"/>
          <w:color w:val="auto"/>
        </w:rPr>
        <w:t>Insurance</w:t>
      </w:r>
      <w:r>
        <w:rPr>
          <w:rFonts w:ascii="Arial" w:cs="Arial" w:eastAsia="Arial" w:hAnsi="Arial"/>
          <w:sz w:val="17"/>
          <w:szCs w:val="17"/>
          <w:color w:val="auto"/>
        </w:rPr>
        <w:t>. AVROBIO shall have and maintain at its sole cost and expense, adequate liability insurance (including product liability insurance) to protect against potential liabilities and risk arising out of its activities under this Agreement and any agreement related hereto and upon such terms (including coverages, deductible limits and self-insured retentions) as are customary in the pharmaceutical industry generally for drug development activities; provided that, upon commencement of clinical trials of Licensed Product(s), such coverage will include a minimum per occurrence limit of [***] and upon commercialization of Licensed Products such coverage will include a minimum per occurrence limit of [***]. Such liability insurance shall insure against all types of liability, including personal injury, physical injury or property damage arising out of such AVROBIO’s activities hereunder. Such policy shall include BioMarin as an additional insured and shall include a waiver of subrogation. At least [***] prior to initiation of any clinical trial of a Licensed Product, Provider shall provide to BioMarin certificates of insurance evidencing the above required insurance. This Section 9.5 shall not create any limitation on AVROBIO’s liability under this Agreement, including with respect to its indemnification obligations under this Section 9.</w:t>
      </w:r>
    </w:p>
    <w:p>
      <w:pPr>
        <w:spacing w:after="0" w:line="201" w:lineRule="exact"/>
        <w:rPr>
          <w:sz w:val="20"/>
          <w:szCs w:val="20"/>
          <w:color w:val="auto"/>
        </w:rPr>
      </w:pPr>
    </w:p>
    <w:p>
      <w:pPr>
        <w:ind w:left="460" w:hanging="452"/>
        <w:spacing w:after="0"/>
        <w:tabs>
          <w:tab w:leader="none" w:pos="460" w:val="left"/>
        </w:tabs>
        <w:numPr>
          <w:ilvl w:val="0"/>
          <w:numId w:val="332"/>
        </w:numPr>
        <w:rPr>
          <w:rFonts w:ascii="Arial" w:cs="Arial" w:eastAsia="Arial" w:hAnsi="Arial"/>
          <w:sz w:val="18"/>
          <w:szCs w:val="18"/>
          <w:b w:val="1"/>
          <w:bCs w:val="1"/>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IMITATION OF</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IABILITY</w:t>
      </w:r>
    </w:p>
    <w:p>
      <w:pPr>
        <w:spacing w:after="0" w:line="121"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IN NO EVENT SHALL EITHER PARTY BE LIABLE FOR ANY INDIRECT, INCIDENTAL, SPECIAL, PUNITIVE, EXEMPLARY OR CONSEQUENTIAL DAMAGES, WHETHER BASED UPON A CLAIM OR ACTION OF CONTRACT, WARRANTY, NEGLIGENCE, STRICT LIABILITY OR OTHER TORT, OR OTHERWISE, ARISING OUT OF THE AGREEMENT; AND IN NO EVENT SHALL BIOMARIN’S LIABILITY FOR DIRECT DAMAGES UNDER THIS AGREEMENT EXCEED [***]. THE FOREGOING LIMITATIONS WILL NOT LIMIT EITHER PARTY’S OBLIGATIONS TO THE OTHER PARTY UNDER SECTION 7 OR 9 OF THIS AGREEMENT.</w:t>
      </w:r>
    </w:p>
    <w:p>
      <w:pPr>
        <w:spacing w:after="0" w:line="211" w:lineRule="exact"/>
        <w:rPr>
          <w:sz w:val="20"/>
          <w:szCs w:val="20"/>
          <w:color w:val="auto"/>
        </w:rPr>
      </w:pPr>
    </w:p>
    <w:p>
      <w:pPr>
        <w:ind w:left="460" w:hanging="452"/>
        <w:spacing w:after="0"/>
        <w:tabs>
          <w:tab w:leader="none" w:pos="460" w:val="left"/>
        </w:tabs>
        <w:numPr>
          <w:ilvl w:val="0"/>
          <w:numId w:val="333"/>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p>
    <w:p>
      <w:pPr>
        <w:spacing w:after="0" w:line="117"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b w:val="1"/>
          <w:bCs w:val="1"/>
          <w:color w:val="auto"/>
        </w:rPr>
        <w:t xml:space="preserve">11.1 Assignment. </w:t>
      </w:r>
      <w:r>
        <w:rPr>
          <w:rFonts w:ascii="Arial" w:cs="Arial" w:eastAsia="Arial" w:hAnsi="Arial"/>
          <w:sz w:val="17"/>
          <w:szCs w:val="17"/>
          <w:color w:val="auto"/>
        </w:rPr>
        <w:t>Without the prior written consent of the other Party hereto (which consent shall not be unreasonably withheld), a Party will not sell,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transfer, assign, delegate, pledge or otherwise dispose of, whether voluntarily, involuntarily, by operation of law or otherwise, this Agreement or any of its rights or duties hereunder; </w:t>
      </w:r>
      <w:r>
        <w:rPr>
          <w:rFonts w:ascii="Arial" w:cs="Arial" w:eastAsia="Arial" w:hAnsi="Arial"/>
          <w:sz w:val="17"/>
          <w:szCs w:val="17"/>
          <w:i w:val="1"/>
          <w:iCs w:val="1"/>
          <w:color w:val="auto"/>
        </w:rPr>
        <w:t>provided</w:t>
      </w:r>
      <w:r>
        <w:rPr>
          <w:rFonts w:ascii="Arial" w:cs="Arial" w:eastAsia="Arial" w:hAnsi="Arial"/>
          <w:sz w:val="17"/>
          <w:szCs w:val="17"/>
          <w:color w:val="auto"/>
        </w:rPr>
        <w:t>, that a Party hereto may assign or transfer this Agreement and its rights or obligations hereunder without the consent of the other Party: (a) to any Affiliate of such Party; or (b) to any Third Party with which it merges or consolidates, or to which it transfers all or substantially all of its assets to which this Agreement relates, and provided that the foregoing consent obligation shall not limit the ability to grant sublicenses as permitted in this Agreement or to engage subcontractors to perform certain obligations hereunder. The assigning Party (except if it is not the surviving entity) will remain jointly and severally liable with the relevant Affiliate or Third Party assignee under this Agreement, and the relevant Affiliate assignee, Third Party assignee or surviving entity will assume in writing all of the assigning Party’s obligations under this Agreement. Any purported assignment or transfer in violation of this Section 11.1 will be void ab initio and of no force or effect.</w:t>
      </w:r>
    </w:p>
    <w:p>
      <w:pPr>
        <w:spacing w:after="0" w:line="66" w:lineRule="exact"/>
        <w:rPr>
          <w:sz w:val="20"/>
          <w:szCs w:val="20"/>
          <w:color w:val="auto"/>
        </w:rPr>
      </w:pPr>
    </w:p>
    <w:p>
      <w:pPr>
        <w:ind w:right="140" w:firstLine="456"/>
        <w:spacing w:after="0" w:line="314" w:lineRule="auto"/>
        <w:rPr>
          <w:sz w:val="20"/>
          <w:szCs w:val="20"/>
          <w:color w:val="auto"/>
        </w:rPr>
      </w:pPr>
      <w:r>
        <w:rPr>
          <w:rFonts w:ascii="Arial" w:cs="Arial" w:eastAsia="Arial" w:hAnsi="Arial"/>
          <w:sz w:val="16"/>
          <w:szCs w:val="16"/>
          <w:b w:val="1"/>
          <w:bCs w:val="1"/>
          <w:color w:val="auto"/>
        </w:rPr>
        <w:t xml:space="preserve">11.2 Severability. </w:t>
      </w:r>
      <w:r>
        <w:rPr>
          <w:rFonts w:ascii="Arial" w:cs="Arial" w:eastAsia="Arial" w:hAnsi="Arial"/>
          <w:sz w:val="16"/>
          <w:szCs w:val="16"/>
          <w:color w:val="auto"/>
        </w:rPr>
        <w:t>If any provision of this Agreement is held to be illegal, invalid or unenforceable under any present or future law, and if the rights or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of either Party under this Agreement will not be materially and adversely affected thereby, (a) such provision will be fully severable, (b) this Agreement will be construed and enforced as if such illegal, invalid or unenforceable provision had never comprised a part hereof, (c) the remaining</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21" w:name="page422"/>
    <w:bookmarkEnd w:id="421"/>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of this Agreement will remain in full force and effect and will not be affected by the illegal, invalid or unenforceable provision or by its severance herefrom, and (d) in lieu of such illegal, invalid or unenforceable provision, there will be added automatically as a part of this Agreement a legal, valid and enforceable provision as similar in terms to such illegal, invalid or unenforceable provision as may be possible and reasonably acceptable to the Parties herein.</w:t>
      </w:r>
    </w:p>
    <w:p>
      <w:pPr>
        <w:spacing w:after="0" w:line="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11.3 Governing Law; Dispute Resolution.</w:t>
      </w:r>
    </w:p>
    <w:p>
      <w:pPr>
        <w:spacing w:after="0" w:line="121" w:lineRule="exact"/>
        <w:rPr>
          <w:sz w:val="20"/>
          <w:szCs w:val="20"/>
          <w:color w:val="auto"/>
        </w:rPr>
      </w:pPr>
    </w:p>
    <w:p>
      <w:pPr>
        <w:ind w:right="260" w:firstLine="913"/>
        <w:spacing w:after="0" w:line="279" w:lineRule="auto"/>
        <w:rPr>
          <w:sz w:val="20"/>
          <w:szCs w:val="20"/>
          <w:color w:val="auto"/>
        </w:rPr>
      </w:pPr>
      <w:r>
        <w:rPr>
          <w:rFonts w:ascii="Arial" w:cs="Arial" w:eastAsia="Arial" w:hAnsi="Arial"/>
          <w:sz w:val="17"/>
          <w:szCs w:val="17"/>
          <w:color w:val="auto"/>
        </w:rPr>
        <w:t>11.3.1 This Agreement, and any disputes between the Parties related to or arising out of this Agreement (including the Parties’ relationship created hereby, the negotiations for and entry into this Agreement, its conclusion, binding effect, amendment, coverage, termination, or the performance or alleged non-performance of a Party of its obligations under this Agreement) (each a “</w:t>
      </w:r>
      <w:r>
        <w:rPr>
          <w:rFonts w:ascii="Arial" w:cs="Arial" w:eastAsia="Arial" w:hAnsi="Arial"/>
          <w:sz w:val="17"/>
          <w:szCs w:val="17"/>
          <w:b w:val="1"/>
          <w:bCs w:val="1"/>
          <w:color w:val="auto"/>
        </w:rPr>
        <w:t>Dispute</w:t>
      </w:r>
      <w:r>
        <w:rPr>
          <w:rFonts w:ascii="Arial" w:cs="Arial" w:eastAsia="Arial" w:hAnsi="Arial"/>
          <w:sz w:val="17"/>
          <w:szCs w:val="17"/>
          <w:color w:val="auto"/>
        </w:rPr>
        <w:t>”), will be governed by the laws of the State of Delaware without reference to any choice of law principles thereof that would cause the application of the laws of a different jurisdiction.</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11.3.2 In the event of any Dispute, a Party may notify the other Party in writing of such Dispute, and such Dispute will be promptly referred to</w:t>
      </w:r>
    </w:p>
    <w:p>
      <w:pPr>
        <w:spacing w:after="0" w:line="46" w:lineRule="exact"/>
        <w:rPr>
          <w:sz w:val="20"/>
          <w:szCs w:val="20"/>
          <w:color w:val="auto"/>
        </w:rPr>
      </w:pPr>
    </w:p>
    <w:p>
      <w:pPr>
        <w:ind w:right="40" w:firstLine="8"/>
        <w:spacing w:after="0" w:line="255" w:lineRule="auto"/>
        <w:tabs>
          <w:tab w:leader="none" w:pos="43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Officers</w:t>
      </w:r>
      <w:r>
        <w:rPr>
          <w:rFonts w:ascii="Arial" w:cs="Arial" w:eastAsia="Arial" w:hAnsi="Arial"/>
          <w:sz w:val="18"/>
          <w:szCs w:val="18"/>
          <w:color w:val="auto"/>
        </w:rPr>
        <w:t>”) of each of the Parties (or their respective designees) who will use their good faith efforts to resolve the Dispute within [***] after it was referred to such Senior Officers. If such Senior Officers are unable to resolve such dispute within thirty (30) days of their first meeting for such negotiations, either Party may seek to have such dispute resolved in accordance with Section 11.3.3.</w:t>
      </w:r>
    </w:p>
    <w:p>
      <w:pPr>
        <w:spacing w:after="0" w:line="82" w:lineRule="exact"/>
        <w:rPr>
          <w:sz w:val="20"/>
          <w:szCs w:val="20"/>
          <w:color w:val="auto"/>
        </w:rPr>
      </w:pPr>
    </w:p>
    <w:p>
      <w:pPr>
        <w:ind w:right="40" w:firstLine="913"/>
        <w:spacing w:after="0" w:line="285" w:lineRule="auto"/>
        <w:rPr>
          <w:sz w:val="20"/>
          <w:szCs w:val="20"/>
          <w:color w:val="auto"/>
        </w:rPr>
      </w:pPr>
      <w:r>
        <w:rPr>
          <w:rFonts w:ascii="Arial" w:cs="Arial" w:eastAsia="Arial" w:hAnsi="Arial"/>
          <w:sz w:val="16"/>
          <w:szCs w:val="16"/>
          <w:color w:val="auto"/>
        </w:rPr>
        <w:t>11.3.3 Any dispute arising under this Agreement, or other legal proceeding relating to this Agreement or the enforcement of any provision of this Agreement, if not resolved by the Senior Officers pursuant to Section 11.3.2, must be brought or otherwise commenced solely and exclusively in courts of competent jurisdiction located in the city of Wilmington, Delaware. Consistent with the preceding sentence, each of the Parties: (a) expressly and irrevocably consents and submits to the jurisdiction of the courts of competent jurisdiction in the city of Wilmington, Delaware in connection with any such legal proceeding; (b) expressly agrees that the courts of competent jurisdiction in the city of Wilmington, Delaware shall be deemed to be a convenient forum; and</w:t>
      </w:r>
    </w:p>
    <w:p>
      <w:pPr>
        <w:spacing w:after="0" w:line="2" w:lineRule="exact"/>
        <w:rPr>
          <w:sz w:val="20"/>
          <w:szCs w:val="20"/>
          <w:color w:val="auto"/>
        </w:rPr>
      </w:pPr>
    </w:p>
    <w:p>
      <w:pPr>
        <w:ind w:right="420" w:firstLine="8"/>
        <w:spacing w:after="0" w:line="254" w:lineRule="auto"/>
        <w:tabs>
          <w:tab w:leader="none" w:pos="24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expressly agrees not to assert (by way of motion, as a defense or otherwise), in any such legal proceeding commenced in the courts of competent jurisdiction in the city of Wilmington, Delaware, any claim that such Party is not subject personally to the jurisdiction of such court, that such legal proceeding has been brought in an inconvenient forum, that the venue of such proceeding is improper or that this Agreement or the subject matter of this Agreement may not be enforced in or by such court.</w:t>
      </w:r>
    </w:p>
    <w:p>
      <w:pPr>
        <w:spacing w:after="0" w:line="78"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b w:val="1"/>
          <w:bCs w:val="1"/>
          <w:color w:val="auto"/>
        </w:rPr>
        <w:t xml:space="preserve">11.4 Notices. </w:t>
      </w:r>
      <w:r>
        <w:rPr>
          <w:rFonts w:ascii="Arial" w:cs="Arial" w:eastAsia="Arial" w:hAnsi="Arial"/>
          <w:sz w:val="18"/>
          <w:szCs w:val="18"/>
          <w:color w:val="auto"/>
        </w:rPr>
        <w:t>All notices or other communications that are required or permitted hereunder will be in writing and delivered personally, or sent by</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internationally-recognized overnight courier addressed as follows: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to BioMarin.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BioMarin Pharmaceutical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105 Digital Drive</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Novato, CA 94949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General Counsel</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4" w:right="239" w:bottom="1440" w:gutter="0" w:footer="0" w:header="0"/>
        </w:sectPr>
      </w:pPr>
    </w:p>
    <w:bookmarkStart w:id="422" w:name="page423"/>
    <w:bookmarkEnd w:id="422"/>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to AVROBIO, to:</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AVROBIO, Inc.</w:t>
      </w:r>
    </w:p>
    <w:p>
      <w:pPr>
        <w:spacing w:after="0" w:line="2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700 Technology Square, Suite 101</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Cambridge, MA 02139</w:t>
      </w:r>
    </w:p>
    <w:p>
      <w:pPr>
        <w:spacing w:after="0" w:line="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or to such other address as the Party to whom notice is to be given may have furnished to the other Party in writing in accordance herewith. Any such communication will be deemed to have been given (i) when delivered, if personally delivered, and (ii) on the second business day after dispatch, if sent by internationally-recognized overnight courier. It is understood and agreed that this Section 11.4 is not intended to govern the day-to-day business communications necessary between the Parties in performing their duties, in due course, under the terms of this Agreement.</w:t>
      </w:r>
    </w:p>
    <w:p>
      <w:pPr>
        <w:spacing w:after="0" w:line="167"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11.5 Entire Agreement; Modifications</w:t>
      </w:r>
      <w:r>
        <w:rPr>
          <w:rFonts w:ascii="Arial" w:cs="Arial" w:eastAsia="Arial" w:hAnsi="Arial"/>
          <w:sz w:val="17"/>
          <w:szCs w:val="17"/>
          <w:color w:val="auto"/>
        </w:rPr>
        <w:t>. This Agreement including the Exhibits attached hereto, each of which is hereby incorporated and made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in this Agreement by reference, sets forth and constitutes the entire agreement and understanding between the Parties with respect to the subject matter hereof and all prior agreements, understanding, promises and representations, whether written or oral, with respect thereto. Each Party confirms that it is not relying on any representations or warranties of the other Party except as specifically set forth herein. No amendment or modification of this Agreement will be binding upon the Parties unless in writing and duly executed by authorized representatives of both Parties.</w:t>
      </w:r>
    </w:p>
    <w:p>
      <w:pPr>
        <w:spacing w:after="0" w:line="168"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b w:val="1"/>
          <w:bCs w:val="1"/>
          <w:color w:val="auto"/>
        </w:rPr>
        <w:t>11.6 Relationship of the Parties</w:t>
      </w:r>
      <w:r>
        <w:rPr>
          <w:rFonts w:ascii="Arial" w:cs="Arial" w:eastAsia="Arial" w:hAnsi="Arial"/>
          <w:sz w:val="18"/>
          <w:szCs w:val="18"/>
          <w:color w:val="auto"/>
        </w:rPr>
        <w:t>. It is expressly agreed that the Parties’ relationship under this Agreement is strictly one of a pure contract relationship</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BioMarin and AVROBIO, and that this Agreement does not create or constitute a partnership, joint venture, or agency. Neither Party will have the authority to make any statements, representations or commitments of any kind, or to take any action, which will be binding (or purport to be binding) on the other.</w:t>
      </w:r>
    </w:p>
    <w:p>
      <w:pPr>
        <w:spacing w:after="0" w:line="180" w:lineRule="exact"/>
        <w:rPr>
          <w:sz w:val="20"/>
          <w:szCs w:val="20"/>
          <w:color w:val="auto"/>
        </w:rPr>
      </w:pPr>
    </w:p>
    <w:p>
      <w:pPr>
        <w:ind w:right="40" w:firstLine="456"/>
        <w:spacing w:after="0" w:line="261" w:lineRule="auto"/>
        <w:rPr>
          <w:sz w:val="20"/>
          <w:szCs w:val="20"/>
          <w:color w:val="auto"/>
        </w:rPr>
      </w:pPr>
      <w:r>
        <w:rPr>
          <w:rFonts w:ascii="Arial" w:cs="Arial" w:eastAsia="Arial" w:hAnsi="Arial"/>
          <w:sz w:val="18"/>
          <w:szCs w:val="18"/>
          <w:b w:val="1"/>
          <w:bCs w:val="1"/>
          <w:color w:val="auto"/>
        </w:rPr>
        <w:t>11.7 Waiver</w:t>
      </w:r>
      <w:r>
        <w:rPr>
          <w:rFonts w:ascii="Arial" w:cs="Arial" w:eastAsia="Arial" w:hAnsi="Arial"/>
          <w:sz w:val="18"/>
          <w:szCs w:val="18"/>
          <w:color w:val="auto"/>
        </w:rPr>
        <w:t>. Any term or condition of this Agreement may be waived at any time by the Party that is entitled to the benefit thereof, but no such waiver</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effective unless set forth in a written instrument duly executed by or on behalf of the Party waiving such term or condition. The waiver by either Party hereto of any right hereunder or of claims based on the failure to perform or a breach by the other Party will not be deemed a waiver of any other right hereunder or of any other breach or failure by said other Party whether of a similar nature or otherwise.</w:t>
      </w:r>
    </w:p>
    <w:p>
      <w:pPr>
        <w:spacing w:after="0" w:line="180"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b w:val="1"/>
          <w:bCs w:val="1"/>
          <w:color w:val="auto"/>
        </w:rPr>
        <w:t>11.8 Counterparts</w:t>
      </w:r>
      <w:r>
        <w:rPr>
          <w:rFonts w:ascii="Arial" w:cs="Arial" w:eastAsia="Arial" w:hAnsi="Arial"/>
          <w:sz w:val="18"/>
          <w:szCs w:val="18"/>
          <w:color w:val="auto"/>
        </w:rPr>
        <w:t>. This Agreement may be executed in two or more counterparts, each of which will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w:t>
      </w:r>
    </w:p>
    <w:p>
      <w:pPr>
        <w:spacing w:after="0" w:line="162" w:lineRule="exact"/>
        <w:rPr>
          <w:sz w:val="20"/>
          <w:szCs w:val="20"/>
          <w:color w:val="auto"/>
        </w:rPr>
      </w:pPr>
    </w:p>
    <w:p>
      <w:pPr>
        <w:ind w:right="100" w:firstLine="456"/>
        <w:spacing w:after="0" w:line="313" w:lineRule="auto"/>
        <w:rPr>
          <w:sz w:val="20"/>
          <w:szCs w:val="20"/>
          <w:color w:val="auto"/>
        </w:rPr>
      </w:pPr>
      <w:r>
        <w:rPr>
          <w:rFonts w:ascii="Arial" w:cs="Arial" w:eastAsia="Arial" w:hAnsi="Arial"/>
          <w:sz w:val="17"/>
          <w:szCs w:val="17"/>
          <w:b w:val="1"/>
          <w:bCs w:val="1"/>
          <w:color w:val="auto"/>
        </w:rPr>
        <w:t>11.9 No Benefit to Third Parties</w:t>
      </w:r>
      <w:r>
        <w:rPr>
          <w:rFonts w:ascii="Arial" w:cs="Arial" w:eastAsia="Arial" w:hAnsi="Arial"/>
          <w:sz w:val="17"/>
          <w:szCs w:val="17"/>
          <w:color w:val="auto"/>
        </w:rPr>
        <w:t>. The representations, warranties, covenants and agreements set forth in this Agreement are for the sole benefit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hereto and their successors and permitted assigns, and they will not be construed as conferring any rights on any other parties.</w:t>
      </w:r>
    </w:p>
    <w:p>
      <w:pPr>
        <w:spacing w:after="0" w:line="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3" w:right="239" w:bottom="1440" w:gutter="0" w:footer="0" w:header="0"/>
        </w:sectPr>
      </w:pPr>
    </w:p>
    <w:bookmarkStart w:id="423" w:name="page424"/>
    <w:bookmarkEnd w:id="423"/>
    <w:p>
      <w:pPr>
        <w:ind w:right="4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11.10 Further Assurance</w:t>
      </w:r>
      <w:r>
        <w:rPr>
          <w:rFonts w:ascii="Arial" w:cs="Arial" w:eastAsia="Arial" w:hAnsi="Arial"/>
          <w:sz w:val="18"/>
          <w:szCs w:val="18"/>
          <w:color w:val="auto"/>
        </w:rPr>
        <w:t>. Each Party will duly execute and deliver, or cause to be duly executed and delivered, such further instruments and do and</w:t>
      </w:r>
      <w:r>
        <w:rPr>
          <w:rFonts w:ascii="Arial" w:cs="Arial" w:eastAsia="Arial" w:hAnsi="Arial"/>
          <w:sz w:val="18"/>
          <w:szCs w:val="18"/>
          <w:b w:val="1"/>
          <w:bCs w:val="1"/>
          <w:color w:val="auto"/>
        </w:rPr>
        <w:t xml:space="preserve"> </w:t>
      </w:r>
      <w:r>
        <w:rPr>
          <w:rFonts w:ascii="Arial" w:cs="Arial" w:eastAsia="Arial" w:hAnsi="Arial"/>
          <w:sz w:val="18"/>
          <w:szCs w:val="18"/>
          <w:color w:val="auto"/>
        </w:rPr>
        <w:t>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or to better assure and confirm unto such other Party its rights and remedies under this Agreement.</w:t>
      </w:r>
    </w:p>
    <w:p>
      <w:pPr>
        <w:spacing w:after="0" w:line="180" w:lineRule="exact"/>
        <w:rPr>
          <w:sz w:val="20"/>
          <w:szCs w:val="20"/>
          <w:color w:val="auto"/>
        </w:rPr>
      </w:pPr>
    </w:p>
    <w:p>
      <w:pPr>
        <w:ind w:right="40" w:firstLine="456"/>
        <w:spacing w:after="0" w:line="314" w:lineRule="auto"/>
        <w:rPr>
          <w:sz w:val="20"/>
          <w:szCs w:val="20"/>
          <w:color w:val="auto"/>
        </w:rPr>
      </w:pPr>
      <w:r>
        <w:rPr>
          <w:rFonts w:ascii="Arial" w:cs="Arial" w:eastAsia="Arial" w:hAnsi="Arial"/>
          <w:sz w:val="16"/>
          <w:szCs w:val="16"/>
          <w:b w:val="1"/>
          <w:bCs w:val="1"/>
          <w:color w:val="auto"/>
        </w:rPr>
        <w:t>11.11 English Language</w:t>
      </w:r>
      <w:r>
        <w:rPr>
          <w:rFonts w:ascii="Arial" w:cs="Arial" w:eastAsia="Arial" w:hAnsi="Arial"/>
          <w:sz w:val="16"/>
          <w:szCs w:val="16"/>
          <w:color w:val="auto"/>
        </w:rPr>
        <w:t>. This Agreement has been written and executed in the English language as used in the United States of America and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interpreted in accordance with the English language as used in the United States of America. Any translation by a Party into any other language will not be an official version thereof, and in the event of any conflict in interpretation between the English version and such translation, the English version will control.</w:t>
      </w:r>
    </w:p>
    <w:p>
      <w:pPr>
        <w:spacing w:after="0" w:line="142" w:lineRule="exact"/>
        <w:rPr>
          <w:sz w:val="20"/>
          <w:szCs w:val="20"/>
          <w:color w:val="auto"/>
        </w:rPr>
      </w:pPr>
    </w:p>
    <w:p>
      <w:pPr>
        <w:jc w:val="both"/>
        <w:ind w:right="20" w:firstLine="456"/>
        <w:spacing w:after="0" w:line="266" w:lineRule="auto"/>
        <w:rPr>
          <w:sz w:val="20"/>
          <w:szCs w:val="20"/>
          <w:color w:val="auto"/>
        </w:rPr>
      </w:pPr>
      <w:r>
        <w:rPr>
          <w:rFonts w:ascii="Arial" w:cs="Arial" w:eastAsia="Arial" w:hAnsi="Arial"/>
          <w:sz w:val="18"/>
          <w:szCs w:val="18"/>
          <w:b w:val="1"/>
          <w:bCs w:val="1"/>
          <w:color w:val="auto"/>
        </w:rPr>
        <w:t>11.12 No Drafting Party</w:t>
      </w:r>
      <w:r>
        <w:rPr>
          <w:rFonts w:ascii="Arial" w:cs="Arial" w:eastAsia="Arial" w:hAnsi="Arial"/>
          <w:sz w:val="18"/>
          <w:szCs w:val="18"/>
          <w:color w:val="auto"/>
        </w:rPr>
        <w:t>. This Agreement has been submitted to the scrutiny of, and has been negotiated by, both Parties and their counsel, and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given a fair and reasonable interpretation in accordance with its terms, without consideration or weight being given to any such terms having been drafted by any Party or its counsel. No rule of strict construction will be applied against either Party .</w:t>
      </w:r>
    </w:p>
    <w:p>
      <w:pPr>
        <w:spacing w:after="0" w:line="17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11.13 Construction</w:t>
      </w:r>
      <w:r>
        <w:rPr>
          <w:rFonts w:ascii="Arial" w:cs="Arial" w:eastAsia="Arial" w:hAnsi="Arial"/>
          <w:sz w:val="16"/>
          <w:szCs w:val="16"/>
          <w:color w:val="auto"/>
        </w:rPr>
        <w:t>. Except where the context otherwise requires, wherever used, the use of any gender will be applicable to all genders and the word</w:t>
      </w:r>
      <w:r>
        <w:rPr>
          <w:rFonts w:ascii="Arial" w:cs="Arial" w:eastAsia="Arial" w:hAnsi="Arial"/>
          <w:sz w:val="16"/>
          <w:szCs w:val="16"/>
          <w:b w:val="1"/>
          <w:bCs w:val="1"/>
          <w:color w:val="auto"/>
        </w:rPr>
        <w:t xml:space="preserve"> </w:t>
      </w:r>
      <w:r>
        <w:rPr>
          <w:rFonts w:ascii="Arial" w:cs="Arial" w:eastAsia="Arial" w:hAnsi="Arial"/>
          <w:sz w:val="16"/>
          <w:szCs w:val="16"/>
          <w:color w:val="auto"/>
        </w:rPr>
        <w:t>“or” is used in the inclusive sense (and/or). The captions of this Agreement are for convenience of reference only and in no way define, describe, extend or limit the scope or intent of this Agreement or the intent of any provision contained in this Agreement. The term “including” as used herein means including, without limiting the generality of any description preceding such term. The word “any” will mean “any” unless otherwise clearly indicated by context. Unless the context requires otherwise, (a) any definition of or reference to any agreement, instrument or other document refer to such agreement, instrument or other document as from time to time amended, supplemented or otherwise modified (subject to any restrictions on such amendments, supplements or modifications set forth herein or therein), (b) any reference to any laws refer to such laws as from time to time enacted, repealed or amended, (c) the words “herein”, “hereof and “hereunder”, and words of similar import, refer to this Agreement in its entirety and not to any particular provision hereof, and (d) all references herein to Sections and Exhibits, unless otherwise specifically provided, refer to the Sections and Exhibits of this Agreement.</w:t>
      </w:r>
    </w:p>
    <w:p>
      <w:pPr>
        <w:spacing w:after="0" w:line="160"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[Remainder of page intentionally left blank. Signature page follows.]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24" w:name="page425"/>
    <w:bookmarkEnd w:id="42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7"/>
          <w:szCs w:val="17"/>
          <w:color w:val="auto"/>
        </w:rPr>
        <w:t>, the Parties have executed this Agreement by their respective authorized representatives as of the date first written above.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w:t>
      </w:r>
      <w:r>
        <w:rPr>
          <w:rFonts w:ascii="Arial" w:cs="Arial" w:eastAsia="Arial" w:hAnsi="Arial"/>
          <w:sz w:val="15"/>
          <w:szCs w:val="15"/>
          <w:b w:val="1"/>
          <w:bCs w:val="1"/>
          <w:color w:val="auto"/>
        </w:rPr>
        <w:t>IO</w:t>
      </w:r>
      <w:r>
        <w:rPr>
          <w:rFonts w:ascii="Arial" w:cs="Arial" w:eastAsia="Arial" w:hAnsi="Arial"/>
          <w:sz w:val="18"/>
          <w:szCs w:val="18"/>
          <w:b w:val="1"/>
          <w:bCs w:val="1"/>
          <w:color w:val="auto"/>
        </w:rPr>
        <w:t>M</w:t>
      </w:r>
      <w:r>
        <w:rPr>
          <w:rFonts w:ascii="Arial" w:cs="Arial" w:eastAsia="Arial" w:hAnsi="Arial"/>
          <w:sz w:val="15"/>
          <w:szCs w:val="15"/>
          <w:b w:val="1"/>
          <w:bCs w:val="1"/>
          <w:color w:val="auto"/>
        </w:rPr>
        <w:t>ARIN</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HARMACEUTICAL</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 Eric Davis</w:t>
            </w:r>
          </w:p>
        </w:tc>
      </w:tr>
      <w:tr>
        <w:trPr>
          <w:trHeight w:val="43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G. Eric Davis</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Executive Vice President, General Counsel</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AVROBIO,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Geoff MacKay</w:t>
            </w:r>
          </w:p>
        </w:tc>
      </w:tr>
      <w:tr>
        <w:trPr>
          <w:trHeight w:val="439"/>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Geoff MacKay</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President &amp; CEO</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25" w:name="page426"/>
    <w:bookmarkEnd w:id="425"/>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3620" w:type="dxa"/>
            <w:vAlign w:val="bottom"/>
          </w:tcPr>
          <w:p>
            <w:pPr>
              <w:jc w:val="center"/>
              <w:ind w:right="1070"/>
              <w:spacing w:after="0"/>
              <w:rPr>
                <w:sz w:val="20"/>
                <w:szCs w:val="20"/>
                <w:color w:val="auto"/>
              </w:rPr>
            </w:pPr>
            <w:r>
              <w:rPr>
                <w:rFonts w:ascii="Arial" w:cs="Arial" w:eastAsia="Arial" w:hAnsi="Arial"/>
                <w:sz w:val="18"/>
                <w:szCs w:val="18"/>
                <w:b w:val="1"/>
                <w:bCs w:val="1"/>
                <w:color w:val="auto"/>
                <w:w w:val="99"/>
              </w:rPr>
              <w:t>S</w:t>
            </w:r>
            <w:r>
              <w:rPr>
                <w:rFonts w:ascii="Arial" w:cs="Arial" w:eastAsia="Arial" w:hAnsi="Arial"/>
                <w:sz w:val="15"/>
                <w:szCs w:val="15"/>
                <w:b w:val="1"/>
                <w:bCs w:val="1"/>
                <w:color w:val="auto"/>
                <w:w w:val="99"/>
              </w:rPr>
              <w:t>CHEDULE</w:t>
            </w:r>
            <w:r>
              <w:rPr>
                <w:rFonts w:ascii="Arial" w:cs="Arial" w:eastAsia="Arial" w:hAnsi="Arial"/>
                <w:sz w:val="18"/>
                <w:szCs w:val="18"/>
                <w:b w:val="1"/>
                <w:bCs w:val="1"/>
                <w:color w:val="auto"/>
                <w:w w:val="99"/>
              </w:rPr>
              <w:t xml:space="preserve"> A</w:t>
            </w:r>
          </w:p>
        </w:tc>
        <w:tc>
          <w:tcPr>
            <w:tcW w:w="332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20" w:type="dxa"/>
            <w:vAlign w:val="bottom"/>
          </w:tcPr>
          <w:p>
            <w:pPr>
              <w:jc w:val="center"/>
              <w:ind w:right="107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ATENT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p>
        </w:tc>
        <w:tc>
          <w:tcPr>
            <w:tcW w:w="332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20" w:type="dxa"/>
            <w:vAlign w:val="bottom"/>
          </w:tcPr>
          <w:p>
            <w:pPr>
              <w:jc w:val="center"/>
              <w:ind w:right="1070"/>
              <w:spacing w:after="0"/>
              <w:rPr>
                <w:sz w:val="20"/>
                <w:szCs w:val="20"/>
                <w:color w:val="auto"/>
              </w:rPr>
            </w:pPr>
            <w:r>
              <w:rPr>
                <w:rFonts w:ascii="Arial" w:cs="Arial" w:eastAsia="Arial" w:hAnsi="Arial"/>
                <w:sz w:val="18"/>
                <w:szCs w:val="18"/>
                <w:color w:val="auto"/>
              </w:rPr>
              <w:t>[***]</w:t>
            </w:r>
          </w:p>
        </w:tc>
        <w:tc>
          <w:tcPr>
            <w:tcW w:w="3320" w:type="dxa"/>
            <w:vAlign w:val="bottom"/>
          </w:tcPr>
          <w:p>
            <w:pPr>
              <w:spacing w:after="0"/>
              <w:rPr>
                <w:sz w:val="24"/>
                <w:szCs w:val="24"/>
                <w:color w:val="auto"/>
              </w:rPr>
            </w:pPr>
          </w:p>
        </w:tc>
      </w:tr>
      <w:tr>
        <w:trPr>
          <w:trHeight w:val="445"/>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445"/>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160" w:type="dxa"/>
            <w:vAlign w:val="bottom"/>
          </w:tcPr>
          <w:p>
            <w:pPr>
              <w:jc w:val="right"/>
              <w:ind w:right="1670"/>
              <w:spacing w:after="0"/>
              <w:rPr>
                <w:sz w:val="20"/>
                <w:szCs w:val="20"/>
                <w:color w:val="auto"/>
              </w:rPr>
            </w:pPr>
            <w:r>
              <w:rPr>
                <w:rFonts w:ascii="Arial" w:cs="Arial" w:eastAsia="Arial" w:hAnsi="Arial"/>
                <w:sz w:val="18"/>
                <w:szCs w:val="18"/>
                <w:color w:val="auto"/>
              </w:rPr>
              <w:t>[***]</w:t>
            </w:r>
          </w:p>
        </w:tc>
        <w:tc>
          <w:tcPr>
            <w:tcW w:w="2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3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65"/>
        </w:trPr>
        <w:tc>
          <w:tcPr>
            <w:tcW w:w="21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320" w:type="dxa"/>
            <w:vAlign w:val="bottom"/>
          </w:tcPr>
          <w:p>
            <w:pPr>
              <w:jc w:val="right"/>
              <w:spacing w:after="0"/>
              <w:rPr>
                <w:sz w:val="20"/>
                <w:szCs w:val="20"/>
                <w:color w:val="auto"/>
              </w:rPr>
            </w:pPr>
            <w:r>
              <w:rPr>
                <w:rFonts w:ascii="Arial" w:cs="Arial" w:eastAsia="Arial" w:hAnsi="Arial"/>
                <w:sz w:val="18"/>
                <w:szCs w:val="18"/>
                <w:color w:val="auto"/>
              </w:rPr>
              <w:t>*** Confidential Treatment Requested ***</w:t>
            </w:r>
          </w:p>
        </w:tc>
      </w:tr>
    </w:tbl>
    <w:p>
      <w:pPr>
        <w:jc w:val="right"/>
        <w:spacing w:after="0"/>
        <w:rPr>
          <w:sz w:val="20"/>
          <w:szCs w:val="20"/>
          <w:color w:val="auto"/>
        </w:rPr>
        <w:sectPr>
          <w:pgSz w:w="11900" w:h="16838" w:orient="portrait"/>
          <w:cols w:equalWidth="0" w:num="1">
            <w:col w:w="11420"/>
          </w:cols>
          <w:pgMar w:left="240" w:top="269"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26" w:name="page427"/>
    <w:bookmarkEnd w:id="4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K</w:t>
      </w:r>
      <w:r>
        <w:rPr>
          <w:rFonts w:ascii="Arial" w:cs="Arial" w:eastAsia="Arial" w:hAnsi="Arial"/>
          <w:sz w:val="15"/>
          <w:szCs w:val="15"/>
          <w:b w:val="1"/>
          <w:bCs w:val="1"/>
          <w:color w:val="auto"/>
        </w:rPr>
        <w:t>NOW</w:t>
      </w:r>
      <w:r>
        <w:rPr>
          <w:rFonts w:ascii="Arial" w:cs="Arial" w:eastAsia="Arial" w:hAnsi="Arial"/>
          <w:sz w:val="18"/>
          <w:szCs w:val="18"/>
          <w:b w:val="1"/>
          <w:bCs w:val="1"/>
          <w:color w:val="auto"/>
        </w:rPr>
        <w:t>-H</w:t>
      </w:r>
      <w:r>
        <w:rPr>
          <w:rFonts w:ascii="Arial" w:cs="Arial" w:eastAsia="Arial" w:hAnsi="Arial"/>
          <w:sz w:val="15"/>
          <w:szCs w:val="15"/>
          <w:b w:val="1"/>
          <w:bCs w:val="1"/>
          <w:color w:val="auto"/>
        </w:rPr>
        <w:t>OW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70" w:right="239" w:bottom="1440" w:gutter="0" w:footer="0" w:header="0"/>
        </w:sectPr>
      </w:pPr>
    </w:p>
    <w:bookmarkStart w:id="427" w:name="page428"/>
    <w:bookmarkEnd w:id="4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w:t>
      </w:r>
      <w:r>
        <w:rPr>
          <w:rFonts w:ascii="Arial" w:cs="Arial" w:eastAsia="Arial" w:hAnsi="Arial"/>
          <w:sz w:val="15"/>
          <w:szCs w:val="15"/>
          <w:b w:val="1"/>
          <w:bCs w:val="1"/>
          <w:color w:val="auto"/>
        </w:rPr>
        <w:t>CHEDULE</w:t>
      </w:r>
      <w:r>
        <w:rPr>
          <w:rFonts w:ascii="Arial" w:cs="Arial" w:eastAsia="Arial" w:hAnsi="Arial"/>
          <w:sz w:val="18"/>
          <w:szCs w:val="18"/>
          <w:b w:val="1"/>
          <w:bCs w:val="1"/>
          <w:color w:val="auto"/>
        </w:rPr>
        <w:t xml:space="preserv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DDITIONAL</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LAIMS FOR</w:t>
      </w:r>
      <w:r>
        <w:rPr>
          <w:rFonts w:ascii="Arial" w:cs="Arial" w:eastAsia="Arial" w:hAnsi="Arial"/>
          <w:sz w:val="18"/>
          <w:szCs w:val="18"/>
          <w:b w:val="1"/>
          <w:bCs w:val="1"/>
          <w:color w:val="auto"/>
        </w:rPr>
        <w:t xml:space="preserve"> L</w:t>
      </w:r>
      <w:r>
        <w:rPr>
          <w:rFonts w:ascii="Arial" w:cs="Arial" w:eastAsia="Arial" w:hAnsi="Arial"/>
          <w:sz w:val="15"/>
          <w:szCs w:val="15"/>
          <w:b w:val="1"/>
          <w:bCs w:val="1"/>
          <w:color w:val="auto"/>
        </w:rPr>
        <w:t>ICENSED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ATENT</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Confidential Treatment Requested ***</w:t>
      </w:r>
    </w:p>
    <w:p>
      <w:pPr>
        <w:sectPr>
          <w:pgSz w:w="11900" w:h="16838" w:orient="portrait"/>
          <w:cols w:equalWidth="0" w:num="1">
            <w:col w:w="11420"/>
          </w:cols>
          <w:pgMar w:left="240" w:top="269" w:right="239" w:bottom="1440" w:gutter="0" w:footer="0" w:header="0"/>
        </w:sectPr>
      </w:pPr>
    </w:p>
    <w:bookmarkStart w:id="428" w:name="page429"/>
    <w:bookmarkEnd w:id="428"/>
    <w:p>
      <w:pPr>
        <w:jc w:val="right"/>
        <w:spacing w:after="0"/>
        <w:rPr>
          <w:sz w:val="20"/>
          <w:szCs w:val="20"/>
          <w:color w:val="auto"/>
        </w:rPr>
      </w:pPr>
      <w:r>
        <w:rPr>
          <w:rFonts w:ascii="Arial" w:cs="Arial" w:eastAsia="Arial" w:hAnsi="Arial"/>
          <w:sz w:val="18"/>
          <w:szCs w:val="18"/>
          <w:b w:val="1"/>
          <w:bCs w:val="1"/>
          <w:color w:val="auto"/>
        </w:rPr>
        <w:t>EXHIBIT 10.9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700" w:firstLine="456"/>
        <w:spacing w:after="0" w:line="286" w:lineRule="auto"/>
        <w:rPr>
          <w:sz w:val="20"/>
          <w:szCs w:val="20"/>
          <w:color w:val="auto"/>
        </w:rPr>
      </w:pPr>
      <w:r>
        <w:rPr>
          <w:rFonts w:ascii="Arial" w:cs="Arial" w:eastAsia="Arial" w:hAnsi="Arial"/>
          <w:sz w:val="17"/>
          <w:szCs w:val="17"/>
          <w:color w:val="auto"/>
        </w:rPr>
        <w:t>This Employment Agreement (“Agreement”) is made as of the 8</w:t>
      </w:r>
      <w:r>
        <w:rPr>
          <w:rFonts w:ascii="Arial" w:cs="Arial" w:eastAsia="Arial" w:hAnsi="Arial"/>
          <w:sz w:val="14"/>
          <w:szCs w:val="14"/>
          <w:color w:val="auto"/>
        </w:rPr>
        <w:t>th</w:t>
      </w:r>
      <w:r>
        <w:rPr>
          <w:rFonts w:ascii="Arial" w:cs="Arial" w:eastAsia="Arial" w:hAnsi="Arial"/>
          <w:sz w:val="17"/>
          <w:szCs w:val="17"/>
          <w:color w:val="auto"/>
        </w:rPr>
        <w:t xml:space="preserve"> day of June, 2018, between AVROBIO, Inc., a Delaware corporation (the “Company”), and Geoff MacKay (the “Executive”) and is effective as of the closing of the Company’s first underwritten public offering of its equity securities pursuant to an effective registration statement under the Securities Act of 1933, as amended (the “Effective Date”).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and the Executive are parties to an existing employment agreement, dated December 22, 2016 (the “Prior Agreement”); and</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intend to replace the Prior Agreement with this Agreement, effective as of the Effective Date.</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to restate the Prior Agreement as follows:</w:t>
      </w:r>
    </w:p>
    <w:p>
      <w:pPr>
        <w:spacing w:after="0" w:line="62" w:lineRule="exact"/>
        <w:rPr>
          <w:sz w:val="20"/>
          <w:szCs w:val="20"/>
          <w:color w:val="auto"/>
        </w:rPr>
      </w:pPr>
    </w:p>
    <w:p>
      <w:pPr>
        <w:ind w:left="640" w:hanging="176"/>
        <w:spacing w:after="0"/>
        <w:tabs>
          <w:tab w:leader="none" w:pos="64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80" w:firstLine="921"/>
        <w:spacing w:after="0" w:line="286" w:lineRule="auto"/>
        <w:tabs>
          <w:tab w:leader="none" w:pos="1157" w:val="left"/>
        </w:tabs>
        <w:numPr>
          <w:ilvl w:val="1"/>
          <w:numId w:val="336"/>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of this Agreement shall commence on the Effective Date and continue until terminated in accordance with the provisions hereof (the “Term”). The Executive’s employment with the Company will continue to be “at will,” meaning that the Executive’s employment may be terminated by the Company or the Executive at any time and for any reason subject to the terms of this Agreement.</w:t>
      </w:r>
    </w:p>
    <w:p>
      <w:pPr>
        <w:spacing w:after="0" w:line="57" w:lineRule="exact"/>
        <w:rPr>
          <w:rFonts w:ascii="Arial" w:cs="Arial" w:eastAsia="Arial" w:hAnsi="Arial"/>
          <w:sz w:val="17"/>
          <w:szCs w:val="17"/>
          <w:color w:val="auto"/>
        </w:rPr>
      </w:pPr>
    </w:p>
    <w:p>
      <w:pPr>
        <w:ind w:right="100" w:firstLine="921"/>
        <w:spacing w:after="0" w:line="254" w:lineRule="auto"/>
        <w:tabs>
          <w:tab w:leader="none" w:pos="1168" w:val="left"/>
        </w:tabs>
        <w:numPr>
          <w:ilvl w:val="1"/>
          <w:numId w:val="336"/>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During the Term, the Executive shall serve as the Chief Executive Officer of the Company, and shall have supervision and control over and responsibility for the day-to-day business and affairs of the Company and shall have such other powers and duties as may from time to time be prescribed by the Board of Directors of the Company (the “Board”). The Executive shall devote his full working time and efforts to the business and affairs of the Company. Notwithstanding the foregoing, the Executive may serve on other boards of directors, with the approval of the Board, or engage in religious, charitable or other community activities as long as such services and activities are disclosed to the Board and do not materially interfere with the Executive’s performance of his duties to the Company as provided in this Agreement. For the avoidance of doubt, the Executive may continue to serve in the roles set forth on Schedule 1 hereto without the necessity of further approval from the Board, provided that no conflicts result in the future from the Executive’s service in such role.</w:t>
      </w:r>
    </w:p>
    <w:p>
      <w:pPr>
        <w:sectPr>
          <w:pgSz w:w="11900" w:h="16838" w:orient="portrait"/>
          <w:cols w:equalWidth="0" w:num="1">
            <w:col w:w="11420"/>
          </w:cols>
          <w:pgMar w:left="240" w:top="121" w:right="239" w:bottom="1440" w:gutter="0" w:footer="0" w:header="0"/>
        </w:sectPr>
      </w:pPr>
    </w:p>
    <w:bookmarkStart w:id="429" w:name="page430"/>
    <w:bookmarkEnd w:id="429"/>
    <w:p>
      <w:pPr>
        <w:ind w:left="620" w:hanging="176"/>
        <w:spacing w:after="0"/>
        <w:tabs>
          <w:tab w:leader="none" w:pos="620"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and Related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80" w:firstLine="921"/>
        <w:spacing w:after="0" w:line="312" w:lineRule="auto"/>
        <w:tabs>
          <w:tab w:leader="none" w:pos="1137" w:val="left"/>
        </w:tabs>
        <w:numPr>
          <w:ilvl w:val="1"/>
          <w:numId w:val="337"/>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During the Term, the Executive’s annual base salary shall be $500,000. The Executive’s base salary shall be reviewed annually by 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spacing w:after="0" w:line="38" w:lineRule="exact"/>
        <w:rPr>
          <w:rFonts w:ascii="Arial" w:cs="Arial" w:eastAsia="Arial" w:hAnsi="Arial"/>
          <w:sz w:val="16"/>
          <w:szCs w:val="16"/>
          <w:color w:val="auto"/>
        </w:rPr>
      </w:pPr>
    </w:p>
    <w:p>
      <w:pPr>
        <w:ind w:left="-20" w:right="60" w:firstLine="921"/>
        <w:spacing w:after="0" w:line="259" w:lineRule="auto"/>
        <w:tabs>
          <w:tab w:leader="none" w:pos="1148"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During the Term, the Executive shall be eligible to receive cash incentive compensation as determined by the Board or the Compensation Committee from time to time. The Executive’s initial target annual incentive compensation shall be fifty percent of his Base Salary (as in effect at any time, the “Target Annual Incentive Compensation”). Except as otherwise provided herein, to earn incentive compensation, the Executive must be employed by the Company on the day such incentive compensation is paid.</w:t>
      </w:r>
    </w:p>
    <w:p>
      <w:pPr>
        <w:spacing w:after="0" w:line="78" w:lineRule="exact"/>
        <w:rPr>
          <w:rFonts w:ascii="Arial" w:cs="Arial" w:eastAsia="Arial" w:hAnsi="Arial"/>
          <w:sz w:val="18"/>
          <w:szCs w:val="18"/>
          <w:color w:val="auto"/>
        </w:rPr>
      </w:pPr>
    </w:p>
    <w:p>
      <w:pPr>
        <w:ind w:left="-20" w:right="240" w:firstLine="921"/>
        <w:spacing w:after="0" w:line="342" w:lineRule="auto"/>
        <w:tabs>
          <w:tab w:leader="none" w:pos="1137" w:val="left"/>
        </w:tabs>
        <w:numPr>
          <w:ilvl w:val="1"/>
          <w:numId w:val="337"/>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Executive shall be entitled to receive prompt reimbursement for all reasonable expenses incurred by him during the Term in performing services hereunder, in accordance with the policies and procedures then in effect and established by the Company for its senior officers.</w:t>
      </w:r>
    </w:p>
    <w:p>
      <w:pPr>
        <w:spacing w:after="0" w:line="15" w:lineRule="exact"/>
        <w:rPr>
          <w:rFonts w:ascii="Arial" w:cs="Arial" w:eastAsia="Arial" w:hAnsi="Arial"/>
          <w:sz w:val="16"/>
          <w:szCs w:val="16"/>
          <w:color w:val="auto"/>
        </w:rPr>
      </w:pPr>
    </w:p>
    <w:p>
      <w:pPr>
        <w:ind w:left="-20" w:right="60" w:firstLine="921"/>
        <w:spacing w:after="0" w:line="264" w:lineRule="auto"/>
        <w:tabs>
          <w:tab w:leader="none" w:pos="1148"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Term, the Executive shall be eligible to participate in or receive benefits under the Company’s employee benefit plans in effect from time to time, subject to the terms of such plans. Additionally, during the Term, the Executive shall be eligible to receive such benefits and perquisites as those made available to the other employees of the Company generally.</w:t>
      </w:r>
    </w:p>
    <w:p>
      <w:pPr>
        <w:spacing w:after="0" w:line="73" w:lineRule="exact"/>
        <w:rPr>
          <w:rFonts w:ascii="Arial" w:cs="Arial" w:eastAsia="Arial" w:hAnsi="Arial"/>
          <w:sz w:val="18"/>
          <w:szCs w:val="18"/>
          <w:color w:val="auto"/>
        </w:rPr>
      </w:pPr>
    </w:p>
    <w:p>
      <w:pPr>
        <w:ind w:left="-20" w:firstLine="921"/>
        <w:spacing w:after="0" w:line="264" w:lineRule="auto"/>
        <w:tabs>
          <w:tab w:leader="none" w:pos="1137"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Vacations</w:t>
      </w:r>
      <w:r>
        <w:rPr>
          <w:rFonts w:ascii="Arial" w:cs="Arial" w:eastAsia="Arial" w:hAnsi="Arial"/>
          <w:sz w:val="18"/>
          <w:szCs w:val="18"/>
          <w:color w:val="auto"/>
        </w:rPr>
        <w:t>. During the Term, the Executive shall be entitled to paid vacation in accordance with the Company’s policies and procedures, which shall be a minimum of 20 days in addition to the Company’s paid holidays. The Executive shall also be entitled to all paid holidays given by the Company to its executive officers.</w:t>
      </w:r>
    </w:p>
    <w:p>
      <w:pPr>
        <w:spacing w:after="0" w:line="73" w:lineRule="exact"/>
        <w:rPr>
          <w:rFonts w:ascii="Arial" w:cs="Arial" w:eastAsia="Arial" w:hAnsi="Arial"/>
          <w:sz w:val="18"/>
          <w:szCs w:val="18"/>
          <w:color w:val="auto"/>
        </w:rPr>
      </w:pPr>
    </w:p>
    <w:p>
      <w:pPr>
        <w:ind w:left="-20" w:right="80" w:firstLine="464"/>
        <w:spacing w:after="0" w:line="277" w:lineRule="auto"/>
        <w:tabs>
          <w:tab w:leader="none" w:pos="616" w:val="left"/>
        </w:tabs>
        <w:numPr>
          <w:ilvl w:val="0"/>
          <w:numId w:val="33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During the Term, the Executive’s employment hereunder may be terminated without any breach of this Agreement under the following circumstances:</w:t>
      </w:r>
    </w:p>
    <w:p>
      <w:pPr>
        <w:spacing w:after="0" w:line="62" w:lineRule="exact"/>
        <w:rPr>
          <w:rFonts w:ascii="Arial" w:cs="Arial" w:eastAsia="Arial" w:hAnsi="Arial"/>
          <w:sz w:val="18"/>
          <w:szCs w:val="18"/>
          <w:color w:val="auto"/>
        </w:rPr>
      </w:pPr>
    </w:p>
    <w:p>
      <w:pPr>
        <w:ind w:left="1140" w:hanging="239"/>
        <w:spacing w:after="0"/>
        <w:tabs>
          <w:tab w:leader="none" w:pos="1140"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his death.</w:t>
      </w:r>
    </w:p>
    <w:p>
      <w:pPr>
        <w:spacing w:after="0" w:line="117" w:lineRule="exact"/>
        <w:rPr>
          <w:rFonts w:ascii="Arial" w:cs="Arial" w:eastAsia="Arial" w:hAnsi="Arial"/>
          <w:sz w:val="18"/>
          <w:szCs w:val="18"/>
          <w:color w:val="auto"/>
        </w:rPr>
      </w:pPr>
    </w:p>
    <w:p>
      <w:pPr>
        <w:ind w:left="-20" w:right="20" w:firstLine="921"/>
        <w:spacing w:after="0" w:line="254" w:lineRule="auto"/>
        <w:tabs>
          <w:tab w:leader="none" w:pos="1148" w:val="left"/>
        </w:tabs>
        <w:numPr>
          <w:ilvl w:val="1"/>
          <w:numId w:val="337"/>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Company may terminate the Executive’s employment if 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74" w:right="239" w:bottom="1440" w:gutter="0" w:footer="0" w:header="0"/>
        </w:sectPr>
      </w:pPr>
    </w:p>
    <w:bookmarkStart w:id="430" w:name="page431"/>
    <w:bookmarkEnd w:id="430"/>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the Americans with Disabilities Act, 42 U.S.C. §12101 </w:t>
      </w:r>
      <w:r>
        <w:rPr>
          <w:rFonts w:ascii="Arial" w:cs="Arial" w:eastAsia="Arial" w:hAnsi="Arial"/>
          <w:sz w:val="17"/>
          <w:szCs w:val="17"/>
          <w:i w:val="1"/>
          <w:iCs w:val="1"/>
          <w:color w:val="auto"/>
        </w:rPr>
        <w:t>et seq.</w:t>
      </w:r>
    </w:p>
    <w:p>
      <w:pPr>
        <w:spacing w:after="0" w:line="57" w:lineRule="exact"/>
        <w:rPr>
          <w:sz w:val="20"/>
          <w:szCs w:val="20"/>
          <w:color w:val="auto"/>
        </w:rPr>
      </w:pPr>
    </w:p>
    <w:p>
      <w:pPr>
        <w:ind w:right="20" w:firstLine="921"/>
        <w:spacing w:after="0" w:line="268" w:lineRule="auto"/>
        <w:tabs>
          <w:tab w:leader="none" w:pos="1157"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Termination by Company for Cause</w:t>
      </w:r>
      <w:r>
        <w:rPr>
          <w:rFonts w:ascii="Arial" w:cs="Arial" w:eastAsia="Arial" w:hAnsi="Arial"/>
          <w:sz w:val="17"/>
          <w:szCs w:val="17"/>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material deceit or dishonesty, or fraud, or any conduct by the Executive that would reasonably be expected to result in material injury or reputational harm to the Company or any of its subsidiaries or affiliates if he were retained in his position; (iii) continued non-performance by the Executive of his duties hereunder (other than by reason of the Executive’s physical or mental illness, incapacity or disability) which has continued for more than 30 days following written notice (with a reasonably detailed summary of such alleged non-performance specified) of such non-performance from the Board (or a committee duly established by the Board to address such matters); (iv) a breach by the Executive of any of the provisions incorporated into or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79" w:lineRule="exact"/>
        <w:rPr>
          <w:rFonts w:ascii="Arial" w:cs="Arial" w:eastAsia="Arial" w:hAnsi="Arial"/>
          <w:sz w:val="17"/>
          <w:szCs w:val="17"/>
          <w:color w:val="auto"/>
        </w:rPr>
      </w:pPr>
    </w:p>
    <w:p>
      <w:pPr>
        <w:ind w:firstLine="921"/>
        <w:spacing w:after="0" w:line="286" w:lineRule="auto"/>
        <w:tabs>
          <w:tab w:leader="none" w:pos="1168"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w:t>
      </w:r>
      <w:r>
        <w:rPr>
          <w:rFonts w:ascii="Arial" w:cs="Arial" w:eastAsia="Arial" w:hAnsi="Arial"/>
          <w:sz w:val="17"/>
          <w:szCs w:val="17"/>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57" w:lineRule="exact"/>
        <w:rPr>
          <w:rFonts w:ascii="Arial" w:cs="Arial" w:eastAsia="Arial" w:hAnsi="Arial"/>
          <w:sz w:val="17"/>
          <w:szCs w:val="17"/>
          <w:color w:val="auto"/>
        </w:rPr>
      </w:pPr>
    </w:p>
    <w:p>
      <w:pPr>
        <w:ind w:right="20" w:firstLine="921"/>
        <w:spacing w:after="0" w:line="271" w:lineRule="auto"/>
        <w:tabs>
          <w:tab w:leader="none" w:pos="1157" w:val="left"/>
        </w:tabs>
        <w:numPr>
          <w:ilvl w:val="0"/>
          <w:numId w:val="338"/>
        </w:numPr>
        <w:rPr>
          <w:rFonts w:ascii="Arial" w:cs="Arial" w:eastAsia="Arial" w:hAnsi="Arial"/>
          <w:sz w:val="17"/>
          <w:szCs w:val="17"/>
          <w:color w:val="auto"/>
        </w:rPr>
      </w:pPr>
      <w:r>
        <w:rPr>
          <w:rFonts w:ascii="Arial" w:cs="Arial" w:eastAsia="Arial" w:hAnsi="Arial"/>
          <w:sz w:val="17"/>
          <w:szCs w:val="17"/>
          <w:u w:val="single" w:color="auto"/>
          <w:color w:val="auto"/>
        </w:rPr>
        <w:t>Termination by the Executive</w:t>
      </w:r>
      <w:r>
        <w:rPr>
          <w:rFonts w:ascii="Arial" w:cs="Arial" w:eastAsia="Arial" w:hAnsi="Arial"/>
          <w:sz w:val="17"/>
          <w:szCs w:val="17"/>
          <w:color w:val="auto"/>
        </w:rPr>
        <w:t>. The Executive may terminate his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(i) a material diminution in the Executive’s responsibilities, authority or duties; (ii) a material diminution in the Executive’s Base Salary except for across-the-board salary reductions based on the Company’s financial performance similarly affecting all or substantially all senior management employees of the Company; (iii) a material change in the geographic location at which the Executive provides services to the Company; or (iv) a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431" w:name="page432"/>
    <w:bookmarkEnd w:id="43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good faith with the Company’s efforts, for a period not less than 30 days following such notice (the “Cure Period”), to remedy the condition;</w:t>
      </w:r>
    </w:p>
    <w:p>
      <w:pPr>
        <w:spacing w:after="0" w:line="23" w:lineRule="exact"/>
        <w:rPr>
          <w:sz w:val="20"/>
          <w:szCs w:val="20"/>
          <w:color w:val="auto"/>
        </w:rPr>
      </w:pPr>
    </w:p>
    <w:p>
      <w:pPr>
        <w:ind w:firstLine="8"/>
        <w:spacing w:after="0" w:line="323" w:lineRule="auto"/>
        <w:tabs>
          <w:tab w:leader="none" w:pos="30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notwithstanding such efforts, the Good Reason condition continues to exist; and (v) the Executive terminates his employment within 60 days after the end of the Cure Period. If the Company cures the Good Reason condition during the Cure Period, Good Reason shall be deemed not to have occurred.</w:t>
      </w:r>
    </w:p>
    <w:p>
      <w:pPr>
        <w:spacing w:after="0" w:line="30" w:lineRule="exact"/>
        <w:rPr>
          <w:rFonts w:ascii="Arial" w:cs="Arial" w:eastAsia="Arial" w:hAnsi="Arial"/>
          <w:sz w:val="16"/>
          <w:szCs w:val="16"/>
          <w:color w:val="auto"/>
        </w:rPr>
      </w:pPr>
    </w:p>
    <w:p>
      <w:pPr>
        <w:ind w:firstLine="921"/>
        <w:spacing w:after="0" w:line="286" w:lineRule="auto"/>
        <w:tabs>
          <w:tab w:leader="none" w:pos="1138" w:val="left"/>
        </w:tabs>
        <w:numPr>
          <w:ilvl w:val="2"/>
          <w:numId w:val="339"/>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57" w:lineRule="exact"/>
        <w:rPr>
          <w:rFonts w:ascii="Arial" w:cs="Arial" w:eastAsia="Arial" w:hAnsi="Arial"/>
          <w:sz w:val="17"/>
          <w:szCs w:val="17"/>
          <w:color w:val="auto"/>
        </w:rPr>
      </w:pPr>
    </w:p>
    <w:p>
      <w:pPr>
        <w:ind w:left="1180" w:hanging="259"/>
        <w:spacing w:after="0"/>
        <w:tabs>
          <w:tab w:leader="none" w:pos="1180" w:val="left"/>
        </w:tabs>
        <w:numPr>
          <w:ilvl w:val="2"/>
          <w:numId w:val="339"/>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shall mean: (i) if the Executive’s employment is terminated by his death, the date of his death;</w:t>
      </w:r>
    </w:p>
    <w:p>
      <w:pPr>
        <w:spacing w:after="0" w:line="46" w:lineRule="exact"/>
        <w:rPr>
          <w:rFonts w:ascii="Arial" w:cs="Arial" w:eastAsia="Arial" w:hAnsi="Arial"/>
          <w:sz w:val="16"/>
          <w:szCs w:val="16"/>
          <w:color w:val="auto"/>
        </w:rPr>
      </w:pPr>
    </w:p>
    <w:p>
      <w:pPr>
        <w:ind w:right="80" w:firstLine="8"/>
        <w:spacing w:after="0" w:line="252" w:lineRule="auto"/>
        <w:tabs>
          <w:tab w:leader="none" w:pos="26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84" w:lineRule="exact"/>
        <w:rPr>
          <w:rFonts w:ascii="Arial" w:cs="Arial" w:eastAsia="Arial" w:hAnsi="Arial"/>
          <w:sz w:val="18"/>
          <w:szCs w:val="18"/>
          <w:color w:val="auto"/>
        </w:rPr>
      </w:pPr>
    </w:p>
    <w:p>
      <w:pPr>
        <w:ind w:left="640" w:hanging="176"/>
        <w:spacing w:after="0"/>
        <w:tabs>
          <w:tab w:leader="none" w:pos="640" w:val="left"/>
        </w:tabs>
        <w:numPr>
          <w:ilvl w:val="1"/>
          <w:numId w:val="340"/>
        </w:numPr>
        <w:rPr>
          <w:rFonts w:ascii="Arial" w:cs="Arial" w:eastAsia="Arial" w:hAnsi="Arial"/>
          <w:sz w:val="18"/>
          <w:szCs w:val="18"/>
          <w:color w:val="auto"/>
        </w:rPr>
      </w:pPr>
      <w:r>
        <w:rPr>
          <w:rFonts w:ascii="Arial" w:cs="Arial" w:eastAsia="Arial" w:hAnsi="Arial"/>
          <w:sz w:val="18"/>
          <w:szCs w:val="18"/>
          <w:u w:val="single" w:color="auto"/>
          <w:color w:val="auto"/>
        </w:rPr>
        <w:t>Compensation Upon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921"/>
        <w:spacing w:after="0" w:line="273" w:lineRule="auto"/>
        <w:tabs>
          <w:tab w:leader="none" w:pos="1157" w:val="left"/>
        </w:tabs>
        <w:numPr>
          <w:ilvl w:val="2"/>
          <w:numId w:val="340"/>
        </w:numPr>
        <w:rPr>
          <w:rFonts w:ascii="Arial" w:cs="Arial" w:eastAsia="Arial" w:hAnsi="Arial"/>
          <w:sz w:val="17"/>
          <w:szCs w:val="17"/>
          <w:color w:val="auto"/>
        </w:rPr>
      </w:pPr>
      <w:r>
        <w:rPr>
          <w:rFonts w:ascii="Arial" w:cs="Arial" w:eastAsia="Arial" w:hAnsi="Arial"/>
          <w:sz w:val="17"/>
          <w:szCs w:val="17"/>
          <w:u w:val="single" w:color="auto"/>
          <w:color w:val="auto"/>
        </w:rPr>
        <w:t>Termination Generally</w:t>
      </w:r>
      <w:r>
        <w:rPr>
          <w:rFonts w:ascii="Arial" w:cs="Arial" w:eastAsia="Arial" w:hAnsi="Arial"/>
          <w:sz w:val="17"/>
          <w:szCs w:val="17"/>
          <w:color w:val="auto"/>
        </w:rPr>
        <w:t>. If the Executive’s employment with the Company is terminated for any reason, the Company shall pay or provide to the Executive (or to his authorized representative or estate) (i) any Base Salary earned through the Date of Termination, unpaid expense reimbursements (subject to, and in accordance with, Section 2(c)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70" w:lineRule="exact"/>
        <w:rPr>
          <w:rFonts w:ascii="Arial" w:cs="Arial" w:eastAsia="Arial" w:hAnsi="Arial"/>
          <w:sz w:val="17"/>
          <w:szCs w:val="17"/>
          <w:color w:val="auto"/>
        </w:rPr>
      </w:pPr>
    </w:p>
    <w:p>
      <w:pPr>
        <w:ind w:right="80" w:firstLine="921"/>
        <w:spacing w:after="0" w:line="276" w:lineRule="auto"/>
        <w:tabs>
          <w:tab w:leader="none" w:pos="1168" w:val="left"/>
        </w:tabs>
        <w:numPr>
          <w:ilvl w:val="2"/>
          <w:numId w:val="340"/>
        </w:numPr>
        <w:rPr>
          <w:rFonts w:ascii="Arial" w:cs="Arial" w:eastAsia="Arial" w:hAnsi="Arial"/>
          <w:sz w:val="17"/>
          <w:szCs w:val="17"/>
          <w:color w:val="auto"/>
        </w:rPr>
      </w:pPr>
      <w:r>
        <w:rPr>
          <w:rFonts w:ascii="Arial" w:cs="Arial" w:eastAsia="Arial" w:hAnsi="Arial"/>
          <w:sz w:val="17"/>
          <w:szCs w:val="17"/>
          <w:u w:val="single" w:color="auto"/>
          <w:color w:val="auto"/>
        </w:rPr>
        <w:t>Termination by the Company Without Cause or by the Executive with Good Reason</w:t>
      </w:r>
      <w:r>
        <w:rPr>
          <w:rFonts w:ascii="Arial" w:cs="Arial" w:eastAsia="Arial" w:hAnsi="Arial"/>
          <w:sz w:val="17"/>
          <w:szCs w:val="17"/>
          <w:color w:val="auto"/>
        </w:rPr>
        <w:t>. During the Term, if the Executive’s employment is terminated by the Company without Cause as provided in Section 3(d), or the Executive terminates his employment for Good Reason as provided in Section 3(e), then the Company shall pay the Executive his Accrued Benefit. In addition, subject to the Executive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32" w:name="page433"/>
    <w:bookmarkEnd w:id="432"/>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and Release becoming irrevocable and fully effective and, if applicable, the Executive resigning as a member of the Board of Directors, all within 60 days after the Date of Termination (or such shorter time period provided in the Separation Agreement and Release):</w:t>
      </w:r>
    </w:p>
    <w:p>
      <w:pPr>
        <w:spacing w:after="0" w:line="62" w:lineRule="exact"/>
        <w:rPr>
          <w:sz w:val="20"/>
          <w:szCs w:val="20"/>
          <w:color w:val="auto"/>
        </w:rPr>
      </w:pPr>
    </w:p>
    <w:p>
      <w:pPr>
        <w:ind w:left="460" w:right="160" w:firstLine="881"/>
        <w:spacing w:after="0" w:line="264" w:lineRule="auto"/>
        <w:tabs>
          <w:tab w:leader="none" w:pos="1551" w:val="left"/>
        </w:tabs>
        <w:numPr>
          <w:ilvl w:val="1"/>
          <w:numId w:val="341"/>
        </w:numPr>
        <w:rPr>
          <w:rFonts w:ascii="Arial" w:cs="Arial" w:eastAsia="Arial" w:hAnsi="Arial"/>
          <w:sz w:val="18"/>
          <w:szCs w:val="18"/>
          <w:color w:val="auto"/>
        </w:rPr>
      </w:pPr>
      <w:r>
        <w:rPr>
          <w:rFonts w:ascii="Arial" w:cs="Arial" w:eastAsia="Arial" w:hAnsi="Arial"/>
          <w:sz w:val="18"/>
          <w:szCs w:val="18"/>
          <w:color w:val="auto"/>
        </w:rPr>
        <w:t>the Company shall pay the Executive an amount equal to one times the sum of the Executive’s Base Salary (the “Severance Amount”). Notwithstanding the foregoing, if the Executive breaches any of the provisions incorporated into or contained in Section 7 of this Agreement, all payments of the Severance Amount shall immediately cease;</w:t>
      </w:r>
    </w:p>
    <w:p>
      <w:pPr>
        <w:spacing w:after="0" w:line="73" w:lineRule="exact"/>
        <w:rPr>
          <w:rFonts w:ascii="Arial" w:cs="Arial" w:eastAsia="Arial" w:hAnsi="Arial"/>
          <w:sz w:val="18"/>
          <w:szCs w:val="18"/>
          <w:color w:val="auto"/>
        </w:rPr>
      </w:pPr>
    </w:p>
    <w:p>
      <w:pPr>
        <w:ind w:left="460" w:right="40" w:firstLine="881"/>
        <w:spacing w:after="0" w:line="259" w:lineRule="auto"/>
        <w:tabs>
          <w:tab w:leader="none" w:pos="1601" w:val="left"/>
        </w:tabs>
        <w:numPr>
          <w:ilvl w:val="1"/>
          <w:numId w:val="341"/>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or stock-based award agreement, all time-based stock options and other time-based stock-based awards held by the Executive in which such stock option or other stock-based award would have vested if the Executive had remained employed for an additional twelve months following the Date of Termination shall vest and become exercisable or nonforfeitable as of the Date of Termination;</w:t>
      </w:r>
    </w:p>
    <w:p>
      <w:pPr>
        <w:spacing w:after="0" w:line="78" w:lineRule="exact"/>
        <w:rPr>
          <w:rFonts w:ascii="Arial" w:cs="Arial" w:eastAsia="Arial" w:hAnsi="Arial"/>
          <w:sz w:val="18"/>
          <w:szCs w:val="18"/>
          <w:color w:val="auto"/>
        </w:rPr>
      </w:pPr>
    </w:p>
    <w:p>
      <w:pPr>
        <w:ind w:left="460" w:firstLine="881"/>
        <w:spacing w:after="0" w:line="259" w:lineRule="auto"/>
        <w:tabs>
          <w:tab w:leader="none" w:pos="1651" w:val="left"/>
        </w:tabs>
        <w:numPr>
          <w:ilvl w:val="1"/>
          <w:numId w:val="341"/>
        </w:numPr>
        <w:rPr>
          <w:rFonts w:ascii="Arial" w:cs="Arial" w:eastAsia="Arial" w:hAnsi="Arial"/>
          <w:sz w:val="18"/>
          <w:szCs w:val="18"/>
          <w:color w:val="auto"/>
        </w:rPr>
      </w:pPr>
      <w:r>
        <w:rPr>
          <w:rFonts w:ascii="Arial" w:cs="Arial" w:eastAsia="Arial" w:hAnsi="Arial"/>
          <w:sz w:val="18"/>
          <w:szCs w:val="18"/>
          <w:color w:val="auto"/>
        </w:rPr>
        <w:t>if the Executive was participating in the Company’s group health plan immediately prior to the Date of Termination and elects COBRA health continuation, then the Company shall pay to the Executive a monthly cash payment for twelve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78" w:lineRule="exact"/>
        <w:rPr>
          <w:rFonts w:ascii="Arial" w:cs="Arial" w:eastAsia="Arial" w:hAnsi="Arial"/>
          <w:sz w:val="18"/>
          <w:szCs w:val="18"/>
          <w:color w:val="auto"/>
        </w:rPr>
      </w:pPr>
    </w:p>
    <w:p>
      <w:pPr>
        <w:ind w:left="460" w:right="20" w:firstLine="881"/>
        <w:spacing w:after="0" w:line="255" w:lineRule="auto"/>
        <w:tabs>
          <w:tab w:leader="none" w:pos="1641" w:val="left"/>
        </w:tabs>
        <w:numPr>
          <w:ilvl w:val="1"/>
          <w:numId w:val="341"/>
        </w:numPr>
        <w:rPr>
          <w:rFonts w:ascii="Arial" w:cs="Arial" w:eastAsia="Arial" w:hAnsi="Arial"/>
          <w:sz w:val="18"/>
          <w:szCs w:val="18"/>
          <w:color w:val="auto"/>
        </w:rPr>
      </w:pPr>
      <w:r>
        <w:rPr>
          <w:rFonts w:ascii="Arial" w:cs="Arial" w:eastAsia="Arial" w:hAnsi="Arial"/>
          <w:sz w:val="18"/>
          <w:szCs w:val="18"/>
          <w:color w:val="auto"/>
        </w:rPr>
        <w:t>the amounts payable under Section 4(b)(i) and (iii) shall be paid out in substantially equal installments in accordance with the Company’s payroll practice over twelve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85" w:lineRule="exact"/>
        <w:rPr>
          <w:rFonts w:ascii="Arial" w:cs="Arial" w:eastAsia="Arial" w:hAnsi="Arial"/>
          <w:sz w:val="18"/>
          <w:szCs w:val="18"/>
          <w:color w:val="auto"/>
        </w:rPr>
      </w:pPr>
    </w:p>
    <w:p>
      <w:pPr>
        <w:ind w:right="60" w:firstLine="464"/>
        <w:spacing w:after="0" w:line="272" w:lineRule="auto"/>
        <w:tabs>
          <w:tab w:leader="none" w:pos="636" w:val="left"/>
        </w:tabs>
        <w:numPr>
          <w:ilvl w:val="0"/>
          <w:numId w:val="342"/>
        </w:numPr>
        <w:rPr>
          <w:rFonts w:ascii="Arial" w:cs="Arial" w:eastAsia="Arial" w:hAnsi="Arial"/>
          <w:sz w:val="17"/>
          <w:szCs w:val="17"/>
          <w:color w:val="auto"/>
        </w:rPr>
      </w:pPr>
      <w:r>
        <w:rPr>
          <w:rFonts w:ascii="Arial" w:cs="Arial" w:eastAsia="Arial" w:hAnsi="Arial"/>
          <w:sz w:val="17"/>
          <w:szCs w:val="17"/>
          <w:u w:val="single" w:color="auto"/>
          <w:color w:val="auto"/>
        </w:rPr>
        <w:t>Change in Control Payment</w:t>
      </w:r>
      <w:r>
        <w:rPr>
          <w:rFonts w:ascii="Arial" w:cs="Arial" w:eastAsia="Arial" w:hAnsi="Arial"/>
          <w:sz w:val="17"/>
          <w:szCs w:val="17"/>
          <w:color w:val="auto"/>
        </w:rPr>
        <w:t>. The provisions of this Section 5 set forth certain terms of an agreement reached between the Executive and the Company regarding the Executive’s rights and obligations upon the occurrence of a Change in Control of the Company. In the event of a Change in Control during the Term, all time-based stock options and other time-based stock-based awards held by the Executive as of the Effective Date that were granted to the Executive at least 12 months prior to the Effective Date shall immediately accelerate and become fully exercisable or nonforfeitable as of immediately prior to such Change in Control. These provisions are intended to assure and encourage in advance the Executive’s continued attention and dedication to his assigned duties and his objectivity during the pendency and after the occurrence of any such event. These provisions shall apply in lieu of, and expressly supersede, the provisions of Section 4(b) regarding severance pay and benefits upon a termination of</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433" w:name="page434"/>
    <w:bookmarkEnd w:id="433"/>
    <w:p>
      <w:pPr>
        <w:ind w:right="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if such termination of employment occurs within three months prior to or 18 months after the occurrence of the first event constituting a Change in Control. These provisions shall terminate and be of no further force or effect beginning 18 months after the occurrence of a Change in Control.</w:t>
      </w:r>
    </w:p>
    <w:p>
      <w:pPr>
        <w:spacing w:after="0" w:line="16" w:lineRule="exact"/>
        <w:rPr>
          <w:sz w:val="20"/>
          <w:szCs w:val="20"/>
          <w:color w:val="auto"/>
        </w:rPr>
      </w:pPr>
    </w:p>
    <w:p>
      <w:pPr>
        <w:ind w:right="200" w:firstLine="921"/>
        <w:spacing w:after="0" w:line="276" w:lineRule="auto"/>
        <w:tabs>
          <w:tab w:leader="none" w:pos="1157"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During the Term, if within three months prior to or 18 months after a Change in Control, the Executive’s employment is terminated by the Company without Cause as provided in Section 3(d) or the Executive terminates his employment for Good Reason as provided in Section 3(e), then, subject to the signing of the Separation Agreement and Release by the Executive and the Separation Agreement and Release becoming irrevocable and fully effective and, if applicable, the Executive resigning as a member of the Board of Directors, all within 60 days after the Date of Termination (or such shorter time period provided in the Separation Agreement and Release):</w:t>
      </w:r>
    </w:p>
    <w:p>
      <w:pPr>
        <w:spacing w:after="0" w:line="64" w:lineRule="exact"/>
        <w:rPr>
          <w:rFonts w:ascii="Arial" w:cs="Arial" w:eastAsia="Arial" w:hAnsi="Arial"/>
          <w:sz w:val="17"/>
          <w:szCs w:val="17"/>
          <w:color w:val="auto"/>
        </w:rPr>
      </w:pPr>
    </w:p>
    <w:p>
      <w:pPr>
        <w:ind w:left="460" w:right="100" w:firstLine="881"/>
        <w:spacing w:after="0" w:line="264" w:lineRule="auto"/>
        <w:tabs>
          <w:tab w:leader="none" w:pos="1551"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the Company shall pay the Executive a lump sum in cash in an amount equal to 1.5 times the sum of (A) the Executive’s current Base Salary (or the Executive’s Base Salary in effect immediately prior to the Change in Control, if higher) and (B) the Executive’s Target Annual Incentive Compensation then in effect;</w:t>
      </w:r>
    </w:p>
    <w:p>
      <w:pPr>
        <w:spacing w:after="0" w:line="73" w:lineRule="exact"/>
        <w:rPr>
          <w:rFonts w:ascii="Arial" w:cs="Arial" w:eastAsia="Arial" w:hAnsi="Arial"/>
          <w:sz w:val="18"/>
          <w:szCs w:val="18"/>
          <w:color w:val="auto"/>
        </w:rPr>
      </w:pPr>
    </w:p>
    <w:p>
      <w:pPr>
        <w:ind w:left="460" w:right="120" w:firstLine="881"/>
        <w:spacing w:after="0" w:line="264" w:lineRule="auto"/>
        <w:tabs>
          <w:tab w:leader="none" w:pos="1601" w:val="left"/>
        </w:tabs>
        <w:numPr>
          <w:ilvl w:val="1"/>
          <w:numId w:val="343"/>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or stock-based award agreement, all time-based stock options and other time-based stock-based awards held by the Executive shall immediately accelerate and become fully exercisable or nonforfeitable as of the Date of Termination;</w:t>
      </w:r>
    </w:p>
    <w:p>
      <w:pPr>
        <w:spacing w:after="0" w:line="73" w:lineRule="exact"/>
        <w:rPr>
          <w:rFonts w:ascii="Arial" w:cs="Arial" w:eastAsia="Arial" w:hAnsi="Arial"/>
          <w:sz w:val="18"/>
          <w:szCs w:val="18"/>
          <w:color w:val="auto"/>
        </w:rPr>
      </w:pPr>
    </w:p>
    <w:p>
      <w:pPr>
        <w:ind w:left="460" w:firstLine="881"/>
        <w:spacing w:after="0" w:line="259" w:lineRule="auto"/>
        <w:tabs>
          <w:tab w:leader="none" w:pos="1651" w:val="left"/>
        </w:tabs>
        <w:numPr>
          <w:ilvl w:val="1"/>
          <w:numId w:val="343"/>
        </w:numPr>
        <w:rPr>
          <w:rFonts w:ascii="Arial" w:cs="Arial" w:eastAsia="Arial" w:hAnsi="Arial"/>
          <w:sz w:val="18"/>
          <w:szCs w:val="18"/>
          <w:color w:val="auto"/>
        </w:rPr>
      </w:pPr>
      <w:r>
        <w:rPr>
          <w:rFonts w:ascii="Arial" w:cs="Arial" w:eastAsia="Arial" w:hAnsi="Arial"/>
          <w:sz w:val="18"/>
          <w:szCs w:val="18"/>
          <w:color w:val="auto"/>
        </w:rPr>
        <w:t>if the Executive was participating in the Company’s group health plan immediately prior to the Date of Termination and elects COBRA health continuation, then the Company shall pay to the Executive a monthly cash payment for 18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78" w:lineRule="exact"/>
        <w:rPr>
          <w:rFonts w:ascii="Arial" w:cs="Arial" w:eastAsia="Arial" w:hAnsi="Arial"/>
          <w:sz w:val="18"/>
          <w:szCs w:val="18"/>
          <w:color w:val="auto"/>
        </w:rPr>
      </w:pPr>
    </w:p>
    <w:p>
      <w:pPr>
        <w:ind w:left="460" w:right="40" w:firstLine="881"/>
        <w:spacing w:after="0" w:line="264" w:lineRule="auto"/>
        <w:tabs>
          <w:tab w:leader="none" w:pos="1641" w:val="left"/>
        </w:tabs>
        <w:numPr>
          <w:ilvl w:val="1"/>
          <w:numId w:val="343"/>
        </w:numPr>
        <w:rPr>
          <w:rFonts w:ascii="Arial" w:cs="Arial" w:eastAsia="Arial" w:hAnsi="Arial"/>
          <w:sz w:val="18"/>
          <w:szCs w:val="18"/>
          <w:color w:val="auto"/>
        </w:rPr>
      </w:pPr>
      <w:r>
        <w:rPr>
          <w:rFonts w:ascii="Arial" w:cs="Arial" w:eastAsia="Arial" w:hAnsi="Arial"/>
          <w:sz w:val="18"/>
          <w:szCs w:val="18"/>
          <w:color w:val="auto"/>
        </w:rPr>
        <w:t>The amounts payable under Section 5(a)(i) and (iii)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Additional Limitation.</w:t>
      </w:r>
    </w:p>
    <w:p>
      <w:pPr>
        <w:spacing w:after="0" w:line="117" w:lineRule="exact"/>
        <w:rPr>
          <w:rFonts w:ascii="Arial" w:cs="Arial" w:eastAsia="Arial" w:hAnsi="Arial"/>
          <w:sz w:val="18"/>
          <w:szCs w:val="18"/>
          <w:color w:val="auto"/>
        </w:rPr>
      </w:pPr>
    </w:p>
    <w:p>
      <w:pPr>
        <w:ind w:left="460" w:right="20" w:firstLine="881"/>
        <w:spacing w:after="0" w:line="257" w:lineRule="auto"/>
        <w:tabs>
          <w:tab w:leader="none" w:pos="1551" w:val="left"/>
        </w:tabs>
        <w:numPr>
          <w:ilvl w:val="1"/>
          <w:numId w:val="343"/>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34" w:name="page435"/>
    <w:bookmarkEnd w:id="434"/>
    <w:p>
      <w:pPr>
        <w:ind w:right="1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w:t>
      </w:r>
    </w:p>
    <w:p>
      <w:pPr>
        <w:spacing w:after="0" w:line="2" w:lineRule="exact"/>
        <w:rPr>
          <w:sz w:val="20"/>
          <w:szCs w:val="20"/>
          <w:color w:val="auto"/>
        </w:rPr>
      </w:pPr>
    </w:p>
    <w:p>
      <w:pPr>
        <w:ind w:right="20" w:firstLine="4"/>
        <w:spacing w:after="0" w:line="254" w:lineRule="auto"/>
        <w:tabs>
          <w:tab w:leader="none" w:pos="25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81" w:lineRule="exact"/>
        <w:rPr>
          <w:rFonts w:ascii="Arial" w:cs="Arial" w:eastAsia="Arial" w:hAnsi="Arial"/>
          <w:sz w:val="18"/>
          <w:szCs w:val="18"/>
          <w:color w:val="auto"/>
        </w:rPr>
      </w:pPr>
    </w:p>
    <w:p>
      <w:pPr>
        <w:ind w:firstLine="881"/>
        <w:spacing w:after="0" w:line="255" w:lineRule="auto"/>
        <w:tabs>
          <w:tab w:leader="none" w:pos="1141" w:val="left"/>
        </w:tabs>
        <w:numPr>
          <w:ilvl w:val="2"/>
          <w:numId w:val="344"/>
        </w:numPr>
        <w:rPr>
          <w:rFonts w:ascii="Arial" w:cs="Arial" w:eastAsia="Arial" w:hAnsi="Arial"/>
          <w:sz w:val="18"/>
          <w:szCs w:val="18"/>
          <w:color w:val="auto"/>
        </w:rPr>
      </w:pPr>
      <w:r>
        <w:rPr>
          <w:rFonts w:ascii="Arial" w:cs="Arial" w:eastAsia="Arial" w:hAnsi="Arial"/>
          <w:sz w:val="18"/>
          <w:szCs w:val="18"/>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85" w:lineRule="exact"/>
        <w:rPr>
          <w:rFonts w:ascii="Arial" w:cs="Arial" w:eastAsia="Arial" w:hAnsi="Arial"/>
          <w:sz w:val="18"/>
          <w:szCs w:val="18"/>
          <w:color w:val="auto"/>
        </w:rPr>
      </w:pPr>
    </w:p>
    <w:p>
      <w:pPr>
        <w:ind w:right="140" w:firstLine="881"/>
        <w:spacing w:after="0" w:line="302" w:lineRule="auto"/>
        <w:tabs>
          <w:tab w:leader="none" w:pos="1191" w:val="left"/>
        </w:tabs>
        <w:numPr>
          <w:ilvl w:val="2"/>
          <w:numId w:val="344"/>
        </w:numPr>
        <w:rPr>
          <w:rFonts w:ascii="Arial" w:cs="Arial" w:eastAsia="Arial" w:hAnsi="Arial"/>
          <w:sz w:val="16"/>
          <w:szCs w:val="16"/>
          <w:color w:val="auto"/>
        </w:rPr>
      </w:pPr>
      <w:r>
        <w:rPr>
          <w:rFonts w:ascii="Arial" w:cs="Arial" w:eastAsia="Arial" w:hAnsi="Arial"/>
          <w:sz w:val="16"/>
          <w:szCs w:val="16"/>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46" w:lineRule="exact"/>
        <w:rPr>
          <w:rFonts w:ascii="Arial" w:cs="Arial" w:eastAsia="Arial" w:hAnsi="Arial"/>
          <w:sz w:val="16"/>
          <w:szCs w:val="16"/>
          <w:color w:val="auto"/>
        </w:rPr>
      </w:pPr>
    </w:p>
    <w:p>
      <w:pPr>
        <w:ind w:left="700" w:hanging="239"/>
        <w:spacing w:after="0"/>
        <w:tabs>
          <w:tab w:leader="none" w:pos="700" w:val="left"/>
        </w:tabs>
        <w:numPr>
          <w:ilvl w:val="1"/>
          <w:numId w:val="34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5, the following terms shall have the following meanings: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shall mean any of the following:</w:t>
      </w:r>
    </w:p>
    <w:p>
      <w:pPr>
        <w:spacing w:after="0" w:line="117" w:lineRule="exact"/>
        <w:rPr>
          <w:sz w:val="20"/>
          <w:szCs w:val="20"/>
          <w:color w:val="auto"/>
        </w:rPr>
      </w:pPr>
    </w:p>
    <w:p>
      <w:pPr>
        <w:ind w:right="120" w:firstLine="881"/>
        <w:spacing w:after="0" w:line="293" w:lineRule="auto"/>
        <w:tabs>
          <w:tab w:leader="none" w:pos="1091" w:val="left"/>
        </w:tabs>
        <w:numPr>
          <w:ilvl w:val="0"/>
          <w:numId w:val="345"/>
        </w:numPr>
        <w:rPr>
          <w:rFonts w:ascii="Arial" w:cs="Arial" w:eastAsia="Arial" w:hAnsi="Arial"/>
          <w:sz w:val="16"/>
          <w:szCs w:val="16"/>
          <w:color w:val="auto"/>
        </w:rPr>
      </w:pPr>
      <w:r>
        <w:rPr>
          <w:rFonts w:ascii="Arial" w:cs="Arial" w:eastAsia="Arial" w:hAnsi="Arial"/>
          <w:sz w:val="16"/>
          <w:szCs w:val="16"/>
          <w:color w:val="auto"/>
        </w:rPr>
        <w:t>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term is defined in Rule 13d-3 under the Act), directly or indirectly, of securities of the Company representing 50 percent or more of the combined voting power of the Company’s then outstanding securities having the right to vote in an election of the Board (“Voting Securities”) (in such case other than as a result of an acquisition of securities directly from the Company); or</w:t>
      </w:r>
    </w:p>
    <w:p>
      <w:pPr>
        <w:spacing w:after="0" w:line="9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435" w:name="page436"/>
    <w:bookmarkEnd w:id="435"/>
    <w:p>
      <w:pPr>
        <w:ind w:left="460" w:right="120" w:firstLine="881"/>
        <w:spacing w:after="0" w:line="277" w:lineRule="auto"/>
        <w:tabs>
          <w:tab w:leader="none" w:pos="1601" w:val="left"/>
        </w:tabs>
        <w:numPr>
          <w:ilvl w:val="0"/>
          <w:numId w:val="3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a majority of the members of the Board is replaced during any 12-month period by directors whose appointment or election is not endorsed by a majority of the members of the Board before the date of the appointment or election; or</w:t>
      </w:r>
    </w:p>
    <w:p>
      <w:pPr>
        <w:spacing w:after="0" w:line="62" w:lineRule="exact"/>
        <w:rPr>
          <w:rFonts w:ascii="Arial" w:cs="Arial" w:eastAsia="Arial" w:hAnsi="Arial"/>
          <w:sz w:val="18"/>
          <w:szCs w:val="18"/>
          <w:color w:val="auto"/>
        </w:rPr>
      </w:pPr>
    </w:p>
    <w:p>
      <w:pPr>
        <w:ind w:left="460" w:right="60" w:firstLine="881"/>
        <w:spacing w:after="0" w:line="276" w:lineRule="auto"/>
        <w:tabs>
          <w:tab w:leader="none" w:pos="1651" w:val="left"/>
        </w:tabs>
        <w:numPr>
          <w:ilvl w:val="0"/>
          <w:numId w:val="346"/>
        </w:numPr>
        <w:rPr>
          <w:rFonts w:ascii="Arial" w:cs="Arial" w:eastAsia="Arial" w:hAnsi="Arial"/>
          <w:sz w:val="17"/>
          <w:szCs w:val="17"/>
          <w:color w:val="auto"/>
        </w:rPr>
      </w:pPr>
      <w:r>
        <w:rPr>
          <w:rFonts w:ascii="Arial" w:cs="Arial" w:eastAsia="Arial" w:hAnsi="Arial"/>
          <w:sz w:val="17"/>
          <w:szCs w:val="17"/>
          <w:color w:val="auto"/>
        </w:rPr>
        <w:t>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w:t>
      </w:r>
    </w:p>
    <w:p>
      <w:pPr>
        <w:spacing w:after="0" w:line="17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Notwithstanding the foregoing, a “Change in Control” shall not be deemed to have occurred for purposes of the foregoing clause (i)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“Change in Control” shall be deemed to have occurred for purposes of the foregoing clause (i).</w:t>
      </w:r>
    </w:p>
    <w:p>
      <w:pPr>
        <w:spacing w:after="0" w:line="70" w:lineRule="exact"/>
        <w:rPr>
          <w:sz w:val="20"/>
          <w:szCs w:val="20"/>
          <w:color w:val="auto"/>
        </w:rPr>
      </w:pPr>
    </w:p>
    <w:p>
      <w:pPr>
        <w:ind w:left="640" w:hanging="176"/>
        <w:spacing w:after="0"/>
        <w:tabs>
          <w:tab w:leader="none" w:pos="640"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90" w:lineRule="auto"/>
        <w:tabs>
          <w:tab w:leader="none" w:pos="1158" w:val="left"/>
        </w:tabs>
        <w:numPr>
          <w:ilvl w:val="1"/>
          <w:numId w:val="347"/>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3" w:right="259" w:bottom="1440" w:gutter="0" w:footer="0" w:header="0"/>
        </w:sectPr>
      </w:pPr>
    </w:p>
    <w:bookmarkStart w:id="436" w:name="page437"/>
    <w:bookmarkEnd w:id="436"/>
    <w:p>
      <w:pPr>
        <w:ind w:right="40" w:firstLine="921"/>
        <w:spacing w:after="0" w:line="273" w:lineRule="auto"/>
        <w:tabs>
          <w:tab w:leader="none" w:pos="1168" w:val="left"/>
        </w:tabs>
        <w:numPr>
          <w:ilvl w:val="1"/>
          <w:numId w:val="34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70" w:lineRule="exact"/>
        <w:rPr>
          <w:rFonts w:ascii="Arial" w:cs="Arial" w:eastAsia="Arial" w:hAnsi="Arial"/>
          <w:sz w:val="17"/>
          <w:szCs w:val="17"/>
          <w:color w:val="auto"/>
        </w:rPr>
      </w:pPr>
    </w:p>
    <w:p>
      <w:pPr>
        <w:ind w:right="60" w:firstLine="921"/>
        <w:spacing w:after="0" w:line="279" w:lineRule="auto"/>
        <w:tabs>
          <w:tab w:leader="none" w:pos="1158" w:val="left"/>
        </w:tabs>
        <w:numPr>
          <w:ilvl w:val="1"/>
          <w:numId w:val="348"/>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63" w:lineRule="exact"/>
        <w:rPr>
          <w:rFonts w:ascii="Arial" w:cs="Arial" w:eastAsia="Arial" w:hAnsi="Arial"/>
          <w:sz w:val="17"/>
          <w:szCs w:val="17"/>
          <w:color w:val="auto"/>
        </w:rPr>
      </w:pPr>
    </w:p>
    <w:p>
      <w:pPr>
        <w:ind w:firstLine="921"/>
        <w:spacing w:after="0" w:line="255" w:lineRule="auto"/>
        <w:tabs>
          <w:tab w:leader="none" w:pos="1168"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85" w:lineRule="exact"/>
        <w:rPr>
          <w:rFonts w:ascii="Arial" w:cs="Arial" w:eastAsia="Arial" w:hAnsi="Arial"/>
          <w:sz w:val="18"/>
          <w:szCs w:val="18"/>
          <w:color w:val="auto"/>
        </w:rPr>
      </w:pPr>
    </w:p>
    <w:p>
      <w:pPr>
        <w:jc w:val="both"/>
        <w:ind w:right="220" w:firstLine="921"/>
        <w:spacing w:after="0" w:line="264" w:lineRule="auto"/>
        <w:tabs>
          <w:tab w:leader="none" w:pos="1158"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73" w:lineRule="exact"/>
        <w:rPr>
          <w:rFonts w:ascii="Arial" w:cs="Arial" w:eastAsia="Arial" w:hAnsi="Arial"/>
          <w:sz w:val="18"/>
          <w:szCs w:val="18"/>
          <w:color w:val="auto"/>
        </w:rPr>
      </w:pPr>
    </w:p>
    <w:p>
      <w:pPr>
        <w:ind w:left="640" w:hanging="176"/>
        <w:spacing w:after="0"/>
        <w:tabs>
          <w:tab w:leader="none" w:pos="640"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Noncompetition and Cooperation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460" w:firstLine="921"/>
        <w:spacing w:after="0" w:line="264" w:lineRule="auto"/>
        <w:tabs>
          <w:tab w:leader="none" w:pos="1158" w:val="left"/>
        </w:tabs>
        <w:numPr>
          <w:ilvl w:val="1"/>
          <w:numId w:val="349"/>
        </w:numPr>
        <w:rPr>
          <w:rFonts w:ascii="Arial" w:cs="Arial" w:eastAsia="Arial" w:hAnsi="Arial"/>
          <w:sz w:val="18"/>
          <w:szCs w:val="18"/>
          <w:color w:val="auto"/>
        </w:rPr>
      </w:pPr>
      <w:r>
        <w:rPr>
          <w:rFonts w:ascii="Arial" w:cs="Arial" w:eastAsia="Arial" w:hAnsi="Arial"/>
          <w:sz w:val="18"/>
          <w:szCs w:val="18"/>
          <w:color w:val="auto"/>
        </w:rPr>
        <w:t xml:space="preserve">The terms of the Confidentiality and IP Assignment Agreement (the “Restrictive Covenant Agreement”), between the Company and the Executive,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shall continue to be in full force and effect and are incorporated by reference in this Agreement. The Executive hereby reaffirms the terms of the Restrictive Covenant Agreement as material terms of this Agreement.</w:t>
      </w:r>
    </w:p>
    <w:p>
      <w:pPr>
        <w:spacing w:after="0" w:line="73" w:lineRule="exact"/>
        <w:rPr>
          <w:rFonts w:ascii="Arial" w:cs="Arial" w:eastAsia="Arial" w:hAnsi="Arial"/>
          <w:sz w:val="18"/>
          <w:szCs w:val="18"/>
          <w:color w:val="auto"/>
        </w:rPr>
      </w:pPr>
    </w:p>
    <w:p>
      <w:pPr>
        <w:jc w:val="both"/>
        <w:ind w:right="140" w:firstLine="921"/>
        <w:spacing w:after="0" w:line="312" w:lineRule="auto"/>
        <w:tabs>
          <w:tab w:leader="none" w:pos="1168" w:val="left"/>
        </w:tabs>
        <w:numPr>
          <w:ilvl w:val="1"/>
          <w:numId w:val="349"/>
        </w:numPr>
        <w:rPr>
          <w:rFonts w:ascii="Arial" w:cs="Arial" w:eastAsia="Arial" w:hAnsi="Arial"/>
          <w:sz w:val="16"/>
          <w:szCs w:val="16"/>
          <w:color w:val="auto"/>
        </w:rPr>
      </w:pPr>
      <w:r>
        <w:rPr>
          <w:rFonts w:ascii="Arial" w:cs="Arial" w:eastAsia="Arial" w:hAnsi="Arial"/>
          <w:sz w:val="16"/>
          <w:szCs w:val="16"/>
          <w:u w:val="single" w:color="auto"/>
          <w:color w:val="auto"/>
        </w:rPr>
        <w:t>Third-Party Agreements and Rights</w:t>
      </w:r>
      <w:r>
        <w:rPr>
          <w:rFonts w:ascii="Arial" w:cs="Arial" w:eastAsia="Arial" w:hAnsi="Arial"/>
          <w:sz w:val="16"/>
          <w:szCs w:val="16"/>
          <w:color w:val="auto"/>
        </w:rPr>
        <w:t>. 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Company that the Executive’s execution of this Agreement, the Executive’s employment with the Company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3" w:right="239" w:bottom="1440" w:gutter="0" w:footer="0" w:header="0"/>
        </w:sectPr>
      </w:pPr>
    </w:p>
    <w:bookmarkStart w:id="437" w:name="page438"/>
    <w:bookmarkEnd w:id="437"/>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63" w:lineRule="exact"/>
        <w:rPr>
          <w:sz w:val="20"/>
          <w:szCs w:val="20"/>
          <w:color w:val="auto"/>
        </w:rPr>
      </w:pPr>
    </w:p>
    <w:p>
      <w:pPr>
        <w:ind w:firstLine="921"/>
        <w:spacing w:after="0" w:line="270" w:lineRule="auto"/>
        <w:tabs>
          <w:tab w:leader="none" w:pos="1157" w:val="left"/>
        </w:tabs>
        <w:numPr>
          <w:ilvl w:val="1"/>
          <w:numId w:val="350"/>
        </w:numPr>
        <w:rPr>
          <w:rFonts w:ascii="Arial" w:cs="Arial" w:eastAsia="Arial" w:hAnsi="Arial"/>
          <w:sz w:val="17"/>
          <w:szCs w:val="17"/>
          <w:color w:val="auto"/>
        </w:rPr>
      </w:pPr>
      <w:r>
        <w:rPr>
          <w:rFonts w:ascii="Arial" w:cs="Arial" w:eastAsia="Arial" w:hAnsi="Arial"/>
          <w:sz w:val="17"/>
          <w:szCs w:val="17"/>
          <w:u w:val="single" w:color="auto"/>
          <w:color w:val="auto"/>
        </w:rPr>
        <w:t>Litigation and Regulatory Cooperation</w:t>
      </w:r>
      <w:r>
        <w:rPr>
          <w:rFonts w:ascii="Arial" w:cs="Arial" w:eastAsia="Arial" w:hAnsi="Arial"/>
          <w:sz w:val="17"/>
          <w:szCs w:val="17"/>
          <w:color w:val="auto"/>
        </w:rPr>
        <w:t>. During and after the Executive’s employment, the Executive shall reasonably cooperate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taking into consideration Executive’s then current business and personal commitments.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7(c).</w:t>
      </w:r>
    </w:p>
    <w:p>
      <w:pPr>
        <w:spacing w:after="0" w:line="73" w:lineRule="exact"/>
        <w:rPr>
          <w:rFonts w:ascii="Arial" w:cs="Arial" w:eastAsia="Arial" w:hAnsi="Arial"/>
          <w:sz w:val="17"/>
          <w:szCs w:val="17"/>
          <w:color w:val="auto"/>
        </w:rPr>
      </w:pPr>
    </w:p>
    <w:p>
      <w:pPr>
        <w:ind w:right="40" w:firstLine="921"/>
        <w:spacing w:after="0" w:line="271" w:lineRule="auto"/>
        <w:tabs>
          <w:tab w:leader="none" w:pos="1168" w:val="left"/>
        </w:tabs>
        <w:numPr>
          <w:ilvl w:val="1"/>
          <w:numId w:val="350"/>
        </w:numPr>
        <w:rPr>
          <w:rFonts w:ascii="Arial" w:cs="Arial" w:eastAsia="Arial" w:hAnsi="Arial"/>
          <w:sz w:val="17"/>
          <w:szCs w:val="17"/>
          <w:color w:val="auto"/>
        </w:rPr>
      </w:pPr>
      <w:r>
        <w:rPr>
          <w:rFonts w:ascii="Arial" w:cs="Arial" w:eastAsia="Arial" w:hAnsi="Arial"/>
          <w:sz w:val="17"/>
          <w:szCs w:val="17"/>
          <w:u w:val="single" w:color="auto"/>
          <w:color w:val="auto"/>
        </w:rPr>
        <w:t>Relief</w:t>
      </w:r>
      <w:r>
        <w:rPr>
          <w:rFonts w:ascii="Arial" w:cs="Arial" w:eastAsia="Arial" w:hAnsi="Arial"/>
          <w:sz w:val="17"/>
          <w:szCs w:val="17"/>
          <w:color w:val="auto"/>
        </w:rPr>
        <w:t>. The Executive agrees that it would be difficult to measure any damages caused to the Company which might result from any breach by the Executive of the promises incorporated into or set forth in this Section 7, and that in any event money damages would be an inadequate remedy for any such breach. Accordingly, subject to Section 8 of this Agreement, the Executive agrees that if the Executive breaches, or proposes to breach, any portion of this Agreement, the Company shall be entitled, in addition to all other remedies that it may have, to an injunction or other appropriate equitable relief to restrain any such breach without showing or proving any actual damage to the Company. In addition, in the event the Executive breaches this Section 7 or the provisions incorporated herein during a period when he is receiving severance payments pursuant to Section 4 or Section 5 hereof, the Company shall have the right to suspend or terminate such severance payments. Such suspension or termination shall not limit the Company’s other options with respect to relief for such breach and shall not relieve the Executive of his duties under this Agreement.</w:t>
      </w:r>
    </w:p>
    <w:p>
      <w:pPr>
        <w:spacing w:after="0" w:line="70" w:lineRule="exact"/>
        <w:rPr>
          <w:rFonts w:ascii="Arial" w:cs="Arial" w:eastAsia="Arial" w:hAnsi="Arial"/>
          <w:sz w:val="17"/>
          <w:szCs w:val="17"/>
          <w:color w:val="auto"/>
        </w:rPr>
      </w:pPr>
    </w:p>
    <w:p>
      <w:pPr>
        <w:ind w:right="240" w:firstLine="921"/>
        <w:spacing w:after="0" w:line="342" w:lineRule="auto"/>
        <w:tabs>
          <w:tab w:leader="none" w:pos="1157" w:val="left"/>
        </w:tabs>
        <w:numPr>
          <w:ilvl w:val="1"/>
          <w:numId w:val="350"/>
        </w:numPr>
        <w:rPr>
          <w:rFonts w:ascii="Arial" w:cs="Arial" w:eastAsia="Arial" w:hAnsi="Arial"/>
          <w:sz w:val="16"/>
          <w:szCs w:val="16"/>
          <w:color w:val="auto"/>
        </w:rPr>
      </w:pPr>
      <w:r>
        <w:rPr>
          <w:rFonts w:ascii="Arial" w:cs="Arial" w:eastAsia="Arial" w:hAnsi="Arial"/>
          <w:sz w:val="16"/>
          <w:szCs w:val="16"/>
          <w:u w:val="single" w:color="auto"/>
          <w:color w:val="auto"/>
        </w:rPr>
        <w:t>Protected Disclosures and Other Protected Action</w:t>
      </w:r>
      <w:r>
        <w:rPr>
          <w:rFonts w:ascii="Arial" w:cs="Arial" w:eastAsia="Arial" w:hAnsi="Arial"/>
          <w:sz w:val="16"/>
          <w:szCs w:val="16"/>
          <w:color w:val="auto"/>
        </w:rPr>
        <w:t>. Nothing contained in this Agreement limits the Executive’s ability to communicate with any federal, state or local governmental agency or commission, including to provide documents or other information, without notice to the Company.</w:t>
      </w:r>
    </w:p>
    <w:p>
      <w:pPr>
        <w:spacing w:after="0" w:line="15" w:lineRule="exact"/>
        <w:rPr>
          <w:rFonts w:ascii="Arial" w:cs="Arial" w:eastAsia="Arial" w:hAnsi="Arial"/>
          <w:sz w:val="16"/>
          <w:szCs w:val="16"/>
          <w:color w:val="auto"/>
        </w:rPr>
      </w:pPr>
    </w:p>
    <w:p>
      <w:pPr>
        <w:jc w:val="both"/>
        <w:ind w:right="260" w:firstLine="464"/>
        <w:spacing w:after="0" w:line="312" w:lineRule="auto"/>
        <w:tabs>
          <w:tab w:leader="none" w:pos="636" w:val="left"/>
        </w:tabs>
        <w:numPr>
          <w:ilvl w:val="0"/>
          <w:numId w:val="351"/>
        </w:numPr>
        <w:rPr>
          <w:rFonts w:ascii="Arial" w:cs="Arial" w:eastAsia="Arial" w:hAnsi="Arial"/>
          <w:sz w:val="16"/>
          <w:szCs w:val="16"/>
          <w:color w:val="auto"/>
        </w:rPr>
      </w:pPr>
      <w:r>
        <w:rPr>
          <w:rFonts w:ascii="Arial" w:cs="Arial" w:eastAsia="Arial" w:hAnsi="Arial"/>
          <w:sz w:val="16"/>
          <w:szCs w:val="16"/>
          <w:u w:val="single" w:color="auto"/>
          <w:color w:val="auto"/>
        </w:rPr>
        <w:t>Arbitration of Disputes</w:t>
      </w:r>
      <w:r>
        <w:rPr>
          <w:rFonts w:ascii="Arial" w:cs="Arial" w:eastAsia="Arial" w:hAnsi="Arial"/>
          <w:sz w:val="16"/>
          <w:szCs w:val="16"/>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438" w:name="page439"/>
    <w:bookmarkEnd w:id="438"/>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59" w:lineRule="exact"/>
        <w:rPr>
          <w:sz w:val="20"/>
          <w:szCs w:val="20"/>
          <w:color w:val="auto"/>
        </w:rPr>
      </w:pPr>
    </w:p>
    <w:p>
      <w:pPr>
        <w:ind w:firstLine="464"/>
        <w:spacing w:after="0" w:line="257" w:lineRule="auto"/>
        <w:tabs>
          <w:tab w:leader="none" w:pos="636"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80" w:lineRule="exact"/>
        <w:rPr>
          <w:rFonts w:ascii="Arial" w:cs="Arial" w:eastAsia="Arial" w:hAnsi="Arial"/>
          <w:sz w:val="18"/>
          <w:szCs w:val="18"/>
          <w:color w:val="auto"/>
        </w:rPr>
      </w:pPr>
    </w:p>
    <w:p>
      <w:pPr>
        <w:ind w:right="40" w:firstLine="464"/>
        <w:spacing w:after="0" w:line="308" w:lineRule="auto"/>
        <w:tabs>
          <w:tab w:leader="none" w:pos="726" w:val="left"/>
        </w:tabs>
        <w:numPr>
          <w:ilvl w:val="0"/>
          <w:numId w:val="352"/>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and the Restrictive Covenant Agreement constitute the entire agreement between the parties with respect to the subject matter hereof and supersede all prior agreements between the parties concerning such subject matter, including the Prior Agreement.</w:t>
      </w:r>
    </w:p>
    <w:p>
      <w:pPr>
        <w:spacing w:after="0" w:line="38" w:lineRule="exact"/>
        <w:rPr>
          <w:rFonts w:ascii="Arial" w:cs="Arial" w:eastAsia="Arial" w:hAnsi="Arial"/>
          <w:sz w:val="17"/>
          <w:szCs w:val="17"/>
          <w:color w:val="auto"/>
        </w:rPr>
      </w:pPr>
    </w:p>
    <w:p>
      <w:pPr>
        <w:ind w:right="300" w:firstLine="464"/>
        <w:spacing w:after="0" w:line="277" w:lineRule="auto"/>
        <w:tabs>
          <w:tab w:leader="none" w:pos="720"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w:t>
      </w:r>
    </w:p>
    <w:p>
      <w:pPr>
        <w:spacing w:after="0" w:line="62" w:lineRule="exact"/>
        <w:rPr>
          <w:rFonts w:ascii="Arial" w:cs="Arial" w:eastAsia="Arial" w:hAnsi="Arial"/>
          <w:sz w:val="18"/>
          <w:szCs w:val="18"/>
          <w:color w:val="auto"/>
        </w:rPr>
      </w:pPr>
    </w:p>
    <w:p>
      <w:pPr>
        <w:ind w:right="60" w:firstLine="464"/>
        <w:spacing w:after="0" w:line="279" w:lineRule="auto"/>
        <w:tabs>
          <w:tab w:leader="none" w:pos="726" w:val="left"/>
        </w:tabs>
        <w:numPr>
          <w:ilvl w:val="0"/>
          <w:numId w:val="352"/>
        </w:numPr>
        <w:rPr>
          <w:rFonts w:ascii="Arial" w:cs="Arial" w:eastAsia="Arial" w:hAnsi="Arial"/>
          <w:sz w:val="17"/>
          <w:szCs w:val="17"/>
          <w:color w:val="auto"/>
        </w:rPr>
      </w:pPr>
      <w:r>
        <w:rPr>
          <w:rFonts w:ascii="Arial" w:cs="Arial" w:eastAsia="Arial" w:hAnsi="Arial"/>
          <w:sz w:val="17"/>
          <w:szCs w:val="17"/>
          <w:u w:val="single" w:color="auto"/>
          <w:color w:val="auto"/>
        </w:rPr>
        <w:t>Successor to the Executive</w:t>
      </w:r>
      <w:r>
        <w:rPr>
          <w:rFonts w:ascii="Arial" w:cs="Arial" w:eastAsia="Arial" w:hAnsi="Arial"/>
          <w:sz w:val="17"/>
          <w:szCs w:val="17"/>
          <w:color w:val="auto"/>
        </w:rPr>
        <w:t>. This Agreement shall inure to the benefit of and be enforceable by the Executive’s personal representatives, executors, administrators, heirs, distributees, devisees and legatees. In the event of the Executive’s death after his termination of employment but prior to the completion by the Company of all payments due to him under this Agreement, the Company shall continue such payments to the Executive’s beneficiary designated in writing to the Company prior to his death (or to his estate, if the Executive fails to make such designation).</w:t>
      </w:r>
    </w:p>
    <w:p>
      <w:pPr>
        <w:spacing w:after="0" w:line="63" w:lineRule="exact"/>
        <w:rPr>
          <w:rFonts w:ascii="Arial" w:cs="Arial" w:eastAsia="Arial" w:hAnsi="Arial"/>
          <w:sz w:val="17"/>
          <w:szCs w:val="17"/>
          <w:color w:val="auto"/>
        </w:rPr>
      </w:pPr>
    </w:p>
    <w:p>
      <w:pPr>
        <w:ind w:right="160" w:firstLine="464"/>
        <w:spacing w:after="0" w:line="279" w:lineRule="auto"/>
        <w:tabs>
          <w:tab w:leader="none" w:pos="726" w:val="left"/>
        </w:tabs>
        <w:numPr>
          <w:ilvl w:val="0"/>
          <w:numId w:val="352"/>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439" w:name="page440"/>
    <w:bookmarkEnd w:id="439"/>
    <w:p>
      <w:pPr>
        <w:ind w:left="-20" w:firstLine="464"/>
        <w:spacing w:after="0" w:line="277" w:lineRule="auto"/>
        <w:tabs>
          <w:tab w:leader="none" w:pos="706"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Survival</w:t>
      </w:r>
      <w:r>
        <w:rPr>
          <w:rFonts w:ascii="Arial" w:cs="Arial" w:eastAsia="Arial" w:hAnsi="Arial"/>
          <w:sz w:val="18"/>
          <w:szCs w:val="18"/>
          <w:color w:val="auto"/>
        </w:rPr>
        <w:t>. The provisions of this Agreement shall survive the termination of this Agreement and/or the termination of the Executive’s employment to the extent necessary to effectuate the terms contained herein.</w:t>
      </w:r>
    </w:p>
    <w:p>
      <w:pPr>
        <w:spacing w:after="0" w:line="62" w:lineRule="exact"/>
        <w:rPr>
          <w:rFonts w:ascii="Arial" w:cs="Arial" w:eastAsia="Arial" w:hAnsi="Arial"/>
          <w:sz w:val="18"/>
          <w:szCs w:val="18"/>
          <w:color w:val="auto"/>
        </w:rPr>
      </w:pPr>
    </w:p>
    <w:p>
      <w:pPr>
        <w:ind w:left="-20" w:right="300" w:firstLine="464"/>
        <w:spacing w:after="0" w:line="264" w:lineRule="auto"/>
        <w:tabs>
          <w:tab w:leader="none" w:pos="706"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73" w:lineRule="exact"/>
        <w:rPr>
          <w:rFonts w:ascii="Arial" w:cs="Arial" w:eastAsia="Arial" w:hAnsi="Arial"/>
          <w:sz w:val="18"/>
          <w:szCs w:val="18"/>
          <w:color w:val="auto"/>
        </w:rPr>
      </w:pPr>
    </w:p>
    <w:p>
      <w:pPr>
        <w:ind w:left="-20" w:right="60" w:firstLine="464"/>
        <w:spacing w:after="0" w:line="312" w:lineRule="auto"/>
        <w:tabs>
          <w:tab w:leader="none" w:pos="706" w:val="left"/>
        </w:tabs>
        <w:numPr>
          <w:ilvl w:val="0"/>
          <w:numId w:val="35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38" w:lineRule="exact"/>
        <w:rPr>
          <w:rFonts w:ascii="Arial" w:cs="Arial" w:eastAsia="Arial" w:hAnsi="Arial"/>
          <w:sz w:val="16"/>
          <w:szCs w:val="16"/>
          <w:color w:val="auto"/>
        </w:rPr>
      </w:pPr>
    </w:p>
    <w:p>
      <w:pPr>
        <w:ind w:left="-20" w:right="680" w:firstLine="464"/>
        <w:spacing w:after="0" w:line="277" w:lineRule="auto"/>
        <w:tabs>
          <w:tab w:leader="none" w:pos="706"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62" w:lineRule="exact"/>
        <w:rPr>
          <w:rFonts w:ascii="Arial" w:cs="Arial" w:eastAsia="Arial" w:hAnsi="Arial"/>
          <w:sz w:val="18"/>
          <w:szCs w:val="18"/>
          <w:color w:val="auto"/>
        </w:rPr>
      </w:pPr>
    </w:p>
    <w:p>
      <w:pPr>
        <w:ind w:left="-20" w:right="40" w:firstLine="464"/>
        <w:spacing w:after="0" w:line="277" w:lineRule="auto"/>
        <w:tabs>
          <w:tab w:leader="none" w:pos="706"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is a Massachusetts contract and shall be construed under and be governed in all respects by the laws of the Commonwealth of Massachusetts, without giving effect to the conflict of laws principles thereof.</w:t>
      </w:r>
    </w:p>
    <w:p>
      <w:pPr>
        <w:spacing w:after="0" w:line="62" w:lineRule="exact"/>
        <w:rPr>
          <w:rFonts w:ascii="Arial" w:cs="Arial" w:eastAsia="Arial" w:hAnsi="Arial"/>
          <w:sz w:val="18"/>
          <w:szCs w:val="18"/>
          <w:color w:val="auto"/>
        </w:rPr>
      </w:pPr>
    </w:p>
    <w:p>
      <w:pPr>
        <w:ind w:left="-20" w:right="140" w:firstLine="464"/>
        <w:spacing w:after="0" w:line="277" w:lineRule="auto"/>
        <w:tabs>
          <w:tab w:leader="none" w:pos="706"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62" w:lineRule="exact"/>
        <w:rPr>
          <w:rFonts w:ascii="Arial" w:cs="Arial" w:eastAsia="Arial" w:hAnsi="Arial"/>
          <w:sz w:val="18"/>
          <w:szCs w:val="18"/>
          <w:color w:val="auto"/>
        </w:rPr>
      </w:pPr>
    </w:p>
    <w:p>
      <w:pPr>
        <w:ind w:left="-20" w:firstLine="464"/>
        <w:spacing w:after="0" w:line="259" w:lineRule="auto"/>
        <w:tabs>
          <w:tab w:leader="none" w:pos="706"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Successor to Company</w:t>
      </w:r>
      <w:r>
        <w:rPr>
          <w:rFonts w:ascii="Arial" w:cs="Arial" w:eastAsia="Arial" w:hAnsi="Arial"/>
          <w:sz w:val="18"/>
          <w:szCs w:val="18"/>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78" w:lineRule="exact"/>
        <w:rPr>
          <w:rFonts w:ascii="Arial" w:cs="Arial" w:eastAsia="Arial" w:hAnsi="Arial"/>
          <w:sz w:val="18"/>
          <w:szCs w:val="18"/>
          <w:color w:val="auto"/>
        </w:rPr>
      </w:pPr>
    </w:p>
    <w:p>
      <w:pPr>
        <w:ind w:left="-20" w:right="80" w:firstLine="464"/>
        <w:spacing w:after="0" w:line="277" w:lineRule="auto"/>
        <w:tabs>
          <w:tab w:leader="none" w:pos="706"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Gender Neutral</w:t>
      </w:r>
      <w:r>
        <w:rPr>
          <w:rFonts w:ascii="Arial" w:cs="Arial" w:eastAsia="Arial" w:hAnsi="Arial"/>
          <w:sz w:val="18"/>
          <w:szCs w:val="18"/>
          <w:color w:val="auto"/>
        </w:rPr>
        <w:t>. Wherever used herein, a pronoun in the masculine or feminine gender shall be considered as including the opposite gender as well unless the context clearly indicates otherwise.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74" w:right="259" w:bottom="1440" w:gutter="0" w:footer="0" w:header="0"/>
        </w:sectPr>
      </w:pPr>
    </w:p>
    <w:bookmarkStart w:id="440" w:name="page441"/>
    <w:bookmarkEnd w:id="4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effective on the date and year first above written.</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Bruce Booth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Bruce Booth</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Title: Chairman of the Board of Directors</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Geoff MacKay</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759"/>
          </w:cols>
          <w:pgMar w:left="700" w:top="273" w:right="1440" w:bottom="1440" w:gutter="0" w:footer="0" w:header="0"/>
        </w:sectPr>
      </w:pPr>
    </w:p>
    <w:bookmarkStart w:id="441" w:name="page442"/>
    <w:bookmarkEnd w:id="4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Approved Activities</w:t>
      </w:r>
    </w:p>
    <w:p>
      <w:pPr>
        <w:sectPr>
          <w:pgSz w:w="11900" w:h="16838" w:orient="portrait"/>
          <w:cols w:equalWidth="0" w:num="1">
            <w:col w:w="9019"/>
          </w:cols>
          <w:pgMar w:left="1440" w:top="269" w:right="1440" w:bottom="1440" w:gutter="0" w:footer="0" w:header="0"/>
        </w:sectPr>
      </w:pPr>
    </w:p>
    <w:bookmarkStart w:id="442" w:name="page443"/>
    <w:bookmarkEnd w:id="44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Confidentiality and IP Assignment Agreement</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019"/>
          </w:cols>
          <w:pgMar w:left="1440" w:top="270" w:right="1440" w:bottom="1440" w:gutter="0" w:footer="0" w:header="0"/>
        </w:sectPr>
      </w:pPr>
    </w:p>
    <w:bookmarkStart w:id="443" w:name="page444"/>
    <w:bookmarkEnd w:id="443"/>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700" w:firstLine="456"/>
        <w:spacing w:after="0" w:line="286" w:lineRule="auto"/>
        <w:rPr>
          <w:sz w:val="20"/>
          <w:szCs w:val="20"/>
          <w:color w:val="auto"/>
        </w:rPr>
      </w:pPr>
      <w:r>
        <w:rPr>
          <w:rFonts w:ascii="Arial" w:cs="Arial" w:eastAsia="Arial" w:hAnsi="Arial"/>
          <w:sz w:val="17"/>
          <w:szCs w:val="17"/>
          <w:color w:val="auto"/>
        </w:rPr>
        <w:t>This Employment Agreement (“Agreement”) is made as of the 8</w:t>
      </w:r>
      <w:r>
        <w:rPr>
          <w:rFonts w:ascii="Arial" w:cs="Arial" w:eastAsia="Arial" w:hAnsi="Arial"/>
          <w:sz w:val="14"/>
          <w:szCs w:val="14"/>
          <w:color w:val="auto"/>
        </w:rPr>
        <w:t>th</w:t>
      </w:r>
      <w:r>
        <w:rPr>
          <w:rFonts w:ascii="Arial" w:cs="Arial" w:eastAsia="Arial" w:hAnsi="Arial"/>
          <w:sz w:val="17"/>
          <w:szCs w:val="17"/>
          <w:color w:val="auto"/>
        </w:rPr>
        <w:t xml:space="preserve"> day of June, 2018, between AVROBIO, Inc., a Delaware corporation (the “Company”), and Nerissa Kreher (the “Executive”) and is effective as of the closing of the Company’s first underwritten public offering of its equity securities pursuant to an effective registration statement under the Securities Act of 1933, as amended (the “Effective Date”).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the Company and the Executive are parties to an existing employment agreement, dated November 1, 2016 (the “Prior Agreement”); and</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intend to replace the Prior Agreement with this Agreement, effective as of the Effective Date.</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to restate the Prior Agreement as follows:</w:t>
      </w:r>
    </w:p>
    <w:p>
      <w:pPr>
        <w:spacing w:after="0" w:line="62" w:lineRule="exact"/>
        <w:rPr>
          <w:sz w:val="20"/>
          <w:szCs w:val="20"/>
          <w:color w:val="auto"/>
        </w:rPr>
      </w:pPr>
    </w:p>
    <w:p>
      <w:pPr>
        <w:ind w:left="640" w:hanging="176"/>
        <w:spacing w:after="0"/>
        <w:tabs>
          <w:tab w:leader="none" w:pos="640" w:val="left"/>
        </w:tabs>
        <w:numPr>
          <w:ilvl w:val="0"/>
          <w:numId w:val="354"/>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80" w:firstLine="921"/>
        <w:spacing w:after="0" w:line="286" w:lineRule="auto"/>
        <w:tabs>
          <w:tab w:leader="none" w:pos="1157" w:val="left"/>
        </w:tabs>
        <w:numPr>
          <w:ilvl w:val="1"/>
          <w:numId w:val="354"/>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of this Agreement shall commence on the Effective Date and continue until terminated in accordance with the provisions hereof (the “Term”). The Executive’s employment with the Company will continue to be “at will,” meaning that the Executive’s employment may be terminated by the Company or the Executive at any time and for any reason subject to the terms of this Agreement.</w:t>
      </w:r>
    </w:p>
    <w:p>
      <w:pPr>
        <w:spacing w:after="0" w:line="57" w:lineRule="exact"/>
        <w:rPr>
          <w:rFonts w:ascii="Arial" w:cs="Arial" w:eastAsia="Arial" w:hAnsi="Arial"/>
          <w:sz w:val="17"/>
          <w:szCs w:val="17"/>
          <w:color w:val="auto"/>
        </w:rPr>
      </w:pPr>
    </w:p>
    <w:p>
      <w:pPr>
        <w:ind w:right="60" w:firstLine="921"/>
        <w:spacing w:after="0" w:line="290" w:lineRule="auto"/>
        <w:tabs>
          <w:tab w:leader="none" w:pos="1168" w:val="left"/>
        </w:tabs>
        <w:numPr>
          <w:ilvl w:val="1"/>
          <w:numId w:val="354"/>
        </w:numPr>
        <w:rPr>
          <w:rFonts w:ascii="Arial" w:cs="Arial" w:eastAsia="Arial" w:hAnsi="Arial"/>
          <w:sz w:val="16"/>
          <w:szCs w:val="16"/>
          <w:color w:val="auto"/>
        </w:rPr>
      </w:pPr>
      <w:r>
        <w:rPr>
          <w:rFonts w:ascii="Arial" w:cs="Arial" w:eastAsia="Arial" w:hAnsi="Arial"/>
          <w:sz w:val="16"/>
          <w:szCs w:val="16"/>
          <w:u w:val="single" w:color="auto"/>
          <w:color w:val="auto"/>
        </w:rPr>
        <w:t>Position and Duties</w:t>
      </w:r>
      <w:r>
        <w:rPr>
          <w:rFonts w:ascii="Arial" w:cs="Arial" w:eastAsia="Arial" w:hAnsi="Arial"/>
          <w:sz w:val="16"/>
          <w:szCs w:val="16"/>
          <w:color w:val="auto"/>
        </w:rPr>
        <w:t>. During the Term, the Executive shall serve as the Chief Medical Officer of the Company, and shall have supervision and control over and responsibility for the day-to-day business and affairs of the Company and shall have such other powers and duties as may from time to time be prescribed by the Board of Directors of the Company (the “Board”), the Chief Executive Officer of the Company (the “CEO”) or other authorized executive. The Executive shall devote her full working time and efforts to the business and affairs of the Company. Notwithstanding the foregoing, the Executive may serve on other boards of directors, with the approval of the Board, or engage in religious, charitable or other community activities as long as such services and activities are disclosed to the Board and do not materially interfere with the Executive’s performance of her duties to the Company as provided in this Agreement. For the avoidance of doubt, the Executive may continue to serve in the roles set forth on Schedule 1 hereto without the necessity of further approval from the Board, provided that no conflicts result in the future from the Executive’s service in such role.</w:t>
      </w:r>
    </w:p>
    <w:p>
      <w:pPr>
        <w:sectPr>
          <w:pgSz w:w="11900" w:h="16838" w:orient="portrait"/>
          <w:cols w:equalWidth="0" w:num="1">
            <w:col w:w="11420"/>
          </w:cols>
          <w:pgMar w:left="240" w:top="121" w:right="239" w:bottom="1440" w:gutter="0" w:footer="0" w:header="0"/>
        </w:sectPr>
      </w:pPr>
    </w:p>
    <w:bookmarkStart w:id="444" w:name="page445"/>
    <w:bookmarkEnd w:id="444"/>
    <w:p>
      <w:pPr>
        <w:ind w:left="620" w:hanging="176"/>
        <w:spacing w:after="0"/>
        <w:tabs>
          <w:tab w:leader="none" w:pos="620"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and Related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80" w:firstLine="921"/>
        <w:spacing w:after="0" w:line="312" w:lineRule="auto"/>
        <w:tabs>
          <w:tab w:leader="none" w:pos="1137" w:val="left"/>
        </w:tabs>
        <w:numPr>
          <w:ilvl w:val="1"/>
          <w:numId w:val="355"/>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During the Term, the Executive’s annual base salary shall be $365,650. The Executive’s base salary shall be reviewed annually by 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spacing w:after="0" w:line="38" w:lineRule="exact"/>
        <w:rPr>
          <w:rFonts w:ascii="Arial" w:cs="Arial" w:eastAsia="Arial" w:hAnsi="Arial"/>
          <w:sz w:val="16"/>
          <w:szCs w:val="16"/>
          <w:color w:val="auto"/>
        </w:rPr>
      </w:pPr>
    </w:p>
    <w:p>
      <w:pPr>
        <w:ind w:left="-20" w:right="60" w:firstLine="921"/>
        <w:spacing w:after="0" w:line="259" w:lineRule="auto"/>
        <w:tabs>
          <w:tab w:leader="none" w:pos="1148" w:val="left"/>
        </w:tabs>
        <w:numPr>
          <w:ilvl w:val="1"/>
          <w:numId w:val="355"/>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During the Term, the Executive shall be eligible to receive cash incentive compensation as determined by the Board or the Compensation Committee from time to time. The Executive’s initial target annual incentive compensation shall be twenty-five percent of her Base Salary (as in effect at any time, the “Target Annual Incentive Compensation”). Except as otherwise provided herein, to earn incentive compensation, the Executive must be employed by the Company on the day such incentive compensation is paid.</w:t>
      </w:r>
    </w:p>
    <w:p>
      <w:pPr>
        <w:spacing w:after="0" w:line="78" w:lineRule="exact"/>
        <w:rPr>
          <w:rFonts w:ascii="Arial" w:cs="Arial" w:eastAsia="Arial" w:hAnsi="Arial"/>
          <w:sz w:val="18"/>
          <w:szCs w:val="18"/>
          <w:color w:val="auto"/>
        </w:rPr>
      </w:pPr>
    </w:p>
    <w:p>
      <w:pPr>
        <w:ind w:left="-20" w:right="300" w:firstLine="921"/>
        <w:spacing w:after="0" w:line="342" w:lineRule="auto"/>
        <w:tabs>
          <w:tab w:leader="none" w:pos="1137" w:val="left"/>
        </w:tabs>
        <w:numPr>
          <w:ilvl w:val="1"/>
          <w:numId w:val="355"/>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Executive shall be entitled to receive prompt reimbursement for all reasonable expenses incurred by her during the Term in performing services hereunder, in accordance with the policies and procedures then in effect and established by the Company for its senior officers.</w:t>
      </w:r>
    </w:p>
    <w:p>
      <w:pPr>
        <w:spacing w:after="0" w:line="15" w:lineRule="exact"/>
        <w:rPr>
          <w:rFonts w:ascii="Arial" w:cs="Arial" w:eastAsia="Arial" w:hAnsi="Arial"/>
          <w:sz w:val="16"/>
          <w:szCs w:val="16"/>
          <w:color w:val="auto"/>
        </w:rPr>
      </w:pPr>
    </w:p>
    <w:p>
      <w:pPr>
        <w:ind w:left="-20" w:right="60" w:firstLine="921"/>
        <w:spacing w:after="0" w:line="264" w:lineRule="auto"/>
        <w:tabs>
          <w:tab w:leader="none" w:pos="1148" w:val="left"/>
        </w:tabs>
        <w:numPr>
          <w:ilvl w:val="1"/>
          <w:numId w:val="355"/>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Term, the Executive shall be eligible to participate in or receive benefits under the Company’s employee benefit plans in effect from time to time, subject to the terms of such plans. Additionally, during the Term, the Executive shall be eligible to receive such benefits and perquisites as those made available to the other employees of the Company generally.</w:t>
      </w:r>
    </w:p>
    <w:p>
      <w:pPr>
        <w:spacing w:after="0" w:line="73" w:lineRule="exact"/>
        <w:rPr>
          <w:rFonts w:ascii="Arial" w:cs="Arial" w:eastAsia="Arial" w:hAnsi="Arial"/>
          <w:sz w:val="18"/>
          <w:szCs w:val="18"/>
          <w:color w:val="auto"/>
        </w:rPr>
      </w:pPr>
    </w:p>
    <w:p>
      <w:pPr>
        <w:ind w:left="-20" w:firstLine="921"/>
        <w:spacing w:after="0" w:line="264" w:lineRule="auto"/>
        <w:tabs>
          <w:tab w:leader="none" w:pos="1137" w:val="left"/>
        </w:tabs>
        <w:numPr>
          <w:ilvl w:val="1"/>
          <w:numId w:val="355"/>
        </w:numPr>
        <w:rPr>
          <w:rFonts w:ascii="Arial" w:cs="Arial" w:eastAsia="Arial" w:hAnsi="Arial"/>
          <w:sz w:val="18"/>
          <w:szCs w:val="18"/>
          <w:color w:val="auto"/>
        </w:rPr>
      </w:pPr>
      <w:r>
        <w:rPr>
          <w:rFonts w:ascii="Arial" w:cs="Arial" w:eastAsia="Arial" w:hAnsi="Arial"/>
          <w:sz w:val="18"/>
          <w:szCs w:val="18"/>
          <w:u w:val="single" w:color="auto"/>
          <w:color w:val="auto"/>
        </w:rPr>
        <w:t>Vacations</w:t>
      </w:r>
      <w:r>
        <w:rPr>
          <w:rFonts w:ascii="Arial" w:cs="Arial" w:eastAsia="Arial" w:hAnsi="Arial"/>
          <w:sz w:val="18"/>
          <w:szCs w:val="18"/>
          <w:color w:val="auto"/>
        </w:rPr>
        <w:t>. During the Term, the Executive shall be entitled to paid vacation in accordance with the Company’s policies and procedures, which shall be a minimum of 20 days in addition to the Company’s paid holidays. The Executive shall also be entitled to all paid holidays given by the Company to its executive officers.</w:t>
      </w:r>
    </w:p>
    <w:p>
      <w:pPr>
        <w:spacing w:after="0" w:line="73" w:lineRule="exact"/>
        <w:rPr>
          <w:rFonts w:ascii="Arial" w:cs="Arial" w:eastAsia="Arial" w:hAnsi="Arial"/>
          <w:sz w:val="18"/>
          <w:szCs w:val="18"/>
          <w:color w:val="auto"/>
        </w:rPr>
      </w:pPr>
    </w:p>
    <w:p>
      <w:pPr>
        <w:ind w:left="-20" w:right="80" w:firstLine="464"/>
        <w:spacing w:after="0" w:line="277" w:lineRule="auto"/>
        <w:tabs>
          <w:tab w:leader="none" w:pos="616" w:val="left"/>
        </w:tabs>
        <w:numPr>
          <w:ilvl w:val="0"/>
          <w:numId w:val="35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During the Term, the Executive’s employment hereunder may be terminated without any breach of this Agreement under the following circumstances:</w:t>
      </w:r>
    </w:p>
    <w:p>
      <w:pPr>
        <w:spacing w:after="0" w:line="62" w:lineRule="exact"/>
        <w:rPr>
          <w:rFonts w:ascii="Arial" w:cs="Arial" w:eastAsia="Arial" w:hAnsi="Arial"/>
          <w:sz w:val="18"/>
          <w:szCs w:val="18"/>
          <w:color w:val="auto"/>
        </w:rPr>
      </w:pPr>
    </w:p>
    <w:p>
      <w:pPr>
        <w:ind w:left="1140" w:hanging="239"/>
        <w:spacing w:after="0"/>
        <w:tabs>
          <w:tab w:leader="none" w:pos="1140" w:val="left"/>
        </w:tabs>
        <w:numPr>
          <w:ilvl w:val="1"/>
          <w:numId w:val="355"/>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her death.</w:t>
      </w:r>
    </w:p>
    <w:p>
      <w:pPr>
        <w:spacing w:after="0" w:line="117" w:lineRule="exact"/>
        <w:rPr>
          <w:rFonts w:ascii="Arial" w:cs="Arial" w:eastAsia="Arial" w:hAnsi="Arial"/>
          <w:sz w:val="18"/>
          <w:szCs w:val="18"/>
          <w:color w:val="auto"/>
        </w:rPr>
      </w:pPr>
    </w:p>
    <w:p>
      <w:pPr>
        <w:ind w:left="-20" w:right="120" w:firstLine="921"/>
        <w:spacing w:after="0" w:line="255" w:lineRule="auto"/>
        <w:tabs>
          <w:tab w:leader="none" w:pos="1148" w:val="left"/>
        </w:tabs>
        <w:numPr>
          <w:ilvl w:val="1"/>
          <w:numId w:val="355"/>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The Company may terminate the Executive’s employment if she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60" w:top="274" w:right="239" w:bottom="1440" w:gutter="0" w:footer="0" w:header="0"/>
        </w:sectPr>
      </w:pPr>
    </w:p>
    <w:bookmarkStart w:id="445" w:name="page446"/>
    <w:bookmarkEnd w:id="445"/>
    <w:p>
      <w:pPr>
        <w:ind w:right="1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7"/>
          <w:szCs w:val="17"/>
          <w:i w:val="1"/>
          <w:iCs w:val="1"/>
          <w:color w:val="auto"/>
        </w:rPr>
        <w:t>et seq</w:t>
      </w:r>
      <w:r>
        <w:rPr>
          <w:rFonts w:ascii="Arial" w:cs="Arial" w:eastAsia="Arial" w:hAnsi="Arial"/>
          <w:sz w:val="17"/>
          <w:szCs w:val="17"/>
          <w:color w:val="auto"/>
        </w:rPr>
        <w:t xml:space="preserve">. and the Americans with Disabilities Act, 42 U.S.C. §12101 </w:t>
      </w:r>
      <w:r>
        <w:rPr>
          <w:rFonts w:ascii="Arial" w:cs="Arial" w:eastAsia="Arial" w:hAnsi="Arial"/>
          <w:sz w:val="17"/>
          <w:szCs w:val="17"/>
          <w:i w:val="1"/>
          <w:iCs w:val="1"/>
          <w:color w:val="auto"/>
        </w:rPr>
        <w:t>et seq.</w:t>
      </w:r>
    </w:p>
    <w:p>
      <w:pPr>
        <w:spacing w:after="0" w:line="64" w:lineRule="exact"/>
        <w:rPr>
          <w:sz w:val="20"/>
          <w:szCs w:val="20"/>
          <w:color w:val="auto"/>
        </w:rPr>
      </w:pPr>
    </w:p>
    <w:p>
      <w:pPr>
        <w:ind w:firstLine="921"/>
        <w:spacing w:after="0" w:line="283" w:lineRule="auto"/>
        <w:tabs>
          <w:tab w:leader="none" w:pos="1157" w:val="left"/>
        </w:tabs>
        <w:numPr>
          <w:ilvl w:val="1"/>
          <w:numId w:val="356"/>
        </w:numPr>
        <w:rPr>
          <w:rFonts w:ascii="Arial" w:cs="Arial" w:eastAsia="Arial" w:hAnsi="Arial"/>
          <w:sz w:val="16"/>
          <w:szCs w:val="16"/>
          <w:color w:val="auto"/>
        </w:rPr>
      </w:pPr>
      <w:r>
        <w:rPr>
          <w:rFonts w:ascii="Arial" w:cs="Arial" w:eastAsia="Arial" w:hAnsi="Arial"/>
          <w:sz w:val="16"/>
          <w:szCs w:val="16"/>
          <w:u w:val="single" w:color="auto"/>
          <w:color w:val="auto"/>
        </w:rPr>
        <w:t>Termination by Company for Cause</w:t>
      </w:r>
      <w:r>
        <w:rPr>
          <w:rFonts w:ascii="Arial" w:cs="Arial" w:eastAsia="Arial" w:hAnsi="Arial"/>
          <w:sz w:val="16"/>
          <w:szCs w:val="16"/>
          <w:color w:val="auto"/>
        </w:rPr>
        <w:t>. The Company may terminate the Executive’s employment hereunder for Cause. For purposes of this Agreement, “Cause” shall mean: (i) conduct by the Executive constituting a material act of misconduct in connection with the performance of her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material deceit or dishonesty, or fraud, or any conduct by the Executive that would reasonably be expected to result in material injury or reputational harm to the Company or any of its subsidiaries or affiliates if she were retained in her position; (iii) continued non-performance by the Executive of her duties hereunder (other than by reason of the Executive’s physical or mental illness, incapacity or disability) which has continued for more than 30 days following written notice (with a reasonably detailed summary of such alleged non-performance specified) of such non-performance from the Company’s CEO or the Executive’s direct supervisor; (iv) a breach by the Executive of any of the provisions incorporated into or contained in Section 7 of this Agreement;</w:t>
      </w:r>
    </w:p>
    <w:p>
      <w:pPr>
        <w:spacing w:after="0" w:line="6" w:lineRule="exact"/>
        <w:rPr>
          <w:rFonts w:ascii="Arial" w:cs="Arial" w:eastAsia="Arial" w:hAnsi="Arial"/>
          <w:sz w:val="16"/>
          <w:szCs w:val="16"/>
          <w:color w:val="auto"/>
        </w:rPr>
      </w:pPr>
    </w:p>
    <w:p>
      <w:pPr>
        <w:ind w:right="100" w:firstLine="8"/>
        <w:spacing w:after="0" w:line="254" w:lineRule="auto"/>
        <w:tabs>
          <w:tab w:leader="none" w:pos="25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81" w:lineRule="exact"/>
        <w:rPr>
          <w:rFonts w:ascii="Arial" w:cs="Arial" w:eastAsia="Arial" w:hAnsi="Arial"/>
          <w:sz w:val="18"/>
          <w:szCs w:val="18"/>
          <w:color w:val="auto"/>
        </w:rPr>
      </w:pPr>
    </w:p>
    <w:p>
      <w:pPr>
        <w:ind w:firstLine="921"/>
        <w:spacing w:after="0" w:line="286" w:lineRule="auto"/>
        <w:tabs>
          <w:tab w:leader="none" w:pos="1168" w:val="left"/>
        </w:tabs>
        <w:numPr>
          <w:ilvl w:val="1"/>
          <w:numId w:val="357"/>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w:t>
      </w:r>
      <w:r>
        <w:rPr>
          <w:rFonts w:ascii="Arial" w:cs="Arial" w:eastAsia="Arial" w:hAnsi="Arial"/>
          <w:sz w:val="17"/>
          <w:szCs w:val="17"/>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57" w:lineRule="exact"/>
        <w:rPr>
          <w:rFonts w:ascii="Arial" w:cs="Arial" w:eastAsia="Arial" w:hAnsi="Arial"/>
          <w:sz w:val="17"/>
          <w:szCs w:val="17"/>
          <w:color w:val="auto"/>
        </w:rPr>
      </w:pPr>
    </w:p>
    <w:p>
      <w:pPr>
        <w:ind w:right="140" w:firstLine="921"/>
        <w:spacing w:after="0" w:line="293" w:lineRule="auto"/>
        <w:tabs>
          <w:tab w:leader="none" w:pos="1157" w:val="left"/>
        </w:tabs>
        <w:numPr>
          <w:ilvl w:val="1"/>
          <w:numId w:val="357"/>
        </w:numPr>
        <w:rPr>
          <w:rFonts w:ascii="Arial" w:cs="Arial" w:eastAsia="Arial" w:hAnsi="Arial"/>
          <w:sz w:val="16"/>
          <w:szCs w:val="16"/>
          <w:color w:val="auto"/>
        </w:rPr>
      </w:pPr>
      <w:r>
        <w:rPr>
          <w:rFonts w:ascii="Arial" w:cs="Arial" w:eastAsia="Arial" w:hAnsi="Arial"/>
          <w:sz w:val="16"/>
          <w:szCs w:val="16"/>
          <w:u w:val="single" w:color="auto"/>
          <w:color w:val="auto"/>
        </w:rPr>
        <w:t>Termination by the Executive</w:t>
      </w:r>
      <w:r>
        <w:rPr>
          <w:rFonts w:ascii="Arial" w:cs="Arial" w:eastAsia="Arial" w:hAnsi="Arial"/>
          <w:sz w:val="16"/>
          <w:szCs w:val="16"/>
          <w:color w:val="auto"/>
        </w:rPr>
        <w:t>. The Executive may terminate her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(i) a material diminution in the Executive’s responsibilities, authority or duties; (ii) a material diminution in the Executive’s Base Salary except for across-the-board salary reductions based on the Company’s financial performance similarly affecting all or substantially all senior management employees of the Company; (iii) a material change in the geographic location at which the Executive provides services to the Company; or (iv) a material breach of this Agreement by the Company. “Good Reason Process” shall mean that (i)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3" w:right="239" w:bottom="1440" w:gutter="0" w:footer="0" w:header="0"/>
        </w:sectPr>
      </w:pPr>
    </w:p>
    <w:bookmarkStart w:id="446" w:name="page447"/>
    <w:bookmarkEnd w:id="446"/>
    <w:p>
      <w:pPr>
        <w:ind w:right="2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to remedy the condition; (iv) notwithstanding such efforts, the Good Reason condition continues to exist; and (v) the Executive terminates her employment within 60 days after the end of the Cure Period. If the Company cures the Good Reason condition during the Cure Period, Good Reason shall be deemed not to have occurred.</w:t>
      </w:r>
    </w:p>
    <w:p>
      <w:pPr>
        <w:spacing w:after="0" w:line="64" w:lineRule="exact"/>
        <w:rPr>
          <w:sz w:val="20"/>
          <w:szCs w:val="20"/>
          <w:color w:val="auto"/>
        </w:rPr>
      </w:pPr>
    </w:p>
    <w:p>
      <w:pPr>
        <w:ind w:firstLine="921"/>
        <w:spacing w:after="0" w:line="286" w:lineRule="auto"/>
        <w:tabs>
          <w:tab w:leader="none" w:pos="1138" w:val="left"/>
        </w:tabs>
        <w:numPr>
          <w:ilvl w:val="2"/>
          <w:numId w:val="358"/>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57" w:lineRule="exact"/>
        <w:rPr>
          <w:rFonts w:ascii="Arial" w:cs="Arial" w:eastAsia="Arial" w:hAnsi="Arial"/>
          <w:sz w:val="17"/>
          <w:szCs w:val="17"/>
          <w:color w:val="auto"/>
        </w:rPr>
      </w:pPr>
    </w:p>
    <w:p>
      <w:pPr>
        <w:ind w:left="1180" w:hanging="259"/>
        <w:spacing w:after="0"/>
        <w:tabs>
          <w:tab w:leader="none" w:pos="1180" w:val="left"/>
        </w:tabs>
        <w:numPr>
          <w:ilvl w:val="2"/>
          <w:numId w:val="358"/>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shall mean: (i) if the Executive’s employment is terminated by her death, the date of her death;</w:t>
      </w:r>
    </w:p>
    <w:p>
      <w:pPr>
        <w:spacing w:after="0" w:line="46" w:lineRule="exact"/>
        <w:rPr>
          <w:rFonts w:ascii="Arial" w:cs="Arial" w:eastAsia="Arial" w:hAnsi="Arial"/>
          <w:sz w:val="16"/>
          <w:szCs w:val="16"/>
          <w:color w:val="auto"/>
        </w:rPr>
      </w:pPr>
    </w:p>
    <w:p>
      <w:pPr>
        <w:ind w:right="80" w:firstLine="8"/>
        <w:spacing w:after="0" w:line="252" w:lineRule="auto"/>
        <w:tabs>
          <w:tab w:leader="none" w:pos="265"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84" w:lineRule="exact"/>
        <w:rPr>
          <w:rFonts w:ascii="Arial" w:cs="Arial" w:eastAsia="Arial" w:hAnsi="Arial"/>
          <w:sz w:val="18"/>
          <w:szCs w:val="18"/>
          <w:color w:val="auto"/>
        </w:rPr>
      </w:pPr>
    </w:p>
    <w:p>
      <w:pPr>
        <w:ind w:left="640" w:hanging="176"/>
        <w:spacing w:after="0"/>
        <w:tabs>
          <w:tab w:leader="none" w:pos="640" w:val="left"/>
        </w:tabs>
        <w:numPr>
          <w:ilvl w:val="1"/>
          <w:numId w:val="359"/>
        </w:numPr>
        <w:rPr>
          <w:rFonts w:ascii="Arial" w:cs="Arial" w:eastAsia="Arial" w:hAnsi="Arial"/>
          <w:sz w:val="18"/>
          <w:szCs w:val="18"/>
          <w:color w:val="auto"/>
        </w:rPr>
      </w:pPr>
      <w:r>
        <w:rPr>
          <w:rFonts w:ascii="Arial" w:cs="Arial" w:eastAsia="Arial" w:hAnsi="Arial"/>
          <w:sz w:val="18"/>
          <w:szCs w:val="18"/>
          <w:u w:val="single" w:color="auto"/>
          <w:color w:val="auto"/>
        </w:rPr>
        <w:t>Compensation Upon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20" w:firstLine="921"/>
        <w:spacing w:after="0" w:line="273" w:lineRule="auto"/>
        <w:tabs>
          <w:tab w:leader="none" w:pos="1157" w:val="left"/>
        </w:tabs>
        <w:numPr>
          <w:ilvl w:val="2"/>
          <w:numId w:val="359"/>
        </w:numPr>
        <w:rPr>
          <w:rFonts w:ascii="Arial" w:cs="Arial" w:eastAsia="Arial" w:hAnsi="Arial"/>
          <w:sz w:val="17"/>
          <w:szCs w:val="17"/>
          <w:color w:val="auto"/>
        </w:rPr>
      </w:pPr>
      <w:r>
        <w:rPr>
          <w:rFonts w:ascii="Arial" w:cs="Arial" w:eastAsia="Arial" w:hAnsi="Arial"/>
          <w:sz w:val="17"/>
          <w:szCs w:val="17"/>
          <w:u w:val="single" w:color="auto"/>
          <w:color w:val="auto"/>
        </w:rPr>
        <w:t>Termination Generally</w:t>
      </w:r>
      <w:r>
        <w:rPr>
          <w:rFonts w:ascii="Arial" w:cs="Arial" w:eastAsia="Arial" w:hAnsi="Arial"/>
          <w:sz w:val="17"/>
          <w:szCs w:val="17"/>
          <w:color w:val="auto"/>
        </w:rPr>
        <w:t>. If the Executive’s employment with the Company is terminated for any reason, the Company shall pay or provide to the Executive (or to her authorized representative or estate) (i) any Base Salary earned through the Date of Termination, unpaid expense reimbursements (subject to, and in accordance with, Section 2(c)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70" w:lineRule="exact"/>
        <w:rPr>
          <w:rFonts w:ascii="Arial" w:cs="Arial" w:eastAsia="Arial" w:hAnsi="Arial"/>
          <w:sz w:val="17"/>
          <w:szCs w:val="17"/>
          <w:color w:val="auto"/>
        </w:rPr>
      </w:pPr>
    </w:p>
    <w:p>
      <w:pPr>
        <w:ind w:right="60" w:firstLine="921"/>
        <w:spacing w:after="0" w:line="259" w:lineRule="auto"/>
        <w:tabs>
          <w:tab w:leader="none" w:pos="1168" w:val="left"/>
        </w:tabs>
        <w:numPr>
          <w:ilvl w:val="2"/>
          <w:numId w:val="359"/>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 or by the Executive with Good Reason</w:t>
      </w:r>
      <w:r>
        <w:rPr>
          <w:rFonts w:ascii="Arial" w:cs="Arial" w:eastAsia="Arial" w:hAnsi="Arial"/>
          <w:sz w:val="18"/>
          <w:szCs w:val="18"/>
          <w:color w:val="auto"/>
        </w:rPr>
        <w:t>. During the Term, if the Executive’s employment is terminated by the Company without Cause as provided in Section 3(d), or the Executive terminates her employment for Good Reason as provided in Section 3(e), then the Company shall pay the Executive her Accrued Benefit. In addition, subject to the Executive signing a separation agreement containing, among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447" w:name="page448"/>
    <w:bookmarkEnd w:id="447"/>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irrevocable and fully effective and, if applicable, the Executive resigning as a member of the Board of Directors, all within 60 days after the Date of Termination (or such shorter time period provided in the Separation Agreement and Release):</w:t>
      </w:r>
    </w:p>
    <w:p>
      <w:pPr>
        <w:spacing w:after="0" w:line="79" w:lineRule="exact"/>
        <w:rPr>
          <w:sz w:val="20"/>
          <w:szCs w:val="20"/>
          <w:color w:val="auto"/>
        </w:rPr>
      </w:pPr>
    </w:p>
    <w:p>
      <w:pPr>
        <w:ind w:left="460" w:right="100" w:firstLine="881"/>
        <w:spacing w:after="0" w:line="264" w:lineRule="auto"/>
        <w:tabs>
          <w:tab w:leader="none" w:pos="1551"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the Company shall pay the Executive an amount equal to 0.75 times the sum of the Executive’s Base Salary (the “Severance Amount”). Notwithstanding the foregoing, if the Executive breaches any of the provisions incorporated into or contained in Section 7 of this Agreement, all payments of the Severance Amount shall immediately cease;</w:t>
      </w:r>
    </w:p>
    <w:p>
      <w:pPr>
        <w:spacing w:after="0" w:line="73" w:lineRule="exact"/>
        <w:rPr>
          <w:rFonts w:ascii="Arial" w:cs="Arial" w:eastAsia="Arial" w:hAnsi="Arial"/>
          <w:sz w:val="18"/>
          <w:szCs w:val="18"/>
          <w:color w:val="auto"/>
        </w:rPr>
      </w:pPr>
    </w:p>
    <w:p>
      <w:pPr>
        <w:ind w:left="460" w:right="40" w:firstLine="881"/>
        <w:spacing w:after="0" w:line="259" w:lineRule="auto"/>
        <w:tabs>
          <w:tab w:leader="none" w:pos="1601" w:val="left"/>
        </w:tabs>
        <w:numPr>
          <w:ilvl w:val="1"/>
          <w:numId w:val="360"/>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or stock-based award agreement, all time-based stock options and other time-based stock-based awards held by the Executive in which such stock option or other stock-based award would have vested if the Executive had remained employed for an additional nine months following the Date of Termination shall vest and become exercisable or nonforfeitable as of the Date of Termination;</w:t>
      </w:r>
    </w:p>
    <w:p>
      <w:pPr>
        <w:spacing w:after="0" w:line="78" w:lineRule="exact"/>
        <w:rPr>
          <w:rFonts w:ascii="Arial" w:cs="Arial" w:eastAsia="Arial" w:hAnsi="Arial"/>
          <w:sz w:val="18"/>
          <w:szCs w:val="18"/>
          <w:color w:val="auto"/>
        </w:rPr>
      </w:pPr>
    </w:p>
    <w:p>
      <w:pPr>
        <w:ind w:left="460" w:firstLine="881"/>
        <w:spacing w:after="0" w:line="259" w:lineRule="auto"/>
        <w:tabs>
          <w:tab w:leader="none" w:pos="1651" w:val="left"/>
        </w:tabs>
        <w:numPr>
          <w:ilvl w:val="1"/>
          <w:numId w:val="360"/>
        </w:numPr>
        <w:rPr>
          <w:rFonts w:ascii="Arial" w:cs="Arial" w:eastAsia="Arial" w:hAnsi="Arial"/>
          <w:sz w:val="18"/>
          <w:szCs w:val="18"/>
          <w:color w:val="auto"/>
        </w:rPr>
      </w:pPr>
      <w:r>
        <w:rPr>
          <w:rFonts w:ascii="Arial" w:cs="Arial" w:eastAsia="Arial" w:hAnsi="Arial"/>
          <w:sz w:val="18"/>
          <w:szCs w:val="18"/>
          <w:color w:val="auto"/>
        </w:rPr>
        <w:t>if the Executive was participating in the Company’s group health plan immediately prior to the Date of Termination and elects COBRA health continuation, then the Company shall pay to the Executive a monthly cash payment for nine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78" w:lineRule="exact"/>
        <w:rPr>
          <w:rFonts w:ascii="Arial" w:cs="Arial" w:eastAsia="Arial" w:hAnsi="Arial"/>
          <w:sz w:val="18"/>
          <w:szCs w:val="18"/>
          <w:color w:val="auto"/>
        </w:rPr>
      </w:pPr>
    </w:p>
    <w:p>
      <w:pPr>
        <w:ind w:left="460" w:right="40" w:firstLine="881"/>
        <w:spacing w:after="0" w:line="255" w:lineRule="auto"/>
        <w:tabs>
          <w:tab w:leader="none" w:pos="1641" w:val="left"/>
        </w:tabs>
        <w:numPr>
          <w:ilvl w:val="1"/>
          <w:numId w:val="360"/>
        </w:numPr>
        <w:rPr>
          <w:rFonts w:ascii="Arial" w:cs="Arial" w:eastAsia="Arial" w:hAnsi="Arial"/>
          <w:sz w:val="18"/>
          <w:szCs w:val="18"/>
          <w:color w:val="auto"/>
        </w:rPr>
      </w:pPr>
      <w:r>
        <w:rPr>
          <w:rFonts w:ascii="Arial" w:cs="Arial" w:eastAsia="Arial" w:hAnsi="Arial"/>
          <w:sz w:val="18"/>
          <w:szCs w:val="18"/>
          <w:color w:val="auto"/>
        </w:rPr>
        <w:t>the amounts payable under Section 4(b)(i) and (iii) shall be paid out in substantially equal installments in accordance with the Company’s payroll practice over nine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85" w:lineRule="exact"/>
        <w:rPr>
          <w:rFonts w:ascii="Arial" w:cs="Arial" w:eastAsia="Arial" w:hAnsi="Arial"/>
          <w:sz w:val="18"/>
          <w:szCs w:val="18"/>
          <w:color w:val="auto"/>
        </w:rPr>
      </w:pPr>
    </w:p>
    <w:p>
      <w:pPr>
        <w:ind w:right="60" w:firstLine="464"/>
        <w:spacing w:after="0" w:line="297" w:lineRule="auto"/>
        <w:tabs>
          <w:tab w:leader="none" w:pos="636" w:val="left"/>
        </w:tabs>
        <w:numPr>
          <w:ilvl w:val="0"/>
          <w:numId w:val="361"/>
        </w:numPr>
        <w:rPr>
          <w:rFonts w:ascii="Arial" w:cs="Arial" w:eastAsia="Arial" w:hAnsi="Arial"/>
          <w:sz w:val="16"/>
          <w:szCs w:val="16"/>
          <w:color w:val="auto"/>
        </w:rPr>
      </w:pPr>
      <w:r>
        <w:rPr>
          <w:rFonts w:ascii="Arial" w:cs="Arial" w:eastAsia="Arial" w:hAnsi="Arial"/>
          <w:sz w:val="16"/>
          <w:szCs w:val="16"/>
          <w:u w:val="single" w:color="auto"/>
          <w:color w:val="auto"/>
        </w:rPr>
        <w:t>Change in Control Payment</w:t>
      </w:r>
      <w:r>
        <w:rPr>
          <w:rFonts w:ascii="Arial" w:cs="Arial" w:eastAsia="Arial" w:hAnsi="Arial"/>
          <w:sz w:val="16"/>
          <w:szCs w:val="16"/>
          <w:color w:val="auto"/>
        </w:rPr>
        <w:t>. The provisions of this Section 5 set forth certain terms of an agreement reached between the Executive and the Company regarding the Executive’s rights and obligations upon the occurrence of a Change in Control of the Company. In the event of a Change in Control during the Term, all time-based stock options and other time-based stock-based awards held by the Executive as of the Effective Date that were granted to the Executive at least 12 months prior to the Effective Date shall immediately accelerate and become fully exercisable or nonforfeitable as of immediately prior to such Change in Control. These provisions are intended to assure and encourage in advance the Executive’s continued attention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448" w:name="page449"/>
    <w:bookmarkEnd w:id="448"/>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dedication to her assigned duties and her objectivity during the pendency and after the occurrence of any such event. These provisions shall apply in lieu of, and expressly supersede, the provisions of Section 4(b) regarding severance pay and benefits upon a termination of employment, if such termination of employment occurs within three months prior to or 18 months after the occurrence of the first event constituting a Change in Control. These provisions shall terminate and be of no further force or effect beginning 18 months after the occurrence of a Change in Control.</w:t>
      </w:r>
    </w:p>
    <w:p>
      <w:pPr>
        <w:spacing w:after="0" w:line="63" w:lineRule="exact"/>
        <w:rPr>
          <w:sz w:val="20"/>
          <w:szCs w:val="20"/>
          <w:color w:val="auto"/>
        </w:rPr>
      </w:pPr>
    </w:p>
    <w:p>
      <w:pPr>
        <w:ind w:right="200" w:firstLine="921"/>
        <w:spacing w:after="0" w:line="276" w:lineRule="auto"/>
        <w:tabs>
          <w:tab w:leader="none" w:pos="1157" w:val="left"/>
        </w:tabs>
        <w:numPr>
          <w:ilvl w:val="0"/>
          <w:numId w:val="362"/>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During the Term, if within three months prior to or 18 months after a Change in Control, the Executive’s employment is terminated by the Company without Cause as provided in Section 3(d) or the Executive terminates her employment for Good Reason as provided in Section 3(e), then, subject to the signing of the Separation Agreement and Release by the Executive and the Separation Agreement and Release becoming irrevocable and fully effective and, if applicable, the Executive resigning as a member of the Board of Directors, all within 60 days after the Date of Termination (or such shorter time period provided in the Separation Agreement and Release):</w:t>
      </w:r>
    </w:p>
    <w:p>
      <w:pPr>
        <w:spacing w:after="0" w:line="64" w:lineRule="exact"/>
        <w:rPr>
          <w:rFonts w:ascii="Arial" w:cs="Arial" w:eastAsia="Arial" w:hAnsi="Arial"/>
          <w:sz w:val="17"/>
          <w:szCs w:val="17"/>
          <w:color w:val="auto"/>
        </w:rPr>
      </w:pPr>
    </w:p>
    <w:p>
      <w:pPr>
        <w:ind w:left="460" w:right="100" w:firstLine="881"/>
        <w:spacing w:after="0" w:line="264" w:lineRule="auto"/>
        <w:tabs>
          <w:tab w:leader="none" w:pos="1551"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the Company shall pay the Executive a lump sum in cash in an amount equal to one times the sum of (A) the Executive’s current Base Salary (or the Executive’s Base Salary in effect immediately prior to the Change in Control, if higher) and (B) the Executive’s Target Annual Incentive Compensation then in effect;</w:t>
      </w:r>
    </w:p>
    <w:p>
      <w:pPr>
        <w:spacing w:after="0" w:line="73" w:lineRule="exact"/>
        <w:rPr>
          <w:rFonts w:ascii="Arial" w:cs="Arial" w:eastAsia="Arial" w:hAnsi="Arial"/>
          <w:sz w:val="18"/>
          <w:szCs w:val="18"/>
          <w:color w:val="auto"/>
        </w:rPr>
      </w:pPr>
    </w:p>
    <w:p>
      <w:pPr>
        <w:ind w:left="460" w:right="120" w:firstLine="881"/>
        <w:spacing w:after="0" w:line="264" w:lineRule="auto"/>
        <w:tabs>
          <w:tab w:leader="none" w:pos="1601" w:val="left"/>
        </w:tabs>
        <w:numPr>
          <w:ilvl w:val="1"/>
          <w:numId w:val="362"/>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or stock-based award agreement, all time-based stock options and other time-based stock-based awards held by the Executive shall immediately accelerate and become fully exercisable or nonforfeitable as of the Date of Termination;</w:t>
      </w:r>
    </w:p>
    <w:p>
      <w:pPr>
        <w:spacing w:after="0" w:line="73" w:lineRule="exact"/>
        <w:rPr>
          <w:rFonts w:ascii="Arial" w:cs="Arial" w:eastAsia="Arial" w:hAnsi="Arial"/>
          <w:sz w:val="18"/>
          <w:szCs w:val="18"/>
          <w:color w:val="auto"/>
        </w:rPr>
      </w:pPr>
    </w:p>
    <w:p>
      <w:pPr>
        <w:ind w:left="460" w:firstLine="881"/>
        <w:spacing w:after="0" w:line="259" w:lineRule="auto"/>
        <w:tabs>
          <w:tab w:leader="none" w:pos="1651" w:val="left"/>
        </w:tabs>
        <w:numPr>
          <w:ilvl w:val="1"/>
          <w:numId w:val="362"/>
        </w:numPr>
        <w:rPr>
          <w:rFonts w:ascii="Arial" w:cs="Arial" w:eastAsia="Arial" w:hAnsi="Arial"/>
          <w:sz w:val="18"/>
          <w:szCs w:val="18"/>
          <w:color w:val="auto"/>
        </w:rPr>
      </w:pPr>
      <w:r>
        <w:rPr>
          <w:rFonts w:ascii="Arial" w:cs="Arial" w:eastAsia="Arial" w:hAnsi="Arial"/>
          <w:sz w:val="18"/>
          <w:szCs w:val="18"/>
          <w:color w:val="auto"/>
        </w:rPr>
        <w:t>if the Executive was participating in the Company’s group health plan immediately prior to the Date of Termination and elects COBRA health continuation, then the Company shall pay to the Executive a monthly cash payment for twelve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78" w:lineRule="exact"/>
        <w:rPr>
          <w:rFonts w:ascii="Arial" w:cs="Arial" w:eastAsia="Arial" w:hAnsi="Arial"/>
          <w:sz w:val="18"/>
          <w:szCs w:val="18"/>
          <w:color w:val="auto"/>
        </w:rPr>
      </w:pPr>
    </w:p>
    <w:p>
      <w:pPr>
        <w:ind w:left="460" w:right="40" w:firstLine="881"/>
        <w:spacing w:after="0" w:line="264" w:lineRule="auto"/>
        <w:tabs>
          <w:tab w:leader="none" w:pos="1641" w:val="left"/>
        </w:tabs>
        <w:numPr>
          <w:ilvl w:val="1"/>
          <w:numId w:val="362"/>
        </w:numPr>
        <w:rPr>
          <w:rFonts w:ascii="Arial" w:cs="Arial" w:eastAsia="Arial" w:hAnsi="Arial"/>
          <w:sz w:val="18"/>
          <w:szCs w:val="18"/>
          <w:color w:val="auto"/>
        </w:rPr>
      </w:pPr>
      <w:r>
        <w:rPr>
          <w:rFonts w:ascii="Arial" w:cs="Arial" w:eastAsia="Arial" w:hAnsi="Arial"/>
          <w:sz w:val="18"/>
          <w:szCs w:val="18"/>
          <w:color w:val="auto"/>
        </w:rPr>
        <w:t>The amounts payable under Section 5(a)(i) and (iii)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0"/>
          <w:numId w:val="362"/>
        </w:numPr>
        <w:rPr>
          <w:rFonts w:ascii="Arial" w:cs="Arial" w:eastAsia="Arial" w:hAnsi="Arial"/>
          <w:sz w:val="18"/>
          <w:szCs w:val="18"/>
          <w:color w:val="auto"/>
        </w:rPr>
      </w:pPr>
      <w:r>
        <w:rPr>
          <w:rFonts w:ascii="Arial" w:cs="Arial" w:eastAsia="Arial" w:hAnsi="Arial"/>
          <w:sz w:val="18"/>
          <w:szCs w:val="18"/>
          <w:color w:val="auto"/>
        </w:rPr>
        <w:t>Additional Limitation.</w:t>
      </w:r>
    </w:p>
    <w:p>
      <w:pPr>
        <w:spacing w:after="0" w:line="117" w:lineRule="exact"/>
        <w:rPr>
          <w:rFonts w:ascii="Arial" w:cs="Arial" w:eastAsia="Arial" w:hAnsi="Arial"/>
          <w:sz w:val="18"/>
          <w:szCs w:val="18"/>
          <w:color w:val="auto"/>
        </w:rPr>
      </w:pPr>
    </w:p>
    <w:p>
      <w:pPr>
        <w:ind w:left="460" w:right="20" w:firstLine="881"/>
        <w:spacing w:after="0" w:line="264" w:lineRule="auto"/>
        <w:tabs>
          <w:tab w:leader="none" w:pos="1551" w:val="left"/>
        </w:tabs>
        <w:numPr>
          <w:ilvl w:val="1"/>
          <w:numId w:val="362"/>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449" w:name="page450"/>
    <w:bookmarkEnd w:id="449"/>
    <w:p>
      <w:pPr>
        <w:ind w:right="2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61" w:lineRule="exact"/>
        <w:rPr>
          <w:sz w:val="20"/>
          <w:szCs w:val="20"/>
          <w:color w:val="auto"/>
        </w:rPr>
      </w:pPr>
    </w:p>
    <w:p>
      <w:pPr>
        <w:ind w:firstLine="881"/>
        <w:spacing w:after="0" w:line="255" w:lineRule="auto"/>
        <w:tabs>
          <w:tab w:leader="none" w:pos="1141" w:val="left"/>
        </w:tabs>
        <w:numPr>
          <w:ilvl w:val="1"/>
          <w:numId w:val="363"/>
        </w:numPr>
        <w:rPr>
          <w:rFonts w:ascii="Arial" w:cs="Arial" w:eastAsia="Arial" w:hAnsi="Arial"/>
          <w:sz w:val="18"/>
          <w:szCs w:val="18"/>
          <w:color w:val="auto"/>
        </w:rPr>
      </w:pPr>
      <w:r>
        <w:rPr>
          <w:rFonts w:ascii="Arial" w:cs="Arial" w:eastAsia="Arial" w:hAnsi="Arial"/>
          <w:sz w:val="18"/>
          <w:szCs w:val="18"/>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85" w:lineRule="exact"/>
        <w:rPr>
          <w:rFonts w:ascii="Arial" w:cs="Arial" w:eastAsia="Arial" w:hAnsi="Arial"/>
          <w:sz w:val="18"/>
          <w:szCs w:val="18"/>
          <w:color w:val="auto"/>
        </w:rPr>
      </w:pPr>
    </w:p>
    <w:p>
      <w:pPr>
        <w:ind w:right="140" w:firstLine="881"/>
        <w:spacing w:after="0" w:line="302" w:lineRule="auto"/>
        <w:tabs>
          <w:tab w:leader="none" w:pos="1191" w:val="left"/>
        </w:tabs>
        <w:numPr>
          <w:ilvl w:val="1"/>
          <w:numId w:val="363"/>
        </w:numPr>
        <w:rPr>
          <w:rFonts w:ascii="Arial" w:cs="Arial" w:eastAsia="Arial" w:hAnsi="Arial"/>
          <w:sz w:val="16"/>
          <w:szCs w:val="16"/>
          <w:color w:val="auto"/>
        </w:rPr>
      </w:pPr>
      <w:r>
        <w:rPr>
          <w:rFonts w:ascii="Arial" w:cs="Arial" w:eastAsia="Arial" w:hAnsi="Arial"/>
          <w:sz w:val="16"/>
          <w:szCs w:val="16"/>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46" w:lineRule="exact"/>
        <w:rPr>
          <w:rFonts w:ascii="Arial" w:cs="Arial" w:eastAsia="Arial" w:hAnsi="Arial"/>
          <w:sz w:val="16"/>
          <w:szCs w:val="16"/>
          <w:color w:val="auto"/>
        </w:rPr>
      </w:pPr>
    </w:p>
    <w:p>
      <w:pPr>
        <w:ind w:left="700" w:hanging="239"/>
        <w:spacing w:after="0"/>
        <w:tabs>
          <w:tab w:leader="none" w:pos="700"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5, the following terms shall have the following meanings: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shall mean any of the following:</w:t>
      </w:r>
    </w:p>
    <w:p>
      <w:pPr>
        <w:spacing w:after="0" w:line="117" w:lineRule="exact"/>
        <w:rPr>
          <w:sz w:val="20"/>
          <w:szCs w:val="20"/>
          <w:color w:val="auto"/>
        </w:rPr>
      </w:pPr>
    </w:p>
    <w:p>
      <w:pPr>
        <w:ind w:right="120" w:firstLine="881"/>
        <w:spacing w:after="0" w:line="286" w:lineRule="auto"/>
        <w:tabs>
          <w:tab w:leader="none" w:pos="1091" w:val="left"/>
        </w:tabs>
        <w:numPr>
          <w:ilvl w:val="0"/>
          <w:numId w:val="365"/>
        </w:numPr>
        <w:rPr>
          <w:rFonts w:ascii="Arial" w:cs="Arial" w:eastAsia="Arial" w:hAnsi="Arial"/>
          <w:sz w:val="17"/>
          <w:szCs w:val="17"/>
          <w:color w:val="auto"/>
        </w:rPr>
      </w:pPr>
      <w:r>
        <w:rPr>
          <w:rFonts w:ascii="Arial" w:cs="Arial" w:eastAsia="Arial" w:hAnsi="Arial"/>
          <w:sz w:val="17"/>
          <w:szCs w:val="17"/>
          <w:color w:val="auto"/>
        </w:rPr>
        <w:t>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w:t>
      </w:r>
    </w:p>
    <w:p>
      <w:pPr>
        <w:spacing w:after="0" w:line="9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4" w:right="239" w:bottom="1440" w:gutter="0" w:footer="0" w:header="0"/>
        </w:sectPr>
      </w:pPr>
    </w:p>
    <w:bookmarkStart w:id="450" w:name="page451"/>
    <w:bookmarkEnd w:id="450"/>
    <w:p>
      <w:pPr>
        <w:ind w:left="460"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Act) of such person, shall become the “beneficial owner” (as such term is defined in Rule 13d-3 under the Act), directly or indirectly, of securities of the Company representing 50 percent or more of the combined voting power of the Company’s then outstanding securities having the right to vote in an election of the Board (“Voting Securities”) (in such case other than as a result of an acquisition of securities directly from the Company); or</w:t>
      </w:r>
    </w:p>
    <w:p>
      <w:pPr>
        <w:spacing w:after="0" w:line="79" w:lineRule="exact"/>
        <w:rPr>
          <w:sz w:val="20"/>
          <w:szCs w:val="20"/>
          <w:color w:val="auto"/>
        </w:rPr>
      </w:pPr>
    </w:p>
    <w:p>
      <w:pPr>
        <w:ind w:left="460" w:right="120" w:firstLine="881"/>
        <w:spacing w:after="0" w:line="277" w:lineRule="auto"/>
        <w:tabs>
          <w:tab w:leader="none" w:pos="1601" w:val="left"/>
        </w:tabs>
        <w:numPr>
          <w:ilvl w:val="0"/>
          <w:numId w:val="366"/>
        </w:numPr>
        <w:rPr>
          <w:rFonts w:ascii="Arial" w:cs="Arial" w:eastAsia="Arial" w:hAnsi="Arial"/>
          <w:sz w:val="18"/>
          <w:szCs w:val="18"/>
          <w:color w:val="auto"/>
        </w:rPr>
      </w:pPr>
      <w:r>
        <w:rPr>
          <w:rFonts w:ascii="Arial" w:cs="Arial" w:eastAsia="Arial" w:hAnsi="Arial"/>
          <w:sz w:val="18"/>
          <w:szCs w:val="18"/>
          <w:color w:val="auto"/>
        </w:rPr>
        <w:t>the date a majority of the members of the Board is replaced during any 12-month period by directors whose appointment or election is not endorsed by a majority of the members of the Board before the date of the appointment or election; or</w:t>
      </w:r>
    </w:p>
    <w:p>
      <w:pPr>
        <w:spacing w:after="0" w:line="62" w:lineRule="exact"/>
        <w:rPr>
          <w:rFonts w:ascii="Arial" w:cs="Arial" w:eastAsia="Arial" w:hAnsi="Arial"/>
          <w:sz w:val="18"/>
          <w:szCs w:val="18"/>
          <w:color w:val="auto"/>
        </w:rPr>
      </w:pPr>
    </w:p>
    <w:p>
      <w:pPr>
        <w:ind w:left="460" w:right="60" w:firstLine="881"/>
        <w:spacing w:after="0" w:line="276" w:lineRule="auto"/>
        <w:tabs>
          <w:tab w:leader="none" w:pos="1651" w:val="left"/>
        </w:tabs>
        <w:numPr>
          <w:ilvl w:val="0"/>
          <w:numId w:val="366"/>
        </w:numPr>
        <w:rPr>
          <w:rFonts w:ascii="Arial" w:cs="Arial" w:eastAsia="Arial" w:hAnsi="Arial"/>
          <w:sz w:val="17"/>
          <w:szCs w:val="17"/>
          <w:color w:val="auto"/>
        </w:rPr>
      </w:pPr>
      <w:r>
        <w:rPr>
          <w:rFonts w:ascii="Arial" w:cs="Arial" w:eastAsia="Arial" w:hAnsi="Arial"/>
          <w:sz w:val="17"/>
          <w:szCs w:val="17"/>
          <w:color w:val="auto"/>
        </w:rPr>
        <w:t>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w:t>
      </w:r>
    </w:p>
    <w:p>
      <w:pPr>
        <w:spacing w:after="0" w:line="17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Notwithstanding the foregoing, a “Change in Control” shall not be deemed to have occurred for purposes of the foregoing clause (i)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“Change in Control” shall be deemed to have occurred for purposes of the foregoing clause (i).</w:t>
      </w:r>
    </w:p>
    <w:p>
      <w:pPr>
        <w:spacing w:after="0" w:line="70" w:lineRule="exact"/>
        <w:rPr>
          <w:sz w:val="20"/>
          <w:szCs w:val="20"/>
          <w:color w:val="auto"/>
        </w:rPr>
      </w:pPr>
    </w:p>
    <w:p>
      <w:pPr>
        <w:ind w:left="640" w:hanging="176"/>
        <w:spacing w:after="0"/>
        <w:tabs>
          <w:tab w:leader="none" w:pos="640" w:val="left"/>
        </w:tabs>
        <w:numPr>
          <w:ilvl w:val="0"/>
          <w:numId w:val="36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90" w:lineRule="auto"/>
        <w:tabs>
          <w:tab w:leader="none" w:pos="1158" w:val="left"/>
        </w:tabs>
        <w:numPr>
          <w:ilvl w:val="1"/>
          <w:numId w:val="367"/>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3" w:right="259" w:bottom="1440" w:gutter="0" w:footer="0" w:header="0"/>
        </w:sectPr>
      </w:pPr>
    </w:p>
    <w:bookmarkStart w:id="451" w:name="page452"/>
    <w:bookmarkEnd w:id="451"/>
    <w:p>
      <w:pPr>
        <w:ind w:right="40" w:firstLine="921"/>
        <w:spacing w:after="0" w:line="273" w:lineRule="auto"/>
        <w:tabs>
          <w:tab w:leader="none" w:pos="1168" w:val="left"/>
        </w:tabs>
        <w:numPr>
          <w:ilvl w:val="1"/>
          <w:numId w:val="36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70" w:lineRule="exact"/>
        <w:rPr>
          <w:rFonts w:ascii="Arial" w:cs="Arial" w:eastAsia="Arial" w:hAnsi="Arial"/>
          <w:sz w:val="17"/>
          <w:szCs w:val="17"/>
          <w:color w:val="auto"/>
        </w:rPr>
      </w:pPr>
    </w:p>
    <w:p>
      <w:pPr>
        <w:ind w:right="60" w:firstLine="921"/>
        <w:spacing w:after="0" w:line="279" w:lineRule="auto"/>
        <w:tabs>
          <w:tab w:leader="none" w:pos="1158" w:val="left"/>
        </w:tabs>
        <w:numPr>
          <w:ilvl w:val="1"/>
          <w:numId w:val="368"/>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63" w:lineRule="exact"/>
        <w:rPr>
          <w:rFonts w:ascii="Arial" w:cs="Arial" w:eastAsia="Arial" w:hAnsi="Arial"/>
          <w:sz w:val="17"/>
          <w:szCs w:val="17"/>
          <w:color w:val="auto"/>
        </w:rPr>
      </w:pPr>
    </w:p>
    <w:p>
      <w:pPr>
        <w:ind w:firstLine="921"/>
        <w:spacing w:after="0" w:line="255" w:lineRule="auto"/>
        <w:tabs>
          <w:tab w:leader="none" w:pos="1168"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85" w:lineRule="exact"/>
        <w:rPr>
          <w:rFonts w:ascii="Arial" w:cs="Arial" w:eastAsia="Arial" w:hAnsi="Arial"/>
          <w:sz w:val="18"/>
          <w:szCs w:val="18"/>
          <w:color w:val="auto"/>
        </w:rPr>
      </w:pPr>
    </w:p>
    <w:p>
      <w:pPr>
        <w:jc w:val="both"/>
        <w:ind w:right="220" w:firstLine="921"/>
        <w:spacing w:after="0" w:line="264" w:lineRule="auto"/>
        <w:tabs>
          <w:tab w:leader="none" w:pos="1158" w:val="left"/>
        </w:tabs>
        <w:numPr>
          <w:ilvl w:val="1"/>
          <w:numId w:val="368"/>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73" w:lineRule="exact"/>
        <w:rPr>
          <w:rFonts w:ascii="Arial" w:cs="Arial" w:eastAsia="Arial" w:hAnsi="Arial"/>
          <w:sz w:val="18"/>
          <w:szCs w:val="18"/>
          <w:color w:val="auto"/>
        </w:rPr>
      </w:pPr>
    </w:p>
    <w:p>
      <w:pPr>
        <w:ind w:left="640" w:hanging="176"/>
        <w:spacing w:after="0"/>
        <w:tabs>
          <w:tab w:leader="none" w:pos="640" w:val="left"/>
        </w:tabs>
        <w:numPr>
          <w:ilvl w:val="0"/>
          <w:numId w:val="369"/>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Noncompetition and Cooperation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460" w:firstLine="921"/>
        <w:spacing w:after="0" w:line="264" w:lineRule="auto"/>
        <w:tabs>
          <w:tab w:leader="none" w:pos="1158" w:val="left"/>
        </w:tabs>
        <w:numPr>
          <w:ilvl w:val="1"/>
          <w:numId w:val="369"/>
        </w:numPr>
        <w:rPr>
          <w:rFonts w:ascii="Arial" w:cs="Arial" w:eastAsia="Arial" w:hAnsi="Arial"/>
          <w:sz w:val="18"/>
          <w:szCs w:val="18"/>
          <w:color w:val="auto"/>
        </w:rPr>
      </w:pPr>
      <w:r>
        <w:rPr>
          <w:rFonts w:ascii="Arial" w:cs="Arial" w:eastAsia="Arial" w:hAnsi="Arial"/>
          <w:sz w:val="18"/>
          <w:szCs w:val="18"/>
          <w:color w:val="auto"/>
        </w:rPr>
        <w:t xml:space="preserve">The terms of the Confidentiality and IP Assignment Agreement (the “Restrictive Covenant Agreement”), between the Company and the Executive,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shall continue to be in full force and effect and are incorporated by reference in this Agreement. The Executive hereby reaffirms the terms of the Restrictive Covenant Agreement as material terms of this Agreement.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452" w:name="page453"/>
    <w:bookmarkEnd w:id="452"/>
    <w:p>
      <w:pPr>
        <w:ind w:left="-20" w:right="140" w:firstLine="921"/>
        <w:spacing w:after="0" w:line="291" w:lineRule="auto"/>
        <w:tabs>
          <w:tab w:leader="none" w:pos="1148"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Third-Party Agreements and Rights</w:t>
      </w:r>
      <w:r>
        <w:rPr>
          <w:rFonts w:ascii="Arial" w:cs="Arial" w:eastAsia="Arial" w:hAnsi="Arial"/>
          <w:sz w:val="16"/>
          <w:szCs w:val="16"/>
          <w:color w:val="auto"/>
        </w:rPr>
        <w:t>. 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59" w:lineRule="exact"/>
        <w:rPr>
          <w:rFonts w:ascii="Arial" w:cs="Arial" w:eastAsia="Arial" w:hAnsi="Arial"/>
          <w:sz w:val="16"/>
          <w:szCs w:val="16"/>
          <w:color w:val="auto"/>
        </w:rPr>
      </w:pPr>
    </w:p>
    <w:p>
      <w:pPr>
        <w:ind w:left="-20" w:firstLine="921"/>
        <w:spacing w:after="0" w:line="270" w:lineRule="auto"/>
        <w:tabs>
          <w:tab w:leader="none" w:pos="1137"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Litigation and Regulatory Cooperation</w:t>
      </w:r>
      <w:r>
        <w:rPr>
          <w:rFonts w:ascii="Arial" w:cs="Arial" w:eastAsia="Arial" w:hAnsi="Arial"/>
          <w:sz w:val="17"/>
          <w:szCs w:val="17"/>
          <w:color w:val="auto"/>
        </w:rPr>
        <w:t>. During and after the Executive’s employment, the Executive shall reasonably cooperate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taking into consideration Executive’s then current business and personal commitments.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7(c).</w:t>
      </w:r>
    </w:p>
    <w:p>
      <w:pPr>
        <w:spacing w:after="0" w:line="73" w:lineRule="exact"/>
        <w:rPr>
          <w:rFonts w:ascii="Arial" w:cs="Arial" w:eastAsia="Arial" w:hAnsi="Arial"/>
          <w:sz w:val="17"/>
          <w:szCs w:val="17"/>
          <w:color w:val="auto"/>
        </w:rPr>
      </w:pPr>
    </w:p>
    <w:p>
      <w:pPr>
        <w:ind w:left="-20" w:right="40" w:firstLine="921"/>
        <w:spacing w:after="0" w:line="271" w:lineRule="auto"/>
        <w:tabs>
          <w:tab w:leader="none" w:pos="1148" w:val="left"/>
        </w:tabs>
        <w:numPr>
          <w:ilvl w:val="0"/>
          <w:numId w:val="370"/>
        </w:numPr>
        <w:rPr>
          <w:rFonts w:ascii="Arial" w:cs="Arial" w:eastAsia="Arial" w:hAnsi="Arial"/>
          <w:sz w:val="17"/>
          <w:szCs w:val="17"/>
          <w:color w:val="auto"/>
        </w:rPr>
      </w:pPr>
      <w:r>
        <w:rPr>
          <w:rFonts w:ascii="Arial" w:cs="Arial" w:eastAsia="Arial" w:hAnsi="Arial"/>
          <w:sz w:val="17"/>
          <w:szCs w:val="17"/>
          <w:u w:val="single" w:color="auto"/>
          <w:color w:val="auto"/>
        </w:rPr>
        <w:t>Relief</w:t>
      </w:r>
      <w:r>
        <w:rPr>
          <w:rFonts w:ascii="Arial" w:cs="Arial" w:eastAsia="Arial" w:hAnsi="Arial"/>
          <w:sz w:val="17"/>
          <w:szCs w:val="17"/>
          <w:color w:val="auto"/>
        </w:rPr>
        <w:t>. The Executive agrees that it would be difficult to measure any damages caused to the Company which might result from any breach by the Executive of the promises incorporated into or set forth in this Section 7, and that in any event money damages would be an inadequate remedy for any such breach. Accordingly, subject to Section 8 of this Agreement, the Executive agrees that if the Executive breaches, or proposes to breach, any portion of this Agreement, the Company shall be entitled, in addition to all other remedies that it may have, to an injunction or other appropriate equitable relief to restrain any such breach without showing or proving any actual damage to the Company. In addition, in the event the Executive breaches this Section 7 or the provisions incorporated herein during a period when she is receiving severance payments pursuant to Section 4 or Section 5 hereof, the Company shall have the right to suspend or terminate such severance payments. Such suspension or termination shall not limit the Company’s other options with respect to relief for such breach and shall not relieve the Executive of her duties under this Agreement.</w:t>
      </w:r>
    </w:p>
    <w:p>
      <w:pPr>
        <w:spacing w:after="0" w:line="70" w:lineRule="exact"/>
        <w:rPr>
          <w:rFonts w:ascii="Arial" w:cs="Arial" w:eastAsia="Arial" w:hAnsi="Arial"/>
          <w:sz w:val="17"/>
          <w:szCs w:val="17"/>
          <w:color w:val="auto"/>
        </w:rPr>
      </w:pPr>
    </w:p>
    <w:p>
      <w:pPr>
        <w:ind w:left="-20" w:right="240" w:firstLine="921"/>
        <w:spacing w:after="0" w:line="342" w:lineRule="auto"/>
        <w:tabs>
          <w:tab w:leader="none" w:pos="1137" w:val="left"/>
        </w:tabs>
        <w:numPr>
          <w:ilvl w:val="0"/>
          <w:numId w:val="370"/>
        </w:numPr>
        <w:rPr>
          <w:rFonts w:ascii="Arial" w:cs="Arial" w:eastAsia="Arial" w:hAnsi="Arial"/>
          <w:sz w:val="16"/>
          <w:szCs w:val="16"/>
          <w:color w:val="auto"/>
        </w:rPr>
      </w:pPr>
      <w:r>
        <w:rPr>
          <w:rFonts w:ascii="Arial" w:cs="Arial" w:eastAsia="Arial" w:hAnsi="Arial"/>
          <w:sz w:val="16"/>
          <w:szCs w:val="16"/>
          <w:u w:val="single" w:color="auto"/>
          <w:color w:val="auto"/>
        </w:rPr>
        <w:t>Protected Disclosures and Other Protected Action</w:t>
      </w:r>
      <w:r>
        <w:rPr>
          <w:rFonts w:ascii="Arial" w:cs="Arial" w:eastAsia="Arial" w:hAnsi="Arial"/>
          <w:sz w:val="16"/>
          <w:szCs w:val="16"/>
          <w:color w:val="auto"/>
        </w:rPr>
        <w:t>. Nothing contained in this Agreement limits the Executive’s ability to communicate with any federal, state or local governmental agency or commission, including to provide documents or other information, without notice to the Company.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73" w:right="239" w:bottom="1440" w:gutter="0" w:footer="0" w:header="0"/>
        </w:sectPr>
      </w:pPr>
    </w:p>
    <w:bookmarkStart w:id="453" w:name="page454"/>
    <w:bookmarkEnd w:id="453"/>
    <w:p>
      <w:pPr>
        <w:ind w:left="-20" w:right="60" w:firstLine="464"/>
        <w:spacing w:after="0" w:line="288" w:lineRule="auto"/>
        <w:tabs>
          <w:tab w:leader="none" w:pos="616" w:val="left"/>
        </w:tabs>
        <w:numPr>
          <w:ilvl w:val="0"/>
          <w:numId w:val="37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Arbitration of Disputes</w:t>
      </w:r>
      <w:r>
        <w:rPr>
          <w:rFonts w:ascii="Arial" w:cs="Arial" w:eastAsia="Arial" w:hAnsi="Arial"/>
          <w:sz w:val="16"/>
          <w:szCs w:val="16"/>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61" w:lineRule="exact"/>
        <w:rPr>
          <w:rFonts w:ascii="Arial" w:cs="Arial" w:eastAsia="Arial" w:hAnsi="Arial"/>
          <w:sz w:val="16"/>
          <w:szCs w:val="16"/>
          <w:color w:val="auto"/>
        </w:rPr>
      </w:pPr>
    </w:p>
    <w:p>
      <w:pPr>
        <w:ind w:left="-20" w:firstLine="464"/>
        <w:spacing w:after="0" w:line="257" w:lineRule="auto"/>
        <w:tabs>
          <w:tab w:leader="none" w:pos="616"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80" w:lineRule="exact"/>
        <w:rPr>
          <w:rFonts w:ascii="Arial" w:cs="Arial" w:eastAsia="Arial" w:hAnsi="Arial"/>
          <w:sz w:val="18"/>
          <w:szCs w:val="18"/>
          <w:color w:val="auto"/>
        </w:rPr>
      </w:pPr>
    </w:p>
    <w:p>
      <w:pPr>
        <w:ind w:left="-20" w:right="40" w:firstLine="464"/>
        <w:spacing w:after="0" w:line="308" w:lineRule="auto"/>
        <w:tabs>
          <w:tab w:leader="none" w:pos="706"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and the Restrictive Covenant Agreement constitute the entire agreement between the parties with respect to the subject matter hereof and supersede all prior agreements between the parties concerning such subject matter, including the Prior Agreement.</w:t>
      </w:r>
    </w:p>
    <w:p>
      <w:pPr>
        <w:spacing w:after="0" w:line="38" w:lineRule="exact"/>
        <w:rPr>
          <w:rFonts w:ascii="Arial" w:cs="Arial" w:eastAsia="Arial" w:hAnsi="Arial"/>
          <w:sz w:val="17"/>
          <w:szCs w:val="17"/>
          <w:color w:val="auto"/>
        </w:rPr>
      </w:pPr>
    </w:p>
    <w:p>
      <w:pPr>
        <w:ind w:left="-20" w:right="300" w:firstLine="464"/>
        <w:spacing w:after="0" w:line="277" w:lineRule="auto"/>
        <w:tabs>
          <w:tab w:leader="none" w:pos="700"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w:t>
      </w:r>
    </w:p>
    <w:p>
      <w:pPr>
        <w:spacing w:after="0" w:line="62" w:lineRule="exact"/>
        <w:rPr>
          <w:rFonts w:ascii="Arial" w:cs="Arial" w:eastAsia="Arial" w:hAnsi="Arial"/>
          <w:sz w:val="18"/>
          <w:szCs w:val="18"/>
          <w:color w:val="auto"/>
        </w:rPr>
      </w:pPr>
    </w:p>
    <w:p>
      <w:pPr>
        <w:ind w:left="-20" w:right="40" w:firstLine="464"/>
        <w:spacing w:after="0" w:line="279" w:lineRule="auto"/>
        <w:tabs>
          <w:tab w:leader="none" w:pos="706"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Successor to the Executive</w:t>
      </w:r>
      <w:r>
        <w:rPr>
          <w:rFonts w:ascii="Arial" w:cs="Arial" w:eastAsia="Arial" w:hAnsi="Arial"/>
          <w:sz w:val="17"/>
          <w:szCs w:val="17"/>
          <w:color w:val="auto"/>
        </w:rPr>
        <w:t>. This Agreement shall inure to the benefit of and be enforceable by the Executive’s personal representatives, executors, administrators, heirs, distributees, devisees and legatees. In the event of the Executive’s death after her termination of employment but prior to the completion by the Company of all payments due to her under this Agreement, the Company shall continue such payments to the Executive’s beneficiary designated in writing to the Company prior to her death (or to her estate, if the Executive fails to make such designation).</w:t>
      </w:r>
    </w:p>
    <w:p>
      <w:pPr>
        <w:spacing w:after="0" w:line="63" w:lineRule="exact"/>
        <w:rPr>
          <w:rFonts w:ascii="Arial" w:cs="Arial" w:eastAsia="Arial" w:hAnsi="Arial"/>
          <w:sz w:val="17"/>
          <w:szCs w:val="17"/>
          <w:color w:val="auto"/>
        </w:rPr>
      </w:pPr>
    </w:p>
    <w:p>
      <w:pPr>
        <w:ind w:left="-20" w:right="160" w:firstLine="464"/>
        <w:spacing w:after="0" w:line="279" w:lineRule="auto"/>
        <w:tabs>
          <w:tab w:leader="none" w:pos="706" w:val="left"/>
        </w:tabs>
        <w:numPr>
          <w:ilvl w:val="0"/>
          <w:numId w:val="371"/>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60" w:top="274" w:right="239" w:bottom="1440" w:gutter="0" w:footer="0" w:header="0"/>
        </w:sectPr>
      </w:pPr>
    </w:p>
    <w:bookmarkStart w:id="454" w:name="page455"/>
    <w:bookmarkEnd w:id="454"/>
    <w:p>
      <w:pPr>
        <w:ind w:left="-20" w:firstLine="464"/>
        <w:spacing w:after="0" w:line="277" w:lineRule="auto"/>
        <w:tabs>
          <w:tab w:leader="none" w:pos="706"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Survival</w:t>
      </w:r>
      <w:r>
        <w:rPr>
          <w:rFonts w:ascii="Arial" w:cs="Arial" w:eastAsia="Arial" w:hAnsi="Arial"/>
          <w:sz w:val="18"/>
          <w:szCs w:val="18"/>
          <w:color w:val="auto"/>
        </w:rPr>
        <w:t>. The provisions of this Agreement shall survive the termination of this Agreement and/or the termination of the Executive’s employment to the extent necessary to effectuate the terms contained herein.</w:t>
      </w:r>
    </w:p>
    <w:p>
      <w:pPr>
        <w:spacing w:after="0" w:line="62" w:lineRule="exact"/>
        <w:rPr>
          <w:rFonts w:ascii="Arial" w:cs="Arial" w:eastAsia="Arial" w:hAnsi="Arial"/>
          <w:sz w:val="18"/>
          <w:szCs w:val="18"/>
          <w:color w:val="auto"/>
        </w:rPr>
      </w:pPr>
    </w:p>
    <w:p>
      <w:pPr>
        <w:ind w:left="-20" w:right="300" w:firstLine="464"/>
        <w:spacing w:after="0" w:line="264" w:lineRule="auto"/>
        <w:tabs>
          <w:tab w:leader="none" w:pos="706"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73" w:lineRule="exact"/>
        <w:rPr>
          <w:rFonts w:ascii="Arial" w:cs="Arial" w:eastAsia="Arial" w:hAnsi="Arial"/>
          <w:sz w:val="18"/>
          <w:szCs w:val="18"/>
          <w:color w:val="auto"/>
        </w:rPr>
      </w:pPr>
    </w:p>
    <w:p>
      <w:pPr>
        <w:ind w:left="-20" w:right="60" w:firstLine="464"/>
        <w:spacing w:after="0" w:line="312" w:lineRule="auto"/>
        <w:tabs>
          <w:tab w:leader="none" w:pos="706" w:val="left"/>
        </w:tabs>
        <w:numPr>
          <w:ilvl w:val="0"/>
          <w:numId w:val="372"/>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38" w:lineRule="exact"/>
        <w:rPr>
          <w:rFonts w:ascii="Arial" w:cs="Arial" w:eastAsia="Arial" w:hAnsi="Arial"/>
          <w:sz w:val="16"/>
          <w:szCs w:val="16"/>
          <w:color w:val="auto"/>
        </w:rPr>
      </w:pPr>
    </w:p>
    <w:p>
      <w:pPr>
        <w:ind w:left="-20" w:right="680" w:firstLine="464"/>
        <w:spacing w:after="0" w:line="277" w:lineRule="auto"/>
        <w:tabs>
          <w:tab w:leader="none" w:pos="706"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62" w:lineRule="exact"/>
        <w:rPr>
          <w:rFonts w:ascii="Arial" w:cs="Arial" w:eastAsia="Arial" w:hAnsi="Arial"/>
          <w:sz w:val="18"/>
          <w:szCs w:val="18"/>
          <w:color w:val="auto"/>
        </w:rPr>
      </w:pPr>
    </w:p>
    <w:p>
      <w:pPr>
        <w:ind w:left="-20" w:right="40" w:firstLine="464"/>
        <w:spacing w:after="0" w:line="277" w:lineRule="auto"/>
        <w:tabs>
          <w:tab w:leader="none" w:pos="706"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is a Massachusetts contract and shall be construed under and be governed in all respects by the laws of the Commonwealth of Massachusetts, without giving effect to the conflict of laws principles thereof.</w:t>
      </w:r>
    </w:p>
    <w:p>
      <w:pPr>
        <w:spacing w:after="0" w:line="62" w:lineRule="exact"/>
        <w:rPr>
          <w:rFonts w:ascii="Arial" w:cs="Arial" w:eastAsia="Arial" w:hAnsi="Arial"/>
          <w:sz w:val="18"/>
          <w:szCs w:val="18"/>
          <w:color w:val="auto"/>
        </w:rPr>
      </w:pPr>
    </w:p>
    <w:p>
      <w:pPr>
        <w:ind w:left="-20" w:right="140" w:firstLine="464"/>
        <w:spacing w:after="0" w:line="277" w:lineRule="auto"/>
        <w:tabs>
          <w:tab w:leader="none" w:pos="706"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62" w:lineRule="exact"/>
        <w:rPr>
          <w:rFonts w:ascii="Arial" w:cs="Arial" w:eastAsia="Arial" w:hAnsi="Arial"/>
          <w:sz w:val="18"/>
          <w:szCs w:val="18"/>
          <w:color w:val="auto"/>
        </w:rPr>
      </w:pPr>
    </w:p>
    <w:p>
      <w:pPr>
        <w:ind w:left="-20" w:firstLine="464"/>
        <w:spacing w:after="0" w:line="259" w:lineRule="auto"/>
        <w:tabs>
          <w:tab w:leader="none" w:pos="706"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Successor to Company</w:t>
      </w:r>
      <w:r>
        <w:rPr>
          <w:rFonts w:ascii="Arial" w:cs="Arial" w:eastAsia="Arial" w:hAnsi="Arial"/>
          <w:sz w:val="18"/>
          <w:szCs w:val="18"/>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78" w:lineRule="exact"/>
        <w:rPr>
          <w:rFonts w:ascii="Arial" w:cs="Arial" w:eastAsia="Arial" w:hAnsi="Arial"/>
          <w:sz w:val="18"/>
          <w:szCs w:val="18"/>
          <w:color w:val="auto"/>
        </w:rPr>
      </w:pPr>
    </w:p>
    <w:p>
      <w:pPr>
        <w:ind w:left="-20" w:right="80" w:firstLine="464"/>
        <w:spacing w:after="0" w:line="277" w:lineRule="auto"/>
        <w:tabs>
          <w:tab w:leader="none" w:pos="706" w:val="left"/>
        </w:tabs>
        <w:numPr>
          <w:ilvl w:val="0"/>
          <w:numId w:val="372"/>
        </w:numPr>
        <w:rPr>
          <w:rFonts w:ascii="Arial" w:cs="Arial" w:eastAsia="Arial" w:hAnsi="Arial"/>
          <w:sz w:val="18"/>
          <w:szCs w:val="18"/>
          <w:color w:val="auto"/>
        </w:rPr>
      </w:pPr>
      <w:r>
        <w:rPr>
          <w:rFonts w:ascii="Arial" w:cs="Arial" w:eastAsia="Arial" w:hAnsi="Arial"/>
          <w:sz w:val="18"/>
          <w:szCs w:val="18"/>
          <w:u w:val="single" w:color="auto"/>
          <w:color w:val="auto"/>
        </w:rPr>
        <w:t>Gender Neutral</w:t>
      </w:r>
      <w:r>
        <w:rPr>
          <w:rFonts w:ascii="Arial" w:cs="Arial" w:eastAsia="Arial" w:hAnsi="Arial"/>
          <w:sz w:val="18"/>
          <w:szCs w:val="18"/>
          <w:color w:val="auto"/>
        </w:rPr>
        <w:t>. Wherever used herein, a pronoun in the masculine or feminine gender shall be considered as including the opposite gender as well unless the context clearly indicates otherwise.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60" w:top="274" w:right="259" w:bottom="1440" w:gutter="0" w:footer="0" w:header="0"/>
        </w:sectPr>
      </w:pPr>
    </w:p>
    <w:bookmarkStart w:id="455" w:name="page456"/>
    <w:bookmarkEnd w:id="45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effective on the date and year first above written.</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Geoff MacKay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Title:  Chief Executive Officer</w:t>
      </w:r>
    </w:p>
    <w:p>
      <w:pPr>
        <w:spacing w:after="0" w:line="218"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Nerissa Kreher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Nerissa Kreher</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759"/>
          </w:cols>
          <w:pgMar w:left="700" w:top="273" w:right="1440" w:bottom="1440" w:gutter="0" w:footer="0" w:header="0"/>
        </w:sectPr>
      </w:pPr>
    </w:p>
    <w:bookmarkStart w:id="456" w:name="page457"/>
    <w:bookmarkEnd w:id="4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Approved Activities</w:t>
      </w:r>
    </w:p>
    <w:p>
      <w:pPr>
        <w:sectPr>
          <w:pgSz w:w="11900" w:h="16838" w:orient="portrait"/>
          <w:cols w:equalWidth="0" w:num="1">
            <w:col w:w="9019"/>
          </w:cols>
          <w:pgMar w:left="1440" w:top="270" w:right="1440" w:bottom="1440" w:gutter="0" w:footer="0" w:header="0"/>
        </w:sectPr>
      </w:pPr>
    </w:p>
    <w:bookmarkStart w:id="457" w:name="page458"/>
    <w:bookmarkEnd w:id="45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Confidentiality and IP Assignment Agreement</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9019"/>
          </w:cols>
          <w:pgMar w:left="1440" w:top="269" w:right="1440" w:bottom="1440" w:gutter="0" w:footer="0" w:header="0"/>
        </w:sectPr>
      </w:pPr>
    </w:p>
    <w:bookmarkStart w:id="458" w:name="page459"/>
    <w:bookmarkEnd w:id="458"/>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9"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This Employment Agreement (“Agreement”) is made as of the 8</w:t>
      </w:r>
      <w:r>
        <w:rPr>
          <w:rFonts w:ascii="Arial" w:cs="Arial" w:eastAsia="Arial" w:hAnsi="Arial"/>
          <w:sz w:val="15"/>
          <w:szCs w:val="15"/>
          <w:color w:val="auto"/>
        </w:rPr>
        <w:t>th</w:t>
      </w:r>
      <w:r>
        <w:rPr>
          <w:rFonts w:ascii="Arial" w:cs="Arial" w:eastAsia="Arial" w:hAnsi="Arial"/>
          <w:sz w:val="18"/>
          <w:szCs w:val="18"/>
          <w:color w:val="auto"/>
        </w:rPr>
        <w:t xml:space="preserve"> day of June, 2018, between AVROBIO, Inc., a Delaware corporation (the “Company”), and Katina Dorton (the “Executive”) and is effective as of the closing of the Company’s first underwritten public offering of its equity securities pursuant to an effective registration statement under the Securities Act of 1933, as amended (the “Effective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WHEREAS, the Company and the Executive are parties to an existing employment agreement, dated July 20, 2017 (the “Prior Agreement”); and</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intend to replace the Prior Agreement with this Agreement, effective as of the Effective Date.</w:t>
      </w:r>
    </w:p>
    <w:p>
      <w:pPr>
        <w:spacing w:after="0" w:line="22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NOW, THEREFORE, in consideration of the mutual covenants and agreements herein contained and other good and valuable consideration, the receipt and sufficiency of which is hereby acknowledged, the parties agree to restate the Prior Agreement as follows:</w:t>
      </w:r>
    </w:p>
    <w:p>
      <w:pPr>
        <w:spacing w:after="0" w:line="62" w:lineRule="exact"/>
        <w:rPr>
          <w:sz w:val="20"/>
          <w:szCs w:val="20"/>
          <w:color w:val="auto"/>
        </w:rPr>
      </w:pPr>
    </w:p>
    <w:p>
      <w:pPr>
        <w:ind w:left="640" w:hanging="176"/>
        <w:spacing w:after="0"/>
        <w:tabs>
          <w:tab w:leader="none" w:pos="640" w:val="left"/>
        </w:tabs>
        <w:numPr>
          <w:ilvl w:val="0"/>
          <w:numId w:val="373"/>
        </w:numPr>
        <w:rPr>
          <w:rFonts w:ascii="Arial" w:cs="Arial" w:eastAsia="Arial" w:hAnsi="Arial"/>
          <w:sz w:val="18"/>
          <w:szCs w:val="18"/>
          <w:color w:val="auto"/>
        </w:rPr>
      </w:pPr>
      <w:r>
        <w:rPr>
          <w:rFonts w:ascii="Arial" w:cs="Arial" w:eastAsia="Arial" w:hAnsi="Arial"/>
          <w:sz w:val="18"/>
          <w:szCs w:val="18"/>
          <w:u w:val="single" w:color="auto"/>
          <w:color w:val="auto"/>
        </w:rPr>
        <w:t>Employment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80" w:firstLine="921"/>
        <w:spacing w:after="0" w:line="286" w:lineRule="auto"/>
        <w:tabs>
          <w:tab w:leader="none" w:pos="1157" w:val="left"/>
        </w:tabs>
        <w:numPr>
          <w:ilvl w:val="1"/>
          <w:numId w:val="373"/>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The term of this Agreement shall commence on the Effective Date and continue until terminated in accordance with the provisions hereof (the “Term”). The Executive’s employment with the Company will continue to be “at will,” meaning that the Executive’s employment may be terminated by the Company or the Executive at any time and for any reason subject to the terms of this Agreement.</w:t>
      </w:r>
    </w:p>
    <w:p>
      <w:pPr>
        <w:spacing w:after="0" w:line="57" w:lineRule="exact"/>
        <w:rPr>
          <w:rFonts w:ascii="Arial" w:cs="Arial" w:eastAsia="Arial" w:hAnsi="Arial"/>
          <w:sz w:val="17"/>
          <w:szCs w:val="17"/>
          <w:color w:val="auto"/>
        </w:rPr>
      </w:pPr>
    </w:p>
    <w:p>
      <w:pPr>
        <w:ind w:right="20" w:firstLine="921"/>
        <w:spacing w:after="0" w:line="253" w:lineRule="auto"/>
        <w:tabs>
          <w:tab w:leader="none" w:pos="1168" w:val="left"/>
        </w:tabs>
        <w:numPr>
          <w:ilvl w:val="1"/>
          <w:numId w:val="373"/>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During the Term, the Executive shall serve as the Chief Financial Officer of the Company reporting directly to the Chief Executive Officer, and shall have supervision and control over and responsibility for the day-to-day business and affairs of the Company and shall have such other powers and duties as may from time to time be prescribed by the Board of Directors of the Company (the “Board”), the Chief Executive Officer of the Company (the “CEO”) or other authorized executive. The Executive shall devote her full working time and efforts to the business and affairs of the Company. Notwithstanding the foregoing, the Executive may serve on other boards of directors, with the approval of the Board, or engage in religious, charitable or other community activities as long as such services and activities are disclosed to the Board and do not materially interfere with the Executive’s performance of her duties to the Company as provided in this Agreement. For the avoidance of doubt, the Executive may continue to serve in the roles set forth on Schedule 1 hereto without the necessity of further approval from the Board, provided that no conflicts result in the future from the Executive’s service in such role.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459" w:name="page460"/>
    <w:bookmarkEnd w:id="459"/>
    <w:p>
      <w:pPr>
        <w:ind w:left="632" w:hanging="176"/>
        <w:spacing w:after="0"/>
        <w:tabs>
          <w:tab w:leader="none" w:pos="632" w:val="left"/>
        </w:tabs>
        <w:numPr>
          <w:ilvl w:val="1"/>
          <w:numId w:val="37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Compensation and Related Matters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right="80" w:firstLine="921"/>
        <w:spacing w:after="0" w:line="312" w:lineRule="auto"/>
        <w:tabs>
          <w:tab w:leader="none" w:pos="1149" w:val="left"/>
        </w:tabs>
        <w:numPr>
          <w:ilvl w:val="2"/>
          <w:numId w:val="374"/>
        </w:numPr>
        <w:rPr>
          <w:rFonts w:ascii="Arial" w:cs="Arial" w:eastAsia="Arial" w:hAnsi="Arial"/>
          <w:sz w:val="16"/>
          <w:szCs w:val="16"/>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During the Term, the Executive’s annual base salary shall be $360,000. The Executive’s base salary shall be reviewed annually by the Board or the Compensation Committee of the Board (the “Compensation Committee”). The base salary in effect at any given time is referred to herein as “Base Salary.” The Base Salary shall be payable in a manner that is consistent with the Company’s usual payroll practices for executive officers.</w:t>
      </w:r>
    </w:p>
    <w:p>
      <w:pPr>
        <w:spacing w:after="0" w:line="38" w:lineRule="exact"/>
        <w:rPr>
          <w:rFonts w:ascii="Arial" w:cs="Arial" w:eastAsia="Arial" w:hAnsi="Arial"/>
          <w:sz w:val="16"/>
          <w:szCs w:val="16"/>
          <w:color w:val="auto"/>
        </w:rPr>
      </w:pPr>
    </w:p>
    <w:p>
      <w:pPr>
        <w:ind w:left="-8" w:right="60" w:firstLine="921"/>
        <w:spacing w:after="0" w:line="259" w:lineRule="auto"/>
        <w:tabs>
          <w:tab w:leader="none" w:pos="1160" w:val="left"/>
        </w:tabs>
        <w:numPr>
          <w:ilvl w:val="2"/>
          <w:numId w:val="374"/>
        </w:numPr>
        <w:rPr>
          <w:rFonts w:ascii="Arial" w:cs="Arial" w:eastAsia="Arial" w:hAnsi="Arial"/>
          <w:sz w:val="18"/>
          <w:szCs w:val="18"/>
          <w:color w:val="auto"/>
        </w:rPr>
      </w:pPr>
      <w:r>
        <w:rPr>
          <w:rFonts w:ascii="Arial" w:cs="Arial" w:eastAsia="Arial" w:hAnsi="Arial"/>
          <w:sz w:val="18"/>
          <w:szCs w:val="18"/>
          <w:u w:val="single" w:color="auto"/>
          <w:color w:val="auto"/>
        </w:rPr>
        <w:t>Incentive Compensation</w:t>
      </w:r>
      <w:r>
        <w:rPr>
          <w:rFonts w:ascii="Arial" w:cs="Arial" w:eastAsia="Arial" w:hAnsi="Arial"/>
          <w:sz w:val="18"/>
          <w:szCs w:val="18"/>
          <w:color w:val="auto"/>
        </w:rPr>
        <w:t>. During the Term, the Executive shall be eligible to receive cash incentive compensation as determined by the Board or the Compensation Committee from time to time. The Executive’s initial target annual incentive compensation shall be forty percent (40%) of her Base Salary (as in effect at any time, the “Target Annual Incentive Compensation”). Except as otherwise provided herein, to earn incentive compensation, the Executive must be employed by the Company on the day such incentive compensation is paid.</w:t>
      </w:r>
    </w:p>
    <w:p>
      <w:pPr>
        <w:spacing w:after="0" w:line="78" w:lineRule="exact"/>
        <w:rPr>
          <w:rFonts w:ascii="Arial" w:cs="Arial" w:eastAsia="Arial" w:hAnsi="Arial"/>
          <w:sz w:val="18"/>
          <w:szCs w:val="18"/>
          <w:color w:val="auto"/>
        </w:rPr>
      </w:pPr>
    </w:p>
    <w:p>
      <w:pPr>
        <w:ind w:left="-8" w:right="300" w:firstLine="921"/>
        <w:spacing w:after="0" w:line="342" w:lineRule="auto"/>
        <w:tabs>
          <w:tab w:leader="none" w:pos="1149" w:val="left"/>
        </w:tabs>
        <w:numPr>
          <w:ilvl w:val="2"/>
          <w:numId w:val="374"/>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Executive shall be entitled to receive prompt reimbursement for all reasonable expenses incurred by her during the Term in performing services hereunder, in accordance with the policies and procedures then in effect and established by the Company for its senior officers.</w:t>
      </w:r>
    </w:p>
    <w:p>
      <w:pPr>
        <w:spacing w:after="0" w:line="15" w:lineRule="exact"/>
        <w:rPr>
          <w:rFonts w:ascii="Arial" w:cs="Arial" w:eastAsia="Arial" w:hAnsi="Arial"/>
          <w:sz w:val="16"/>
          <w:szCs w:val="16"/>
          <w:color w:val="auto"/>
        </w:rPr>
      </w:pPr>
    </w:p>
    <w:p>
      <w:pPr>
        <w:ind w:left="-8" w:right="60" w:firstLine="921"/>
        <w:spacing w:after="0" w:line="264" w:lineRule="auto"/>
        <w:tabs>
          <w:tab w:leader="none" w:pos="1160" w:val="left"/>
        </w:tabs>
        <w:numPr>
          <w:ilvl w:val="2"/>
          <w:numId w:val="374"/>
        </w:numPr>
        <w:rPr>
          <w:rFonts w:ascii="Arial" w:cs="Arial" w:eastAsia="Arial" w:hAnsi="Arial"/>
          <w:sz w:val="18"/>
          <w:szCs w:val="18"/>
          <w:color w:val="auto"/>
        </w:rPr>
      </w:pPr>
      <w:r>
        <w:rPr>
          <w:rFonts w:ascii="Arial" w:cs="Arial" w:eastAsia="Arial" w:hAnsi="Arial"/>
          <w:sz w:val="18"/>
          <w:szCs w:val="18"/>
          <w:u w:val="single" w:color="auto"/>
          <w:color w:val="auto"/>
        </w:rPr>
        <w:t>Other Benefits</w:t>
      </w:r>
      <w:r>
        <w:rPr>
          <w:rFonts w:ascii="Arial" w:cs="Arial" w:eastAsia="Arial" w:hAnsi="Arial"/>
          <w:sz w:val="18"/>
          <w:szCs w:val="18"/>
          <w:color w:val="auto"/>
        </w:rPr>
        <w:t>. During the Term, the Executive shall be eligible to participate in or receive benefits under the Company’s employee benefit plans in effect from time to time, subject to the terms of such plans. Additionally, during the Term, the Executive shall be eligible to receive such benefits and perquisites as those made available to the other employees of the Company generally.</w:t>
      </w:r>
    </w:p>
    <w:p>
      <w:pPr>
        <w:spacing w:after="0" w:line="73" w:lineRule="exact"/>
        <w:rPr>
          <w:rFonts w:ascii="Arial" w:cs="Arial" w:eastAsia="Arial" w:hAnsi="Arial"/>
          <w:sz w:val="18"/>
          <w:szCs w:val="18"/>
          <w:color w:val="auto"/>
        </w:rPr>
      </w:pPr>
    </w:p>
    <w:p>
      <w:pPr>
        <w:ind w:left="-8" w:firstLine="921"/>
        <w:spacing w:after="0" w:line="264" w:lineRule="auto"/>
        <w:tabs>
          <w:tab w:leader="none" w:pos="1149" w:val="left"/>
        </w:tabs>
        <w:numPr>
          <w:ilvl w:val="2"/>
          <w:numId w:val="374"/>
        </w:numPr>
        <w:rPr>
          <w:rFonts w:ascii="Arial" w:cs="Arial" w:eastAsia="Arial" w:hAnsi="Arial"/>
          <w:sz w:val="18"/>
          <w:szCs w:val="18"/>
          <w:color w:val="auto"/>
        </w:rPr>
      </w:pPr>
      <w:r>
        <w:rPr>
          <w:rFonts w:ascii="Arial" w:cs="Arial" w:eastAsia="Arial" w:hAnsi="Arial"/>
          <w:sz w:val="18"/>
          <w:szCs w:val="18"/>
          <w:u w:val="single" w:color="auto"/>
          <w:color w:val="auto"/>
        </w:rPr>
        <w:t>Vacations</w:t>
      </w:r>
      <w:r>
        <w:rPr>
          <w:rFonts w:ascii="Arial" w:cs="Arial" w:eastAsia="Arial" w:hAnsi="Arial"/>
          <w:sz w:val="18"/>
          <w:szCs w:val="18"/>
          <w:color w:val="auto"/>
        </w:rPr>
        <w:t>. During the Term, the Executive shall be entitled to paid vacation in accordance with the Company’s policies and procedures, which shall be a minimum of 20 days in addition to the Company’s paid holidays. The Executive shall also be entitled to all paid holidays given by the Company to its executive officers.</w:t>
      </w:r>
    </w:p>
    <w:p>
      <w:pPr>
        <w:spacing w:after="0" w:line="73" w:lineRule="exact"/>
        <w:rPr>
          <w:rFonts w:ascii="Arial" w:cs="Arial" w:eastAsia="Arial" w:hAnsi="Arial"/>
          <w:sz w:val="18"/>
          <w:szCs w:val="18"/>
          <w:color w:val="auto"/>
        </w:rPr>
      </w:pPr>
    </w:p>
    <w:p>
      <w:pPr>
        <w:ind w:left="1132" w:hanging="219"/>
        <w:spacing w:after="0"/>
        <w:tabs>
          <w:tab w:leader="none" w:pos="1132" w:val="left"/>
        </w:tabs>
        <w:numPr>
          <w:ilvl w:val="2"/>
          <w:numId w:val="374"/>
        </w:numPr>
        <w:rPr>
          <w:rFonts w:ascii="Arial" w:cs="Arial" w:eastAsia="Arial" w:hAnsi="Arial"/>
          <w:sz w:val="17"/>
          <w:szCs w:val="17"/>
          <w:color w:val="auto"/>
        </w:rPr>
      </w:pPr>
      <w:r>
        <w:rPr>
          <w:rFonts w:ascii="Arial" w:cs="Arial" w:eastAsia="Arial" w:hAnsi="Arial"/>
          <w:sz w:val="17"/>
          <w:szCs w:val="17"/>
          <w:u w:val="single" w:color="auto"/>
          <w:color w:val="auto"/>
        </w:rPr>
        <w:t>Temporary Living</w:t>
      </w:r>
      <w:r>
        <w:rPr>
          <w:rFonts w:ascii="Arial" w:cs="Arial" w:eastAsia="Arial" w:hAnsi="Arial"/>
          <w:sz w:val="17"/>
          <w:szCs w:val="17"/>
          <w:color w:val="auto"/>
        </w:rPr>
        <w:t>. During the period between the Effective Date and the earlier of (i) August 28, 2018 (the “Relocation Deadline”) and</w:t>
      </w:r>
    </w:p>
    <w:p>
      <w:pPr>
        <w:spacing w:after="0" w:line="34" w:lineRule="exact"/>
        <w:rPr>
          <w:rFonts w:ascii="Arial" w:cs="Arial" w:eastAsia="Arial" w:hAnsi="Arial"/>
          <w:sz w:val="17"/>
          <w:szCs w:val="17"/>
          <w:color w:val="auto"/>
        </w:rPr>
      </w:pPr>
    </w:p>
    <w:p>
      <w:pPr>
        <w:ind w:left="-8" w:right="20" w:firstLine="8"/>
        <w:spacing w:after="0" w:line="268" w:lineRule="auto"/>
        <w:tabs>
          <w:tab w:leader="none" w:pos="257"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the date the Executive sells her residence in Raleigh, North Carolina and moves into a permanent residence in Massachusetts, the Company will reimburse the Executive up to $4,000 per month to cover the Executive’s temporary (i.e., defined to mean anything other than Executive’s permanent move to Massachusetts) in connection with or following the sale of her principal residence in Raleigh, North Carolina) living and travel expenses in connection with traveling to and living in Massachusetts, including, without limitation, househunting trips to Massachusetts with or without her spouse, brokerage fees incurred for housing rentals, temporary housing or a longer term lease, commuting expenses and other reasonable move-related items (but not meal and ordinary living expenses other than housing rental fees) (collectively “Temporary Living Expenses”). Appropriate supporting documentation (i.e. itemized receipts) of the Temporary Living Expenses must be submitted within 45 days after the Temporary Living Expenses were incurred and prior to reimbursement. The Company will determine in its reasonable judgment</w:t>
      </w:r>
    </w:p>
    <w:p>
      <w:pPr>
        <w:spacing w:after="0" w:line="11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12"/>
          </w:cols>
          <w:pgMar w:left="248" w:top="274" w:right="239" w:bottom="1440" w:gutter="0" w:footer="0" w:header="0"/>
        </w:sectPr>
      </w:pPr>
    </w:p>
    <w:bookmarkStart w:id="460" w:name="page461"/>
    <w:bookmarkEnd w:id="460"/>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what, if any, of the Executive’s reimbursed Temporary Living Expenses are for nondeductible expenses in accordance with applicable law and will comply with associated withholding and tax reporting obligations. In the event that, at any time prior to the Relocation Deadline, the Executive voluntarily terminates her employment with the Company (other than for Good Reason), the Executive agrees to repay the Company for any Temporary Living Expenses made to the Executive under this provision within ten (10) days following the last day of the Executive’s employment. Any expense incurred by Executive prior to the Relocation Deadline shall not be required to be paid by the Company until the Relocation Deadline.</w:t>
      </w:r>
    </w:p>
    <w:p>
      <w:pPr>
        <w:spacing w:after="0" w:line="64" w:lineRule="exact"/>
        <w:rPr>
          <w:sz w:val="20"/>
          <w:szCs w:val="20"/>
          <w:color w:val="auto"/>
        </w:rPr>
      </w:pPr>
    </w:p>
    <w:p>
      <w:pPr>
        <w:ind w:right="20" w:firstLine="921"/>
        <w:spacing w:after="0" w:line="269" w:lineRule="auto"/>
        <w:tabs>
          <w:tab w:leader="none" w:pos="1168" w:val="left"/>
        </w:tabs>
        <w:numPr>
          <w:ilvl w:val="1"/>
          <w:numId w:val="376"/>
        </w:numPr>
        <w:rPr>
          <w:rFonts w:ascii="Arial" w:cs="Arial" w:eastAsia="Arial" w:hAnsi="Arial"/>
          <w:sz w:val="17"/>
          <w:szCs w:val="17"/>
          <w:color w:val="auto"/>
        </w:rPr>
      </w:pPr>
      <w:r>
        <w:rPr>
          <w:rFonts w:ascii="Arial" w:cs="Arial" w:eastAsia="Arial" w:hAnsi="Arial"/>
          <w:sz w:val="17"/>
          <w:szCs w:val="17"/>
          <w:u w:val="single" w:color="auto"/>
          <w:color w:val="auto"/>
        </w:rPr>
        <w:t>Relocation.</w:t>
      </w:r>
      <w:r>
        <w:rPr>
          <w:rFonts w:ascii="Arial" w:cs="Arial" w:eastAsia="Arial" w:hAnsi="Arial"/>
          <w:sz w:val="17"/>
          <w:szCs w:val="17"/>
          <w:color w:val="auto"/>
        </w:rPr>
        <w:t xml:space="preserve"> Provided that the Executive relocates her principal residence to Massachusetts prior to the Relocation Deadline, upon written request and submission of appropriate receipts, the Company will reimburse the Executive up to the amount equal to $100,000 less the aggregate amount of the Temporary Living Expenses paid by the Company pursuant to Section 2(f) above (the “Relocation Amount”) for reasonable expenses incurred in connection with the Executive’s relocation of her principal residence to Massachusetts. Acceptable uses of the Relocation Amount include moving expenses, other reasonable move-related items, including closing costs and real estate commission payments, storage of household goods (collectively “Relocation Expenses”). Appropriate supporting documentation (i.e., itemized receipts) of the Relocation Expenses must be submitted within 45 days after the Relocation Expenses were incurred and prior to reimbursement. The Company will determine in its reasonable judgment what, if any, of the Executive’s reimbursed Relocation Expenses are for nondeductible expenses in accordance with applicable law and will comply with associated withholding and tax reporting obligations. In the event that, at any time prior to the Relocation Deadline, the Executive voluntarily terminates the Executive’s employment with the Company (other than for Good Reason), the Executive agrees to repay the Company for any Relocation Expenses made to the Executive under this provision within ten (10) days following the last day of the Executive’s employment.</w:t>
      </w:r>
    </w:p>
    <w:p>
      <w:pPr>
        <w:spacing w:after="0" w:line="74" w:lineRule="exact"/>
        <w:rPr>
          <w:rFonts w:ascii="Arial" w:cs="Arial" w:eastAsia="Arial" w:hAnsi="Arial"/>
          <w:sz w:val="17"/>
          <w:szCs w:val="17"/>
          <w:color w:val="auto"/>
        </w:rPr>
      </w:pPr>
    </w:p>
    <w:p>
      <w:pPr>
        <w:ind w:right="40" w:firstLine="464"/>
        <w:spacing w:after="0" w:line="277" w:lineRule="auto"/>
        <w:tabs>
          <w:tab w:leader="none" w:pos="636" w:val="left"/>
        </w:tabs>
        <w:numPr>
          <w:ilvl w:val="0"/>
          <w:numId w:val="37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During the Term, the Executive’s employment hereunder may be terminated without any breach of this Agreement under the following circumstances:</w:t>
      </w:r>
    </w:p>
    <w:p>
      <w:pPr>
        <w:spacing w:after="0" w:line="62" w:lineRule="exact"/>
        <w:rPr>
          <w:rFonts w:ascii="Arial" w:cs="Arial" w:eastAsia="Arial" w:hAnsi="Arial"/>
          <w:sz w:val="18"/>
          <w:szCs w:val="18"/>
          <w:color w:val="auto"/>
        </w:rPr>
      </w:pPr>
    </w:p>
    <w:p>
      <w:pPr>
        <w:ind w:left="1160" w:hanging="239"/>
        <w:spacing w:after="0"/>
        <w:tabs>
          <w:tab w:leader="none" w:pos="1160" w:val="left"/>
        </w:tabs>
        <w:numPr>
          <w:ilvl w:val="1"/>
          <w:numId w:val="377"/>
        </w:numPr>
        <w:rPr>
          <w:rFonts w:ascii="Arial" w:cs="Arial" w:eastAsia="Arial" w:hAnsi="Arial"/>
          <w:sz w:val="18"/>
          <w:szCs w:val="18"/>
          <w:color w:val="auto"/>
        </w:rPr>
      </w:pPr>
      <w:r>
        <w:rPr>
          <w:rFonts w:ascii="Arial" w:cs="Arial" w:eastAsia="Arial" w:hAnsi="Arial"/>
          <w:sz w:val="18"/>
          <w:szCs w:val="18"/>
          <w:u w:val="single" w:color="auto"/>
          <w:color w:val="auto"/>
        </w:rPr>
        <w:t>Death</w:t>
      </w:r>
      <w:r>
        <w:rPr>
          <w:rFonts w:ascii="Arial" w:cs="Arial" w:eastAsia="Arial" w:hAnsi="Arial"/>
          <w:sz w:val="18"/>
          <w:szCs w:val="18"/>
          <w:color w:val="auto"/>
        </w:rPr>
        <w:t>. The Executive’s employment hereunder shall terminate upon her death.</w:t>
      </w:r>
    </w:p>
    <w:p>
      <w:pPr>
        <w:spacing w:after="0" w:line="117" w:lineRule="exact"/>
        <w:rPr>
          <w:rFonts w:ascii="Arial" w:cs="Arial" w:eastAsia="Arial" w:hAnsi="Arial"/>
          <w:sz w:val="18"/>
          <w:szCs w:val="18"/>
          <w:color w:val="auto"/>
        </w:rPr>
      </w:pPr>
    </w:p>
    <w:p>
      <w:pPr>
        <w:ind w:firstLine="921"/>
        <w:spacing w:after="0" w:line="290" w:lineRule="auto"/>
        <w:tabs>
          <w:tab w:leader="none" w:pos="1168" w:val="left"/>
        </w:tabs>
        <w:numPr>
          <w:ilvl w:val="1"/>
          <w:numId w:val="377"/>
        </w:numPr>
        <w:rPr>
          <w:rFonts w:ascii="Arial" w:cs="Arial" w:eastAsia="Arial" w:hAnsi="Arial"/>
          <w:sz w:val="16"/>
          <w:szCs w:val="16"/>
          <w:color w:val="auto"/>
        </w:rPr>
      </w:pPr>
      <w:r>
        <w:rPr>
          <w:rFonts w:ascii="Arial" w:cs="Arial" w:eastAsia="Arial" w:hAnsi="Arial"/>
          <w:sz w:val="16"/>
          <w:szCs w:val="16"/>
          <w:u w:val="single" w:color="auto"/>
          <w:color w:val="auto"/>
        </w:rPr>
        <w:t>Disability</w:t>
      </w:r>
      <w:r>
        <w:rPr>
          <w:rFonts w:ascii="Arial" w:cs="Arial" w:eastAsia="Arial" w:hAnsi="Arial"/>
          <w:sz w:val="16"/>
          <w:szCs w:val="16"/>
          <w:color w:val="auto"/>
        </w:rPr>
        <w:t>. The Company may terminate the Executive’s employment if she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461" w:name="page462"/>
    <w:bookmarkEnd w:id="461"/>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and the Americans with Disabilities Act, 42 U.S.C. §12101 </w:t>
      </w:r>
      <w:r>
        <w:rPr>
          <w:rFonts w:ascii="Arial" w:cs="Arial" w:eastAsia="Arial" w:hAnsi="Arial"/>
          <w:sz w:val="18"/>
          <w:szCs w:val="18"/>
          <w:i w:val="1"/>
          <w:iCs w:val="1"/>
          <w:color w:val="auto"/>
        </w:rPr>
        <w:t>et seq.</w:t>
      </w:r>
    </w:p>
    <w:p>
      <w:pPr>
        <w:spacing w:after="0" w:line="73" w:lineRule="exact"/>
        <w:rPr>
          <w:sz w:val="20"/>
          <w:szCs w:val="20"/>
          <w:color w:val="auto"/>
        </w:rPr>
      </w:pPr>
    </w:p>
    <w:p>
      <w:pPr>
        <w:ind w:firstLine="921"/>
        <w:spacing w:after="0" w:line="268" w:lineRule="auto"/>
        <w:tabs>
          <w:tab w:leader="none" w:pos="1157" w:val="left"/>
        </w:tabs>
        <w:numPr>
          <w:ilvl w:val="0"/>
          <w:numId w:val="378"/>
        </w:numPr>
        <w:rPr>
          <w:rFonts w:ascii="Arial" w:cs="Arial" w:eastAsia="Arial" w:hAnsi="Arial"/>
          <w:sz w:val="17"/>
          <w:szCs w:val="17"/>
          <w:color w:val="auto"/>
        </w:rPr>
      </w:pPr>
      <w:r>
        <w:rPr>
          <w:rFonts w:ascii="Arial" w:cs="Arial" w:eastAsia="Arial" w:hAnsi="Arial"/>
          <w:sz w:val="17"/>
          <w:szCs w:val="17"/>
          <w:u w:val="single" w:color="auto"/>
          <w:color w:val="auto"/>
        </w:rPr>
        <w:t>Termination by Company for Cause</w:t>
      </w:r>
      <w:r>
        <w:rPr>
          <w:rFonts w:ascii="Arial" w:cs="Arial" w:eastAsia="Arial" w:hAnsi="Arial"/>
          <w:sz w:val="17"/>
          <w:szCs w:val="17"/>
          <w:color w:val="auto"/>
        </w:rPr>
        <w:t>. The Company may terminate the Executive’s employment hereunder for Cause. For purposes of this Agreement, “Cause” shall mean: (i) conduct by the Executive constituting a material act of misconduct in connection with the performance of her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material deceit or dishonesty, or fraud, or any conduct by the Executive that would reasonably be expected to result in material injury or reputational harm to the Company or any of its subsidiaries or affiliates if she were retained in her position; (iii) continued non-performance by the Executive of her duties hereunder (other than by reason of the Executive’s physical or mental illness, incapacity or disability) which has continued for more than 30 days following written notice (with a reasonably detailed summary of such alleged non-performance specified) of such non-performance from the Company’s CEO; (iv) a breach by the Executive of any of the provisions incorporated into or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79" w:lineRule="exact"/>
        <w:rPr>
          <w:rFonts w:ascii="Arial" w:cs="Arial" w:eastAsia="Arial" w:hAnsi="Arial"/>
          <w:sz w:val="17"/>
          <w:szCs w:val="17"/>
          <w:color w:val="auto"/>
        </w:rPr>
      </w:pPr>
    </w:p>
    <w:p>
      <w:pPr>
        <w:ind w:firstLine="921"/>
        <w:spacing w:after="0" w:line="286" w:lineRule="auto"/>
        <w:tabs>
          <w:tab w:leader="none" w:pos="1168" w:val="left"/>
        </w:tabs>
        <w:numPr>
          <w:ilvl w:val="0"/>
          <w:numId w:val="378"/>
        </w:numPr>
        <w:rPr>
          <w:rFonts w:ascii="Arial" w:cs="Arial" w:eastAsia="Arial" w:hAnsi="Arial"/>
          <w:sz w:val="17"/>
          <w:szCs w:val="17"/>
          <w:color w:val="auto"/>
        </w:rPr>
      </w:pPr>
      <w:r>
        <w:rPr>
          <w:rFonts w:ascii="Arial" w:cs="Arial" w:eastAsia="Arial" w:hAnsi="Arial"/>
          <w:sz w:val="17"/>
          <w:szCs w:val="17"/>
          <w:u w:val="single" w:color="auto"/>
          <w:color w:val="auto"/>
        </w:rPr>
        <w:t>Termination Without Cause</w:t>
      </w:r>
      <w:r>
        <w:rPr>
          <w:rFonts w:ascii="Arial" w:cs="Arial" w:eastAsia="Arial" w:hAnsi="Arial"/>
          <w:sz w:val="17"/>
          <w:szCs w:val="17"/>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without Cause.</w:t>
      </w:r>
    </w:p>
    <w:p>
      <w:pPr>
        <w:spacing w:after="0" w:line="57" w:lineRule="exact"/>
        <w:rPr>
          <w:rFonts w:ascii="Arial" w:cs="Arial" w:eastAsia="Arial" w:hAnsi="Arial"/>
          <w:sz w:val="17"/>
          <w:szCs w:val="17"/>
          <w:color w:val="auto"/>
        </w:rPr>
      </w:pPr>
    </w:p>
    <w:p>
      <w:pPr>
        <w:ind w:right="20" w:firstLine="921"/>
        <w:spacing w:after="0" w:line="269" w:lineRule="auto"/>
        <w:tabs>
          <w:tab w:leader="none" w:pos="1157" w:val="left"/>
        </w:tabs>
        <w:numPr>
          <w:ilvl w:val="0"/>
          <w:numId w:val="378"/>
        </w:numPr>
        <w:rPr>
          <w:rFonts w:ascii="Arial" w:cs="Arial" w:eastAsia="Arial" w:hAnsi="Arial"/>
          <w:sz w:val="17"/>
          <w:szCs w:val="17"/>
          <w:color w:val="auto"/>
        </w:rPr>
      </w:pPr>
      <w:r>
        <w:rPr>
          <w:rFonts w:ascii="Arial" w:cs="Arial" w:eastAsia="Arial" w:hAnsi="Arial"/>
          <w:sz w:val="17"/>
          <w:szCs w:val="17"/>
          <w:u w:val="single" w:color="auto"/>
          <w:color w:val="auto"/>
        </w:rPr>
        <w:t>Termination by the Executive</w:t>
      </w:r>
      <w:r>
        <w:rPr>
          <w:rFonts w:ascii="Arial" w:cs="Arial" w:eastAsia="Arial" w:hAnsi="Arial"/>
          <w:sz w:val="17"/>
          <w:szCs w:val="17"/>
          <w:color w:val="auto"/>
        </w:rPr>
        <w:t>. The Executive may terminate her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(i) a material diminution in the Executive’s responsibilities, authority or duties or reporting relationship, which in the case of a Change in Control (as defined in Section 5) shall include the failure of the acquiring company to appoint Executive as the CFO of the senior most entity in the affiliated group in which the acquiring company is then a member; (ii) a material diminution in the Executive’s Base Salary except for across-the-board salary reductions based on the Company’s financial performance similarly affecting all or substantially all senior management employees of the Company; (iii) a material change in the geographic location at which the Executive provides services to the Company; or (iv) a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62" w:name="page463"/>
    <w:bookmarkEnd w:id="462"/>
    <w:p>
      <w:pPr>
        <w:ind w:right="4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notice (the “Cure Period”), to remedy the condition; (iv) notwithstanding such efforts, the Good Reason condition continues to exist; and (v) the Executive terminates her employment within 60 days after the end of the Cure Period. If the Company cures the Good Reason condition during the Cure Period, Good Reason shall be deemed not to have occurred.</w:t>
      </w:r>
    </w:p>
    <w:p>
      <w:pPr>
        <w:spacing w:after="0" w:line="73" w:lineRule="exact"/>
        <w:rPr>
          <w:sz w:val="20"/>
          <w:szCs w:val="20"/>
          <w:color w:val="auto"/>
        </w:rPr>
      </w:pPr>
    </w:p>
    <w:p>
      <w:pPr>
        <w:ind w:right="20" w:firstLine="921"/>
        <w:spacing w:after="0" w:line="286" w:lineRule="auto"/>
        <w:tabs>
          <w:tab w:leader="none" w:pos="1138" w:val="left"/>
        </w:tabs>
        <w:numPr>
          <w:ilvl w:val="2"/>
          <w:numId w:val="379"/>
        </w:numPr>
        <w:rPr>
          <w:rFonts w:ascii="Arial" w:cs="Arial" w:eastAsia="Arial" w:hAnsi="Arial"/>
          <w:sz w:val="17"/>
          <w:szCs w:val="17"/>
          <w:color w:val="auto"/>
        </w:rPr>
      </w:pPr>
      <w:r>
        <w:rPr>
          <w:rFonts w:ascii="Arial" w:cs="Arial" w:eastAsia="Arial" w:hAnsi="Arial"/>
          <w:sz w:val="17"/>
          <w:szCs w:val="17"/>
          <w:u w:val="single" w:color="auto"/>
          <w:color w:val="auto"/>
        </w:rPr>
        <w:t>Notice of Termination</w:t>
      </w:r>
      <w:r>
        <w:rPr>
          <w:rFonts w:ascii="Arial" w:cs="Arial" w:eastAsia="Arial" w:hAnsi="Arial"/>
          <w:sz w:val="17"/>
          <w:szCs w:val="17"/>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57" w:lineRule="exact"/>
        <w:rPr>
          <w:rFonts w:ascii="Arial" w:cs="Arial" w:eastAsia="Arial" w:hAnsi="Arial"/>
          <w:sz w:val="17"/>
          <w:szCs w:val="17"/>
          <w:color w:val="auto"/>
        </w:rPr>
      </w:pPr>
    </w:p>
    <w:p>
      <w:pPr>
        <w:ind w:left="1180" w:hanging="259"/>
        <w:spacing w:after="0"/>
        <w:tabs>
          <w:tab w:leader="none" w:pos="1180" w:val="left"/>
        </w:tabs>
        <w:numPr>
          <w:ilvl w:val="2"/>
          <w:numId w:val="379"/>
        </w:numPr>
        <w:rPr>
          <w:rFonts w:ascii="Arial" w:cs="Arial" w:eastAsia="Arial" w:hAnsi="Arial"/>
          <w:sz w:val="16"/>
          <w:szCs w:val="16"/>
          <w:color w:val="auto"/>
        </w:rPr>
      </w:pPr>
      <w:r>
        <w:rPr>
          <w:rFonts w:ascii="Arial" w:cs="Arial" w:eastAsia="Arial" w:hAnsi="Arial"/>
          <w:sz w:val="16"/>
          <w:szCs w:val="16"/>
          <w:u w:val="single" w:color="auto"/>
          <w:color w:val="auto"/>
        </w:rPr>
        <w:t>Date of Termination</w:t>
      </w:r>
      <w:r>
        <w:rPr>
          <w:rFonts w:ascii="Arial" w:cs="Arial" w:eastAsia="Arial" w:hAnsi="Arial"/>
          <w:sz w:val="16"/>
          <w:szCs w:val="16"/>
          <w:color w:val="auto"/>
        </w:rPr>
        <w:t>. “Date of Termination” shall mean: (i) if the Executive’s employment is terminated by her death, the date of her death;</w:t>
      </w:r>
    </w:p>
    <w:p>
      <w:pPr>
        <w:spacing w:after="0" w:line="46" w:lineRule="exact"/>
        <w:rPr>
          <w:rFonts w:ascii="Arial" w:cs="Arial" w:eastAsia="Arial" w:hAnsi="Arial"/>
          <w:sz w:val="16"/>
          <w:szCs w:val="16"/>
          <w:color w:val="auto"/>
        </w:rPr>
      </w:pPr>
    </w:p>
    <w:p>
      <w:pPr>
        <w:ind w:right="100" w:firstLine="8"/>
        <w:spacing w:after="0" w:line="252" w:lineRule="auto"/>
        <w:tabs>
          <w:tab w:leader="none" w:pos="265"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84" w:lineRule="exact"/>
        <w:rPr>
          <w:rFonts w:ascii="Arial" w:cs="Arial" w:eastAsia="Arial" w:hAnsi="Arial"/>
          <w:sz w:val="18"/>
          <w:szCs w:val="18"/>
          <w:color w:val="auto"/>
        </w:rPr>
      </w:pPr>
    </w:p>
    <w:p>
      <w:pPr>
        <w:ind w:left="640" w:hanging="176"/>
        <w:spacing w:after="0"/>
        <w:tabs>
          <w:tab w:leader="none" w:pos="640" w:val="left"/>
        </w:tabs>
        <w:numPr>
          <w:ilvl w:val="1"/>
          <w:numId w:val="380"/>
        </w:numPr>
        <w:rPr>
          <w:rFonts w:ascii="Arial" w:cs="Arial" w:eastAsia="Arial" w:hAnsi="Arial"/>
          <w:sz w:val="18"/>
          <w:szCs w:val="18"/>
          <w:color w:val="auto"/>
        </w:rPr>
      </w:pPr>
      <w:r>
        <w:rPr>
          <w:rFonts w:ascii="Arial" w:cs="Arial" w:eastAsia="Arial" w:hAnsi="Arial"/>
          <w:sz w:val="18"/>
          <w:szCs w:val="18"/>
          <w:u w:val="single" w:color="auto"/>
          <w:color w:val="auto"/>
        </w:rPr>
        <w:t>Compensation Upon Termination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921"/>
        <w:spacing w:after="0" w:line="273" w:lineRule="auto"/>
        <w:tabs>
          <w:tab w:leader="none" w:pos="1157" w:val="left"/>
        </w:tabs>
        <w:numPr>
          <w:ilvl w:val="2"/>
          <w:numId w:val="380"/>
        </w:numPr>
        <w:rPr>
          <w:rFonts w:ascii="Arial" w:cs="Arial" w:eastAsia="Arial" w:hAnsi="Arial"/>
          <w:sz w:val="17"/>
          <w:szCs w:val="17"/>
          <w:color w:val="auto"/>
        </w:rPr>
      </w:pPr>
      <w:r>
        <w:rPr>
          <w:rFonts w:ascii="Arial" w:cs="Arial" w:eastAsia="Arial" w:hAnsi="Arial"/>
          <w:sz w:val="17"/>
          <w:szCs w:val="17"/>
          <w:u w:val="single" w:color="auto"/>
          <w:color w:val="auto"/>
        </w:rPr>
        <w:t>Termination Generally</w:t>
      </w:r>
      <w:r>
        <w:rPr>
          <w:rFonts w:ascii="Arial" w:cs="Arial" w:eastAsia="Arial" w:hAnsi="Arial"/>
          <w:sz w:val="17"/>
          <w:szCs w:val="17"/>
          <w:color w:val="auto"/>
        </w:rPr>
        <w:t>. If the Executive’s employment with the Company is terminated for any reason, the Company shall pay or provide to the Executive (or to her authorized representative or estate) (i) any Base Salary earned through the Date of Termination, unpaid expense reimbursements (subject to, and in accordance with, Section 2(c)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70" w:lineRule="exact"/>
        <w:rPr>
          <w:rFonts w:ascii="Arial" w:cs="Arial" w:eastAsia="Arial" w:hAnsi="Arial"/>
          <w:sz w:val="17"/>
          <w:szCs w:val="17"/>
          <w:color w:val="auto"/>
        </w:rPr>
      </w:pPr>
    </w:p>
    <w:p>
      <w:pPr>
        <w:ind w:firstLine="921"/>
        <w:spacing w:after="0" w:line="272" w:lineRule="auto"/>
        <w:tabs>
          <w:tab w:leader="none" w:pos="1168" w:val="left"/>
        </w:tabs>
        <w:numPr>
          <w:ilvl w:val="2"/>
          <w:numId w:val="380"/>
        </w:numPr>
        <w:rPr>
          <w:rFonts w:ascii="Arial" w:cs="Arial" w:eastAsia="Arial" w:hAnsi="Arial"/>
          <w:sz w:val="17"/>
          <w:szCs w:val="17"/>
          <w:color w:val="auto"/>
        </w:rPr>
      </w:pPr>
      <w:r>
        <w:rPr>
          <w:rFonts w:ascii="Arial" w:cs="Arial" w:eastAsia="Arial" w:hAnsi="Arial"/>
          <w:sz w:val="17"/>
          <w:szCs w:val="17"/>
          <w:u w:val="single" w:color="auto"/>
          <w:color w:val="auto"/>
        </w:rPr>
        <w:t>Termination by the Company Without Cause or by the Executive with Good Reason</w:t>
      </w:r>
      <w:r>
        <w:rPr>
          <w:rFonts w:ascii="Arial" w:cs="Arial" w:eastAsia="Arial" w:hAnsi="Arial"/>
          <w:sz w:val="17"/>
          <w:szCs w:val="17"/>
          <w:color w:val="auto"/>
        </w:rPr>
        <w:t>. During the Term, if the Executive’s employment is terminated by the Company without Cause as provided in Section 3(d), or the Executive terminates her employment for Good Reason as provided in Section 3(e), then the Company shall pay the Executive her Accrued Benefit. In addition, subject to the Executive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irrevocable and fully effective and, if applicable, the Executive resigning as a member of the Board of Directors, all within 60 days after the Date of Termination (or such shorter time period provided in the Separation Agreement and Release):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3" w:right="239" w:bottom="1440" w:gutter="0" w:footer="0" w:header="0"/>
        </w:sectPr>
      </w:pPr>
    </w:p>
    <w:bookmarkStart w:id="463" w:name="page464"/>
    <w:bookmarkEnd w:id="463"/>
    <w:p>
      <w:pPr>
        <w:jc w:val="both"/>
        <w:ind w:left="420" w:right="500" w:firstLine="443"/>
        <w:spacing w:after="0" w:line="264" w:lineRule="auto"/>
        <w:tabs>
          <w:tab w:leader="none" w:pos="1073" w:val="left"/>
        </w:tabs>
        <w:numPr>
          <w:ilvl w:val="1"/>
          <w:numId w:val="3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pay the Executive an amount equal to 0.75 times the sum of the Executive’s Base Salary (the “Severance Amount”). Notwithstanding the foregoing, if the Executive breaches any of the provisions incorporated into or contained in Section 7 of this Agreement, all payments of the Severance Amount shall immediately cease;</w:t>
      </w:r>
    </w:p>
    <w:p>
      <w:pPr>
        <w:spacing w:after="0" w:line="73" w:lineRule="exact"/>
        <w:rPr>
          <w:rFonts w:ascii="Arial" w:cs="Arial" w:eastAsia="Arial" w:hAnsi="Arial"/>
          <w:sz w:val="18"/>
          <w:szCs w:val="18"/>
          <w:color w:val="auto"/>
        </w:rPr>
      </w:pPr>
    </w:p>
    <w:p>
      <w:pPr>
        <w:ind w:left="420" w:firstLine="443"/>
        <w:spacing w:after="0" w:line="259" w:lineRule="auto"/>
        <w:tabs>
          <w:tab w:leader="none" w:pos="1123" w:val="left"/>
        </w:tabs>
        <w:numPr>
          <w:ilvl w:val="1"/>
          <w:numId w:val="381"/>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or stock-based award agreement, all time-based stock options and other time-based stock-based awards held by the Executive in which such stock option or other stock-based award would have vested if the Executive had remained employed for an additional nine months following the Date of Termination shall vest and become exercisable or nonforfeitable as of the Date of Termination;</w:t>
      </w:r>
    </w:p>
    <w:p>
      <w:pPr>
        <w:spacing w:after="0" w:line="78" w:lineRule="exact"/>
        <w:rPr>
          <w:rFonts w:ascii="Arial" w:cs="Arial" w:eastAsia="Arial" w:hAnsi="Arial"/>
          <w:sz w:val="18"/>
          <w:szCs w:val="18"/>
          <w:color w:val="auto"/>
        </w:rPr>
      </w:pPr>
    </w:p>
    <w:p>
      <w:pPr>
        <w:ind w:left="420" w:right="180" w:firstLine="443"/>
        <w:spacing w:after="0" w:line="259" w:lineRule="auto"/>
        <w:tabs>
          <w:tab w:leader="none" w:pos="1173" w:val="left"/>
        </w:tabs>
        <w:numPr>
          <w:ilvl w:val="1"/>
          <w:numId w:val="381"/>
        </w:numPr>
        <w:rPr>
          <w:rFonts w:ascii="Arial" w:cs="Arial" w:eastAsia="Arial" w:hAnsi="Arial"/>
          <w:sz w:val="18"/>
          <w:szCs w:val="18"/>
          <w:color w:val="auto"/>
        </w:rPr>
      </w:pPr>
      <w:r>
        <w:rPr>
          <w:rFonts w:ascii="Arial" w:cs="Arial" w:eastAsia="Arial" w:hAnsi="Arial"/>
          <w:sz w:val="18"/>
          <w:szCs w:val="18"/>
          <w:color w:val="auto"/>
        </w:rPr>
        <w:t>if the Executive was participating in the Company’s group health plan immediately prior to the Date of Termination and elects COBRA health continuation, then the Company shall pay to the Executive a monthly cash payment for nine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78" w:lineRule="exact"/>
        <w:rPr>
          <w:rFonts w:ascii="Arial" w:cs="Arial" w:eastAsia="Arial" w:hAnsi="Arial"/>
          <w:sz w:val="18"/>
          <w:szCs w:val="18"/>
          <w:color w:val="auto"/>
        </w:rPr>
      </w:pPr>
    </w:p>
    <w:p>
      <w:pPr>
        <w:ind w:left="420" w:firstLine="443"/>
        <w:spacing w:after="0" w:line="255" w:lineRule="auto"/>
        <w:tabs>
          <w:tab w:leader="none" w:pos="1163"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amounts payable under Section 4(b)(i) and (iii) shall be paid out in substantially equal installments in accordance with the Company’s payroll practice over nine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85" w:lineRule="exact"/>
        <w:rPr>
          <w:rFonts w:ascii="Arial" w:cs="Arial" w:eastAsia="Arial" w:hAnsi="Arial"/>
          <w:sz w:val="18"/>
          <w:szCs w:val="18"/>
          <w:color w:val="auto"/>
        </w:rPr>
      </w:pPr>
    </w:p>
    <w:p>
      <w:pPr>
        <w:ind w:left="-40" w:right="20" w:firstLine="464"/>
        <w:spacing w:after="0" w:line="270" w:lineRule="auto"/>
        <w:tabs>
          <w:tab w:leader="none" w:pos="596" w:val="left"/>
        </w:tabs>
        <w:numPr>
          <w:ilvl w:val="0"/>
          <w:numId w:val="382"/>
        </w:numPr>
        <w:rPr>
          <w:rFonts w:ascii="Arial" w:cs="Arial" w:eastAsia="Arial" w:hAnsi="Arial"/>
          <w:sz w:val="17"/>
          <w:szCs w:val="17"/>
          <w:color w:val="auto"/>
        </w:rPr>
      </w:pPr>
      <w:r>
        <w:rPr>
          <w:rFonts w:ascii="Arial" w:cs="Arial" w:eastAsia="Arial" w:hAnsi="Arial"/>
          <w:sz w:val="17"/>
          <w:szCs w:val="17"/>
          <w:u w:val="single" w:color="auto"/>
          <w:color w:val="auto"/>
        </w:rPr>
        <w:t>Change in Control Payment</w:t>
      </w:r>
      <w:r>
        <w:rPr>
          <w:rFonts w:ascii="Arial" w:cs="Arial" w:eastAsia="Arial" w:hAnsi="Arial"/>
          <w:sz w:val="17"/>
          <w:szCs w:val="17"/>
          <w:color w:val="auto"/>
        </w:rPr>
        <w:t>. The provisions of this Section 5 set forth certain terms of an agreement reached between the Executive and the Company regarding the Executive’s rights and obligations upon the occurrence of a Change in Control of the Company. In the event of a Change in Control during the Term, all time-based stock options and other time-based stock-based awards held by the Executive as of the Effective Date that were granted to the Executive at least 12 months prior to the Effective Date shall immediately accelerate and become fully exercisable or nonforfeitable as of immediately prior to such Change in Control. These provisions are intended to assure and encourage in advance the Executive’s continued attention and dedication to her assigned duties and her objectivity during the pendency and after the occurrence of any such event. These provisions shall apply in lieu of, and expressly supersede, the provisions of Section 4(b) regarding severance pay and benefits upon a termination of employment, if such termination of employment occurs within three months prior to or 18 months after the occurrence of the first event constituting a Change in Control. These provisions shall terminate and be of no further force or effect beginning 18 months after the occurrence of a Change in Control.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80" w:top="273" w:right="279" w:bottom="1440" w:gutter="0" w:footer="0" w:header="0"/>
        </w:sectPr>
      </w:pPr>
    </w:p>
    <w:bookmarkStart w:id="464" w:name="page465"/>
    <w:bookmarkEnd w:id="464"/>
    <w:p>
      <w:pPr>
        <w:ind w:left="-20" w:right="200" w:firstLine="921"/>
        <w:spacing w:after="0" w:line="276" w:lineRule="auto"/>
        <w:tabs>
          <w:tab w:leader="none" w:pos="1137" w:val="left"/>
        </w:tabs>
        <w:numPr>
          <w:ilvl w:val="0"/>
          <w:numId w:val="38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Control</w:t>
      </w:r>
      <w:r>
        <w:rPr>
          <w:rFonts w:ascii="Arial" w:cs="Arial" w:eastAsia="Arial" w:hAnsi="Arial"/>
          <w:sz w:val="17"/>
          <w:szCs w:val="17"/>
          <w:color w:val="auto"/>
        </w:rPr>
        <w:t>. During the Term, if within three months prior to or 18 months after a Change in Control, the Executive’s employment is terminated by the Company without Cause as provided in Section 3(d) or the Executive terminates her employment for Good Reason as provided in Section 3(e), then, subject to the signing of the Separation Agreement and Release by the Executive and the Separation Agreement and Release becoming irrevocable and fully effective and, if applicable, the Executive resigning as a member of the Board of Directors, all within 60 days after the Date of Termination (or such shorter time period provided in the Separation Agreement and Release):</w:t>
      </w:r>
    </w:p>
    <w:p>
      <w:pPr>
        <w:spacing w:after="0" w:line="64" w:lineRule="exact"/>
        <w:rPr>
          <w:rFonts w:ascii="Arial" w:cs="Arial" w:eastAsia="Arial" w:hAnsi="Arial"/>
          <w:sz w:val="17"/>
          <w:szCs w:val="17"/>
          <w:color w:val="auto"/>
        </w:rPr>
      </w:pPr>
    </w:p>
    <w:p>
      <w:pPr>
        <w:ind w:left="440" w:right="100" w:firstLine="881"/>
        <w:spacing w:after="0" w:line="264" w:lineRule="auto"/>
        <w:tabs>
          <w:tab w:leader="none" w:pos="1531" w:val="left"/>
        </w:tabs>
        <w:numPr>
          <w:ilvl w:val="1"/>
          <w:numId w:val="383"/>
        </w:numPr>
        <w:rPr>
          <w:rFonts w:ascii="Arial" w:cs="Arial" w:eastAsia="Arial" w:hAnsi="Arial"/>
          <w:sz w:val="18"/>
          <w:szCs w:val="18"/>
          <w:color w:val="auto"/>
        </w:rPr>
      </w:pPr>
      <w:r>
        <w:rPr>
          <w:rFonts w:ascii="Arial" w:cs="Arial" w:eastAsia="Arial" w:hAnsi="Arial"/>
          <w:sz w:val="18"/>
          <w:szCs w:val="18"/>
          <w:color w:val="auto"/>
        </w:rPr>
        <w:t>the Company shall pay the Executive a lump sum in cash in an amount equal to one times the sum of (A) the Executive’s current Base Salary (or the Executive’s Base Salary in effect immediately prior to the Change in Control, if higher) and (B) the Executive’s Target Annual Incentive Compensation then in effect;</w:t>
      </w:r>
    </w:p>
    <w:p>
      <w:pPr>
        <w:spacing w:after="0" w:line="73" w:lineRule="exact"/>
        <w:rPr>
          <w:rFonts w:ascii="Arial" w:cs="Arial" w:eastAsia="Arial" w:hAnsi="Arial"/>
          <w:sz w:val="18"/>
          <w:szCs w:val="18"/>
          <w:color w:val="auto"/>
        </w:rPr>
      </w:pPr>
    </w:p>
    <w:p>
      <w:pPr>
        <w:ind w:left="440" w:right="120" w:firstLine="881"/>
        <w:spacing w:after="0" w:line="264" w:lineRule="auto"/>
        <w:tabs>
          <w:tab w:leader="none" w:pos="1581" w:val="left"/>
        </w:tabs>
        <w:numPr>
          <w:ilvl w:val="1"/>
          <w:numId w:val="383"/>
        </w:numPr>
        <w:rPr>
          <w:rFonts w:ascii="Arial" w:cs="Arial" w:eastAsia="Arial" w:hAnsi="Arial"/>
          <w:sz w:val="18"/>
          <w:szCs w:val="18"/>
          <w:color w:val="auto"/>
        </w:rPr>
      </w:pPr>
      <w:r>
        <w:rPr>
          <w:rFonts w:ascii="Arial" w:cs="Arial" w:eastAsia="Arial" w:hAnsi="Arial"/>
          <w:sz w:val="18"/>
          <w:szCs w:val="18"/>
          <w:color w:val="auto"/>
        </w:rPr>
        <w:t>notwithstanding anything to the contrary in any applicable option agreement or stock-based award agreement, all time-based stock options and other time-based stock-based awards held by the Executive shall immediately accelerate and become fully exercisable or nonforfeitable as of the Date of Termination;</w:t>
      </w:r>
    </w:p>
    <w:p>
      <w:pPr>
        <w:spacing w:after="0" w:line="73" w:lineRule="exact"/>
        <w:rPr>
          <w:rFonts w:ascii="Arial" w:cs="Arial" w:eastAsia="Arial" w:hAnsi="Arial"/>
          <w:sz w:val="18"/>
          <w:szCs w:val="18"/>
          <w:color w:val="auto"/>
        </w:rPr>
      </w:pPr>
    </w:p>
    <w:p>
      <w:pPr>
        <w:ind w:left="440" w:firstLine="881"/>
        <w:spacing w:after="0" w:line="259" w:lineRule="auto"/>
        <w:tabs>
          <w:tab w:leader="none" w:pos="1631" w:val="left"/>
        </w:tabs>
        <w:numPr>
          <w:ilvl w:val="1"/>
          <w:numId w:val="383"/>
        </w:numPr>
        <w:rPr>
          <w:rFonts w:ascii="Arial" w:cs="Arial" w:eastAsia="Arial" w:hAnsi="Arial"/>
          <w:sz w:val="18"/>
          <w:szCs w:val="18"/>
          <w:color w:val="auto"/>
        </w:rPr>
      </w:pPr>
      <w:r>
        <w:rPr>
          <w:rFonts w:ascii="Arial" w:cs="Arial" w:eastAsia="Arial" w:hAnsi="Arial"/>
          <w:sz w:val="18"/>
          <w:szCs w:val="18"/>
          <w:color w:val="auto"/>
        </w:rPr>
        <w:t>if the Executive was participating in the Company’s group health plan immediately prior to the Date of Termination and elects COBRA health continuation, then the Company shall pay to the Executive a monthly cash payment for twelve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78" w:lineRule="exact"/>
        <w:rPr>
          <w:rFonts w:ascii="Arial" w:cs="Arial" w:eastAsia="Arial" w:hAnsi="Arial"/>
          <w:sz w:val="18"/>
          <w:szCs w:val="18"/>
          <w:color w:val="auto"/>
        </w:rPr>
      </w:pPr>
    </w:p>
    <w:p>
      <w:pPr>
        <w:ind w:left="440" w:right="40" w:firstLine="881"/>
        <w:spacing w:after="0" w:line="264" w:lineRule="auto"/>
        <w:tabs>
          <w:tab w:leader="none" w:pos="1621" w:val="left"/>
        </w:tabs>
        <w:numPr>
          <w:ilvl w:val="1"/>
          <w:numId w:val="383"/>
        </w:numPr>
        <w:rPr>
          <w:rFonts w:ascii="Arial" w:cs="Arial" w:eastAsia="Arial" w:hAnsi="Arial"/>
          <w:sz w:val="18"/>
          <w:szCs w:val="18"/>
          <w:color w:val="auto"/>
        </w:rPr>
      </w:pPr>
      <w:r>
        <w:rPr>
          <w:rFonts w:ascii="Arial" w:cs="Arial" w:eastAsia="Arial" w:hAnsi="Arial"/>
          <w:sz w:val="18"/>
          <w:szCs w:val="18"/>
          <w:color w:val="auto"/>
        </w:rPr>
        <w:t>The amounts payable under Section 5(a)(i) and (iii)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73" w:lineRule="exact"/>
        <w:rPr>
          <w:rFonts w:ascii="Arial" w:cs="Arial" w:eastAsia="Arial" w:hAnsi="Arial"/>
          <w:sz w:val="18"/>
          <w:szCs w:val="18"/>
          <w:color w:val="auto"/>
        </w:rPr>
      </w:pPr>
    </w:p>
    <w:p>
      <w:pPr>
        <w:ind w:left="1160" w:hanging="259"/>
        <w:spacing w:after="0"/>
        <w:tabs>
          <w:tab w:leader="none" w:pos="116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Additional Limitation.</w:t>
      </w:r>
    </w:p>
    <w:p>
      <w:pPr>
        <w:spacing w:after="0" w:line="117" w:lineRule="exact"/>
        <w:rPr>
          <w:rFonts w:ascii="Arial" w:cs="Arial" w:eastAsia="Arial" w:hAnsi="Arial"/>
          <w:sz w:val="18"/>
          <w:szCs w:val="18"/>
          <w:color w:val="auto"/>
        </w:rPr>
      </w:pPr>
    </w:p>
    <w:p>
      <w:pPr>
        <w:ind w:left="440" w:right="20" w:firstLine="881"/>
        <w:spacing w:after="0" w:line="276" w:lineRule="auto"/>
        <w:tabs>
          <w:tab w:leader="none" w:pos="1531" w:val="left"/>
        </w:tabs>
        <w:numPr>
          <w:ilvl w:val="1"/>
          <w:numId w:val="383"/>
        </w:numPr>
        <w:rPr>
          <w:rFonts w:ascii="Arial" w:cs="Arial" w:eastAsia="Arial" w:hAnsi="Arial"/>
          <w:sz w:val="17"/>
          <w:szCs w:val="17"/>
          <w:color w:val="auto"/>
        </w:rPr>
      </w:pPr>
      <w:r>
        <w:rPr>
          <w:rFonts w:ascii="Arial" w:cs="Arial" w:eastAsia="Arial" w:hAnsi="Arial"/>
          <w:sz w:val="17"/>
          <w:szCs w:val="17"/>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74" w:right="239" w:bottom="1440" w:gutter="0" w:footer="0" w:header="0"/>
        </w:sectPr>
      </w:pPr>
    </w:p>
    <w:bookmarkStart w:id="465" w:name="page466"/>
    <w:bookmarkEnd w:id="465"/>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71" w:lineRule="exact"/>
        <w:rPr>
          <w:sz w:val="20"/>
          <w:szCs w:val="20"/>
          <w:color w:val="auto"/>
        </w:rPr>
      </w:pPr>
    </w:p>
    <w:p>
      <w:pPr>
        <w:ind w:firstLine="881"/>
        <w:spacing w:after="0" w:line="255" w:lineRule="auto"/>
        <w:tabs>
          <w:tab w:leader="none" w:pos="1141" w:val="left"/>
        </w:tabs>
        <w:numPr>
          <w:ilvl w:val="1"/>
          <w:numId w:val="384"/>
        </w:numPr>
        <w:rPr>
          <w:rFonts w:ascii="Arial" w:cs="Arial" w:eastAsia="Arial" w:hAnsi="Arial"/>
          <w:sz w:val="18"/>
          <w:szCs w:val="18"/>
          <w:color w:val="auto"/>
        </w:rPr>
      </w:pPr>
      <w:r>
        <w:rPr>
          <w:rFonts w:ascii="Arial" w:cs="Arial" w:eastAsia="Arial" w:hAnsi="Arial"/>
          <w:sz w:val="18"/>
          <w:szCs w:val="18"/>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85" w:lineRule="exact"/>
        <w:rPr>
          <w:rFonts w:ascii="Arial" w:cs="Arial" w:eastAsia="Arial" w:hAnsi="Arial"/>
          <w:sz w:val="18"/>
          <w:szCs w:val="18"/>
          <w:color w:val="auto"/>
        </w:rPr>
      </w:pPr>
    </w:p>
    <w:p>
      <w:pPr>
        <w:ind w:right="140" w:firstLine="881"/>
        <w:spacing w:after="0" w:line="302" w:lineRule="auto"/>
        <w:tabs>
          <w:tab w:leader="none" w:pos="1191" w:val="left"/>
        </w:tabs>
        <w:numPr>
          <w:ilvl w:val="1"/>
          <w:numId w:val="384"/>
        </w:numPr>
        <w:rPr>
          <w:rFonts w:ascii="Arial" w:cs="Arial" w:eastAsia="Arial" w:hAnsi="Arial"/>
          <w:sz w:val="16"/>
          <w:szCs w:val="16"/>
          <w:color w:val="auto"/>
        </w:rPr>
      </w:pPr>
      <w:r>
        <w:rPr>
          <w:rFonts w:ascii="Arial" w:cs="Arial" w:eastAsia="Arial" w:hAnsi="Arial"/>
          <w:sz w:val="16"/>
          <w:szCs w:val="16"/>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46" w:lineRule="exact"/>
        <w:rPr>
          <w:rFonts w:ascii="Arial" w:cs="Arial" w:eastAsia="Arial" w:hAnsi="Arial"/>
          <w:sz w:val="16"/>
          <w:szCs w:val="16"/>
          <w:color w:val="auto"/>
        </w:rPr>
      </w:pPr>
    </w:p>
    <w:p>
      <w:pPr>
        <w:ind w:left="700" w:hanging="239"/>
        <w:spacing w:after="0"/>
        <w:tabs>
          <w:tab w:leader="none" w:pos="700"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Section 5, the following terms shall have the following meanings: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shall mean any of the following:</w:t>
      </w:r>
    </w:p>
    <w:p>
      <w:pPr>
        <w:spacing w:after="0" w:line="117" w:lineRule="exact"/>
        <w:rPr>
          <w:sz w:val="20"/>
          <w:szCs w:val="20"/>
          <w:color w:val="auto"/>
        </w:rPr>
      </w:pPr>
    </w:p>
    <w:p>
      <w:pPr>
        <w:ind w:right="120" w:firstLine="881"/>
        <w:spacing w:after="0" w:line="293" w:lineRule="auto"/>
        <w:tabs>
          <w:tab w:leader="none" w:pos="1091" w:val="left"/>
        </w:tabs>
        <w:numPr>
          <w:ilvl w:val="0"/>
          <w:numId w:val="386"/>
        </w:numPr>
        <w:rPr>
          <w:rFonts w:ascii="Arial" w:cs="Arial" w:eastAsia="Arial" w:hAnsi="Arial"/>
          <w:sz w:val="16"/>
          <w:szCs w:val="16"/>
          <w:color w:val="auto"/>
        </w:rPr>
      </w:pPr>
      <w:r>
        <w:rPr>
          <w:rFonts w:ascii="Arial" w:cs="Arial" w:eastAsia="Arial" w:hAnsi="Arial"/>
          <w:sz w:val="16"/>
          <w:szCs w:val="16"/>
          <w:color w:val="auto"/>
        </w:rPr>
        <w:t>any “person,” as such term is used in Sections 13(d) and 14(d) of the Securities Exchange Act of 1934, as amended (the “Act”) (other than the Company, any of its subsidiaries, or any trustee, fiduciary or other person or entity holding securities under any employee benefit plan or trust of the Company or any of its subsidiaries), together with all “affiliates” and “associates” (as such terms are defined in Rule 12b-2 under the Act) of such person, shall become the “beneficial owner” (as such term is defined in Rule 13d-3 under the Act), directly or indirectly, of securities of the Company representing 50 percent or more of the combined voting power of the Company’s then outstanding securities having the right to vote in an election of the Board (“Voting Securities”) (in such case other than as a result of an acquisition of securities directly from the Company); or</w:t>
      </w:r>
    </w:p>
    <w:p>
      <w:pPr>
        <w:spacing w:after="0" w:line="9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700" w:top="274" w:right="239" w:bottom="1440" w:gutter="0" w:footer="0" w:header="0"/>
        </w:sectPr>
      </w:pPr>
    </w:p>
    <w:bookmarkStart w:id="466" w:name="page467"/>
    <w:bookmarkEnd w:id="466"/>
    <w:p>
      <w:pPr>
        <w:ind w:left="460" w:right="120" w:firstLine="881"/>
        <w:spacing w:after="0" w:line="277" w:lineRule="auto"/>
        <w:tabs>
          <w:tab w:leader="none" w:pos="1601" w:val="left"/>
        </w:tabs>
        <w:numPr>
          <w:ilvl w:val="0"/>
          <w:numId w:val="3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date a majority of the members of the Board is replaced during any 12-month period by directors whose appointment or election is not endorsed by a majority of the members of the Board before the date of the appointment or election; or</w:t>
      </w:r>
    </w:p>
    <w:p>
      <w:pPr>
        <w:spacing w:after="0" w:line="62" w:lineRule="exact"/>
        <w:rPr>
          <w:rFonts w:ascii="Arial" w:cs="Arial" w:eastAsia="Arial" w:hAnsi="Arial"/>
          <w:sz w:val="18"/>
          <w:szCs w:val="18"/>
          <w:color w:val="auto"/>
        </w:rPr>
      </w:pPr>
    </w:p>
    <w:p>
      <w:pPr>
        <w:ind w:left="460" w:right="60" w:firstLine="881"/>
        <w:spacing w:after="0" w:line="276" w:lineRule="auto"/>
        <w:tabs>
          <w:tab w:leader="none" w:pos="1651" w:val="left"/>
        </w:tabs>
        <w:numPr>
          <w:ilvl w:val="0"/>
          <w:numId w:val="387"/>
        </w:numPr>
        <w:rPr>
          <w:rFonts w:ascii="Arial" w:cs="Arial" w:eastAsia="Arial" w:hAnsi="Arial"/>
          <w:sz w:val="17"/>
          <w:szCs w:val="17"/>
          <w:color w:val="auto"/>
        </w:rPr>
      </w:pPr>
      <w:r>
        <w:rPr>
          <w:rFonts w:ascii="Arial" w:cs="Arial" w:eastAsia="Arial" w:hAnsi="Arial"/>
          <w:sz w:val="17"/>
          <w:szCs w:val="17"/>
          <w:color w:val="auto"/>
        </w:rPr>
        <w:t>the consummation of (A) any consolidation or merger of the Company where the stockholders of the Company, immediately prior to the consolidation or merger, would not, immediately after the consolidation or merger, beneficially own (as such term is defined in Rule 13d-3 under the Act), directly or indirectly, shares representing in the aggregate more than 50 percent of the voting shares of the Company issuing cash or securities in the consolidation or merger (or of its ultimate parent corporation, if any), or (B) any sale or other transfer (in one transaction or a series of transactions contemplated or arranged by any party as a single plan) of all or substantially all of the assets of the Company.</w:t>
      </w:r>
    </w:p>
    <w:p>
      <w:pPr>
        <w:spacing w:after="0" w:line="173"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Notwithstanding the foregoing, a “Change in Control” shall not be deemed to have occurred for purposes of the foregoing clause (i)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“Change in Control” shall be deemed to have occurred for purposes of the foregoing clause (i).</w:t>
      </w:r>
    </w:p>
    <w:p>
      <w:pPr>
        <w:spacing w:after="0" w:line="70" w:lineRule="exact"/>
        <w:rPr>
          <w:sz w:val="20"/>
          <w:szCs w:val="20"/>
          <w:color w:val="auto"/>
        </w:rPr>
      </w:pPr>
    </w:p>
    <w:p>
      <w:pPr>
        <w:ind w:left="640" w:hanging="176"/>
        <w:spacing w:after="0"/>
        <w:tabs>
          <w:tab w:leader="none" w:pos="640"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921"/>
        <w:spacing w:after="0" w:line="290" w:lineRule="auto"/>
        <w:tabs>
          <w:tab w:leader="none" w:pos="1158" w:val="left"/>
        </w:tabs>
        <w:numPr>
          <w:ilvl w:val="1"/>
          <w:numId w:val="388"/>
        </w:numPr>
        <w:rPr>
          <w:rFonts w:ascii="Arial" w:cs="Arial" w:eastAsia="Arial" w:hAnsi="Arial"/>
          <w:sz w:val="16"/>
          <w:szCs w:val="16"/>
          <w:color w:val="auto"/>
        </w:rPr>
      </w:pPr>
      <w:r>
        <w:rPr>
          <w:rFonts w:ascii="Arial" w:cs="Arial" w:eastAsia="Arial" w:hAnsi="Arial"/>
          <w:sz w:val="16"/>
          <w:szCs w:val="16"/>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467" w:name="page468"/>
    <w:bookmarkEnd w:id="467"/>
    <w:p>
      <w:pPr>
        <w:ind w:right="40" w:firstLine="921"/>
        <w:spacing w:after="0" w:line="273" w:lineRule="auto"/>
        <w:tabs>
          <w:tab w:leader="none" w:pos="1168" w:val="left"/>
        </w:tabs>
        <w:numPr>
          <w:ilvl w:val="1"/>
          <w:numId w:val="38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70" w:lineRule="exact"/>
        <w:rPr>
          <w:rFonts w:ascii="Arial" w:cs="Arial" w:eastAsia="Arial" w:hAnsi="Arial"/>
          <w:sz w:val="17"/>
          <w:szCs w:val="17"/>
          <w:color w:val="auto"/>
        </w:rPr>
      </w:pPr>
    </w:p>
    <w:p>
      <w:pPr>
        <w:ind w:right="60" w:firstLine="921"/>
        <w:spacing w:after="0" w:line="279" w:lineRule="auto"/>
        <w:tabs>
          <w:tab w:leader="none" w:pos="1158" w:val="left"/>
        </w:tabs>
        <w:numPr>
          <w:ilvl w:val="1"/>
          <w:numId w:val="389"/>
        </w:numPr>
        <w:rPr>
          <w:rFonts w:ascii="Arial" w:cs="Arial" w:eastAsia="Arial" w:hAnsi="Arial"/>
          <w:sz w:val="17"/>
          <w:szCs w:val="17"/>
          <w:color w:val="auto"/>
        </w:rPr>
      </w:pPr>
      <w:r>
        <w:rPr>
          <w:rFonts w:ascii="Arial" w:cs="Arial" w:eastAsia="Arial" w:hAnsi="Arial"/>
          <w:sz w:val="17"/>
          <w:szCs w:val="17"/>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63" w:lineRule="exact"/>
        <w:rPr>
          <w:rFonts w:ascii="Arial" w:cs="Arial" w:eastAsia="Arial" w:hAnsi="Arial"/>
          <w:sz w:val="17"/>
          <w:szCs w:val="17"/>
          <w:color w:val="auto"/>
        </w:rPr>
      </w:pPr>
    </w:p>
    <w:p>
      <w:pPr>
        <w:ind w:firstLine="921"/>
        <w:spacing w:after="0" w:line="255" w:lineRule="auto"/>
        <w:tabs>
          <w:tab w:leader="none" w:pos="1168"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85" w:lineRule="exact"/>
        <w:rPr>
          <w:rFonts w:ascii="Arial" w:cs="Arial" w:eastAsia="Arial" w:hAnsi="Arial"/>
          <w:sz w:val="18"/>
          <w:szCs w:val="18"/>
          <w:color w:val="auto"/>
        </w:rPr>
      </w:pPr>
    </w:p>
    <w:p>
      <w:pPr>
        <w:jc w:val="both"/>
        <w:ind w:right="220" w:firstLine="921"/>
        <w:spacing w:after="0" w:line="264" w:lineRule="auto"/>
        <w:tabs>
          <w:tab w:leader="none" w:pos="1158" w:val="left"/>
        </w:tabs>
        <w:numPr>
          <w:ilvl w:val="1"/>
          <w:numId w:val="389"/>
        </w:numPr>
        <w:rPr>
          <w:rFonts w:ascii="Arial" w:cs="Arial" w:eastAsia="Arial" w:hAnsi="Arial"/>
          <w:sz w:val="18"/>
          <w:szCs w:val="18"/>
          <w:color w:val="auto"/>
        </w:rPr>
      </w:pPr>
      <w:r>
        <w:rPr>
          <w:rFonts w:ascii="Arial" w:cs="Arial" w:eastAsia="Arial" w:hAnsi="Arial"/>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390"/>
        </w:numPr>
        <w:rPr>
          <w:rFonts w:ascii="Arial" w:cs="Arial" w:eastAsia="Arial" w:hAnsi="Arial"/>
          <w:sz w:val="18"/>
          <w:szCs w:val="18"/>
          <w:color w:val="auto"/>
        </w:rPr>
      </w:pPr>
      <w:r>
        <w:rPr>
          <w:rFonts w:ascii="Arial" w:cs="Arial" w:eastAsia="Arial" w:hAnsi="Arial"/>
          <w:sz w:val="18"/>
          <w:szCs w:val="18"/>
          <w:u w:val="single" w:color="auto"/>
          <w:color w:val="auto"/>
        </w:rPr>
        <w:t>Confidential Information, Noncompetition and Cooperation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right="460" w:firstLine="921"/>
        <w:spacing w:after="0" w:line="264" w:lineRule="auto"/>
        <w:tabs>
          <w:tab w:leader="none" w:pos="1158" w:val="left"/>
        </w:tabs>
        <w:numPr>
          <w:ilvl w:val="1"/>
          <w:numId w:val="390"/>
        </w:numPr>
        <w:rPr>
          <w:rFonts w:ascii="Arial" w:cs="Arial" w:eastAsia="Arial" w:hAnsi="Arial"/>
          <w:sz w:val="18"/>
          <w:szCs w:val="18"/>
          <w:color w:val="auto"/>
        </w:rPr>
      </w:pPr>
      <w:r>
        <w:rPr>
          <w:rFonts w:ascii="Arial" w:cs="Arial" w:eastAsia="Arial" w:hAnsi="Arial"/>
          <w:sz w:val="18"/>
          <w:szCs w:val="18"/>
          <w:color w:val="auto"/>
        </w:rPr>
        <w:t xml:space="preserve">The terms of the Confidentiality and IP Assignment Agreement (the “Restrictive Covenant Agreement”), between the Company and the Executive,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shall continue to be in full force and effect and are incorporated by reference in this Agreement. The Executive hereby reaffirms the terms of the Restrictive Covenant Agreement as material terms of this Agreement.</w:t>
      </w:r>
    </w:p>
    <w:p>
      <w:pPr>
        <w:spacing w:after="0" w:line="73" w:lineRule="exact"/>
        <w:rPr>
          <w:rFonts w:ascii="Arial" w:cs="Arial" w:eastAsia="Arial" w:hAnsi="Arial"/>
          <w:sz w:val="18"/>
          <w:szCs w:val="18"/>
          <w:color w:val="auto"/>
        </w:rPr>
      </w:pPr>
    </w:p>
    <w:p>
      <w:pPr>
        <w:jc w:val="both"/>
        <w:ind w:right="140" w:firstLine="921"/>
        <w:spacing w:after="0" w:line="312" w:lineRule="auto"/>
        <w:tabs>
          <w:tab w:leader="none" w:pos="1168" w:val="left"/>
        </w:tabs>
        <w:numPr>
          <w:ilvl w:val="1"/>
          <w:numId w:val="390"/>
        </w:numPr>
        <w:rPr>
          <w:rFonts w:ascii="Arial" w:cs="Arial" w:eastAsia="Arial" w:hAnsi="Arial"/>
          <w:sz w:val="16"/>
          <w:szCs w:val="16"/>
          <w:color w:val="auto"/>
        </w:rPr>
      </w:pPr>
      <w:r>
        <w:rPr>
          <w:rFonts w:ascii="Arial" w:cs="Arial" w:eastAsia="Arial" w:hAnsi="Arial"/>
          <w:sz w:val="16"/>
          <w:szCs w:val="16"/>
          <w:u w:val="single" w:color="auto"/>
          <w:color w:val="auto"/>
        </w:rPr>
        <w:t>Third-Party Agreements and Rights</w:t>
      </w:r>
      <w:r>
        <w:rPr>
          <w:rFonts w:ascii="Arial" w:cs="Arial" w:eastAsia="Arial" w:hAnsi="Arial"/>
          <w:sz w:val="16"/>
          <w:szCs w:val="16"/>
          <w:color w:val="auto"/>
        </w:rPr>
        <w:t>. The Executive hereby confirms that the Executive is not bound by the terms of any agreement with any previous employer or other party which restricts in any way the Executive’s use or disclosure of information or the Executive’s engagement in any business. The Executive represents to the Company that the Executive’s execution of this Agreement, the Executive’s employment with the Company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3" w:right="239" w:bottom="1440" w:gutter="0" w:footer="0" w:header="0"/>
        </w:sectPr>
      </w:pPr>
    </w:p>
    <w:bookmarkStart w:id="468" w:name="page469"/>
    <w:bookmarkEnd w:id="468"/>
    <w:p>
      <w:pPr>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63" w:lineRule="exact"/>
        <w:rPr>
          <w:sz w:val="20"/>
          <w:szCs w:val="20"/>
          <w:color w:val="auto"/>
        </w:rPr>
      </w:pPr>
    </w:p>
    <w:p>
      <w:pPr>
        <w:ind w:firstLine="921"/>
        <w:spacing w:after="0" w:line="270" w:lineRule="auto"/>
        <w:tabs>
          <w:tab w:leader="none" w:pos="1157" w:val="left"/>
        </w:tabs>
        <w:numPr>
          <w:ilvl w:val="1"/>
          <w:numId w:val="391"/>
        </w:numPr>
        <w:rPr>
          <w:rFonts w:ascii="Arial" w:cs="Arial" w:eastAsia="Arial" w:hAnsi="Arial"/>
          <w:sz w:val="17"/>
          <w:szCs w:val="17"/>
          <w:color w:val="auto"/>
        </w:rPr>
      </w:pPr>
      <w:r>
        <w:rPr>
          <w:rFonts w:ascii="Arial" w:cs="Arial" w:eastAsia="Arial" w:hAnsi="Arial"/>
          <w:sz w:val="17"/>
          <w:szCs w:val="17"/>
          <w:u w:val="single" w:color="auto"/>
          <w:color w:val="auto"/>
        </w:rPr>
        <w:t>Litigation and Regulatory Cooperation</w:t>
      </w:r>
      <w:r>
        <w:rPr>
          <w:rFonts w:ascii="Arial" w:cs="Arial" w:eastAsia="Arial" w:hAnsi="Arial"/>
          <w:sz w:val="17"/>
          <w:szCs w:val="17"/>
          <w:color w:val="auto"/>
        </w:rPr>
        <w:t>. During and after the Executive’s employment, the Executive shall reasonably cooperate with the Company in the defense or prosecution of any claims or actions now in existence or which may be brought in the future against or on behalf of the Company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at mutually convenient times, taking into consideration Executive’s then current business and personal commitments.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7(c).</w:t>
      </w:r>
    </w:p>
    <w:p>
      <w:pPr>
        <w:spacing w:after="0" w:line="73" w:lineRule="exact"/>
        <w:rPr>
          <w:rFonts w:ascii="Arial" w:cs="Arial" w:eastAsia="Arial" w:hAnsi="Arial"/>
          <w:sz w:val="17"/>
          <w:szCs w:val="17"/>
          <w:color w:val="auto"/>
        </w:rPr>
      </w:pPr>
    </w:p>
    <w:p>
      <w:pPr>
        <w:ind w:right="40" w:firstLine="921"/>
        <w:spacing w:after="0" w:line="271" w:lineRule="auto"/>
        <w:tabs>
          <w:tab w:leader="none" w:pos="1168" w:val="left"/>
        </w:tabs>
        <w:numPr>
          <w:ilvl w:val="1"/>
          <w:numId w:val="391"/>
        </w:numPr>
        <w:rPr>
          <w:rFonts w:ascii="Arial" w:cs="Arial" w:eastAsia="Arial" w:hAnsi="Arial"/>
          <w:sz w:val="17"/>
          <w:szCs w:val="17"/>
          <w:color w:val="auto"/>
        </w:rPr>
      </w:pPr>
      <w:r>
        <w:rPr>
          <w:rFonts w:ascii="Arial" w:cs="Arial" w:eastAsia="Arial" w:hAnsi="Arial"/>
          <w:sz w:val="17"/>
          <w:szCs w:val="17"/>
          <w:u w:val="single" w:color="auto"/>
          <w:color w:val="auto"/>
        </w:rPr>
        <w:t>Relief</w:t>
      </w:r>
      <w:r>
        <w:rPr>
          <w:rFonts w:ascii="Arial" w:cs="Arial" w:eastAsia="Arial" w:hAnsi="Arial"/>
          <w:sz w:val="17"/>
          <w:szCs w:val="17"/>
          <w:color w:val="auto"/>
        </w:rPr>
        <w:t>. The Executive agrees that it would be difficult to measure any damages caused to the Company which might result from any breach by the Executive of the promises incorporated into or set forth in this Section 7, and that in any event money damages would be an inadequate remedy for any such breach. Accordingly, subject to Section 8 of this Agreement, the Executive agrees that if the Executive breaches, or proposes to breach, any portion of this Agreement, the Company shall be entitled, in addition to all other remedies that it may have, to an injunction or other appropriate equitable relief to restrain any such breach without showing or proving any actual damage to the Company. In addition, in the event the Executive breaches this Section 7 or the provisions incorporated herein during a period when she is receiving severance payments pursuant to Section 4 or Section 5 hereof, the Company shall have the right to suspend or terminate such severance payments. Such suspension or termination shall not limit the Company’s other options with respect to relief for such breach and shall not relieve the Executive of her duties under this Agreement.</w:t>
      </w:r>
    </w:p>
    <w:p>
      <w:pPr>
        <w:spacing w:after="0" w:line="70" w:lineRule="exact"/>
        <w:rPr>
          <w:rFonts w:ascii="Arial" w:cs="Arial" w:eastAsia="Arial" w:hAnsi="Arial"/>
          <w:sz w:val="17"/>
          <w:szCs w:val="17"/>
          <w:color w:val="auto"/>
        </w:rPr>
      </w:pPr>
    </w:p>
    <w:p>
      <w:pPr>
        <w:ind w:right="240" w:firstLine="921"/>
        <w:spacing w:after="0" w:line="342" w:lineRule="auto"/>
        <w:tabs>
          <w:tab w:leader="none" w:pos="1157" w:val="left"/>
        </w:tabs>
        <w:numPr>
          <w:ilvl w:val="1"/>
          <w:numId w:val="391"/>
        </w:numPr>
        <w:rPr>
          <w:rFonts w:ascii="Arial" w:cs="Arial" w:eastAsia="Arial" w:hAnsi="Arial"/>
          <w:sz w:val="16"/>
          <w:szCs w:val="16"/>
          <w:color w:val="auto"/>
        </w:rPr>
      </w:pPr>
      <w:r>
        <w:rPr>
          <w:rFonts w:ascii="Arial" w:cs="Arial" w:eastAsia="Arial" w:hAnsi="Arial"/>
          <w:sz w:val="16"/>
          <w:szCs w:val="16"/>
          <w:u w:val="single" w:color="auto"/>
          <w:color w:val="auto"/>
        </w:rPr>
        <w:t>Protected Disclosures and Other Protected Action</w:t>
      </w:r>
      <w:r>
        <w:rPr>
          <w:rFonts w:ascii="Arial" w:cs="Arial" w:eastAsia="Arial" w:hAnsi="Arial"/>
          <w:sz w:val="16"/>
          <w:szCs w:val="16"/>
          <w:color w:val="auto"/>
        </w:rPr>
        <w:t>. Nothing contained in this Agreement limits the Executive’s ability to communicate with any federal, state or local governmental agency or commission, including to provide documents or other information, without notice to the Company.</w:t>
      </w:r>
    </w:p>
    <w:p>
      <w:pPr>
        <w:spacing w:after="0" w:line="15" w:lineRule="exact"/>
        <w:rPr>
          <w:rFonts w:ascii="Arial" w:cs="Arial" w:eastAsia="Arial" w:hAnsi="Arial"/>
          <w:sz w:val="16"/>
          <w:szCs w:val="16"/>
          <w:color w:val="auto"/>
        </w:rPr>
      </w:pPr>
    </w:p>
    <w:p>
      <w:pPr>
        <w:jc w:val="both"/>
        <w:ind w:right="260" w:firstLine="464"/>
        <w:spacing w:after="0" w:line="312" w:lineRule="auto"/>
        <w:tabs>
          <w:tab w:leader="none" w:pos="636" w:val="left"/>
        </w:tabs>
        <w:numPr>
          <w:ilvl w:val="0"/>
          <w:numId w:val="392"/>
        </w:numPr>
        <w:rPr>
          <w:rFonts w:ascii="Arial" w:cs="Arial" w:eastAsia="Arial" w:hAnsi="Arial"/>
          <w:sz w:val="16"/>
          <w:szCs w:val="16"/>
          <w:color w:val="auto"/>
        </w:rPr>
      </w:pPr>
      <w:r>
        <w:rPr>
          <w:rFonts w:ascii="Arial" w:cs="Arial" w:eastAsia="Arial" w:hAnsi="Arial"/>
          <w:sz w:val="16"/>
          <w:szCs w:val="16"/>
          <w:u w:val="single" w:color="auto"/>
          <w:color w:val="auto"/>
        </w:rPr>
        <w:t>Arbitration of Disputes</w:t>
      </w:r>
      <w:r>
        <w:rPr>
          <w:rFonts w:ascii="Arial" w:cs="Arial" w:eastAsia="Arial" w:hAnsi="Arial"/>
          <w:sz w:val="16"/>
          <w:szCs w:val="16"/>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3" w:right="239" w:bottom="1440" w:gutter="0" w:footer="0" w:header="0"/>
        </w:sectPr>
      </w:pPr>
    </w:p>
    <w:bookmarkStart w:id="469" w:name="page470"/>
    <w:bookmarkEnd w:id="469"/>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59" w:lineRule="exact"/>
        <w:rPr>
          <w:sz w:val="20"/>
          <w:szCs w:val="20"/>
          <w:color w:val="auto"/>
        </w:rPr>
      </w:pPr>
    </w:p>
    <w:p>
      <w:pPr>
        <w:ind w:firstLine="464"/>
        <w:spacing w:after="0" w:line="257" w:lineRule="auto"/>
        <w:tabs>
          <w:tab w:leader="none" w:pos="636"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80" w:lineRule="exact"/>
        <w:rPr>
          <w:rFonts w:ascii="Arial" w:cs="Arial" w:eastAsia="Arial" w:hAnsi="Arial"/>
          <w:sz w:val="18"/>
          <w:szCs w:val="18"/>
          <w:color w:val="auto"/>
        </w:rPr>
      </w:pPr>
    </w:p>
    <w:p>
      <w:pPr>
        <w:ind w:right="40" w:firstLine="464"/>
        <w:spacing w:after="0" w:line="308" w:lineRule="auto"/>
        <w:tabs>
          <w:tab w:leader="none" w:pos="726" w:val="left"/>
        </w:tabs>
        <w:numPr>
          <w:ilvl w:val="0"/>
          <w:numId w:val="393"/>
        </w:numPr>
        <w:rPr>
          <w:rFonts w:ascii="Arial" w:cs="Arial" w:eastAsia="Arial" w:hAnsi="Arial"/>
          <w:sz w:val="17"/>
          <w:szCs w:val="17"/>
          <w:color w:val="auto"/>
        </w:rPr>
      </w:pPr>
      <w:r>
        <w:rPr>
          <w:rFonts w:ascii="Arial" w:cs="Arial" w:eastAsia="Arial" w:hAnsi="Arial"/>
          <w:sz w:val="17"/>
          <w:szCs w:val="17"/>
          <w:u w:val="single" w:color="auto"/>
          <w:color w:val="auto"/>
        </w:rPr>
        <w:t>Integration</w:t>
      </w:r>
      <w:r>
        <w:rPr>
          <w:rFonts w:ascii="Arial" w:cs="Arial" w:eastAsia="Arial" w:hAnsi="Arial"/>
          <w:sz w:val="17"/>
          <w:szCs w:val="17"/>
          <w:color w:val="auto"/>
        </w:rPr>
        <w:t>. This Agreement and the Restrictive Covenant Agreement constitute the entire agreement between the parties with respect to the subject matter hereof and supersede all prior agreements between the parties concerning such subject matter, including the Prior Agreement.</w:t>
      </w:r>
    </w:p>
    <w:p>
      <w:pPr>
        <w:spacing w:after="0" w:line="38" w:lineRule="exact"/>
        <w:rPr>
          <w:rFonts w:ascii="Arial" w:cs="Arial" w:eastAsia="Arial" w:hAnsi="Arial"/>
          <w:sz w:val="17"/>
          <w:szCs w:val="17"/>
          <w:color w:val="auto"/>
        </w:rPr>
      </w:pPr>
    </w:p>
    <w:p>
      <w:pPr>
        <w:ind w:right="300" w:firstLine="464"/>
        <w:spacing w:after="0" w:line="277" w:lineRule="auto"/>
        <w:tabs>
          <w:tab w:leader="none" w:pos="720" w:val="left"/>
        </w:tabs>
        <w:numPr>
          <w:ilvl w:val="0"/>
          <w:numId w:val="393"/>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payments made by the Company to the Executive under this Agreement shall be net of any tax or other amounts required to be withheld by the Company under applicable law.</w:t>
      </w:r>
    </w:p>
    <w:p>
      <w:pPr>
        <w:spacing w:after="0" w:line="62" w:lineRule="exact"/>
        <w:rPr>
          <w:rFonts w:ascii="Arial" w:cs="Arial" w:eastAsia="Arial" w:hAnsi="Arial"/>
          <w:sz w:val="18"/>
          <w:szCs w:val="18"/>
          <w:color w:val="auto"/>
        </w:rPr>
      </w:pPr>
    </w:p>
    <w:p>
      <w:pPr>
        <w:ind w:right="40" w:firstLine="464"/>
        <w:spacing w:after="0" w:line="279" w:lineRule="auto"/>
        <w:tabs>
          <w:tab w:leader="none" w:pos="726" w:val="left"/>
        </w:tabs>
        <w:numPr>
          <w:ilvl w:val="0"/>
          <w:numId w:val="393"/>
        </w:numPr>
        <w:rPr>
          <w:rFonts w:ascii="Arial" w:cs="Arial" w:eastAsia="Arial" w:hAnsi="Arial"/>
          <w:sz w:val="17"/>
          <w:szCs w:val="17"/>
          <w:color w:val="auto"/>
        </w:rPr>
      </w:pPr>
      <w:r>
        <w:rPr>
          <w:rFonts w:ascii="Arial" w:cs="Arial" w:eastAsia="Arial" w:hAnsi="Arial"/>
          <w:sz w:val="17"/>
          <w:szCs w:val="17"/>
          <w:u w:val="single" w:color="auto"/>
          <w:color w:val="auto"/>
        </w:rPr>
        <w:t>Successor to the Executive</w:t>
      </w:r>
      <w:r>
        <w:rPr>
          <w:rFonts w:ascii="Arial" w:cs="Arial" w:eastAsia="Arial" w:hAnsi="Arial"/>
          <w:sz w:val="17"/>
          <w:szCs w:val="17"/>
          <w:color w:val="auto"/>
        </w:rPr>
        <w:t>. This Agreement shall inure to the benefit of and be enforceable by the Executive’s personal representatives, executors, administrators, heirs, distributees, devisees and legatees. In the event of the Executive’s death after her termination of employment but prior to the completion by the Company of all payments due to her under this Agreement, the Company shall continue such payments to the Executive’s beneficiary designated in writing to the Company prior to her death (or to her estate, if the Executive fails to make such designation).</w:t>
      </w:r>
    </w:p>
    <w:p>
      <w:pPr>
        <w:spacing w:after="0" w:line="63" w:lineRule="exact"/>
        <w:rPr>
          <w:rFonts w:ascii="Arial" w:cs="Arial" w:eastAsia="Arial" w:hAnsi="Arial"/>
          <w:sz w:val="17"/>
          <w:szCs w:val="17"/>
          <w:color w:val="auto"/>
        </w:rPr>
      </w:pPr>
    </w:p>
    <w:p>
      <w:pPr>
        <w:ind w:right="160" w:firstLine="464"/>
        <w:spacing w:after="0" w:line="279" w:lineRule="auto"/>
        <w:tabs>
          <w:tab w:leader="none" w:pos="726" w:val="left"/>
        </w:tabs>
        <w:numPr>
          <w:ilvl w:val="0"/>
          <w:numId w:val="393"/>
        </w:numPr>
        <w:rPr>
          <w:rFonts w:ascii="Arial" w:cs="Arial" w:eastAsia="Arial" w:hAnsi="Arial"/>
          <w:sz w:val="17"/>
          <w:szCs w:val="17"/>
          <w:color w:val="auto"/>
        </w:rPr>
      </w:pPr>
      <w:r>
        <w:rPr>
          <w:rFonts w:ascii="Arial" w:cs="Arial" w:eastAsia="Arial" w:hAnsi="Arial"/>
          <w:sz w:val="17"/>
          <w:szCs w:val="17"/>
          <w:u w:val="single" w:color="auto"/>
          <w:color w:val="auto"/>
        </w:rPr>
        <w:t>Enforceability</w:t>
      </w:r>
      <w:r>
        <w:rPr>
          <w:rFonts w:ascii="Arial" w:cs="Arial" w:eastAsia="Arial" w:hAnsi="Arial"/>
          <w:sz w:val="17"/>
          <w:szCs w:val="17"/>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470" w:name="page471"/>
    <w:bookmarkEnd w:id="470"/>
    <w:p>
      <w:pPr>
        <w:ind w:left="-20" w:firstLine="464"/>
        <w:spacing w:after="0" w:line="277" w:lineRule="auto"/>
        <w:tabs>
          <w:tab w:leader="none" w:pos="706"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Survival</w:t>
      </w:r>
      <w:r>
        <w:rPr>
          <w:rFonts w:ascii="Arial" w:cs="Arial" w:eastAsia="Arial" w:hAnsi="Arial"/>
          <w:sz w:val="18"/>
          <w:szCs w:val="18"/>
          <w:color w:val="auto"/>
        </w:rPr>
        <w:t>. The provisions of this Agreement shall survive the termination of this Agreement and/or the termination of the Executive’s employment to the extent necessary to effectuate the terms contained herein.</w:t>
      </w:r>
    </w:p>
    <w:p>
      <w:pPr>
        <w:spacing w:after="0" w:line="62" w:lineRule="exact"/>
        <w:rPr>
          <w:rFonts w:ascii="Arial" w:cs="Arial" w:eastAsia="Arial" w:hAnsi="Arial"/>
          <w:sz w:val="18"/>
          <w:szCs w:val="18"/>
          <w:color w:val="auto"/>
        </w:rPr>
      </w:pPr>
    </w:p>
    <w:p>
      <w:pPr>
        <w:ind w:left="-20" w:right="300" w:firstLine="464"/>
        <w:spacing w:after="0" w:line="264" w:lineRule="auto"/>
        <w:tabs>
          <w:tab w:leader="none" w:pos="706"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73" w:lineRule="exact"/>
        <w:rPr>
          <w:rFonts w:ascii="Arial" w:cs="Arial" w:eastAsia="Arial" w:hAnsi="Arial"/>
          <w:sz w:val="18"/>
          <w:szCs w:val="18"/>
          <w:color w:val="auto"/>
        </w:rPr>
      </w:pPr>
    </w:p>
    <w:p>
      <w:pPr>
        <w:ind w:left="-20" w:right="60" w:firstLine="464"/>
        <w:spacing w:after="0" w:line="312" w:lineRule="auto"/>
        <w:tabs>
          <w:tab w:leader="none" w:pos="706" w:val="left"/>
        </w:tabs>
        <w:numPr>
          <w:ilvl w:val="0"/>
          <w:numId w:val="39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38" w:lineRule="exact"/>
        <w:rPr>
          <w:rFonts w:ascii="Arial" w:cs="Arial" w:eastAsia="Arial" w:hAnsi="Arial"/>
          <w:sz w:val="16"/>
          <w:szCs w:val="16"/>
          <w:color w:val="auto"/>
        </w:rPr>
      </w:pPr>
    </w:p>
    <w:p>
      <w:pPr>
        <w:ind w:left="-20" w:right="680" w:firstLine="464"/>
        <w:spacing w:after="0" w:line="277" w:lineRule="auto"/>
        <w:tabs>
          <w:tab w:leader="none" w:pos="706"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be amended or modified only by a written instrument signed by the Executive and by a duly authorized representative of the Company.</w:t>
      </w:r>
    </w:p>
    <w:p>
      <w:pPr>
        <w:spacing w:after="0" w:line="62" w:lineRule="exact"/>
        <w:rPr>
          <w:rFonts w:ascii="Arial" w:cs="Arial" w:eastAsia="Arial" w:hAnsi="Arial"/>
          <w:sz w:val="18"/>
          <w:szCs w:val="18"/>
          <w:color w:val="auto"/>
        </w:rPr>
      </w:pPr>
    </w:p>
    <w:p>
      <w:pPr>
        <w:ind w:left="-20" w:right="40" w:firstLine="464"/>
        <w:spacing w:after="0" w:line="277" w:lineRule="auto"/>
        <w:tabs>
          <w:tab w:leader="none" w:pos="706"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is a Massachusetts contract and shall be construed under and be governed in all respects by the laws of the Commonwealth of Massachusetts, without giving effect to the conflict of laws principles thereof.</w:t>
      </w:r>
    </w:p>
    <w:p>
      <w:pPr>
        <w:spacing w:after="0" w:line="62" w:lineRule="exact"/>
        <w:rPr>
          <w:rFonts w:ascii="Arial" w:cs="Arial" w:eastAsia="Arial" w:hAnsi="Arial"/>
          <w:sz w:val="18"/>
          <w:szCs w:val="18"/>
          <w:color w:val="auto"/>
        </w:rPr>
      </w:pPr>
    </w:p>
    <w:p>
      <w:pPr>
        <w:ind w:left="-20" w:right="140" w:firstLine="464"/>
        <w:spacing w:after="0" w:line="277" w:lineRule="auto"/>
        <w:tabs>
          <w:tab w:leader="none" w:pos="706"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62" w:lineRule="exact"/>
        <w:rPr>
          <w:rFonts w:ascii="Arial" w:cs="Arial" w:eastAsia="Arial" w:hAnsi="Arial"/>
          <w:sz w:val="18"/>
          <w:szCs w:val="18"/>
          <w:color w:val="auto"/>
        </w:rPr>
      </w:pPr>
    </w:p>
    <w:p>
      <w:pPr>
        <w:ind w:left="-20" w:firstLine="464"/>
        <w:spacing w:after="0" w:line="259" w:lineRule="auto"/>
        <w:tabs>
          <w:tab w:leader="none" w:pos="706"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Successor to Company</w:t>
      </w:r>
      <w:r>
        <w:rPr>
          <w:rFonts w:ascii="Arial" w:cs="Arial" w:eastAsia="Arial" w:hAnsi="Arial"/>
          <w:sz w:val="18"/>
          <w:szCs w:val="18"/>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78" w:lineRule="exact"/>
        <w:rPr>
          <w:rFonts w:ascii="Arial" w:cs="Arial" w:eastAsia="Arial" w:hAnsi="Arial"/>
          <w:sz w:val="18"/>
          <w:szCs w:val="18"/>
          <w:color w:val="auto"/>
        </w:rPr>
      </w:pPr>
    </w:p>
    <w:p>
      <w:pPr>
        <w:ind w:left="-20" w:right="80" w:firstLine="464"/>
        <w:spacing w:after="0" w:line="277" w:lineRule="auto"/>
        <w:tabs>
          <w:tab w:leader="none" w:pos="706" w:val="left"/>
        </w:tabs>
        <w:numPr>
          <w:ilvl w:val="0"/>
          <w:numId w:val="394"/>
        </w:numPr>
        <w:rPr>
          <w:rFonts w:ascii="Arial" w:cs="Arial" w:eastAsia="Arial" w:hAnsi="Arial"/>
          <w:sz w:val="18"/>
          <w:szCs w:val="18"/>
          <w:color w:val="auto"/>
        </w:rPr>
      </w:pPr>
      <w:r>
        <w:rPr>
          <w:rFonts w:ascii="Arial" w:cs="Arial" w:eastAsia="Arial" w:hAnsi="Arial"/>
          <w:sz w:val="18"/>
          <w:szCs w:val="18"/>
          <w:u w:val="single" w:color="auto"/>
          <w:color w:val="auto"/>
        </w:rPr>
        <w:t>Gender Neutral</w:t>
      </w:r>
      <w:r>
        <w:rPr>
          <w:rFonts w:ascii="Arial" w:cs="Arial" w:eastAsia="Arial" w:hAnsi="Arial"/>
          <w:sz w:val="18"/>
          <w:szCs w:val="18"/>
          <w:color w:val="auto"/>
        </w:rPr>
        <w:t>. Wherever used herein, a pronoun in the masculine or feminine gender shall be considered as including the opposite gender as well unless the context clearly indicates otherwise.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60" w:top="274" w:right="259" w:bottom="1440" w:gutter="0" w:footer="0" w:header="0"/>
        </w:sectPr>
      </w:pPr>
    </w:p>
    <w:bookmarkStart w:id="471" w:name="page472"/>
    <w:bookmarkEnd w:id="47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executed this Agreement effective on the date and year first above written.</w:t>
      </w:r>
    </w:p>
    <w:p>
      <w:pPr>
        <w:spacing w:after="0" w:line="271"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AVROBIO, INC.</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14605</wp:posOffset>
            </wp:positionV>
            <wp:extent cx="2658745"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Geoff MacKay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Title: Chief Executive Officer</w:t>
      </w:r>
    </w:p>
    <w:p>
      <w:pPr>
        <w:spacing w:after="0" w:line="230"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EXECUTIVE</w:t>
      </w:r>
    </w:p>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Katina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14605</wp:posOffset>
            </wp:positionV>
            <wp:extent cx="289877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Katina Dorton</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759"/>
          </w:cols>
          <w:pgMar w:left="700" w:top="274" w:right="1440" w:bottom="1440" w:gutter="0" w:footer="0" w:header="0"/>
        </w:sectPr>
      </w:pPr>
    </w:p>
    <w:bookmarkStart w:id="472" w:name="page473"/>
    <w:bookmarkEnd w:id="472"/>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right"/>
        <w:ind w:right="3739"/>
        <w:spacing w:after="0"/>
        <w:rPr>
          <w:sz w:val="20"/>
          <w:szCs w:val="20"/>
          <w:color w:val="auto"/>
        </w:rPr>
      </w:pPr>
      <w:r>
        <w:rPr>
          <w:rFonts w:ascii="Arial" w:cs="Arial" w:eastAsia="Arial" w:hAnsi="Arial"/>
          <w:sz w:val="18"/>
          <w:szCs w:val="18"/>
          <w:b w:val="1"/>
          <w:bCs w:val="1"/>
          <w:color w:val="auto"/>
        </w:rPr>
        <w:t>Approved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Member of the Board of Directors of US Ecology</w:t>
      </w:r>
    </w:p>
    <w:p>
      <w:pPr>
        <w:sectPr>
          <w:pgSz w:w="11900" w:h="16838" w:orient="portrait"/>
          <w:cols w:equalWidth="0" w:num="1">
            <w:col w:w="10219"/>
          </w:cols>
          <w:pgMar w:left="240" w:top="269" w:right="1440" w:bottom="1440" w:gutter="0" w:footer="0" w:header="0"/>
        </w:sectPr>
      </w:pPr>
    </w:p>
    <w:bookmarkStart w:id="473" w:name="page474"/>
    <w:bookmarkEnd w:id="47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Confidentiality and IP Assignment Agreement</w:t>
      </w:r>
    </w:p>
    <w:p>
      <w:pPr>
        <w:spacing w:after="0" w:line="18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9019"/>
          </w:cols>
          <w:pgMar w:left="1440" w:top="269" w:right="1440" w:bottom="1440" w:gutter="0" w:footer="0" w:header="0"/>
        </w:sectPr>
      </w:pPr>
    </w:p>
    <w:bookmarkStart w:id="474" w:name="page475"/>
    <w:bookmarkEnd w:id="474"/>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AVROBIO,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EMPLOYEE STOCK PURCHASE PLAN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purpose of the AVROBIO, Inc. 2018 Employee Stock Purchase Plan (“the Plan”) is to provide eligible employees of AVROBIO, Inc.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 and each Designated Subsidiary (as defined in Section 11) with opportunities to purchase shares of the Company’s common stock, par value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$0.0001 per share (the “Common Stock”). 223,200 shares of Common Stock have been approved and reserved for this purpose, plus on January 1, 2019,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each January 1 thereafter through January 1, 2028, the number of shares of Common Stock reserved and available for issuance under the Plan shall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cumulatively increased by the least of (i) 1,115,700 shares of Common Stock, (ii) one percent (1%) of the number of shares of Common Stock issued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on the immediately preceding December 31</w:t>
      </w:r>
      <w:r>
        <w:rPr>
          <w:rFonts w:ascii="Arial" w:cs="Arial" w:eastAsia="Arial" w:hAnsi="Arial"/>
          <w:sz w:val="13"/>
          <w:szCs w:val="13"/>
          <w:color w:val="auto"/>
        </w:rPr>
        <w:t>st</w:t>
      </w:r>
      <w:r>
        <w:rPr>
          <w:rFonts w:ascii="Arial" w:cs="Arial" w:eastAsia="Arial" w:hAnsi="Arial"/>
          <w:sz w:val="16"/>
          <w:szCs w:val="16"/>
          <w:color w:val="auto"/>
        </w:rPr>
        <w:t>, or (iii) such lesser number of shares of Common Stock as determined by the Administrator.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is intended to constitute an “employee stock purchase plan” within the meaning of Section 423(b) of the Internal Revenue Code of 1986, as amended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“Code”), and shall be interpreted in accordance with that intent.</w:t>
      </w:r>
    </w:p>
    <w:p>
      <w:pPr>
        <w:spacing w:after="0" w:line="103" w:lineRule="exact"/>
        <w:rPr>
          <w:sz w:val="20"/>
          <w:szCs w:val="20"/>
          <w:color w:val="auto"/>
        </w:rPr>
      </w:pPr>
    </w:p>
    <w:p>
      <w:pPr>
        <w:ind w:right="80" w:firstLine="464"/>
        <w:spacing w:after="0" w:line="272" w:lineRule="auto"/>
        <w:tabs>
          <w:tab w:leader="none" w:pos="636" w:val="left"/>
        </w:tabs>
        <w:numPr>
          <w:ilvl w:val="0"/>
          <w:numId w:val="395"/>
        </w:numPr>
        <w:rPr>
          <w:rFonts w:ascii="Arial" w:cs="Arial" w:eastAsia="Arial" w:hAnsi="Arial"/>
          <w:sz w:val="17"/>
          <w:szCs w:val="17"/>
          <w:color w:val="auto"/>
        </w:rPr>
      </w:pPr>
      <w:r>
        <w:rPr>
          <w:rFonts w:ascii="Arial" w:cs="Arial" w:eastAsia="Arial" w:hAnsi="Arial"/>
          <w:sz w:val="17"/>
          <w:szCs w:val="17"/>
          <w:u w:val="single" w:color="auto"/>
          <w:color w:val="auto"/>
        </w:rPr>
        <w:t>Administration</w:t>
      </w:r>
      <w:r>
        <w:rPr>
          <w:rFonts w:ascii="Arial" w:cs="Arial" w:eastAsia="Arial" w:hAnsi="Arial"/>
          <w:sz w:val="17"/>
          <w:szCs w:val="17"/>
          <w:color w:val="auto"/>
        </w:rPr>
        <w:t>. The Plan will be administered by the person or persons (the “Administrator”) appointed by the Company’s Board of Directors (the “Board”) for such purpose. The Administrator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(iv) decide all disputes arising in connection with the Plan; and (v) 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sectPr>
          <w:pgSz w:w="11900" w:h="16838" w:orient="portrait"/>
          <w:cols w:equalWidth="0" w:num="1">
            <w:col w:w="11420"/>
          </w:cols>
          <w:pgMar w:left="240" w:top="122" w:right="239" w:bottom="1440" w:gutter="0" w:footer="0" w:header="0"/>
        </w:sectPr>
      </w:pPr>
    </w:p>
    <w:bookmarkStart w:id="475" w:name="page476"/>
    <w:bookmarkEnd w:id="475"/>
    <w:p>
      <w:pPr>
        <w:jc w:val="both"/>
        <w:ind w:left="-100" w:right="180" w:firstLine="464"/>
        <w:spacing w:after="0" w:line="279" w:lineRule="auto"/>
        <w:tabs>
          <w:tab w:leader="none" w:pos="536" w:val="left"/>
        </w:tabs>
        <w:numPr>
          <w:ilvl w:val="0"/>
          <w:numId w:val="39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Offerings</w:t>
      </w:r>
      <w:r>
        <w:rPr>
          <w:rFonts w:ascii="Arial" w:cs="Arial" w:eastAsia="Arial" w:hAnsi="Arial"/>
          <w:sz w:val="17"/>
          <w:szCs w:val="17"/>
          <w:color w:val="auto"/>
        </w:rPr>
        <w:t>. The Company will make one or more offerings to eligible employees to purchase Common Stock under the Plan (“Offerings”). Unless otherwise determined by the Administrator, an Offering will begin on the first business day occurring on or after each January 1 and July 1 and will end on the last business day occurring on or before the following June 30 and December 31, respectively. The Administrator may, in its discretion, designate a different period for any Offering, provided that no Offering shall exceed one year in duration or overlap any other Offering.</w:t>
      </w:r>
    </w:p>
    <w:p>
      <w:pPr>
        <w:spacing w:after="0" w:line="63" w:lineRule="exact"/>
        <w:rPr>
          <w:rFonts w:ascii="Arial" w:cs="Arial" w:eastAsia="Arial" w:hAnsi="Arial"/>
          <w:sz w:val="17"/>
          <w:szCs w:val="17"/>
          <w:color w:val="auto"/>
        </w:rPr>
      </w:pPr>
    </w:p>
    <w:p>
      <w:pPr>
        <w:ind w:left="-100" w:firstLine="464"/>
        <w:spacing w:after="0" w:line="290" w:lineRule="auto"/>
        <w:tabs>
          <w:tab w:leader="none" w:pos="536" w:val="left"/>
        </w:tabs>
        <w:numPr>
          <w:ilvl w:val="0"/>
          <w:numId w:val="396"/>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All individuals classified as employees on the payroll records of the Company and each Designated Subsidiary are eligible to participate in any one or more of the Offerings under the Plan, provided that as of the first day of the applicable Offering (the “Offering Date”) they are customarily employed by the Company or a Designated Subsidiary for more than 20 hours a week and have completed at least three months of employment. 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 participate in the Plan. In the event any such individuals are reclassified as employees of the Company or a Designated Subsidiary for any purpose, including, without limitation, common law or statutory employees, by any action of any third party, including, without limitation, any government agency, or as a result of any private lawsuit, action or administrative proceeding,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40" w:top="274" w:right="319" w:bottom="1440" w:gutter="0" w:footer="0" w:header="0"/>
        </w:sectPr>
      </w:pPr>
    </w:p>
    <w:bookmarkStart w:id="476" w:name="page477"/>
    <w:bookmarkEnd w:id="476"/>
    <w:p>
      <w:pPr>
        <w:ind w:right="4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individuals shall, notwithstanding such reclassification, remain ineligible for participation. Notwithstanding the foregoing, the exclusive means for individuals who are not contemporaneously classified as employees of the Company or a Designated Subsidiary on the Company’s or Designated Subsidiary’s payroll system to become eligible to participate in this Plan is through an amendment to this Plan, duly executed by the Company, which specifically renders such individuals eligible to participate herein.</w:t>
      </w:r>
    </w:p>
    <w:p>
      <w:pPr>
        <w:spacing w:after="0" w:line="79" w:lineRule="exact"/>
        <w:rPr>
          <w:sz w:val="20"/>
          <w:szCs w:val="20"/>
          <w:color w:val="auto"/>
        </w:rPr>
      </w:pPr>
    </w:p>
    <w:p>
      <w:pPr>
        <w:ind w:left="640" w:hanging="176"/>
        <w:spacing w:after="0"/>
        <w:tabs>
          <w:tab w:leader="none" w:pos="64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Participation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921"/>
        <w:spacing w:after="0" w:line="264" w:lineRule="auto"/>
        <w:tabs>
          <w:tab w:leader="none" w:pos="1157" w:val="left"/>
        </w:tabs>
        <w:numPr>
          <w:ilvl w:val="1"/>
          <w:numId w:val="397"/>
        </w:numPr>
        <w:rPr>
          <w:rFonts w:ascii="Arial" w:cs="Arial" w:eastAsia="Arial" w:hAnsi="Arial"/>
          <w:sz w:val="18"/>
          <w:szCs w:val="18"/>
          <w:color w:val="auto"/>
        </w:rPr>
      </w:pPr>
      <w:r>
        <w:rPr>
          <w:rFonts w:ascii="Arial" w:cs="Arial" w:eastAsia="Arial" w:hAnsi="Arial"/>
          <w:sz w:val="18"/>
          <w:szCs w:val="18"/>
          <w:u w:val="single" w:color="auto"/>
          <w:color w:val="auto"/>
        </w:rPr>
        <w:t>Participants</w:t>
      </w:r>
      <w:r>
        <w:rPr>
          <w:rFonts w:ascii="Arial" w:cs="Arial" w:eastAsia="Arial" w:hAnsi="Arial"/>
          <w:sz w:val="18"/>
          <w:szCs w:val="18"/>
          <w:color w:val="auto"/>
        </w:rPr>
        <w:t>. An eligible employee who is not a Participant in any prior Offering may participate in a subsequent Offering by submitting an enrollment form to his or her appropriate payroll location at least 15 business days before the Offering Date (or by such other deadline as shall be established by the Administrator for the Offering).</w:t>
      </w:r>
    </w:p>
    <w:p>
      <w:pPr>
        <w:spacing w:after="0" w:line="73" w:lineRule="exact"/>
        <w:rPr>
          <w:rFonts w:ascii="Arial" w:cs="Arial" w:eastAsia="Arial" w:hAnsi="Arial"/>
          <w:sz w:val="18"/>
          <w:szCs w:val="18"/>
          <w:color w:val="auto"/>
        </w:rPr>
      </w:pPr>
    </w:p>
    <w:p>
      <w:pPr>
        <w:jc w:val="both"/>
        <w:ind w:firstLine="921"/>
        <w:spacing w:after="0" w:line="255" w:lineRule="auto"/>
        <w:tabs>
          <w:tab w:leader="none" w:pos="1168" w:val="left"/>
        </w:tabs>
        <w:numPr>
          <w:ilvl w:val="1"/>
          <w:numId w:val="397"/>
        </w:numPr>
        <w:rPr>
          <w:rFonts w:ascii="Arial" w:cs="Arial" w:eastAsia="Arial" w:hAnsi="Arial"/>
          <w:sz w:val="18"/>
          <w:szCs w:val="18"/>
          <w:color w:val="auto"/>
        </w:rPr>
      </w:pPr>
      <w:r>
        <w:rPr>
          <w:rFonts w:ascii="Arial" w:cs="Arial" w:eastAsia="Arial" w:hAnsi="Arial"/>
          <w:sz w:val="18"/>
          <w:szCs w:val="18"/>
          <w:u w:val="single" w:color="auto"/>
          <w:color w:val="auto"/>
        </w:rPr>
        <w:t>Enrollment</w:t>
      </w:r>
      <w:r>
        <w:rPr>
          <w:rFonts w:ascii="Arial" w:cs="Arial" w:eastAsia="Arial" w:hAnsi="Arial"/>
          <w:sz w:val="18"/>
          <w:szCs w:val="18"/>
          <w:color w:val="auto"/>
        </w:rPr>
        <w:t>. The enrollment form will (a) state a whole percentage to be deducted from an eligible employee’s Compensation (as defined in Section 11) per pay period, (b) authorize the purchase of Common Stock in each Offering in accordance with the terms of the Plan and (c) 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such Participant’s deductions and purchases will continue at the same percentage of Compensation for future Offerings, provided he or she remains eligible.</w:t>
      </w:r>
    </w:p>
    <w:p>
      <w:pPr>
        <w:spacing w:after="0" w:line="85" w:lineRule="exact"/>
        <w:rPr>
          <w:rFonts w:ascii="Arial" w:cs="Arial" w:eastAsia="Arial" w:hAnsi="Arial"/>
          <w:sz w:val="18"/>
          <w:szCs w:val="18"/>
          <w:color w:val="auto"/>
        </w:rPr>
      </w:pPr>
    </w:p>
    <w:p>
      <w:pPr>
        <w:ind w:left="1160" w:hanging="239"/>
        <w:spacing w:after="0"/>
        <w:tabs>
          <w:tab w:leader="none" w:pos="1160" w:val="left"/>
        </w:tabs>
        <w:numPr>
          <w:ilvl w:val="1"/>
          <w:numId w:val="397"/>
        </w:numPr>
        <w:rPr>
          <w:rFonts w:ascii="Arial" w:cs="Arial" w:eastAsia="Arial" w:hAnsi="Arial"/>
          <w:sz w:val="16"/>
          <w:szCs w:val="16"/>
          <w:color w:val="auto"/>
        </w:rPr>
      </w:pPr>
      <w:r>
        <w:rPr>
          <w:rFonts w:ascii="Arial" w:cs="Arial" w:eastAsia="Arial" w:hAnsi="Arial"/>
          <w:sz w:val="16"/>
          <w:szCs w:val="16"/>
          <w:color w:val="auto"/>
        </w:rPr>
        <w:t>Notwithstanding the foregoing, participation in the Plan will neither be permitted nor be denied contrary to the requirements of the Code.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477" w:name="page478"/>
    <w:bookmarkEnd w:id="477"/>
    <w:p>
      <w:pPr>
        <w:ind w:left="-100" w:right="60" w:firstLine="464"/>
        <w:spacing w:after="0" w:line="264" w:lineRule="auto"/>
        <w:tabs>
          <w:tab w:leader="none" w:pos="536"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Employee Contributions</w:t>
      </w:r>
      <w:r>
        <w:rPr>
          <w:rFonts w:ascii="Arial" w:cs="Arial" w:eastAsia="Arial" w:hAnsi="Arial"/>
          <w:sz w:val="18"/>
          <w:szCs w:val="18"/>
          <w:color w:val="auto"/>
        </w:rPr>
        <w:t>. Each eligible employee may authorize payroll deductions at a minimum of one percent up to a maximum of 15 percent of such employee’s Compensation for each pay period. The Company will maintain book accounts showing the amount of payroll deductions made by each Participant for each Offering. No interest will accrue or be paid on payroll deductions.</w:t>
      </w:r>
    </w:p>
    <w:p>
      <w:pPr>
        <w:spacing w:after="0" w:line="73" w:lineRule="exact"/>
        <w:rPr>
          <w:rFonts w:ascii="Arial" w:cs="Arial" w:eastAsia="Arial" w:hAnsi="Arial"/>
          <w:sz w:val="18"/>
          <w:szCs w:val="18"/>
          <w:color w:val="auto"/>
        </w:rPr>
      </w:pPr>
    </w:p>
    <w:p>
      <w:pPr>
        <w:ind w:left="-100" w:right="40" w:firstLine="464"/>
        <w:spacing w:after="0" w:line="257" w:lineRule="auto"/>
        <w:tabs>
          <w:tab w:leader="none" w:pos="536"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Deduction Changes</w:t>
      </w:r>
      <w:r>
        <w:rPr>
          <w:rFonts w:ascii="Arial" w:cs="Arial" w:eastAsia="Arial" w:hAnsi="Arial"/>
          <w:sz w:val="18"/>
          <w:szCs w:val="18"/>
          <w:color w:val="auto"/>
        </w:rPr>
        <w:t>. Except as may be determined by the Administrator in advance of an Offering, a Participant may not increase or decrease his or her payroll deduction during any Offering, but may increase or decrease his or her payroll deduction with respect to the next Offering (subject to the limitations of Section 5) by filing a new enrollment form at least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during an Offering.</w:t>
      </w:r>
    </w:p>
    <w:p>
      <w:pPr>
        <w:spacing w:after="0" w:line="80" w:lineRule="exact"/>
        <w:rPr>
          <w:rFonts w:ascii="Arial" w:cs="Arial" w:eastAsia="Arial" w:hAnsi="Arial"/>
          <w:sz w:val="18"/>
          <w:szCs w:val="18"/>
          <w:color w:val="auto"/>
        </w:rPr>
      </w:pPr>
    </w:p>
    <w:p>
      <w:pPr>
        <w:ind w:left="-100" w:firstLine="464"/>
        <w:spacing w:after="0" w:line="257" w:lineRule="auto"/>
        <w:tabs>
          <w:tab w:leader="none" w:pos="536" w:val="left"/>
        </w:tabs>
        <w:numPr>
          <w:ilvl w:val="0"/>
          <w:numId w:val="398"/>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 A Participant may withdraw from participation in the Plan by delivering a written notice of withdrawal to his or her appropriate payroll location. The Participant’s withdrawal will be effective as of the next business day.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40" w:top="273" w:right="339" w:bottom="1440" w:gutter="0" w:footer="0" w:header="0"/>
        </w:sectPr>
      </w:pPr>
    </w:p>
    <w:bookmarkStart w:id="478" w:name="page479"/>
    <w:bookmarkEnd w:id="478"/>
    <w:p>
      <w:pPr>
        <w:ind w:right="160" w:firstLine="464"/>
        <w:spacing w:after="0" w:line="286" w:lineRule="auto"/>
        <w:tabs>
          <w:tab w:leader="none" w:pos="636" w:val="left"/>
        </w:tabs>
        <w:numPr>
          <w:ilvl w:val="1"/>
          <w:numId w:val="39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 of Options</w:t>
      </w:r>
      <w:r>
        <w:rPr>
          <w:rFonts w:ascii="Arial" w:cs="Arial" w:eastAsia="Arial" w:hAnsi="Arial"/>
          <w:sz w:val="16"/>
          <w:szCs w:val="16"/>
          <w:color w:val="auto"/>
        </w:rPr>
        <w:t>. On each Offering Date, the Company will grant to each eligible employee who is then a Participant in the Plan an option (“Option”) to purchase on the last day of such Offering (the “Exercise Date”), at the Option Price hereinafter provided for, the lowest of (a) a number of shares of Common Stock determined by dividing such Participant’s accumulated payroll deductions on such Exercise Date by the lower of (i) 85 percent of the Fair Market Value of the Common Stock on the Offering Date, or (ii) 85 percent of the Fair Market Value of the Common Stock on the Exercise Date,</w:t>
      </w:r>
    </w:p>
    <w:p>
      <w:pPr>
        <w:spacing w:after="0" w:line="1" w:lineRule="exact"/>
        <w:rPr>
          <w:rFonts w:ascii="Arial" w:cs="Arial" w:eastAsia="Arial" w:hAnsi="Arial"/>
          <w:sz w:val="16"/>
          <w:szCs w:val="16"/>
          <w:color w:val="auto"/>
        </w:rPr>
      </w:pPr>
    </w:p>
    <w:p>
      <w:pPr>
        <w:ind w:right="80" w:firstLine="8"/>
        <w:spacing w:after="0" w:line="271" w:lineRule="auto"/>
        <w:tabs>
          <w:tab w:leader="none" w:pos="255" w:val="left"/>
        </w:tabs>
        <w:numPr>
          <w:ilvl w:val="0"/>
          <w:numId w:val="400"/>
        </w:numPr>
        <w:rPr>
          <w:rFonts w:ascii="Arial" w:cs="Arial" w:eastAsia="Arial" w:hAnsi="Arial"/>
          <w:sz w:val="17"/>
          <w:szCs w:val="17"/>
          <w:color w:val="auto"/>
        </w:rPr>
      </w:pPr>
      <w:r>
        <w:rPr>
          <w:rFonts w:ascii="Arial" w:cs="Arial" w:eastAsia="Arial" w:hAnsi="Arial"/>
          <w:sz w:val="17"/>
          <w:szCs w:val="17"/>
          <w:color w:val="auto"/>
        </w:rPr>
        <w:t>a number of shares determined by dividing $25,000 by the Fair Market Value of the Common Stock on the Offering Date of such Offering ; or (c) such other lesser maximum number of shares as shall have been established by the Administrator in advance of the Offering; provided, however, that such Option shall be subject to the limitations set forth below. Each Participant’s Option shall be exercisable only to the extent of such Participant’s accumulated payroll deductions on the Exercise Date. The purchase price for each share purchased under each Option (the “Option Price”) will be 85 percent of the Fair Market Value of the Common Stock on the Offering Date or the Exercise Date, whichever is less.</w:t>
      </w:r>
    </w:p>
    <w:p>
      <w:pPr>
        <w:spacing w:after="0" w:line="17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Notwithstanding the foregoing, no Participant may be granted an option hereunder if such Participant, immediately after the option was granted, would be treated as owning stock possessing 5 percent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which permits his or her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3" w:right="299" w:bottom="1440" w:gutter="0" w:footer="0" w:header="0"/>
        </w:sectPr>
      </w:pPr>
    </w:p>
    <w:bookmarkStart w:id="479" w:name="page480"/>
    <w:bookmarkEnd w:id="479"/>
    <w:p>
      <w:pPr>
        <w:ind w:right="80" w:firstLine="464"/>
        <w:spacing w:after="0" w:line="297" w:lineRule="auto"/>
        <w:tabs>
          <w:tab w:leader="none" w:pos="636" w:val="left"/>
        </w:tabs>
        <w:numPr>
          <w:ilvl w:val="0"/>
          <w:numId w:val="40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of Option and Purchase of Shares</w:t>
      </w:r>
      <w:r>
        <w:rPr>
          <w:rFonts w:ascii="Arial" w:cs="Arial" w:eastAsia="Arial" w:hAnsi="Arial"/>
          <w:sz w:val="16"/>
          <w:szCs w:val="16"/>
          <w:color w:val="auto"/>
        </w:rPr>
        <w:t>. Each employee who continues to be a Participant in the Plan on the Exercise Date shall be deemed to have exercised his or her Option on such date and shall acquire from the Company such number of whole shares of Common Stock reserved for the purpose of the Plan as his or her accumulated payroll deductions on such date will purchase at the Option Price, subject to any other limitations contained in the Plan. Any amount remaining in a Participant’s account at the end of an Offering solely by reason of the inability to purchase a fractional share will be carried forward to the next Offering; any other balance remaining in a Participant’s account at the end of an Offering will be refunded to the Participant promptly.</w:t>
      </w:r>
    </w:p>
    <w:p>
      <w:pPr>
        <w:spacing w:after="0" w:line="50" w:lineRule="exact"/>
        <w:rPr>
          <w:rFonts w:ascii="Arial" w:cs="Arial" w:eastAsia="Arial" w:hAnsi="Arial"/>
          <w:sz w:val="16"/>
          <w:szCs w:val="16"/>
          <w:color w:val="auto"/>
        </w:rPr>
      </w:pPr>
    </w:p>
    <w:p>
      <w:pPr>
        <w:ind w:right="180" w:firstLine="464"/>
        <w:spacing w:after="0" w:line="264" w:lineRule="auto"/>
        <w:tabs>
          <w:tab w:leader="none" w:pos="726"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Issuance of Certificates</w:t>
      </w:r>
      <w:r>
        <w:rPr>
          <w:rFonts w:ascii="Arial" w:cs="Arial" w:eastAsia="Arial" w:hAnsi="Arial"/>
          <w:sz w:val="18"/>
          <w:szCs w:val="18"/>
          <w:color w:val="auto"/>
        </w:rPr>
        <w:t>. Certificates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spacing w:after="0" w:line="73" w:lineRule="exact"/>
        <w:rPr>
          <w:rFonts w:ascii="Arial" w:cs="Arial" w:eastAsia="Arial" w:hAnsi="Arial"/>
          <w:sz w:val="18"/>
          <w:szCs w:val="18"/>
          <w:color w:val="auto"/>
        </w:rPr>
      </w:pPr>
    </w:p>
    <w:p>
      <w:pPr>
        <w:ind w:left="720" w:hanging="256"/>
        <w:spacing w:after="0"/>
        <w:tabs>
          <w:tab w:leader="none" w:pos="720"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term “Compensation” means the amount of base pay, prior to salary reduction pursuant to Sections 125, 132(f) or 401(k) of the Code, but excluding overtime, commissions, incentive or bonus awards, allowances and reimbursements for expenses such as relocation allowances or travel expenses, income or gains on the exercise of Company stock options, and similar items.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term “Designated Subsidiary” means any present or future Subsidiary (as defined below) that has been designated by the Board to participate in the Plan. The Board may so designate any Subsidiary, or revoke any such designation, at any time and from time to time, either before or after the Plan is approved by the stockholders.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480" w:name="page481"/>
    <w:bookmarkEnd w:id="480"/>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“Fair Market Value of the Common Stock” on any given date means the fair market value of the Common Stock determined in good faith by the Administrator; provided, however, that if the Common Stock is admitted to quotation on the National Association of Securities Dealers Automated Quotation System (“Nasdaq”), Nasdaq Global Market or another national securities exchange, the determination shall be made by reference to the closing price on such date. If there is no closing price for such date, the determination shall be made by reference to the last date preceding such date for which there is a closing price. Notwithstanding the foregoing, if the date for which Fair Market Value of the Common Stock is determined is the first day when trading prices for the Common Stock are reported on Nasdaq or another national securities exchange, the Fair Market Value of the Common Stock shall be the “Price to the Public” (or equivalent) set forth on the cover page for the final prospectus relating to the Company’s Initial Public Offering.</w:t>
      </w:r>
    </w:p>
    <w:p>
      <w:pPr>
        <w:spacing w:after="0" w:line="16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term “Initial Public Offering” means the first underwritten, firm commitment public offering pursuant to an effective registration statement under the Securities Act of 1933, as amended, covering the offer and sale by the Company of its Common Stock.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“Parent” means a “parent corporation” with respect to the Company, as defined in Section 424(e) of the Code.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term “Participant” means an individual who is eligible as determined in Section 3 and who has complied with the provisions of Section 4.</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“Subsidiary” means a “subsidiary corporation” with respect to the Company, as defined in Section 424(f) of the Code.</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74" w:right="299" w:bottom="1440" w:gutter="0" w:footer="0" w:header="0"/>
        </w:sectPr>
      </w:pPr>
    </w:p>
    <w:bookmarkStart w:id="481" w:name="page482"/>
    <w:bookmarkEnd w:id="481"/>
    <w:p>
      <w:pPr>
        <w:ind w:left="-120" w:firstLine="464"/>
        <w:spacing w:after="0" w:line="271" w:lineRule="auto"/>
        <w:tabs>
          <w:tab w:leader="none" w:pos="606" w:val="left"/>
        </w:tabs>
        <w:numPr>
          <w:ilvl w:val="0"/>
          <w:numId w:val="40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Rights on Termination of Employment</w:t>
      </w:r>
      <w:r>
        <w:rPr>
          <w:rFonts w:ascii="Arial" w:cs="Arial" w:eastAsia="Arial" w:hAnsi="Arial"/>
          <w:sz w:val="17"/>
          <w:szCs w:val="17"/>
          <w:color w:val="auto"/>
        </w:rPr>
        <w:t>. If a Participant’s employment terminates for any reason before the Exercise Date for any Offering, no payroll deduction will be taken from any pay due and owing to the Participant and the balance in the Participant’s account will be paid to such Participant or, in the case of such Participant’s death, to his or her designated beneficiary as if such Participant had withdrawn from the Plan under Section 7. An employee will be deemed to have terminated employment, for this purpose, if the corporation that employs him or her, having been a Designated Subsidiary, ceases to be a Subsidiary, or if the employee is transferred to any corporation other than the Company or a Designated Subsidiary.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pacing w:after="0" w:line="70" w:lineRule="exact"/>
        <w:rPr>
          <w:rFonts w:ascii="Arial" w:cs="Arial" w:eastAsia="Arial" w:hAnsi="Arial"/>
          <w:sz w:val="17"/>
          <w:szCs w:val="17"/>
          <w:color w:val="auto"/>
        </w:rPr>
      </w:pPr>
    </w:p>
    <w:p>
      <w:pPr>
        <w:ind w:left="-120" w:right="20" w:firstLine="464"/>
        <w:spacing w:after="0" w:line="257" w:lineRule="auto"/>
        <w:tabs>
          <w:tab w:leader="none" w:pos="606" w:val="left"/>
        </w:tabs>
        <w:numPr>
          <w:ilvl w:val="0"/>
          <w:numId w:val="402"/>
        </w:numPr>
        <w:rPr>
          <w:rFonts w:ascii="Arial" w:cs="Arial" w:eastAsia="Arial" w:hAnsi="Arial"/>
          <w:sz w:val="18"/>
          <w:szCs w:val="18"/>
          <w:color w:val="auto"/>
        </w:rPr>
      </w:pPr>
      <w:r>
        <w:rPr>
          <w:rFonts w:ascii="Arial" w:cs="Arial" w:eastAsia="Arial" w:hAnsi="Arial"/>
          <w:sz w:val="18"/>
          <w:szCs w:val="18"/>
          <w:u w:val="single" w:color="auto"/>
          <w:color w:val="auto"/>
        </w:rPr>
        <w:t>Special Rules</w:t>
      </w:r>
      <w:r>
        <w:rPr>
          <w:rFonts w:ascii="Arial" w:cs="Arial" w:eastAsia="Arial" w:hAnsi="Arial"/>
          <w:sz w:val="18"/>
          <w:szCs w:val="18"/>
          <w:color w:val="auto"/>
        </w:rPr>
        <w:t>. Notwithstanding anything herein to the contrary, the Administrator may adopt special rules applicable to the employees of a particular Designated Subsidiary, whenever the Administrator determines that such rules are necessary or appropriate for the implementation of the Plan in a jurisdiction where such Designated Subsidiary has employees; provided that such rules are consistent with the requirements of Section 423(b) of the Code. Any special rules established pursuant to this Section 13 shall, to the extent possible, result in the employees subject to such rules having substantially the same rights as other Participants in the Plan.</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80"/>
          </w:cols>
          <w:pgMar w:left="360" w:top="274" w:right="359" w:bottom="1440" w:gutter="0" w:footer="0" w:header="0"/>
        </w:sectPr>
      </w:pPr>
    </w:p>
    <w:bookmarkStart w:id="482" w:name="page483"/>
    <w:bookmarkEnd w:id="482"/>
    <w:p>
      <w:pPr>
        <w:ind w:left="-60" w:right="120" w:firstLine="464"/>
        <w:spacing w:after="0" w:line="342" w:lineRule="auto"/>
        <w:tabs>
          <w:tab w:leader="none" w:pos="666" w:val="left"/>
        </w:tabs>
        <w:numPr>
          <w:ilvl w:val="0"/>
          <w:numId w:val="40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Optionees Not Stockholders</w:t>
      </w:r>
      <w:r>
        <w:rPr>
          <w:rFonts w:ascii="Arial" w:cs="Arial" w:eastAsia="Arial" w:hAnsi="Arial"/>
          <w:sz w:val="16"/>
          <w:szCs w:val="16"/>
          <w:color w:val="auto"/>
        </w:rPr>
        <w:t>. Neither the granting of an Option to a Participant nor the deductions from his or her pay shall constitute such Participant a holder of the shares of Common Stock covered by an Option under the Plan until such shares have been purchased by and issued to him or her.</w:t>
      </w:r>
    </w:p>
    <w:p>
      <w:pPr>
        <w:spacing w:after="0" w:line="15" w:lineRule="exact"/>
        <w:rPr>
          <w:rFonts w:ascii="Arial" w:cs="Arial" w:eastAsia="Arial" w:hAnsi="Arial"/>
          <w:sz w:val="16"/>
          <w:szCs w:val="16"/>
          <w:color w:val="auto"/>
        </w:rPr>
      </w:pPr>
    </w:p>
    <w:p>
      <w:pPr>
        <w:ind w:left="-60" w:right="200" w:firstLine="464"/>
        <w:spacing w:after="0" w:line="277" w:lineRule="auto"/>
        <w:tabs>
          <w:tab w:leader="none" w:pos="666"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Rights Not Transferable</w:t>
      </w:r>
      <w:r>
        <w:rPr>
          <w:rFonts w:ascii="Arial" w:cs="Arial" w:eastAsia="Arial" w:hAnsi="Arial"/>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62" w:lineRule="exact"/>
        <w:rPr>
          <w:rFonts w:ascii="Arial" w:cs="Arial" w:eastAsia="Arial" w:hAnsi="Arial"/>
          <w:sz w:val="18"/>
          <w:szCs w:val="18"/>
          <w:color w:val="auto"/>
        </w:rPr>
      </w:pPr>
    </w:p>
    <w:p>
      <w:pPr>
        <w:ind w:left="-60" w:right="40" w:firstLine="464"/>
        <w:spacing w:after="0" w:line="277" w:lineRule="auto"/>
        <w:tabs>
          <w:tab w:leader="none" w:pos="666"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Application of Funds</w:t>
      </w:r>
      <w:r>
        <w:rPr>
          <w:rFonts w:ascii="Arial" w:cs="Arial" w:eastAsia="Arial" w:hAnsi="Arial"/>
          <w:sz w:val="18"/>
          <w:szCs w:val="18"/>
          <w:color w:val="auto"/>
        </w:rPr>
        <w:t>. All funds received or held by the Company under the Plan may be combined with other corporate funds and may be used for any corporate purpose.</w:t>
      </w:r>
    </w:p>
    <w:p>
      <w:pPr>
        <w:spacing w:after="0" w:line="62" w:lineRule="exact"/>
        <w:rPr>
          <w:rFonts w:ascii="Arial" w:cs="Arial" w:eastAsia="Arial" w:hAnsi="Arial"/>
          <w:sz w:val="18"/>
          <w:szCs w:val="18"/>
          <w:color w:val="auto"/>
        </w:rPr>
      </w:pPr>
    </w:p>
    <w:p>
      <w:pPr>
        <w:jc w:val="both"/>
        <w:ind w:left="-60" w:right="40" w:firstLine="464"/>
        <w:spacing w:after="0" w:line="264" w:lineRule="auto"/>
        <w:tabs>
          <w:tab w:leader="none" w:pos="666"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Adjustment in Case of Changes Affecting Common Stock</w:t>
      </w:r>
      <w:r>
        <w:rPr>
          <w:rFonts w:ascii="Arial" w:cs="Arial" w:eastAsia="Arial" w:hAnsi="Arial"/>
          <w:sz w:val="18"/>
          <w:szCs w:val="18"/>
          <w:color w:val="auto"/>
        </w:rPr>
        <w:t>. 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w:t>
      </w:r>
    </w:p>
    <w:p>
      <w:pPr>
        <w:spacing w:after="0" w:line="73" w:lineRule="exact"/>
        <w:rPr>
          <w:rFonts w:ascii="Arial" w:cs="Arial" w:eastAsia="Arial" w:hAnsi="Arial"/>
          <w:sz w:val="18"/>
          <w:szCs w:val="18"/>
          <w:color w:val="auto"/>
        </w:rPr>
      </w:pPr>
    </w:p>
    <w:p>
      <w:pPr>
        <w:ind w:left="-60" w:firstLine="464"/>
        <w:spacing w:after="0" w:line="259" w:lineRule="auto"/>
        <w:tabs>
          <w:tab w:leader="none" w:pos="666"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Amendment of the Plan</w:t>
      </w:r>
      <w:r>
        <w:rPr>
          <w:rFonts w:ascii="Arial" w:cs="Arial" w:eastAsia="Arial" w:hAnsi="Arial"/>
          <w:sz w:val="18"/>
          <w:szCs w:val="18"/>
          <w:color w:val="auto"/>
        </w:rPr>
        <w:t>. The Board may at any time and from time to time amend the Plan in any respect, except that without the approval within 12 months of such Board action by the stockholders, no amendment shall be made increasing the number of shares approved for the Plan or making any other change that would require stockholder approval in order for the Plan, as amended, to qualify as an “employee stock purchase plan” under Section 423(b) of the Code.</w:t>
      </w:r>
    </w:p>
    <w:p>
      <w:pPr>
        <w:spacing w:after="0" w:line="78" w:lineRule="exact"/>
        <w:rPr>
          <w:rFonts w:ascii="Arial" w:cs="Arial" w:eastAsia="Arial" w:hAnsi="Arial"/>
          <w:sz w:val="18"/>
          <w:szCs w:val="18"/>
          <w:color w:val="auto"/>
        </w:rPr>
      </w:pPr>
    </w:p>
    <w:p>
      <w:pPr>
        <w:ind w:left="-60" w:right="80" w:firstLine="464"/>
        <w:spacing w:after="0" w:line="259" w:lineRule="auto"/>
        <w:tabs>
          <w:tab w:leader="none" w:pos="666"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Insufficient Shares</w:t>
      </w:r>
      <w:r>
        <w:rPr>
          <w:rFonts w:ascii="Arial" w:cs="Arial" w:eastAsia="Arial" w:hAnsi="Arial"/>
          <w:sz w:val="18"/>
          <w:szCs w:val="18"/>
          <w:color w:val="auto"/>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Common Stock on such Exercise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20"/>
          </w:cols>
          <w:pgMar w:left="300" w:top="273" w:right="279" w:bottom="1440" w:gutter="0" w:footer="0" w:header="0"/>
        </w:sectPr>
      </w:pPr>
    </w:p>
    <w:bookmarkStart w:id="483" w:name="page484"/>
    <w:bookmarkEnd w:id="483"/>
    <w:p>
      <w:pPr>
        <w:ind w:left="-40" w:right="580" w:firstLine="464"/>
        <w:spacing w:after="0" w:line="277" w:lineRule="auto"/>
        <w:tabs>
          <w:tab w:leader="none" w:pos="686"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 of the Plan</w:t>
      </w:r>
      <w:r>
        <w:rPr>
          <w:rFonts w:ascii="Arial" w:cs="Arial" w:eastAsia="Arial" w:hAnsi="Arial"/>
          <w:sz w:val="18"/>
          <w:szCs w:val="18"/>
          <w:color w:val="auto"/>
        </w:rPr>
        <w:t>. The Plan may be terminated at any time by the Board. Upon termination of the Plan, all amounts in the accounts of Participants shall be promptly refunded.</w:t>
      </w:r>
    </w:p>
    <w:p>
      <w:pPr>
        <w:spacing w:after="0" w:line="62" w:lineRule="exact"/>
        <w:rPr>
          <w:rFonts w:ascii="Arial" w:cs="Arial" w:eastAsia="Arial" w:hAnsi="Arial"/>
          <w:sz w:val="18"/>
          <w:szCs w:val="18"/>
          <w:color w:val="auto"/>
        </w:rPr>
      </w:pPr>
    </w:p>
    <w:p>
      <w:pPr>
        <w:ind w:left="-40" w:right="220" w:firstLine="464"/>
        <w:spacing w:after="0" w:line="277" w:lineRule="auto"/>
        <w:tabs>
          <w:tab w:leader="none" w:pos="686"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Governmental Regulations</w:t>
      </w:r>
      <w:r>
        <w:rPr>
          <w:rFonts w:ascii="Arial" w:cs="Arial" w:eastAsia="Arial" w:hAnsi="Arial"/>
          <w:sz w:val="18"/>
          <w:szCs w:val="18"/>
          <w:color w:val="auto"/>
        </w:rPr>
        <w:t>. The Company’s obligation to sell and deliver Common Stock under the Plan is subject to obtaining all governmental approvals required in connection with the authorization, issuance, or sale of such stock.</w:t>
      </w:r>
    </w:p>
    <w:p>
      <w:pPr>
        <w:spacing w:after="0" w:line="62" w:lineRule="exact"/>
        <w:rPr>
          <w:rFonts w:ascii="Arial" w:cs="Arial" w:eastAsia="Arial" w:hAnsi="Arial"/>
          <w:sz w:val="18"/>
          <w:szCs w:val="18"/>
          <w:color w:val="auto"/>
        </w:rPr>
      </w:pPr>
    </w:p>
    <w:p>
      <w:pPr>
        <w:ind w:left="-40" w:right="320" w:firstLine="464"/>
        <w:spacing w:after="0" w:line="277" w:lineRule="auto"/>
        <w:tabs>
          <w:tab w:leader="none" w:pos="686"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Plan and all Options and actions taken thereunder shall be governed by, and construed in accordance with, the laws of the State of Delaware, applied without regard to conflict of law principles.</w:t>
      </w:r>
    </w:p>
    <w:p>
      <w:pPr>
        <w:spacing w:after="0" w:line="62" w:lineRule="exact"/>
        <w:rPr>
          <w:rFonts w:ascii="Arial" w:cs="Arial" w:eastAsia="Arial" w:hAnsi="Arial"/>
          <w:sz w:val="18"/>
          <w:szCs w:val="18"/>
          <w:color w:val="auto"/>
        </w:rPr>
      </w:pPr>
    </w:p>
    <w:p>
      <w:pPr>
        <w:ind w:left="-40" w:firstLine="464"/>
        <w:spacing w:after="0" w:line="277" w:lineRule="auto"/>
        <w:tabs>
          <w:tab w:leader="none" w:pos="686"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Issuance of Shares</w:t>
      </w:r>
      <w:r>
        <w:rPr>
          <w:rFonts w:ascii="Arial" w:cs="Arial" w:eastAsia="Arial" w:hAnsi="Arial"/>
          <w:sz w:val="18"/>
          <w:szCs w:val="18"/>
          <w:color w:val="auto"/>
        </w:rPr>
        <w:t>. Shares may be issued upon exercise of an Option from authorized but unissued Common Stock, from shares held in the treasury of the Company, or from any other proper source.</w:t>
      </w:r>
    </w:p>
    <w:p>
      <w:pPr>
        <w:spacing w:after="0" w:line="62" w:lineRule="exact"/>
        <w:rPr>
          <w:rFonts w:ascii="Arial" w:cs="Arial" w:eastAsia="Arial" w:hAnsi="Arial"/>
          <w:sz w:val="18"/>
          <w:szCs w:val="18"/>
          <w:color w:val="auto"/>
        </w:rPr>
      </w:pPr>
    </w:p>
    <w:p>
      <w:pPr>
        <w:jc w:val="both"/>
        <w:ind w:left="-40" w:right="100" w:firstLine="464"/>
        <w:spacing w:after="0" w:line="264" w:lineRule="auto"/>
        <w:tabs>
          <w:tab w:leader="none" w:pos="686"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Participation in the Plan is subject to any minimum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w:t>
      </w:r>
    </w:p>
    <w:p>
      <w:pPr>
        <w:spacing w:after="0" w:line="73" w:lineRule="exact"/>
        <w:rPr>
          <w:rFonts w:ascii="Arial" w:cs="Arial" w:eastAsia="Arial" w:hAnsi="Arial"/>
          <w:sz w:val="18"/>
          <w:szCs w:val="18"/>
          <w:color w:val="auto"/>
        </w:rPr>
      </w:pPr>
    </w:p>
    <w:p>
      <w:pPr>
        <w:ind w:left="-40" w:right="140" w:firstLine="464"/>
        <w:spacing w:after="0" w:line="264" w:lineRule="auto"/>
        <w:tabs>
          <w:tab w:leader="none" w:pos="686"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Notification Upon Sale of Shares</w:t>
      </w:r>
      <w:r>
        <w:rPr>
          <w:rFonts w:ascii="Arial" w:cs="Arial" w:eastAsia="Arial" w:hAnsi="Arial"/>
          <w:sz w:val="18"/>
          <w:szCs w:val="18"/>
          <w:color w:val="auto"/>
        </w:rPr>
        <w:t>. Each Participant agrees, by entering the Plan, to give the Company prompt notice of any disposition of shares purchased under the Plan where such disposition occurs within two years after the date of grant of the Option pursuant to which such shares were purchased or within one year after the date such shares were purchased.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40"/>
          </w:cols>
          <w:pgMar w:left="280" w:top="273" w:right="279" w:bottom="1440" w:gutter="0" w:footer="0" w:header="0"/>
        </w:sectPr>
      </w:pPr>
    </w:p>
    <w:bookmarkStart w:id="484" w:name="page485"/>
    <w:bookmarkEnd w:id="484"/>
    <w:p>
      <w:pPr>
        <w:ind w:left="-40" w:firstLine="464"/>
        <w:spacing w:after="0" w:line="264" w:lineRule="auto"/>
        <w:tabs>
          <w:tab w:leader="none" w:pos="686" w:val="left"/>
        </w:tabs>
        <w:numPr>
          <w:ilvl w:val="0"/>
          <w:numId w:val="4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Date and Approval of Shareholders</w:t>
      </w:r>
      <w:r>
        <w:rPr>
          <w:rFonts w:ascii="Arial" w:cs="Arial" w:eastAsia="Arial" w:hAnsi="Arial"/>
          <w:sz w:val="18"/>
          <w:szCs w:val="18"/>
          <w:color w:val="auto"/>
        </w:rPr>
        <w:t>. The Plan shall take effect on the date immediately preceding the date on which the Company’s registration statement on Form S-1 becomes effective following approval by the holders of a majority of the votes cast at a meeting of stockholders at which a quorum is present or by written consent of the stockholders.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80" w:top="274" w:right="259" w:bottom="1440" w:gutter="0" w:footer="0" w:header="0"/>
        </w:sectPr>
      </w:pPr>
    </w:p>
    <w:bookmarkStart w:id="485" w:name="page486"/>
    <w:bookmarkEnd w:id="48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April 6, 2018 (except Note 17(b), as to which the date is June 11, 2018) in Amendment No. 2 to the Registration Statement (Form S-1 No. 333-225213) and related Prospectus of AVROBIO, Inc. for the registration of 5,073,800 shares of its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11, 2018</w:t>
      </w:r>
    </w:p>
    <w:p>
      <w:pPr>
        <w:sectPr>
          <w:pgSz w:w="11900" w:h="16838" w:orient="portrait"/>
          <w:cols w:equalWidth="0" w:num="1">
            <w:col w:w="11020"/>
          </w:cols>
          <w:pgMar w:left="440" w:top="121" w:right="439" w:bottom="1440" w:gutter="0" w:footer="0" w:header="0"/>
        </w:sectPr>
      </w:pPr>
    </w:p>
    <w:bookmarkStart w:id="486" w:name="page487"/>
    <w:bookmarkEnd w:id="486"/>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Director Nominee</w:t>
      </w:r>
    </w:p>
    <w:p>
      <w:pPr>
        <w:spacing w:after="0" w:line="229" w:lineRule="exact"/>
        <w:rPr>
          <w:sz w:val="20"/>
          <w:szCs w:val="20"/>
          <w:color w:val="auto"/>
        </w:rPr>
      </w:pPr>
    </w:p>
    <w:p>
      <w:pPr>
        <w:ind w:right="160" w:firstLine="456"/>
        <w:spacing w:after="0" w:line="279" w:lineRule="auto"/>
        <w:rPr>
          <w:sz w:val="20"/>
          <w:szCs w:val="20"/>
          <w:color w:val="auto"/>
        </w:rPr>
      </w:pPr>
      <w:r>
        <w:rPr>
          <w:rFonts w:ascii="Arial" w:cs="Arial" w:eastAsia="Arial" w:hAnsi="Arial"/>
          <w:sz w:val="17"/>
          <w:szCs w:val="17"/>
          <w:color w:val="auto"/>
        </w:rPr>
        <w:t>AVROBIO, Inc. is filing a Registration Statement on Form S-1 with the Securities and Exchange Commission under the Securities Act of 1933, as amended (the “Securities Act”), in connection with the initial public offering of its common shares. In connection therewith, I hereby consent, pursuant to Rule 438 of the Securities Act, to being named as a nominee to the board of AVROBIO, Inc. in the Registration Statement, as may be amended from time to time. I also consent to the filing of this consent as an exhibit to such Registration Statement and any amendments thereto.</w:t>
      </w:r>
    </w:p>
    <w:p>
      <w:pPr>
        <w:spacing w:after="0" w:line="19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Phillip Donenberg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Phillip Donenberg</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May 28, 2018</w:t>
      </w:r>
    </w:p>
    <w:p>
      <w:pPr>
        <w:sectPr>
          <w:pgSz w:w="11900" w:h="16838" w:orient="portrait"/>
          <w:cols w:equalWidth="0" w:num="1">
            <w:col w:w="11420"/>
          </w:cols>
          <w:pgMar w:left="240" w:top="121" w:right="239" w:bottom="1440" w:gutter="0" w:footer="0" w:header="0"/>
        </w:sectPr>
      </w:pPr>
    </w:p>
    <w:bookmarkStart w:id="487" w:name="page488"/>
    <w:bookmarkEnd w:id="487"/>
    <w:p>
      <w:pPr>
        <w:ind w:left="8920"/>
        <w:spacing w:after="0"/>
        <w:rPr>
          <w:sz w:val="20"/>
          <w:szCs w:val="20"/>
          <w:color w:val="auto"/>
        </w:rPr>
      </w:pPr>
      <w:r>
        <w:rPr>
          <w:rFonts w:ascii="Arial" w:cs="Arial" w:eastAsia="Arial" w:hAnsi="Arial"/>
          <w:sz w:val="18"/>
          <w:szCs w:val="18"/>
          <w:color w:val="auto"/>
        </w:rPr>
        <w:t>Goodwin Procter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800860" cy="42037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0">
                      <a:extLst>
                        <a:ext uri="{28A0092B-C50C-407E-A947-70E740481C1C}"/>
                      </a:extLst>
                    </a:blip>
                    <a:srcRect/>
                    <a:stretch>
                      <a:fillRect/>
                    </a:stretch>
                  </pic:blipFill>
                  <pic:spPr bwMode="auto">
                    <a:xfrm>
                      <a:off x="0" y="0"/>
                      <a:ext cx="1800860" cy="420370"/>
                    </a:xfrm>
                    <a:prstGeom prst="rect">
                      <a:avLst/>
                    </a:prstGeom>
                    <a:noFill/>
                  </pic:spPr>
                </pic:pic>
              </a:graphicData>
            </a:graphic>
          </wp:anchor>
        </w:drawing>
      </w:r>
    </w:p>
    <w:p>
      <w:pPr>
        <w:spacing w:after="0" w:line="3" w:lineRule="exact"/>
        <w:rPr>
          <w:sz w:val="20"/>
          <w:szCs w:val="20"/>
          <w:color w:val="auto"/>
        </w:rPr>
      </w:pPr>
    </w:p>
    <w:p>
      <w:pPr>
        <w:ind w:left="8920"/>
        <w:spacing w:after="0"/>
        <w:rPr>
          <w:sz w:val="20"/>
          <w:szCs w:val="20"/>
          <w:color w:val="auto"/>
        </w:rPr>
      </w:pPr>
      <w:r>
        <w:rPr>
          <w:rFonts w:ascii="Arial" w:cs="Arial" w:eastAsia="Arial" w:hAnsi="Arial"/>
          <w:sz w:val="16"/>
          <w:szCs w:val="16"/>
          <w:color w:val="auto"/>
        </w:rPr>
        <w:t>100 Northern Avenue Boston, MA</w:t>
      </w:r>
    </w:p>
    <w:p>
      <w:pPr>
        <w:spacing w:after="0" w:line="32"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02210</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goodwinlaw.com</w:t>
      </w:r>
    </w:p>
    <w:p>
      <w:pPr>
        <w:spacing w:after="0" w:line="9" w:lineRule="exact"/>
        <w:rPr>
          <w:sz w:val="20"/>
          <w:szCs w:val="20"/>
          <w:color w:val="auto"/>
        </w:rPr>
      </w:pPr>
    </w:p>
    <w:p>
      <w:pPr>
        <w:ind w:left="8920"/>
        <w:spacing w:after="0"/>
        <w:rPr>
          <w:sz w:val="20"/>
          <w:szCs w:val="20"/>
          <w:color w:val="auto"/>
        </w:rPr>
      </w:pPr>
      <w:r>
        <w:rPr>
          <w:rFonts w:ascii="Arial" w:cs="Arial" w:eastAsia="Arial" w:hAnsi="Arial"/>
          <w:sz w:val="18"/>
          <w:szCs w:val="18"/>
          <w:color w:val="auto"/>
        </w:rPr>
        <w:t>+1 617 570 1000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June 11,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VIA FEDERAL EXPRESS AND EDGAR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Rolf Sundwall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Jim Rosenberg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Dorrie Yale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Suzanne Hayes</w:t>
      </w:r>
    </w:p>
    <w:p>
      <w:pPr>
        <w:spacing w:after="0" w:line="2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7"/>
          <w:szCs w:val="17"/>
          <w:b w:val="1"/>
          <w:bCs w:val="1"/>
          <w:color w:val="auto"/>
        </w:rPr>
        <w:t>AVROBIO,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RegistrationStatement on Form S-1</w:t>
      </w:r>
    </w:p>
    <w:p>
      <w:pPr>
        <w:spacing w:after="0" w:line="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File</w:t>
      </w:r>
      <w:r>
        <w:rPr>
          <w:sz w:val="20"/>
          <w:szCs w:val="20"/>
          <w:color w:val="auto"/>
        </w:rPr>
        <w:tab/>
      </w:r>
      <w:r>
        <w:rPr>
          <w:rFonts w:ascii="Arial" w:cs="Arial" w:eastAsia="Arial" w:hAnsi="Arial"/>
          <w:sz w:val="16"/>
          <w:szCs w:val="16"/>
          <w:b w:val="1"/>
          <w:bCs w:val="1"/>
          <w:color w:val="auto"/>
        </w:rPr>
        <w:t>No. 333-225213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CIK No. 0001681087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letter is being submitted on behalf of AVROBIO, Inc. (the “</w:t>
      </w:r>
      <w:r>
        <w:rPr>
          <w:rFonts w:ascii="Arial" w:cs="Arial" w:eastAsia="Arial" w:hAnsi="Arial"/>
          <w:sz w:val="17"/>
          <w:szCs w:val="17"/>
          <w:u w:val="single" w:color="auto"/>
          <w:color w:val="auto"/>
        </w:rPr>
        <w:t>Company</w:t>
      </w:r>
      <w:r>
        <w:rPr>
          <w:rFonts w:ascii="Arial" w:cs="Arial" w:eastAsia="Arial" w:hAnsi="Arial"/>
          <w:sz w:val="17"/>
          <w:szCs w:val="17"/>
          <w:color w:val="auto"/>
        </w:rPr>
        <w:t>”) to supplementally provide the Staff (the “</w:t>
      </w:r>
      <w:r>
        <w:rPr>
          <w:rFonts w:ascii="Arial" w:cs="Arial" w:eastAsia="Arial" w:hAnsi="Arial"/>
          <w:sz w:val="17"/>
          <w:szCs w:val="17"/>
          <w:u w:val="single" w:color="auto"/>
          <w:color w:val="auto"/>
        </w:rPr>
        <w:t>Staff</w:t>
      </w:r>
      <w:r>
        <w:rPr>
          <w:rFonts w:ascii="Arial" w:cs="Arial" w:eastAsia="Arial" w:hAnsi="Arial"/>
          <w:sz w:val="17"/>
          <w:szCs w:val="17"/>
          <w:color w:val="auto"/>
        </w:rPr>
        <w:t>”) of the U.S. Securities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with additional information with respect to the above-referenced Registration Statement (as amended,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that was filed with the Commission on May 25, 2018 and the letter that was submitted to the Commission on June 1, 2018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Letter</w:t>
      </w:r>
      <w:r>
        <w:rPr>
          <w:rFonts w:ascii="Arial" w:cs="Arial" w:eastAsia="Arial" w:hAnsi="Arial"/>
          <w:sz w:val="18"/>
          <w:szCs w:val="18"/>
          <w:color w:val="auto"/>
        </w:rPr>
        <w:t>”), in response to the Staff’s letter to the Company dated June 8, 2018 (the “</w:t>
      </w:r>
      <w:r>
        <w:rPr>
          <w:rFonts w:ascii="Arial" w:cs="Arial" w:eastAsia="Arial" w:hAnsi="Arial"/>
          <w:sz w:val="18"/>
          <w:szCs w:val="18"/>
          <w:u w:val="single" w:color="auto"/>
          <w:color w:val="auto"/>
        </w:rPr>
        <w:t>Comment Letter</w:t>
      </w:r>
      <w:r>
        <w:rPr>
          <w:rFonts w:ascii="Arial" w:cs="Arial" w:eastAsia="Arial" w:hAnsi="Arial"/>
          <w:sz w:val="18"/>
          <w:szCs w:val="18"/>
          <w:color w:val="auto"/>
        </w:rPr>
        <w:t>”).</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reference purposes, the text of the Comment Letter has been reproduced herein with responses below each numbered comment. For your convenience, we have italicized the reproduced Staff comments from the Comment Letter. Unless otherwise indicated, page references in the descriptions of the Staff’s comments and in the responses refer to the Registration Statement. All capitalized terms used and not otherwise defined herein shall have the meanings set forth in the Registration Statement.</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For the Staff’s convenience and to facilitate continuing the Staff’s analysis of the Initial Letter, the Company’s responses below do not give the effect to the 1-for-4.132 reverse stock split that was completed on June 7, 2018, as described in the Registration Statement.</w:t>
      </w:r>
    </w:p>
    <w:p>
      <w:pPr>
        <w:sectPr>
          <w:pgSz w:w="11900" w:h="16838" w:orient="portrait"/>
          <w:cols w:equalWidth="0" w:num="1">
            <w:col w:w="11420"/>
          </w:cols>
          <w:pgMar w:left="240" w:top="125" w:right="239" w:bottom="1440" w:gutter="0" w:footer="0" w:header="0"/>
        </w:sectPr>
      </w:pPr>
    </w:p>
    <w:bookmarkStart w:id="488" w:name="page489"/>
    <w:bookmarkEnd w:id="4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responses provided herein are based upon information provided to Goodwin Procter LLP by the Company. In addition to submitting this letter via EDGAR, we are sending via Federal Express four (4) copies of this letter.</w:t>
      </w:r>
    </w:p>
    <w:p>
      <w:pPr>
        <w:spacing w:after="0" w:line="279" w:lineRule="exact"/>
        <w:rPr>
          <w:sz w:val="20"/>
          <w:szCs w:val="20"/>
          <w:color w:val="auto"/>
        </w:rPr>
      </w:pPr>
    </w:p>
    <w:p>
      <w:pPr>
        <w:ind w:right="4440"/>
        <w:spacing w:after="0" w:line="383" w:lineRule="auto"/>
        <w:rPr>
          <w:sz w:val="20"/>
          <w:szCs w:val="20"/>
          <w:color w:val="auto"/>
        </w:rPr>
      </w:pPr>
      <w:r>
        <w:rPr>
          <w:rFonts w:ascii="Arial" w:cs="Arial" w:eastAsia="Arial" w:hAnsi="Arial"/>
          <w:sz w:val="18"/>
          <w:szCs w:val="18"/>
          <w:u w:val="single" w:color="auto"/>
          <w:color w:val="auto"/>
        </w:rPr>
        <w:t>Letter dated June 1, 2018 regarding determination of fair value of the Company’s common stock October 24, 2017 Valuation, page 3</w:t>
      </w:r>
    </w:p>
    <w:p>
      <w:pPr>
        <w:spacing w:after="0" w:line="1" w:lineRule="exact"/>
        <w:rPr>
          <w:sz w:val="20"/>
          <w:szCs w:val="20"/>
          <w:color w:val="auto"/>
        </w:rPr>
      </w:pPr>
    </w:p>
    <w:p>
      <w:pPr>
        <w:ind w:left="900" w:right="20" w:hanging="446"/>
        <w:spacing w:after="0" w:line="308" w:lineRule="auto"/>
        <w:tabs>
          <w:tab w:leader="none" w:pos="900" w:val="left"/>
        </w:tabs>
        <w:numPr>
          <w:ilvl w:val="0"/>
          <w:numId w:val="406"/>
        </w:numPr>
        <w:rPr>
          <w:rFonts w:ascii="Arial" w:cs="Arial" w:eastAsia="Arial" w:hAnsi="Arial"/>
          <w:sz w:val="17"/>
          <w:szCs w:val="17"/>
          <w:i w:val="1"/>
          <w:iCs w:val="1"/>
          <w:color w:val="auto"/>
        </w:rPr>
      </w:pPr>
      <w:r>
        <w:rPr>
          <w:rFonts w:ascii="Arial" w:cs="Arial" w:eastAsia="Arial" w:hAnsi="Arial"/>
          <w:sz w:val="17"/>
          <w:szCs w:val="17"/>
          <w:i w:val="1"/>
          <w:iCs w:val="1"/>
          <w:color w:val="auto"/>
        </w:rPr>
        <w:t>Please tell us why there is not an amount recorded for beneficial conversion feature related to the October 2017 series A preferred stock issuance considering your valuation of $.99 per share for your common stock and that the preferred stock was issued at $.79 per share.</w:t>
      </w:r>
    </w:p>
    <w:p>
      <w:pPr>
        <w:spacing w:after="0" w:line="14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RESPONSE: The Company supplementally advises the Staff that the shares of Series A preferred stock that were issued in October 2017 were sold at a price per share of $0.79 on October 5, 2017. The fair value of common stock for which the Series A preferred stock was convertible into was less than $0.79 on such issuance date. As a result, the Company concluded that there was no beneficial conversion feature on the date of issuance, which was considered to be the commitment date for purposes of determining whether there existed a beneficial conversion feature. The determination that no beneficial conversion feature existed was based on a qualitative assessment that the Company utilized at the time of issuance, which considered results of the then-most recent third-party valuation report, which was performed as of August 31, 2017 and that indicated a fair value of common stock of $0.53 per share, as well as other qualitative facts and circumstances, including the scientific and corporate milestones which had been achieved between August 31, 2017 and October 5, 2017. Based on this assessment, the Company concluded that the value of the common stock could not have increased above $0.79 per share on or prior to October 5, 2017, and therefore no beneficial conversion feature existed. This qualitative analysis was further supported by a subsequent retrospective third-party valuation report as of October 5, 2017, which indicated a fair value of common stock of $0.71 per share.</w:t>
      </w:r>
    </w:p>
    <w:p>
      <w:pPr>
        <w:spacing w:after="0" w:line="16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fair value of common stock of $0.99 per share that was disclosed in the Registration Statement was determined as of October 24, 2017. Subsequent to October 5, 2017, certain key events drove an increase in the fair value of the Company’s common stock, including the blood draw on October 12, 2017 from the first patient in the ongoing Phase 1 clinical trial of the Company’s lead product candidate AVR-RD-01 for the treatment of Fabry disease. Analysis of the data from the blood sample yielded significant and promising nine-month preliminary interim results, in which AVR-RD-01 demonstrated clinically significant increased enzyme activity above the range for males with classic Fabry disease. The Company believes that this blood draw and analysis led to a material increase in the probability of success of an initial public offering, the valuation of the Company that would be expected to be received in an initial public offering, and the enterprise value of the Company in a remain-private scenario.</w:t>
      </w:r>
    </w:p>
    <w:p>
      <w:pPr>
        <w:spacing w:after="0" w:line="17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acknowledges that for financial reporting purposes in the Registration Statement, the fair value of common stock utilized in the determination of stock-based compensation expense for awards granted on October 4, 2017 and October 17, 2017 utilized the fair value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89" w:name="page490"/>
    <w:bookmarkEnd w:id="4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common stock of $0.99 per share determined as of October 24, 2017. The Company reported this value in the Registration Statement because the retrospective valuation as of October 5, 2017 (which had determined a common stock fair value of $0.71 per share as of that date) was not yet available at the time the year-end financial statements were prepared, and this higher value represented a more conservative amount than the value determined in the previous valuation as of August 31, 2017 (which had determined a fair value of common stock of $0.53 per share). The Company advises the Staff that the effect of utilizing this higher valuation overstated rather than understated the magnitude of stock-based compensation expense relating to these issuances, but the Company believes that this overstatement was not material due to the limited number of awards issued on these dates, which totaled options to purchase 45,000 shares of common stock. Since the effect was not material, the Company has not adjusted the amounts recognized and disclosed in the Registration Statement to the fair value determined as of October 5, 2017.</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Valuations, page 3</w:t>
      </w:r>
    </w:p>
    <w:p>
      <w:pPr>
        <w:spacing w:after="0" w:line="131" w:lineRule="exact"/>
        <w:rPr>
          <w:sz w:val="20"/>
          <w:szCs w:val="20"/>
          <w:color w:val="auto"/>
        </w:rPr>
      </w:pPr>
    </w:p>
    <w:p>
      <w:pPr>
        <w:ind w:left="900" w:right="200" w:hanging="446"/>
        <w:spacing w:after="0" w:line="264" w:lineRule="auto"/>
        <w:tabs>
          <w:tab w:leader="none" w:pos="900" w:val="left"/>
        </w:tabs>
        <w:numPr>
          <w:ilvl w:val="0"/>
          <w:numId w:val="407"/>
        </w:numPr>
        <w:rPr>
          <w:rFonts w:ascii="Arial" w:cs="Arial" w:eastAsia="Arial" w:hAnsi="Arial"/>
          <w:sz w:val="18"/>
          <w:szCs w:val="18"/>
          <w:i w:val="1"/>
          <w:iCs w:val="1"/>
          <w:color w:val="auto"/>
        </w:rPr>
      </w:pPr>
      <w:r>
        <w:rPr>
          <w:rFonts w:ascii="Arial" w:cs="Arial" w:eastAsia="Arial" w:hAnsi="Arial"/>
          <w:sz w:val="18"/>
          <w:szCs w:val="18"/>
          <w:i w:val="1"/>
          <w:iCs w:val="1"/>
          <w:color w:val="auto"/>
        </w:rPr>
        <w:t>Please refer to the discussions of the valuations at various dates on page 3 and 4 beginning with the August 31, 2017 valuation. Provide us the IPO price per share before applying the probability percentage and the discount for lack of marketability. Provide us a description of the non-IPO scenario and the price per share before applying the discount for lack of marketability.</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RESPONSE: The Company supplementally advises the Staff that (i) the IPO scenario price per share before applying the probability percentage and discount for lack of marketability and (ii) the non-IPO scenario price per share before applying the discount for lack of marketability, in each case as described in the third party valuation reports for August 31, 2017, October 24, 2017, January 31, 2018 and March 31, 2018 are set forth below. For each of these valuations, the non-IPO scenario referred to a potential exit, and considered the timeline of the Company’s next required financing and a sale or merger event.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August 31, 2017</w:t>
      </w:r>
    </w:p>
    <w:p>
      <w:pPr>
        <w:spacing w:after="0" w:line="131" w:lineRule="exact"/>
        <w:rPr>
          <w:sz w:val="20"/>
          <w:szCs w:val="20"/>
          <w:color w:val="auto"/>
        </w:rPr>
      </w:pPr>
    </w:p>
    <w:p>
      <w:pPr>
        <w:ind w:left="900" w:hanging="325"/>
        <w:spacing w:after="0"/>
        <w:tabs>
          <w:tab w:leader="none" w:pos="9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IPO scenario price per share: $0.81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Non-IPO scenario price per share: $0.50.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October 24, 2017</w:t>
      </w:r>
    </w:p>
    <w:p>
      <w:pPr>
        <w:spacing w:after="0" w:line="131" w:lineRule="exact"/>
        <w:rPr>
          <w:sz w:val="20"/>
          <w:szCs w:val="20"/>
          <w:color w:val="auto"/>
        </w:rPr>
      </w:pPr>
    </w:p>
    <w:p>
      <w:pPr>
        <w:ind w:left="900" w:hanging="325"/>
        <w:spacing w:after="0"/>
        <w:tabs>
          <w:tab w:leader="none" w:pos="90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IPO scenario price per share: $1.21</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9"/>
        </w:numPr>
        <w:rPr>
          <w:rFonts w:ascii="Arial" w:cs="Arial" w:eastAsia="Arial" w:hAnsi="Arial"/>
          <w:sz w:val="18"/>
          <w:szCs w:val="18"/>
          <w:color w:val="auto"/>
        </w:rPr>
      </w:pPr>
      <w:r>
        <w:rPr>
          <w:rFonts w:ascii="Arial" w:cs="Arial" w:eastAsia="Arial" w:hAnsi="Arial"/>
          <w:sz w:val="18"/>
          <w:szCs w:val="18"/>
          <w:color w:val="auto"/>
        </w:rPr>
        <w:t>Non-IPO scenario price per share: $0.95.</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January 31, 2018</w:t>
      </w:r>
    </w:p>
    <w:p>
      <w:pPr>
        <w:spacing w:after="0" w:line="131" w:lineRule="exact"/>
        <w:rPr>
          <w:sz w:val="20"/>
          <w:szCs w:val="20"/>
          <w:color w:val="auto"/>
        </w:rPr>
      </w:pPr>
    </w:p>
    <w:p>
      <w:pPr>
        <w:ind w:left="900" w:hanging="325"/>
        <w:spacing w:after="0"/>
        <w:tabs>
          <w:tab w:leader="none" w:pos="9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IPO scenario price per share: $1.82</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Non-IPO scenario price per share: $1.00.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490" w:name="page491"/>
    <w:bookmarkEnd w:id="49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11,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March 31, 2018</w:t>
      </w:r>
    </w:p>
    <w:p>
      <w:pPr>
        <w:spacing w:after="0" w:line="131" w:lineRule="exact"/>
        <w:rPr>
          <w:sz w:val="20"/>
          <w:szCs w:val="20"/>
          <w:color w:val="auto"/>
        </w:rPr>
      </w:pPr>
    </w:p>
    <w:p>
      <w:pPr>
        <w:ind w:left="900" w:hanging="325"/>
        <w:spacing w:after="0"/>
        <w:tabs>
          <w:tab w:leader="none" w:pos="90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IPO scenario price per share: $1.93</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11"/>
        </w:numPr>
        <w:rPr>
          <w:rFonts w:ascii="Arial" w:cs="Arial" w:eastAsia="Arial" w:hAnsi="Arial"/>
          <w:sz w:val="18"/>
          <w:szCs w:val="18"/>
          <w:color w:val="auto"/>
        </w:rPr>
      </w:pPr>
      <w:r>
        <w:rPr>
          <w:rFonts w:ascii="Arial" w:cs="Arial" w:eastAsia="Arial" w:hAnsi="Arial"/>
          <w:sz w:val="18"/>
          <w:szCs w:val="18"/>
          <w:color w:val="auto"/>
        </w:rPr>
        <w:t>Non-IPO scenario price per share: $1.00.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have any questions or comments regarding the foregoing, or if there is any additional information that we might provide to assist the Staff’s review, please contact the undersigned at (617) 570-1483.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James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Xu, Esq.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GOODWIN PROCTER LLP</w:t>
      </w:r>
    </w:p>
    <w:p>
      <w:pPr>
        <w:spacing w:after="0" w:line="252" w:lineRule="exact"/>
        <w:rPr>
          <w:sz w:val="20"/>
          <w:szCs w:val="20"/>
          <w:color w:val="auto"/>
        </w:rPr>
      </w:pPr>
    </w:p>
    <w:p>
      <w:pPr>
        <w:jc w:val="both"/>
        <w:ind w:left="460" w:right="8400" w:hanging="452"/>
        <w:spacing w:after="0" w:line="291" w:lineRule="auto"/>
        <w:tabs>
          <w:tab w:leader="none" w:pos="46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 xml:space="preserve">Geoff MacKay, </w:t>
      </w:r>
      <w:r>
        <w:rPr>
          <w:rFonts w:ascii="Arial" w:cs="Arial" w:eastAsia="Arial" w:hAnsi="Arial"/>
          <w:sz w:val="16"/>
          <w:szCs w:val="16"/>
          <w:i w:val="1"/>
          <w:iCs w:val="1"/>
          <w:color w:val="auto"/>
        </w:rPr>
        <w:t>AVROBIO, Inc.</w:t>
      </w:r>
      <w:r>
        <w:rPr>
          <w:rFonts w:ascii="Arial" w:cs="Arial" w:eastAsia="Arial" w:hAnsi="Arial"/>
          <w:sz w:val="16"/>
          <w:szCs w:val="16"/>
          <w:color w:val="auto"/>
        </w:rPr>
        <w:t xml:space="preserve"> Katina Dorton, </w:t>
      </w:r>
      <w:r>
        <w:rPr>
          <w:rFonts w:ascii="Arial" w:cs="Arial" w:eastAsia="Arial" w:hAnsi="Arial"/>
          <w:sz w:val="16"/>
          <w:szCs w:val="16"/>
          <w:i w:val="1"/>
          <w:iCs w:val="1"/>
          <w:color w:val="auto"/>
        </w:rPr>
        <w:t>AVROBIO, Inc.</w:t>
      </w:r>
    </w:p>
    <w:p>
      <w:pPr>
        <w:ind w:left="460"/>
        <w:spacing w:after="0"/>
        <w:rPr>
          <w:rFonts w:ascii="Arial" w:cs="Arial" w:eastAsia="Arial" w:hAnsi="Arial"/>
          <w:sz w:val="16"/>
          <w:szCs w:val="16"/>
          <w:color w:val="auto"/>
        </w:rPr>
      </w:pPr>
      <w:r>
        <w:rPr>
          <w:rFonts w:ascii="Arial" w:cs="Arial" w:eastAsia="Arial" w:hAnsi="Arial"/>
          <w:sz w:val="18"/>
          <w:szCs w:val="18"/>
          <w:color w:val="auto"/>
        </w:rPr>
        <w:t xml:space="preserve">Arthur R. McGivern, Esq., </w:t>
      </w:r>
      <w:r>
        <w:rPr>
          <w:rFonts w:ascii="Arial" w:cs="Arial" w:eastAsia="Arial" w:hAnsi="Arial"/>
          <w:sz w:val="18"/>
          <w:szCs w:val="18"/>
          <w:i w:val="1"/>
          <w:iCs w:val="1"/>
          <w:color w:val="auto"/>
        </w:rPr>
        <w:t>Goodwin Procter LLP</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sectPr>
      <w:pgSz w:w="11900" w:h="16838" w:orient="portrait"/>
      <w:cols w:equalWidth="0" w:num="1">
        <w:col w:w="11120"/>
      </w:cols>
      <w:pgMar w:left="240" w:top="27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38F265"/>
    <w:multiLevelType w:val="hybridMultilevel"/>
    <w:lvl w:ilvl="0">
      <w:lvlJc w:val="left"/>
      <w:lvlText w:val="(%1)"/>
      <w:numFmt w:val="decimal"/>
      <w:start w:val="1"/>
    </w:lvl>
  </w:abstractNum>
  <w:abstractNum w:abstractNumId="1">
    <w:nsid w:val="4C502870"/>
    <w:multiLevelType w:val="hybridMultilevel"/>
    <w:lvl w:ilvl="0">
      <w:lvlJc w:val="left"/>
      <w:lvlText w:val="(%1)"/>
      <w:numFmt w:val="decimal"/>
      <w:start w:val="1"/>
    </w:lvl>
  </w:abstractNum>
  <w:abstractNum w:abstractNumId="2">
    <w:nsid w:val="1DE8725A"/>
    <w:multiLevelType w:val="hybridMultilevel"/>
    <w:lvl w:ilvl="0">
      <w:lvlJc w:val="left"/>
      <w:lvlText w:val="•"/>
      <w:numFmt w:val="bullet"/>
      <w:start w:val="1"/>
    </w:lvl>
  </w:abstractNum>
  <w:abstractNum w:abstractNumId="3">
    <w:nsid w:val="6A37288A"/>
    <w:multiLevelType w:val="hybridMultilevel"/>
    <w:lvl w:ilvl="0">
      <w:lvlJc w:val="left"/>
      <w:lvlText w:val="•"/>
      <w:numFmt w:val="bullet"/>
      <w:start w:val="1"/>
    </w:lvl>
  </w:abstractNum>
  <w:abstractNum w:abstractNumId="4">
    <w:nsid w:val="8F8B73F"/>
    <w:multiLevelType w:val="hybridMultilevel"/>
    <w:lvl w:ilvl="0">
      <w:lvlJc w:val="left"/>
      <w:lvlText w:val="•"/>
      <w:numFmt w:val="bullet"/>
      <w:start w:val="1"/>
    </w:lvl>
  </w:abstractNum>
  <w:abstractNum w:abstractNumId="5">
    <w:nsid w:val="CA6B462"/>
    <w:multiLevelType w:val="hybridMultilevel"/>
    <w:lvl w:ilvl="0">
      <w:lvlJc w:val="left"/>
      <w:lvlText w:val="•"/>
      <w:numFmt w:val="bullet"/>
      <w:start w:val="1"/>
    </w:lvl>
  </w:abstractNum>
  <w:abstractNum w:abstractNumId="6">
    <w:nsid w:val="763CB680"/>
    <w:multiLevelType w:val="hybridMultilevel"/>
    <w:lvl w:ilvl="0">
      <w:lvlJc w:val="left"/>
      <w:lvlText w:val="•"/>
      <w:numFmt w:val="bullet"/>
      <w:start w:val="1"/>
    </w:lvl>
  </w:abstractNum>
  <w:abstractNum w:abstractNumId="7">
    <w:nsid w:val="15B71329"/>
    <w:multiLevelType w:val="hybridMultilevel"/>
    <w:lvl w:ilvl="0">
      <w:lvlJc w:val="left"/>
      <w:lvlText w:val="•"/>
      <w:numFmt w:val="bullet"/>
      <w:start w:val="1"/>
    </w:lvl>
  </w:abstractNum>
  <w:abstractNum w:abstractNumId="8">
    <w:nsid w:val="3DA97044"/>
    <w:multiLevelType w:val="hybridMultilevel"/>
    <w:lvl w:ilvl="0">
      <w:lvlJc w:val="left"/>
      <w:lvlText w:val="•"/>
      <w:numFmt w:val="bullet"/>
      <w:start w:val="1"/>
    </w:lvl>
  </w:abstractNum>
  <w:abstractNum w:abstractNumId="9">
    <w:nsid w:val="1CDCE2DE"/>
    <w:multiLevelType w:val="hybridMultilevel"/>
    <w:lvl w:ilvl="0">
      <w:lvlJc w:val="left"/>
      <w:lvlText w:val="(%1)"/>
      <w:numFmt w:val="decimal"/>
      <w:start w:val="1"/>
    </w:lvl>
  </w:abstractNum>
  <w:abstractNum w:abstractNumId="10">
    <w:nsid w:val="69D3947C"/>
    <w:multiLevelType w:val="hybridMultilevel"/>
    <w:lvl w:ilvl="0">
      <w:lvlJc w:val="left"/>
      <w:lvlText w:val="(%1)"/>
      <w:numFmt w:val="decimal"/>
      <w:start w:val="1"/>
    </w:lvl>
  </w:abstractNum>
  <w:abstractNum w:abstractNumId="11">
    <w:nsid w:val="2539DFA5"/>
    <w:multiLevelType w:val="hybridMultilevel"/>
    <w:lvl w:ilvl="0">
      <w:lvlJc w:val="left"/>
      <w:lvlText w:val="•"/>
      <w:numFmt w:val="bullet"/>
      <w:start w:val="1"/>
    </w:lvl>
  </w:abstractNum>
  <w:abstractNum w:abstractNumId="12">
    <w:nsid w:val="2DB88089"/>
    <w:multiLevelType w:val="hybridMultilevel"/>
    <w:lvl w:ilvl="0">
      <w:lvlJc w:val="left"/>
      <w:lvlText w:val="•"/>
      <w:numFmt w:val="bullet"/>
      <w:start w:val="1"/>
    </w:lvl>
  </w:abstractNum>
  <w:abstractNum w:abstractNumId="13">
    <w:nsid w:val="706B674E"/>
    <w:multiLevelType w:val="hybridMultilevel"/>
    <w:lvl w:ilvl="0">
      <w:lvlJc w:val="left"/>
      <w:lvlText w:val="•"/>
      <w:numFmt w:val="bullet"/>
      <w:start w:val="1"/>
    </w:lvl>
  </w:abstractNum>
  <w:abstractNum w:abstractNumId="14">
    <w:nsid w:val="2C106A57"/>
    <w:multiLevelType w:val="hybridMultilevel"/>
    <w:lvl w:ilvl="0">
      <w:lvlJc w:val="left"/>
      <w:lvlText w:val="•"/>
      <w:numFmt w:val="bullet"/>
      <w:start w:val="1"/>
    </w:lvl>
  </w:abstractNum>
  <w:abstractNum w:abstractNumId="15">
    <w:nsid w:val="684EED59"/>
    <w:multiLevelType w:val="hybridMultilevel"/>
    <w:lvl w:ilvl="0">
      <w:lvlJc w:val="left"/>
      <w:lvlText w:val="•"/>
      <w:numFmt w:val="bullet"/>
      <w:start w:val="1"/>
    </w:lvl>
  </w:abstractNum>
  <w:abstractNum w:abstractNumId="16">
    <w:nsid w:val="545EE5D3"/>
    <w:multiLevelType w:val="hybridMultilevel"/>
    <w:lvl w:ilvl="0">
      <w:lvlJc w:val="left"/>
      <w:lvlText w:val="•"/>
      <w:numFmt w:val="bullet"/>
      <w:start w:val="1"/>
    </w:lvl>
  </w:abstractNum>
  <w:abstractNum w:abstractNumId="17">
    <w:nsid w:val="4A66051"/>
    <w:multiLevelType w:val="hybridMultilevel"/>
    <w:lvl w:ilvl="0">
      <w:lvlJc w:val="left"/>
      <w:lvlText w:val="•"/>
      <w:numFmt w:val="bullet"/>
      <w:start w:val="1"/>
    </w:lvl>
  </w:abstractNum>
  <w:abstractNum w:abstractNumId="18">
    <w:nsid w:val="20F4BDAD"/>
    <w:multiLevelType w:val="hybridMultilevel"/>
    <w:lvl w:ilvl="0">
      <w:lvlJc w:val="left"/>
      <w:lvlText w:val="•"/>
      <w:numFmt w:val="bullet"/>
      <w:start w:val="1"/>
    </w:lvl>
  </w:abstractNum>
  <w:abstractNum w:abstractNumId="19">
    <w:nsid w:val="639DEFAC"/>
    <w:multiLevelType w:val="hybridMultilevel"/>
    <w:lvl w:ilvl="0">
      <w:lvlJc w:val="left"/>
      <w:lvlText w:val="(%1)"/>
      <w:numFmt w:val="decimal"/>
      <w:start w:val="2"/>
    </w:lvl>
  </w:abstractNum>
  <w:abstractNum w:abstractNumId="20">
    <w:nsid w:val="501F9786"/>
    <w:multiLevelType w:val="hybridMultilevel"/>
    <w:lvl w:ilvl="0">
      <w:lvlJc w:val="left"/>
      <w:lvlText w:val="•"/>
      <w:numFmt w:val="bullet"/>
      <w:start w:val="1"/>
    </w:lvl>
  </w:abstractNum>
  <w:abstractNum w:abstractNumId="21">
    <w:nsid w:val="6B057295"/>
    <w:multiLevelType w:val="hybridMultilevel"/>
    <w:lvl w:ilvl="0">
      <w:lvlJc w:val="left"/>
      <w:lvlText w:val="•"/>
      <w:numFmt w:val="bullet"/>
      <w:start w:val="1"/>
    </w:lvl>
  </w:abstractNum>
  <w:abstractNum w:abstractNumId="22">
    <w:nsid w:val="2771AC80"/>
    <w:multiLevelType w:val="hybridMultilevel"/>
    <w:lvl w:ilvl="0">
      <w:lvlJc w:val="left"/>
      <w:lvlText w:val="•"/>
      <w:numFmt w:val="bullet"/>
      <w:start w:val="1"/>
    </w:lvl>
  </w:abstractNum>
  <w:abstractNum w:abstractNumId="23">
    <w:nsid w:val="1C4A08EC"/>
    <w:multiLevelType w:val="hybridMultilevel"/>
    <w:lvl w:ilvl="0">
      <w:lvlJc w:val="left"/>
      <w:lvlText w:val="•"/>
      <w:numFmt w:val="bullet"/>
      <w:start w:val="1"/>
    </w:lvl>
  </w:abstractNum>
  <w:abstractNum w:abstractNumId="24">
    <w:nsid w:val="1958BD17"/>
    <w:multiLevelType w:val="hybridMultilevel"/>
    <w:lvl w:ilvl="0">
      <w:lvlJc w:val="left"/>
      <w:lvlText w:val="•"/>
      <w:numFmt w:val="bullet"/>
      <w:start w:val="1"/>
    </w:lvl>
  </w:abstractNum>
  <w:abstractNum w:abstractNumId="25">
    <w:nsid w:val="4E647FE4"/>
    <w:multiLevelType w:val="hybridMultilevel"/>
    <w:lvl w:ilvl="0">
      <w:lvlJc w:val="left"/>
      <w:lvlText w:val="•"/>
      <w:numFmt w:val="bullet"/>
      <w:start w:val="1"/>
    </w:lvl>
  </w:abstractNum>
  <w:abstractNum w:abstractNumId="26">
    <w:nsid w:val="E0BB885"/>
    <w:multiLevelType w:val="hybridMultilevel"/>
    <w:lvl w:ilvl="0">
      <w:lvlJc w:val="left"/>
      <w:lvlText w:val="•"/>
      <w:numFmt w:val="bullet"/>
      <w:start w:val="1"/>
    </w:lvl>
  </w:abstractNum>
  <w:abstractNum w:abstractNumId="27">
    <w:nsid w:val="565976F1"/>
    <w:multiLevelType w:val="hybridMultilevel"/>
    <w:lvl w:ilvl="0">
      <w:lvlJc w:val="left"/>
      <w:lvlText w:val="•"/>
      <w:numFmt w:val="bullet"/>
      <w:start w:val="1"/>
    </w:lvl>
  </w:abstractNum>
  <w:abstractNum w:abstractNumId="28">
    <w:nsid w:val="64212B8C"/>
    <w:multiLevelType w:val="hybridMultilevel"/>
    <w:lvl w:ilvl="0">
      <w:lvlJc w:val="left"/>
      <w:lvlText w:val="•"/>
      <w:numFmt w:val="bullet"/>
      <w:start w:val="1"/>
    </w:lvl>
  </w:abstractNum>
  <w:abstractNum w:abstractNumId="29">
    <w:nsid w:val="5C17530C"/>
    <w:multiLevelType w:val="hybridMultilevel"/>
    <w:lvl w:ilvl="0">
      <w:lvlJc w:val="left"/>
      <w:lvlText w:val="•"/>
      <w:numFmt w:val="bullet"/>
      <w:start w:val="1"/>
    </w:lvl>
  </w:abstractNum>
  <w:abstractNum w:abstractNumId="30">
    <w:nsid w:val="19A52566"/>
    <w:multiLevelType w:val="hybridMultilevel"/>
    <w:lvl w:ilvl="0">
      <w:lvlJc w:val="left"/>
      <w:lvlText w:val="•"/>
      <w:numFmt w:val="bullet"/>
      <w:start w:val="1"/>
    </w:lvl>
  </w:abstractNum>
  <w:abstractNum w:abstractNumId="31">
    <w:nsid w:val="335A1DF1"/>
    <w:multiLevelType w:val="hybridMultilevel"/>
    <w:lvl w:ilvl="0">
      <w:lvlJc w:val="left"/>
      <w:lvlText w:val="•"/>
      <w:numFmt w:val="bullet"/>
      <w:start w:val="1"/>
    </w:lvl>
  </w:abstractNum>
  <w:abstractNum w:abstractNumId="32">
    <w:nsid w:val="28677B7C"/>
    <w:multiLevelType w:val="hybridMultilevel"/>
    <w:lvl w:ilvl="0">
      <w:lvlJc w:val="left"/>
      <w:lvlText w:val="•"/>
      <w:numFmt w:val="bullet"/>
      <w:start w:val="1"/>
    </w:lvl>
  </w:abstractNum>
  <w:abstractNum w:abstractNumId="33">
    <w:nsid w:val="378D97C0"/>
    <w:multiLevelType w:val="hybridMultilevel"/>
    <w:lvl w:ilvl="0">
      <w:lvlJc w:val="left"/>
      <w:lvlText w:val="•"/>
      <w:numFmt w:val="bullet"/>
      <w:start w:val="1"/>
    </w:lvl>
  </w:abstractNum>
  <w:abstractNum w:abstractNumId="34">
    <w:nsid w:val="1D91467C"/>
    <w:multiLevelType w:val="hybridMultilevel"/>
    <w:lvl w:ilvl="0">
      <w:lvlJc w:val="left"/>
      <w:lvlText w:val="•"/>
      <w:numFmt w:val="bullet"/>
      <w:start w:val="1"/>
    </w:lvl>
  </w:abstractNum>
  <w:abstractNum w:abstractNumId="35">
    <w:nsid w:val="316032BB"/>
    <w:multiLevelType w:val="hybridMultilevel"/>
    <w:lvl w:ilvl="0">
      <w:lvlJc w:val="left"/>
      <w:lvlText w:val="•"/>
      <w:numFmt w:val="bullet"/>
      <w:start w:val="1"/>
    </w:lvl>
  </w:abstractNum>
  <w:abstractNum w:abstractNumId="36">
    <w:nsid w:val="44344C22"/>
    <w:multiLevelType w:val="hybridMultilevel"/>
    <w:lvl w:ilvl="0">
      <w:lvlJc w:val="left"/>
      <w:lvlText w:val="•"/>
      <w:numFmt w:val="bullet"/>
      <w:start w:val="1"/>
    </w:lvl>
  </w:abstractNum>
  <w:abstractNum w:abstractNumId="37">
    <w:nsid w:val="13CDFCFC"/>
    <w:multiLevelType w:val="hybridMultilevel"/>
    <w:lvl w:ilvl="0">
      <w:lvlJc w:val="left"/>
      <w:lvlText w:val="•"/>
      <w:numFmt w:val="bullet"/>
      <w:start w:val="1"/>
    </w:lvl>
  </w:abstractNum>
  <w:abstractNum w:abstractNumId="38">
    <w:nsid w:val="471745E4"/>
    <w:multiLevelType w:val="hybridMultilevel"/>
    <w:lvl w:ilvl="0">
      <w:lvlJc w:val="left"/>
      <w:lvlText w:val="•"/>
      <w:numFmt w:val="bullet"/>
      <w:start w:val="1"/>
    </w:lvl>
  </w:abstractNum>
  <w:abstractNum w:abstractNumId="39">
    <w:nsid w:val="1DDBC66"/>
    <w:multiLevelType w:val="hybridMultilevel"/>
    <w:lvl w:ilvl="0">
      <w:lvlJc w:val="left"/>
      <w:lvlText w:val="•"/>
      <w:numFmt w:val="bullet"/>
      <w:start w:val="1"/>
    </w:lvl>
  </w:abstractNum>
  <w:abstractNum w:abstractNumId="40">
    <w:nsid w:val="30AADFDA"/>
    <w:multiLevelType w:val="hybridMultilevel"/>
    <w:lvl w:ilvl="0">
      <w:lvlJc w:val="left"/>
      <w:lvlText w:val="•"/>
      <w:numFmt w:val="bullet"/>
      <w:start w:val="1"/>
    </w:lvl>
  </w:abstractNum>
  <w:abstractNum w:abstractNumId="41">
    <w:nsid w:val="30EADA61"/>
    <w:multiLevelType w:val="hybridMultilevel"/>
    <w:lvl w:ilvl="0">
      <w:lvlJc w:val="left"/>
      <w:lvlText w:val="•"/>
      <w:numFmt w:val="bullet"/>
      <w:start w:val="1"/>
    </w:lvl>
    <w:lvl w:ilvl="1">
      <w:lvlJc w:val="left"/>
      <w:lvlText w:val="•"/>
      <w:numFmt w:val="bullet"/>
      <w:start w:val="1"/>
    </w:lvl>
  </w:abstractNum>
  <w:abstractNum w:abstractNumId="42">
    <w:nsid w:val="27179C0B"/>
    <w:multiLevelType w:val="hybridMultilevel"/>
    <w:lvl w:ilvl="0">
      <w:lvlJc w:val="left"/>
      <w:lvlText w:val="(%1)"/>
      <w:numFmt w:val="decimal"/>
      <w:start w:val="1"/>
    </w:lvl>
    <w:lvl w:ilvl="1">
      <w:lvlJc w:val="left"/>
      <w:lvlText w:val="•"/>
      <w:numFmt w:val="bullet"/>
      <w:start w:val="1"/>
    </w:lvl>
  </w:abstractNum>
  <w:abstractNum w:abstractNumId="43">
    <w:nsid w:val="5E636063"/>
    <w:multiLevelType w:val="hybridMultilevel"/>
    <w:lvl w:ilvl="0">
      <w:lvlJc w:val="left"/>
      <w:lvlText w:val="•"/>
      <w:numFmt w:val="bullet"/>
      <w:start w:val="1"/>
    </w:lvl>
  </w:abstractNum>
  <w:abstractNum w:abstractNumId="44">
    <w:nsid w:val="215641AF"/>
    <w:multiLevelType w:val="hybridMultilevel"/>
    <w:lvl w:ilvl="0">
      <w:lvlJc w:val="left"/>
      <w:lvlText w:val="•"/>
      <w:numFmt w:val="bullet"/>
      <w:start w:val="1"/>
    </w:lvl>
  </w:abstractNum>
  <w:abstractNum w:abstractNumId="45">
    <w:nsid w:val="53280662"/>
    <w:multiLevelType w:val="hybridMultilevel"/>
    <w:lvl w:ilvl="0">
      <w:lvlJc w:val="left"/>
      <w:lvlText w:val="(%1)"/>
      <w:numFmt w:val="decimal"/>
      <w:start w:val="1"/>
    </w:lvl>
  </w:abstractNum>
  <w:abstractNum w:abstractNumId="46">
    <w:nsid w:val="46B24DBC"/>
    <w:multiLevelType w:val="hybridMultilevel"/>
    <w:lvl w:ilvl="0">
      <w:lvlJc w:val="left"/>
      <w:lvlText w:val="(%1)"/>
      <w:numFmt w:val="decimal"/>
      <w:start w:val="1"/>
    </w:lvl>
  </w:abstractNum>
  <w:abstractNum w:abstractNumId="47">
    <w:nsid w:val="75B52783"/>
    <w:multiLevelType w:val="hybridMultilevel"/>
    <w:lvl w:ilvl="0">
      <w:lvlJc w:val="left"/>
      <w:lvlText w:val="•"/>
      <w:numFmt w:val="bullet"/>
      <w:start w:val="1"/>
    </w:lvl>
  </w:abstractNum>
  <w:abstractNum w:abstractNumId="48">
    <w:nsid w:val="57CE66B4"/>
    <w:multiLevelType w:val="hybridMultilevel"/>
    <w:lvl w:ilvl="0">
      <w:lvlJc w:val="left"/>
      <w:lvlText w:val="•"/>
      <w:numFmt w:val="bullet"/>
      <w:start w:val="1"/>
    </w:lvl>
  </w:abstractNum>
  <w:abstractNum w:abstractNumId="49">
    <w:nsid w:val="67A70B69"/>
    <w:multiLevelType w:val="hybridMultilevel"/>
    <w:lvl w:ilvl="0">
      <w:lvlJc w:val="left"/>
      <w:lvlText w:val="•"/>
      <w:numFmt w:val="bullet"/>
      <w:start w:val="1"/>
    </w:lvl>
  </w:abstractNum>
  <w:abstractNum w:abstractNumId="50">
    <w:nsid w:val="5953172F"/>
    <w:multiLevelType w:val="hybridMultilevel"/>
    <w:lvl w:ilvl="0">
      <w:lvlJc w:val="left"/>
      <w:lvlText w:val="•"/>
      <w:numFmt w:val="bullet"/>
      <w:start w:val="1"/>
    </w:lvl>
  </w:abstractNum>
  <w:abstractNum w:abstractNumId="51">
    <w:nsid w:val="27EDFE3A"/>
    <w:multiLevelType w:val="hybridMultilevel"/>
    <w:lvl w:ilvl="0">
      <w:lvlJc w:val="left"/>
      <w:lvlText w:val="•"/>
      <w:numFmt w:val="bullet"/>
      <w:start w:val="1"/>
    </w:lvl>
  </w:abstractNum>
  <w:abstractNum w:abstractNumId="52">
    <w:nsid w:val="52AC7DFF"/>
    <w:multiLevelType w:val="hybridMultilevel"/>
    <w:lvl w:ilvl="0">
      <w:lvlJc w:val="left"/>
      <w:lvlText w:val="(%1)"/>
      <w:numFmt w:val="decimal"/>
      <w:start w:val="1"/>
    </w:lvl>
  </w:abstractNum>
  <w:abstractNum w:abstractNumId="53">
    <w:nsid w:val="C4C3AF"/>
    <w:multiLevelType w:val="hybridMultilevel"/>
    <w:lvl w:ilvl="0">
      <w:lvlJc w:val="left"/>
      <w:lvlText w:val="•"/>
      <w:numFmt w:val="bullet"/>
      <w:start w:val="1"/>
    </w:lvl>
  </w:abstractNum>
  <w:abstractNum w:abstractNumId="54">
    <w:nsid w:val="44380727"/>
    <w:multiLevelType w:val="hybridMultilevel"/>
    <w:lvl w:ilvl="0">
      <w:lvlJc w:val="left"/>
      <w:lvlText w:val="•"/>
      <w:numFmt w:val="bullet"/>
      <w:start w:val="1"/>
    </w:lvl>
  </w:abstractNum>
  <w:abstractNum w:abstractNumId="55">
    <w:nsid w:val="6C053B16"/>
    <w:multiLevelType w:val="hybridMultilevel"/>
    <w:lvl w:ilvl="0">
      <w:lvlJc w:val="left"/>
      <w:lvlText w:val="•"/>
      <w:numFmt w:val="bullet"/>
      <w:start w:val="1"/>
    </w:lvl>
  </w:abstractNum>
  <w:abstractNum w:abstractNumId="56">
    <w:nsid w:val="4F294393"/>
    <w:multiLevelType w:val="hybridMultilevel"/>
    <w:lvl w:ilvl="0">
      <w:lvlJc w:val="left"/>
      <w:lvlText w:val="•"/>
      <w:numFmt w:val="bullet"/>
      <w:start w:val="1"/>
    </w:lvl>
  </w:abstractNum>
  <w:abstractNum w:abstractNumId="57">
    <w:nsid w:val="5243BFAC"/>
    <w:multiLevelType w:val="hybridMultilevel"/>
    <w:lvl w:ilvl="0">
      <w:lvlJc w:val="left"/>
      <w:lvlText w:val="•"/>
      <w:numFmt w:val="bullet"/>
      <w:start w:val="1"/>
    </w:lvl>
  </w:abstractNum>
  <w:abstractNum w:abstractNumId="58">
    <w:nsid w:val="425EB207"/>
    <w:multiLevelType w:val="hybridMultilevel"/>
    <w:lvl w:ilvl="0">
      <w:lvlJc w:val="left"/>
      <w:lvlText w:val="•"/>
      <w:numFmt w:val="bullet"/>
      <w:start w:val="1"/>
    </w:lvl>
  </w:abstractNum>
  <w:abstractNum w:abstractNumId="59">
    <w:nsid w:val="334A6F1F"/>
    <w:multiLevelType w:val="hybridMultilevel"/>
    <w:lvl w:ilvl="0">
      <w:lvlJc w:val="left"/>
      <w:lvlText w:val="•"/>
      <w:numFmt w:val="bullet"/>
      <w:start w:val="1"/>
    </w:lvl>
  </w:abstractNum>
  <w:abstractNum w:abstractNumId="60">
    <w:nsid w:val="2E5B12B8"/>
    <w:multiLevelType w:val="hybridMultilevel"/>
    <w:lvl w:ilvl="0">
      <w:lvlJc w:val="left"/>
      <w:lvlText w:val="•"/>
      <w:numFmt w:val="bullet"/>
      <w:start w:val="1"/>
    </w:lvl>
  </w:abstractNum>
  <w:abstractNum w:abstractNumId="61">
    <w:nsid w:val="5C03D76D"/>
    <w:multiLevelType w:val="hybridMultilevel"/>
    <w:lvl w:ilvl="0">
      <w:lvlJc w:val="left"/>
      <w:lvlText w:val="•"/>
      <w:numFmt w:val="bullet"/>
      <w:start w:val="1"/>
    </w:lvl>
  </w:abstractNum>
  <w:abstractNum w:abstractNumId="62">
    <w:nsid w:val="66A48D11"/>
    <w:multiLevelType w:val="hybridMultilevel"/>
    <w:lvl w:ilvl="0">
      <w:lvlJc w:val="left"/>
      <w:lvlText w:val="•"/>
      <w:numFmt w:val="bullet"/>
      <w:start w:val="1"/>
    </w:lvl>
  </w:abstractNum>
  <w:abstractNum w:abstractNumId="63">
    <w:nsid w:val="56C28E34"/>
    <w:multiLevelType w:val="hybridMultilevel"/>
    <w:lvl w:ilvl="0">
      <w:lvlJc w:val="left"/>
      <w:lvlText w:val="•"/>
      <w:numFmt w:val="bullet"/>
      <w:start w:val="1"/>
    </w:lvl>
  </w:abstractNum>
  <w:abstractNum w:abstractNumId="64">
    <w:nsid w:val="13916F2D"/>
    <w:multiLevelType w:val="hybridMultilevel"/>
    <w:lvl w:ilvl="0">
      <w:lvlJc w:val="left"/>
      <w:lvlText w:val="•"/>
      <w:numFmt w:val="bullet"/>
      <w:start w:val="1"/>
    </w:lvl>
  </w:abstractNum>
  <w:abstractNum w:abstractNumId="65">
    <w:nsid w:val="435D38D"/>
    <w:multiLevelType w:val="hybridMultilevel"/>
    <w:lvl w:ilvl="0">
      <w:lvlJc w:val="left"/>
      <w:lvlText w:val="•"/>
      <w:numFmt w:val="bullet"/>
      <w:start w:val="1"/>
    </w:lvl>
  </w:abstractNum>
  <w:abstractNum w:abstractNumId="66">
    <w:nsid w:val="822C0EF"/>
    <w:multiLevelType w:val="hybridMultilevel"/>
    <w:lvl w:ilvl="0">
      <w:lvlJc w:val="left"/>
      <w:lvlText w:val="•"/>
      <w:numFmt w:val="bullet"/>
      <w:start w:val="1"/>
    </w:lvl>
  </w:abstractNum>
  <w:abstractNum w:abstractNumId="67">
    <w:nsid w:val="57C5BB4F"/>
    <w:multiLevelType w:val="hybridMultilevel"/>
    <w:lvl w:ilvl="0">
      <w:lvlJc w:val="left"/>
      <w:lvlText w:val="•"/>
      <w:numFmt w:val="bullet"/>
      <w:start w:val="1"/>
    </w:lvl>
  </w:abstractNum>
  <w:abstractNum w:abstractNumId="68">
    <w:nsid w:val="1803D089"/>
    <w:multiLevelType w:val="hybridMultilevel"/>
    <w:lvl w:ilvl="0">
      <w:lvlJc w:val="left"/>
      <w:lvlText w:val="•"/>
      <w:numFmt w:val="bullet"/>
      <w:start w:val="1"/>
    </w:lvl>
  </w:abstractNum>
  <w:abstractNum w:abstractNumId="69">
    <w:nsid w:val="4F3A06D4"/>
    <w:multiLevelType w:val="hybridMultilevel"/>
    <w:lvl w:ilvl="0">
      <w:lvlJc w:val="left"/>
      <w:lvlText w:val="•"/>
      <w:numFmt w:val="bullet"/>
      <w:start w:val="1"/>
    </w:lvl>
  </w:abstractNum>
  <w:abstractNum w:abstractNumId="70">
    <w:nsid w:val="59A377B6"/>
    <w:multiLevelType w:val="hybridMultilevel"/>
    <w:lvl w:ilvl="0">
      <w:lvlJc w:val="left"/>
      <w:lvlText w:val="(%1)"/>
      <w:numFmt w:val="decimal"/>
      <w:start w:val="1"/>
    </w:lvl>
  </w:abstractNum>
  <w:abstractNum w:abstractNumId="71">
    <w:nsid w:val="48AEB063"/>
    <w:multiLevelType w:val="hybridMultilevel"/>
    <w:lvl w:ilvl="0">
      <w:lvlJc w:val="left"/>
      <w:lvlText w:val="•"/>
      <w:numFmt w:val="bullet"/>
      <w:start w:val="1"/>
    </w:lvl>
  </w:abstractNum>
  <w:abstractNum w:abstractNumId="72">
    <w:nsid w:val="24E135"/>
    <w:multiLevelType w:val="hybridMultilevel"/>
    <w:lvl w:ilvl="0">
      <w:lvlJc w:val="left"/>
      <w:lvlText w:val="•"/>
      <w:numFmt w:val="bullet"/>
      <w:start w:val="1"/>
    </w:lvl>
  </w:abstractNum>
  <w:abstractNum w:abstractNumId="73">
    <w:nsid w:val="BB13C1"/>
    <w:multiLevelType w:val="hybridMultilevel"/>
    <w:lvl w:ilvl="0">
      <w:lvlJc w:val="left"/>
      <w:lvlText w:val="•"/>
      <w:numFmt w:val="bullet"/>
      <w:start w:val="1"/>
    </w:lvl>
  </w:abstractNum>
  <w:abstractNum w:abstractNumId="74">
    <w:nsid w:val="271210C7"/>
    <w:multiLevelType w:val="hybridMultilevel"/>
    <w:lvl w:ilvl="0">
      <w:lvlJc w:val="left"/>
      <w:lvlText w:val="•"/>
      <w:numFmt w:val="bullet"/>
      <w:start w:val="1"/>
    </w:lvl>
  </w:abstractNum>
  <w:abstractNum w:abstractNumId="75">
    <w:nsid w:val="217B22E4"/>
    <w:multiLevelType w:val="hybridMultilevel"/>
    <w:lvl w:ilvl="0">
      <w:lvlJc w:val="left"/>
      <w:lvlText w:val="•"/>
      <w:numFmt w:val="bullet"/>
      <w:start w:val="1"/>
    </w:lvl>
  </w:abstractNum>
  <w:abstractNum w:abstractNumId="76">
    <w:nsid w:val="53E31A24"/>
    <w:multiLevelType w:val="hybridMultilevel"/>
    <w:lvl w:ilvl="0">
      <w:lvlJc w:val="left"/>
      <w:lvlText w:val="•"/>
      <w:numFmt w:val="bullet"/>
      <w:start w:val="1"/>
    </w:lvl>
  </w:abstractNum>
  <w:abstractNum w:abstractNumId="77">
    <w:nsid w:val="6DC45E83"/>
    <w:multiLevelType w:val="hybridMultilevel"/>
    <w:lvl w:ilvl="0">
      <w:lvlJc w:val="left"/>
      <w:lvlText w:val="(%1)"/>
      <w:numFmt w:val="decimal"/>
      <w:start w:val="1"/>
    </w:lvl>
  </w:abstractNum>
  <w:abstractNum w:abstractNumId="78">
    <w:nsid w:val="17304A67"/>
    <w:multiLevelType w:val="hybridMultilevel"/>
    <w:lvl w:ilvl="0">
      <w:lvlJc w:val="left"/>
      <w:lvlText w:val="(%1)"/>
      <w:numFmt w:val="lowerRoman"/>
      <w:start w:val="2"/>
    </w:lvl>
  </w:abstractNum>
  <w:abstractNum w:abstractNumId="79">
    <w:nsid w:val="2BB180D8"/>
    <w:multiLevelType w:val="hybridMultilevel"/>
    <w:lvl w:ilvl="0">
      <w:lvlJc w:val="left"/>
      <w:lvlText w:val="(%1)"/>
      <w:numFmt w:val="decimal"/>
      <w:start w:val="1"/>
    </w:lvl>
  </w:abstractNum>
  <w:abstractNum w:abstractNumId="80">
    <w:nsid w:val="556B69ED"/>
    <w:multiLevelType w:val="hybridMultilevel"/>
    <w:lvl w:ilvl="0">
      <w:lvlJc w:val="left"/>
      <w:lvlText w:val="(%1)"/>
      <w:numFmt w:val="lowerRoman"/>
      <w:start w:val="1"/>
    </w:lvl>
  </w:abstractNum>
  <w:abstractNum w:abstractNumId="81">
    <w:nsid w:val="70836196"/>
    <w:multiLevelType w:val="hybridMultilevel"/>
    <w:lvl w:ilvl="0">
      <w:lvlJc w:val="left"/>
      <w:lvlText w:val="(%1)"/>
      <w:numFmt w:val="decimal"/>
      <w:start w:val="1"/>
    </w:lvl>
  </w:abstractNum>
  <w:abstractNum w:abstractNumId="82">
    <w:nsid w:val="539F7F12"/>
    <w:multiLevelType w:val="hybridMultilevel"/>
    <w:lvl w:ilvl="0">
      <w:lvlJc w:val="left"/>
      <w:lvlText w:val="(%1)"/>
      <w:numFmt w:val="decimal"/>
      <w:start w:val="1"/>
    </w:lvl>
  </w:abstractNum>
  <w:abstractNum w:abstractNumId="83">
    <w:nsid w:val="2817E7EC"/>
    <w:multiLevelType w:val="hybridMultilevel"/>
    <w:lvl w:ilvl="0">
      <w:lvlJc w:val="left"/>
      <w:lvlText w:val="(%1)"/>
      <w:numFmt w:val="decimal"/>
      <w:start w:val="1"/>
    </w:lvl>
  </w:abstractNum>
  <w:abstractNum w:abstractNumId="84">
    <w:nsid w:val="71482545"/>
    <w:multiLevelType w:val="hybridMultilevel"/>
    <w:lvl w:ilvl="0">
      <w:lvlJc w:val="left"/>
      <w:lvlText w:val="(%1)"/>
      <w:numFmt w:val="decimal"/>
      <w:start w:val="4"/>
    </w:lvl>
  </w:abstractNum>
  <w:abstractNum w:abstractNumId="85">
    <w:nsid w:val="17D78639"/>
    <w:multiLevelType w:val="hybridMultilevel"/>
    <w:lvl w:ilvl="0">
      <w:lvlJc w:val="left"/>
      <w:lvlText w:val="(%1)"/>
      <w:numFmt w:val="decimal"/>
      <w:start w:val="1"/>
    </w:lvl>
  </w:abstractNum>
  <w:abstractNum w:abstractNumId="86">
    <w:nsid w:val="141D2302"/>
    <w:multiLevelType w:val="hybridMultilevel"/>
    <w:lvl w:ilvl="0">
      <w:lvlJc w:val="left"/>
      <w:lvlText w:val="•"/>
      <w:numFmt w:val="bullet"/>
      <w:start w:val="1"/>
    </w:lvl>
  </w:abstractNum>
  <w:abstractNum w:abstractNumId="87">
    <w:nsid w:val="407168D8"/>
    <w:multiLevelType w:val="hybridMultilevel"/>
    <w:lvl w:ilvl="0">
      <w:lvlJc w:val="left"/>
      <w:lvlText w:val="*"/>
      <w:numFmt w:val="bullet"/>
      <w:start w:val="1"/>
    </w:lvl>
  </w:abstractNum>
  <w:abstractNum w:abstractNumId="88">
    <w:nsid w:val="6A1B45E5"/>
    <w:multiLevelType w:val="hybridMultilevel"/>
    <w:lvl w:ilvl="0">
      <w:lvlJc w:val="left"/>
      <w:lvlText w:val="(%1)"/>
      <w:numFmt w:val="decimal"/>
      <w:start w:val="1"/>
    </w:lvl>
  </w:abstractNum>
  <w:abstractNum w:abstractNumId="89">
    <w:nsid w:val="567BD50A"/>
    <w:multiLevelType w:val="hybridMultilevel"/>
    <w:lvl w:ilvl="0">
      <w:lvlJc w:val="left"/>
      <w:lvlText w:val="(%1)"/>
      <w:numFmt w:val="decimal"/>
      <w:start w:val="4"/>
    </w:lvl>
  </w:abstractNum>
  <w:abstractNum w:abstractNumId="90">
    <w:nsid w:val="73BBD7F8"/>
    <w:multiLevelType w:val="hybridMultilevel"/>
    <w:lvl w:ilvl="0">
      <w:lvlJc w:val="left"/>
      <w:lvlText w:val="(%1)"/>
      <w:numFmt w:val="lowerRoman"/>
      <w:start w:val="1"/>
    </w:lvl>
  </w:abstractNum>
  <w:abstractNum w:abstractNumId="91">
    <w:nsid w:val="1876589D"/>
    <w:multiLevelType w:val="hybridMultilevel"/>
    <w:lvl w:ilvl="0">
      <w:lvlJc w:val="left"/>
      <w:lvlText w:val="•"/>
      <w:numFmt w:val="bullet"/>
      <w:start w:val="1"/>
    </w:lvl>
  </w:abstractNum>
  <w:abstractNum w:abstractNumId="92">
    <w:nsid w:val="327FAC77"/>
    <w:multiLevelType w:val="hybridMultilevel"/>
    <w:lvl w:ilvl="0">
      <w:lvlJc w:val="left"/>
      <w:lvlText w:val="•"/>
      <w:numFmt w:val="bullet"/>
      <w:start w:val="1"/>
    </w:lvl>
  </w:abstractNum>
  <w:abstractNum w:abstractNumId="93">
    <w:nsid w:val="5A606509"/>
    <w:multiLevelType w:val="hybridMultilevel"/>
    <w:lvl w:ilvl="0">
      <w:lvlJc w:val="left"/>
      <w:lvlText w:val="(%1)"/>
      <w:numFmt w:val="lowerRoman"/>
      <w:start w:val="1"/>
    </w:lvl>
    <w:lvl w:ilvl="1">
      <w:lvlJc w:val="left"/>
      <w:lvlText w:val="•"/>
      <w:numFmt w:val="bullet"/>
      <w:start w:val="1"/>
    </w:lvl>
  </w:abstractNum>
  <w:abstractNum w:abstractNumId="94">
    <w:nsid w:val="6F38E6D1"/>
    <w:multiLevelType w:val="hybridMultilevel"/>
    <w:lvl w:ilvl="0">
      <w:lvlJc w:val="left"/>
      <w:lvlText w:val="•"/>
      <w:numFmt w:val="bullet"/>
      <w:start w:val="1"/>
    </w:lvl>
  </w:abstractNum>
  <w:abstractNum w:abstractNumId="95">
    <w:nsid w:val="46111BA5"/>
    <w:multiLevelType w:val="hybridMultilevel"/>
    <w:lvl w:ilvl="0">
      <w:lvlJc w:val="left"/>
      <w:lvlText w:val="•"/>
      <w:numFmt w:val="bullet"/>
      <w:start w:val="1"/>
    </w:lvl>
  </w:abstractNum>
  <w:abstractNum w:abstractNumId="96">
    <w:nsid w:val="5E963896"/>
    <w:multiLevelType w:val="hybridMultilevel"/>
    <w:lvl w:ilvl="0">
      <w:lvlJc w:val="left"/>
      <w:lvlText w:val="•"/>
      <w:numFmt w:val="bullet"/>
      <w:start w:val="1"/>
    </w:lvl>
  </w:abstractNum>
  <w:abstractNum w:abstractNumId="97">
    <w:nsid w:val="775BA7C1"/>
    <w:multiLevelType w:val="hybridMultilevel"/>
    <w:lvl w:ilvl="0">
      <w:lvlJc w:val="left"/>
      <w:lvlText w:val="•"/>
      <w:numFmt w:val="bullet"/>
      <w:start w:val="1"/>
    </w:lvl>
  </w:abstractNum>
  <w:abstractNum w:abstractNumId="98">
    <w:nsid w:val="1DD6D6F4"/>
    <w:multiLevelType w:val="hybridMultilevel"/>
    <w:lvl w:ilvl="0">
      <w:lvlJc w:val="left"/>
      <w:lvlText w:val="•"/>
      <w:numFmt w:val="bullet"/>
      <w:start w:val="1"/>
    </w:lvl>
  </w:abstractNum>
  <w:abstractNum w:abstractNumId="99">
    <w:nsid w:val="769A091F"/>
    <w:multiLevelType w:val="hybridMultilevel"/>
    <w:lvl w:ilvl="0">
      <w:lvlJc w:val="left"/>
      <w:lvlText w:val="•"/>
      <w:numFmt w:val="bullet"/>
      <w:start w:val="1"/>
    </w:lvl>
  </w:abstractNum>
  <w:abstractNum w:abstractNumId="100">
    <w:nsid w:val="4695AE95"/>
    <w:multiLevelType w:val="hybridMultilevel"/>
    <w:lvl w:ilvl="0">
      <w:lvlJc w:val="left"/>
      <w:lvlText w:val="•"/>
      <w:numFmt w:val="bullet"/>
      <w:start w:val="1"/>
    </w:lvl>
  </w:abstractNum>
  <w:abstractNum w:abstractNumId="101">
    <w:nsid w:val="777A4EAA"/>
    <w:multiLevelType w:val="hybridMultilevel"/>
    <w:lvl w:ilvl="0">
      <w:lvlJc w:val="left"/>
      <w:lvlText w:val="•"/>
      <w:numFmt w:val="bullet"/>
      <w:start w:val="1"/>
    </w:lvl>
  </w:abstractNum>
  <w:abstractNum w:abstractNumId="102">
    <w:nsid w:val="3F48B982"/>
    <w:multiLevelType w:val="hybridMultilevel"/>
    <w:lvl w:ilvl="0">
      <w:lvlJc w:val="left"/>
      <w:lvlText w:val="•"/>
      <w:numFmt w:val="bullet"/>
      <w:start w:val="1"/>
    </w:lvl>
  </w:abstractNum>
  <w:abstractNum w:abstractNumId="103">
    <w:nsid w:val="46BA8FCA"/>
    <w:multiLevelType w:val="hybridMultilevel"/>
    <w:lvl w:ilvl="0">
      <w:lvlJc w:val="left"/>
      <w:lvlText w:val="(%1)"/>
      <w:numFmt w:val="lowerLetter"/>
      <w:start w:val="1"/>
    </w:lvl>
  </w:abstractNum>
  <w:abstractNum w:abstractNumId="104">
    <w:nsid w:val="7835626C"/>
    <w:multiLevelType w:val="hybridMultilevel"/>
    <w:lvl w:ilvl="0">
      <w:lvlJc w:val="left"/>
      <w:lvlText w:val="(%1)"/>
      <w:numFmt w:val="lowerLetter"/>
      <w:start w:val="1"/>
    </w:lvl>
  </w:abstractNum>
  <w:abstractNum w:abstractNumId="105">
    <w:nsid w:val="665ACA49"/>
    <w:multiLevelType w:val="hybridMultilevel"/>
    <w:lvl w:ilvl="0">
      <w:lvlJc w:val="left"/>
      <w:lvlText w:val="%1."/>
      <w:numFmt w:val="decimal"/>
      <w:start w:val="2"/>
    </w:lvl>
  </w:abstractNum>
  <w:abstractNum w:abstractNumId="106">
    <w:nsid w:val="6835B2AE"/>
    <w:multiLevelType w:val="hybridMultilevel"/>
    <w:lvl w:ilvl="0">
      <w:lvlJc w:val="left"/>
      <w:lvlText w:val="•"/>
      <w:numFmt w:val="bullet"/>
      <w:start w:val="1"/>
    </w:lvl>
  </w:abstractNum>
  <w:abstractNum w:abstractNumId="107">
    <w:nsid w:val="4C187C90"/>
    <w:multiLevelType w:val="hybridMultilevel"/>
    <w:lvl w:ilvl="0">
      <w:lvlJc w:val="left"/>
      <w:lvlText w:val="$"/>
      <w:numFmt w:val="bullet"/>
      <w:start w:val="1"/>
    </w:lvl>
  </w:abstractNum>
  <w:abstractNum w:abstractNumId="108">
    <w:nsid w:val="541F28CD"/>
    <w:multiLevelType w:val="hybridMultilevel"/>
    <w:lvl w:ilvl="0">
      <w:lvlJc w:val="left"/>
      <w:lvlText w:val="$"/>
      <w:numFmt w:val="bullet"/>
      <w:start w:val="1"/>
    </w:lvl>
  </w:abstractNum>
  <w:abstractNum w:abstractNumId="109">
    <w:nsid w:val="7F65FD16"/>
    <w:multiLevelType w:val="hybridMultilevel"/>
    <w:lvl w:ilvl="0">
      <w:lvlJc w:val="left"/>
      <w:lvlText w:val="%1."/>
      <w:numFmt w:val="decimal"/>
      <w:start w:val="11"/>
    </w:lvl>
  </w:abstractNum>
  <w:abstractNum w:abstractNumId="110">
    <w:nsid w:val="77C9FD68"/>
    <w:multiLevelType w:val="hybridMultilevel"/>
    <w:lvl w:ilvl="0">
      <w:lvlJc w:val="left"/>
      <w:lvlText w:val="%1."/>
      <w:numFmt w:val="decimal"/>
      <w:start w:val="13"/>
    </w:lvl>
  </w:abstractNum>
  <w:abstractNum w:abstractNumId="111">
    <w:nsid w:val="298A92BA"/>
    <w:multiLevelType w:val="hybridMultilevel"/>
    <w:lvl w:ilvl="0">
      <w:lvlJc w:val="left"/>
      <w:lvlText w:val="%1."/>
      <w:numFmt w:val="decimal"/>
      <w:start w:val="14"/>
    </w:lvl>
  </w:abstractNum>
  <w:abstractNum w:abstractNumId="112">
    <w:nsid w:val="6FE95EAC"/>
    <w:multiLevelType w:val="hybridMultilevel"/>
    <w:lvl w:ilvl="0">
      <w:lvlJc w:val="left"/>
      <w:lvlText w:val="%1."/>
      <w:numFmt w:val="decimal"/>
      <w:start w:val="15"/>
    </w:lvl>
  </w:abstractNum>
  <w:abstractNum w:abstractNumId="113">
    <w:nsid w:val="4B697C7A"/>
    <w:multiLevelType w:val="hybridMultilevel"/>
    <w:lvl w:ilvl="0">
      <w:lvlJc w:val="left"/>
      <w:lvlText w:val="(%1)"/>
      <w:numFmt w:val="lowerRoman"/>
      <w:start w:val="1"/>
    </w:lvl>
  </w:abstractNum>
  <w:abstractNum w:abstractNumId="114">
    <w:nsid w:val="51A27AA6"/>
    <w:multiLevelType w:val="hybridMultilevel"/>
    <w:lvl w:ilvl="0">
      <w:lvlJc w:val="left"/>
      <w:lvlText w:val="%1."/>
      <w:numFmt w:val="decimal"/>
      <w:start w:val="2"/>
    </w:lvl>
  </w:abstractNum>
  <w:abstractNum w:abstractNumId="115">
    <w:nsid w:val="613183F2"/>
    <w:multiLevelType w:val="hybridMultilevel"/>
    <w:lvl w:ilvl="0">
      <w:lvlJc w:val="left"/>
      <w:lvlText w:val="(%1)"/>
      <w:numFmt w:val="lowerRoman"/>
      <w:start w:val="4"/>
    </w:lvl>
  </w:abstractNum>
  <w:abstractNum w:abstractNumId="116">
    <w:nsid w:val="634102B4"/>
    <w:multiLevelType w:val="hybridMultilevel"/>
    <w:lvl w:ilvl="0">
      <w:lvlJc w:val="left"/>
      <w:lvlText w:val="%1."/>
      <w:numFmt w:val="decimal"/>
      <w:start w:val="13"/>
    </w:lvl>
  </w:abstractNum>
  <w:abstractNum w:abstractNumId="117">
    <w:nsid w:val="65BF9DA8"/>
    <w:multiLevelType w:val="hybridMultilevel"/>
    <w:lvl w:ilvl="0">
      <w:lvlJc w:val="left"/>
      <w:lvlText w:val="%1."/>
      <w:numFmt w:val="decimal"/>
      <w:start w:val="14"/>
    </w:lvl>
  </w:abstractNum>
  <w:abstractNum w:abstractNumId="118">
    <w:nsid w:val="21A2ECCA"/>
    <w:multiLevelType w:val="hybridMultilevel"/>
    <w:lvl w:ilvl="0">
      <w:lvlJc w:val="left"/>
      <w:lvlText w:val="(%1)"/>
      <w:numFmt w:val="lowerRoman"/>
      <w:start w:val="1"/>
    </w:lvl>
  </w:abstractNum>
  <w:abstractNum w:abstractNumId="119">
    <w:nsid w:val="4D5C4899"/>
    <w:multiLevelType w:val="hybridMultilevel"/>
    <w:lvl w:ilvl="0">
      <w:lvlJc w:val="left"/>
      <w:lvlText w:val="•"/>
      <w:numFmt w:val="bullet"/>
      <w:start w:val="1"/>
    </w:lvl>
  </w:abstractNum>
  <w:abstractNum w:abstractNumId="120">
    <w:nsid w:val="3C3B72B2"/>
    <w:multiLevelType w:val="hybridMultilevel"/>
    <w:lvl w:ilvl="0">
      <w:lvlJc w:val="left"/>
      <w:lvlText w:val="•"/>
      <w:numFmt w:val="bullet"/>
      <w:start w:val="1"/>
    </w:lvl>
  </w:abstractNum>
  <w:abstractNum w:abstractNumId="121">
    <w:nsid w:val="155EC4C2"/>
    <w:multiLevelType w:val="hybridMultilevel"/>
    <w:lvl w:ilvl="0">
      <w:lvlJc w:val="left"/>
      <w:lvlText w:val="*"/>
      <w:numFmt w:val="bullet"/>
      <w:start w:val="1"/>
    </w:lvl>
  </w:abstractNum>
  <w:abstractNum w:abstractNumId="122">
    <w:nsid w:val="65D2A137"/>
    <w:multiLevelType w:val="hybridMultilevel"/>
    <w:lvl w:ilvl="0">
      <w:lvlJc w:val="left"/>
      <w:lvlText w:val="†"/>
      <w:numFmt w:val="bullet"/>
      <w:start w:val="1"/>
    </w:lvl>
  </w:abstractNum>
  <w:abstractNum w:abstractNumId="123">
    <w:nsid w:val="6EBB1F2A"/>
    <w:multiLevelType w:val="hybridMultilevel"/>
    <w:lvl w:ilvl="0">
      <w:lvlJc w:val="left"/>
      <w:lvlText w:val="#"/>
      <w:numFmt w:val="bullet"/>
      <w:start w:val="1"/>
    </w:lvl>
  </w:abstractNum>
  <w:abstractNum w:abstractNumId="124">
    <w:nsid w:val="6FBF29CB"/>
    <w:multiLevelType w:val="hybridMultilevel"/>
    <w:lvl w:ilvl="0">
      <w:lvlJc w:val="left"/>
      <w:lvlText w:val="(%1)"/>
      <w:numFmt w:val="lowerLetter"/>
      <w:start w:val="1"/>
    </w:lvl>
  </w:abstractNum>
  <w:abstractNum w:abstractNumId="125">
    <w:nsid w:val="550B8808"/>
    <w:multiLevelType w:val="hybridMultilevel"/>
    <w:lvl w:ilvl="0">
      <w:lvlJc w:val="left"/>
      <w:lvlText w:val="[•]"/>
      <w:numFmt w:val="bullet"/>
      <w:start w:val="1"/>
    </w:lvl>
  </w:abstractNum>
  <w:abstractNum w:abstractNumId="126">
    <w:nsid w:val="34CC3ACF"/>
    <w:multiLevelType w:val="hybridMultilevel"/>
    <w:lvl w:ilvl="0">
      <w:lvlJc w:val="left"/>
      <w:lvlText w:val="%1."/>
      <w:numFmt w:val="decimal"/>
      <w:start w:val="1"/>
    </w:lvl>
    <w:lvl w:ilvl="1">
      <w:lvlJc w:val="left"/>
      <w:lvlText w:val="(%2)"/>
      <w:numFmt w:val="lowerLetter"/>
      <w:start w:val="1"/>
    </w:lvl>
  </w:abstractNum>
  <w:abstractNum w:abstractNumId="127">
    <w:nsid w:val="4E556261"/>
    <w:multiLevelType w:val="hybridMultilevel"/>
    <w:lvl w:ilvl="0">
      <w:lvlJc w:val="left"/>
      <w:lvlText w:val="(%1)"/>
      <w:numFmt w:val="lowerLetter"/>
      <w:start w:val="3"/>
    </w:lvl>
  </w:abstractNum>
  <w:abstractNum w:abstractNumId="128">
    <w:nsid w:val="4C672FC9"/>
    <w:multiLevelType w:val="hybridMultilevel"/>
    <w:lvl w:ilvl="0">
      <w:lvlJc w:val="left"/>
      <w:lvlText w:val="(%1)"/>
      <w:numFmt w:val="lowerLetter"/>
      <w:start w:val="6"/>
    </w:lvl>
  </w:abstractNum>
  <w:abstractNum w:abstractNumId="129">
    <w:nsid w:val="52A311C3"/>
    <w:multiLevelType w:val="hybridMultilevel"/>
    <w:lvl w:ilvl="0">
      <w:lvlJc w:val="left"/>
      <w:lvlText w:val="(%1)"/>
      <w:numFmt w:val="lowerLetter"/>
      <w:start w:val="12"/>
    </w:lvl>
  </w:abstractNum>
  <w:abstractNum w:abstractNumId="130">
    <w:nsid w:val="44EF6B80"/>
    <w:multiLevelType w:val="hybridMultilevel"/>
    <w:lvl w:ilvl="0">
      <w:lvlJc w:val="left"/>
      <w:lvlText w:val="(%1)"/>
      <w:numFmt w:val="lowerLetter"/>
      <w:start w:val="17"/>
    </w:lvl>
  </w:abstractNum>
  <w:abstractNum w:abstractNumId="131">
    <w:nsid w:val="12FCDE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32">
    <w:nsid w:val="4A1D606E"/>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33">
    <w:nsid w:val="4382503"/>
    <w:multiLevelType w:val="hybridMultilevel"/>
    <w:lvl w:ilvl="0">
      <w:lvlJc w:val="left"/>
      <w:lvlText w:val="(%1)"/>
      <w:numFmt w:val="lowerLetter"/>
      <w:start w:val="21"/>
    </w:lvl>
    <w:lvl w:ilvl="1">
      <w:lvlJc w:val="left"/>
      <w:lvlText w:val="%2"/>
      <w:numFmt w:val="lowerRoman"/>
      <w:start w:val="1"/>
    </w:lvl>
    <w:lvl w:ilvl="2">
      <w:lvlJc w:val="left"/>
      <w:lvlText w:val="%3"/>
      <w:numFmt w:val="upperLetter"/>
      <w:start w:val="1"/>
    </w:lvl>
  </w:abstractNum>
  <w:abstractNum w:abstractNumId="134">
    <w:nsid w:val="59B76E28"/>
    <w:multiLevelType w:val="hybridMultilevel"/>
    <w:lvl w:ilvl="0">
      <w:lvlJc w:val="left"/>
      <w:lvlText w:val="(%1)"/>
      <w:numFmt w:val="lowerLetter"/>
      <w:start w:val="22"/>
    </w:lvl>
  </w:abstractNum>
  <w:abstractNum w:abstractNumId="135">
    <w:nsid w:val="4252C2DA"/>
    <w:multiLevelType w:val="hybridMultilevel"/>
    <w:lvl w:ilvl="0">
      <w:lvlJc w:val="left"/>
      <w:lvlText w:val="(%1)"/>
      <w:numFmt w:val="lowerLetter"/>
      <w:start w:val="24"/>
    </w:lvl>
  </w:abstractNum>
  <w:abstractNum w:abstractNumId="136">
    <w:nsid w:val="6A92EF4C"/>
    <w:multiLevelType w:val="hybridMultilevel"/>
    <w:lvl w:ilvl="0">
      <w:lvlJc w:val="left"/>
      <w:lvlText w:val="(%1)"/>
      <w:numFmt w:val="lowerLetter"/>
      <w:start w:val="26"/>
    </w:lvl>
  </w:abstractNum>
  <w:abstractNum w:abstractNumId="137">
    <w:nsid w:val="41ED20D7"/>
    <w:multiLevelType w:val="hybridMultilevel"/>
    <w:lvl w:ilvl="0">
      <w:lvlJc w:val="left"/>
      <w:lvlText w:val="(%1)"/>
      <w:numFmt w:val="lowerLetter"/>
      <w:start w:val="27"/>
    </w:lvl>
  </w:abstractNum>
  <w:abstractNum w:abstractNumId="138">
    <w:nsid w:val="E6B3F6A"/>
    <w:multiLevelType w:val="hybridMultilevel"/>
    <w:lvl w:ilvl="0">
      <w:lvlJc w:val="left"/>
      <w:lvlText w:val="(%1)"/>
      <w:numFmt w:val="lowerLetter"/>
      <w:start w:val="28"/>
    </w:lvl>
  </w:abstractNum>
  <w:abstractNum w:abstractNumId="139">
    <w:nsid w:val="3EB21819"/>
    <w:multiLevelType w:val="hybridMultilevel"/>
    <w:lvl w:ilvl="0">
      <w:lvlJc w:val="left"/>
      <w:lvlText w:val="(%1)"/>
      <w:numFmt w:val="lowerLetter"/>
      <w:start w:val="34"/>
    </w:lvl>
  </w:abstractNum>
  <w:abstractNum w:abstractNumId="140">
    <w:nsid w:val="41531DED"/>
    <w:multiLevelType w:val="hybridMultilevel"/>
    <w:lvl w:ilvl="0">
      <w:lvlJc w:val="left"/>
      <w:lvlText w:val="%1"/>
      <w:numFmt w:val="lowerLetter"/>
      <w:start w:val="1"/>
    </w:lvl>
    <w:lvl w:ilvl="1">
      <w:lvlJc w:val="left"/>
      <w:lvlText w:val="(%2)"/>
      <w:numFmt w:val="lowerLetter"/>
      <w:start w:val="37"/>
    </w:lvl>
  </w:abstractNum>
  <w:abstractNum w:abstractNumId="141">
    <w:nsid w:val="6353CD2"/>
    <w:multiLevelType w:val="hybridMultilevel"/>
    <w:lvl w:ilvl="0">
      <w:lvlJc w:val="left"/>
      <w:lvlText w:val="(%1)"/>
      <w:numFmt w:val="lowerLetter"/>
      <w:start w:val="9"/>
    </w:lvl>
    <w:lvl w:ilvl="1">
      <w:lvlJc w:val="left"/>
      <w:lvlText w:val="(%2)"/>
      <w:numFmt w:val="lowerLetter"/>
      <w:start w:val="38"/>
    </w:lvl>
  </w:abstractNum>
  <w:abstractNum w:abstractNumId="142">
    <w:nsid w:val="683CAAD3"/>
    <w:multiLevelType w:val="hybridMultilevel"/>
    <w:lvl w:ilvl="0">
      <w:lvlJc w:val="left"/>
      <w:lvlText w:val="(%1)"/>
      <w:numFmt w:val="lowerLetter"/>
      <w:start w:val="42"/>
    </w:lvl>
  </w:abstractNum>
  <w:abstractNum w:abstractNumId="143">
    <w:nsid w:val="313C7C99"/>
    <w:multiLevelType w:val="hybridMultilevel"/>
    <w:lvl w:ilvl="0">
      <w:lvlJc w:val="left"/>
      <w:lvlText w:val="%1."/>
      <w:numFmt w:val="decimal"/>
      <w:start w:val="2"/>
    </w:lvl>
  </w:abstractNum>
  <w:abstractNum w:abstractNumId="144">
    <w:nsid w:val="519EB94C"/>
    <w:multiLevelType w:val="hybridMultilevel"/>
    <w:lvl w:ilvl="0">
      <w:lvlJc w:val="left"/>
      <w:lvlText w:val="%1."/>
      <w:numFmt w:val="decimal"/>
      <w:start w:val="3"/>
    </w:lvl>
  </w:abstractNum>
  <w:abstractNum w:abstractNumId="145">
    <w:nsid w:val="39DF2579"/>
    <w:multiLevelType w:val="hybridMultilevel"/>
    <w:lvl w:ilvl="0">
      <w:lvlJc w:val="left"/>
      <w:lvlText w:val="%1."/>
      <w:numFmt w:val="decimal"/>
      <w:start w:val="4"/>
    </w:lvl>
  </w:abstractNum>
  <w:abstractNum w:abstractNumId="146">
    <w:nsid w:val="126E008B"/>
    <w:multiLevelType w:val="hybridMultilevel"/>
    <w:lvl w:ilvl="0">
      <w:lvlJc w:val="left"/>
      <w:lvlText w:val="%1."/>
      <w:numFmt w:val="decimal"/>
      <w:start w:val="5"/>
    </w:lvl>
  </w:abstractNum>
  <w:abstractNum w:abstractNumId="147">
    <w:nsid w:val="34DFBC00"/>
    <w:multiLevelType w:val="hybridMultilevel"/>
    <w:lvl w:ilvl="0">
      <w:lvlJc w:val="left"/>
      <w:lvlText w:val="(%1)"/>
      <w:numFmt w:val="lowerLetter"/>
      <w:start w:val="1"/>
    </w:lvl>
  </w:abstractNum>
  <w:abstractNum w:abstractNumId="148">
    <w:nsid w:val="1F9EC322"/>
    <w:multiLevelType w:val="hybridMultilevel"/>
    <w:lvl w:ilvl="0">
      <w:lvlJc w:val="left"/>
      <w:lvlText w:val="(%1)"/>
      <w:numFmt w:val="lowerLetter"/>
      <w:start w:val="3"/>
    </w:lvl>
  </w:abstractNum>
  <w:abstractNum w:abstractNumId="149">
    <w:nsid w:val="3410ED56"/>
    <w:multiLevelType w:val="hybridMultilevel"/>
    <w:lvl w:ilvl="0">
      <w:lvlJc w:val="left"/>
      <w:lvlText w:val="(%1)"/>
      <w:numFmt w:val="lowerLetter"/>
      <w:start w:val="6"/>
    </w:lvl>
  </w:abstractNum>
  <w:abstractNum w:abstractNumId="150">
    <w:nsid w:val="23C049A"/>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151">
    <w:nsid w:val="5BDA35D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2">
    <w:nsid w:val="496FB218"/>
    <w:multiLevelType w:val="hybridMultilevel"/>
    <w:lvl w:ilvl="0">
      <w:lvlJc w:val="left"/>
      <w:lvlText w:val="(%1)"/>
      <w:numFmt w:val="lowerLetter"/>
      <w:start w:val="2"/>
    </w:lvl>
  </w:abstractNum>
  <w:abstractNum w:abstractNumId="153">
    <w:nsid w:val="680EA5D1"/>
    <w:multiLevelType w:val="hybridMultilevel"/>
    <w:lvl w:ilvl="0">
      <w:lvlJc w:val="left"/>
      <w:lvlText w:val="(%1)"/>
      <w:numFmt w:val="lowerLetter"/>
      <w:start w:val="7"/>
    </w:lvl>
  </w:abstractNum>
  <w:abstractNum w:abstractNumId="154">
    <w:nsid w:val="4A9554FE"/>
    <w:multiLevelType w:val="hybridMultilevel"/>
    <w:lvl w:ilvl="0">
      <w:lvlJc w:val="left"/>
      <w:lvlText w:val="(%1)"/>
      <w:numFmt w:val="lowerRoman"/>
      <w:start w:val="9"/>
    </w:lvl>
    <w:lvl w:ilvl="1">
      <w:lvlJc w:val="left"/>
      <w:lvlText w:val="(%2)"/>
      <w:numFmt w:val="lowerLetter"/>
      <w:start w:val="10"/>
    </w:lvl>
  </w:abstractNum>
  <w:abstractNum w:abstractNumId="155">
    <w:nsid w:val="392EDBE4"/>
    <w:multiLevelType w:val="hybridMultilevel"/>
    <w:lvl w:ilvl="0">
      <w:lvlJc w:val="left"/>
      <w:lvlText w:val="(%1)"/>
      <w:numFmt w:val="lowerLetter"/>
      <w:start w:val="12"/>
    </w:lvl>
  </w:abstractNum>
  <w:abstractNum w:abstractNumId="156">
    <w:nsid w:val="3D1A2DD9"/>
    <w:multiLevelType w:val="hybridMultilevel"/>
    <w:lvl w:ilvl="0">
      <w:lvlJc w:val="left"/>
      <w:lvlText w:val="(%1)"/>
      <w:numFmt w:val="decimal"/>
      <w:start w:val="1"/>
    </w:lvl>
  </w:abstractNum>
  <w:abstractNum w:abstractNumId="157">
    <w:nsid w:val="7F618FCD"/>
    <w:multiLevelType w:val="hybridMultilevel"/>
    <w:lvl w:ilvl="0">
      <w:lvlJc w:val="left"/>
      <w:lvlText w:val="(%1)"/>
      <w:numFmt w:val="lowerRoman"/>
      <w:start w:val="3"/>
    </w:lvl>
  </w:abstractNum>
  <w:abstractNum w:abstractNumId="158">
    <w:nsid w:val="7843E45"/>
    <w:multiLevelType w:val="hybridMultilevel"/>
    <w:lvl w:ilvl="0">
      <w:lvlJc w:val="left"/>
      <w:lvlText w:val="%1."/>
      <w:numFmt w:val="decimal"/>
      <w:start w:val="7"/>
    </w:lvl>
    <w:lvl w:ilvl="1">
      <w:lvlJc w:val="left"/>
      <w:lvlText w:val="(%2)"/>
      <w:numFmt w:val="lowerLetter"/>
      <w:start w:val="1"/>
    </w:lvl>
  </w:abstractNum>
  <w:abstractNum w:abstractNumId="159">
    <w:nsid w:val="9815DA3"/>
    <w:multiLevelType w:val="hybridMultilevel"/>
    <w:lvl w:ilvl="0">
      <w:lvlJc w:val="left"/>
      <w:lvlText w:val="(%1)"/>
      <w:numFmt w:val="lowerLetter"/>
      <w:start w:val="2"/>
    </w:lvl>
  </w:abstractNum>
  <w:abstractNum w:abstractNumId="160">
    <w:nsid w:val="5204A191"/>
    <w:multiLevelType w:val="hybridMultilevel"/>
    <w:lvl w:ilvl="0">
      <w:lvlJc w:val="left"/>
      <w:lvlText w:val="(%1)"/>
      <w:numFmt w:val="lowerLetter"/>
      <w:start w:val="4"/>
    </w:lvl>
  </w:abstractNum>
  <w:abstractNum w:abstractNumId="161">
    <w:nsid w:val="4C73A9C6"/>
    <w:multiLevelType w:val="hybridMultilevel"/>
    <w:lvl w:ilvl="0">
      <w:lvlJc w:val="left"/>
      <w:lvlText w:val="%1"/>
      <w:numFmt w:val="decimal"/>
      <w:start w:val="1"/>
    </w:lvl>
    <w:lvl w:ilvl="1">
      <w:lvlJc w:val="left"/>
      <w:lvlText w:val="(%2)"/>
      <w:numFmt w:val="lowerLetter"/>
      <w:start w:val="5"/>
    </w:lvl>
  </w:abstractNum>
  <w:abstractNum w:abstractNumId="162">
    <w:nsid w:val="1C7E3C01"/>
    <w:multiLevelType w:val="hybridMultilevel"/>
    <w:lvl w:ilvl="0">
      <w:lvlJc w:val="left"/>
      <w:lvlText w:val="%1."/>
      <w:numFmt w:val="decimal"/>
      <w:start w:val="9"/>
    </w:lvl>
    <w:lvl w:ilvl="1">
      <w:lvlJc w:val="left"/>
      <w:lvlText w:val="%2"/>
      <w:numFmt w:val="lowerLetter"/>
      <w:start w:val="1"/>
    </w:lvl>
  </w:abstractNum>
  <w:abstractNum w:abstractNumId="163">
    <w:nsid w:val="1C2201FF"/>
    <w:multiLevelType w:val="hybridMultilevel"/>
    <w:lvl w:ilvl="0">
      <w:lvlJc w:val="left"/>
      <w:lvlText w:val="%1."/>
      <w:numFmt w:val="decimal"/>
      <w:start w:val="12"/>
    </w:lvl>
    <w:lvl w:ilvl="1">
      <w:lvlJc w:val="left"/>
      <w:lvlText w:val="(%2)"/>
      <w:numFmt w:val="lowerLetter"/>
      <w:start w:val="1"/>
    </w:lvl>
  </w:abstractNum>
  <w:abstractNum w:abstractNumId="164">
    <w:nsid w:val="50ABCEC9"/>
    <w:multiLevelType w:val="hybridMultilevel"/>
    <w:lvl w:ilvl="0">
      <w:lvlJc w:val="left"/>
      <w:lvlText w:val="%1."/>
      <w:numFmt w:val="decimal"/>
      <w:start w:val="1"/>
    </w:lvl>
  </w:abstractNum>
  <w:abstractNum w:abstractNumId="165">
    <w:nsid w:val="7635AA2A"/>
    <w:multiLevelType w:val="hybridMultilevel"/>
    <w:lvl w:ilvl="0">
      <w:lvlJc w:val="left"/>
      <w:lvlText w:val="(%1)"/>
      <w:numFmt w:val="lowerLetter"/>
      <w:start w:val="1"/>
    </w:lvl>
  </w:abstractNum>
  <w:abstractNum w:abstractNumId="166">
    <w:nsid w:val="5E74C4D9"/>
    <w:multiLevelType w:val="hybridMultilevel"/>
    <w:lvl w:ilvl="0">
      <w:lvlJc w:val="left"/>
      <w:lvlText w:val="(%1)"/>
      <w:numFmt w:val="lowerLetter"/>
      <w:start w:val="9"/>
    </w:lvl>
  </w:abstractNum>
  <w:abstractNum w:abstractNumId="167">
    <w:nsid w:val="3B3EBE15"/>
    <w:multiLevelType w:val="hybridMultilevel"/>
    <w:lvl w:ilvl="0">
      <w:lvlJc w:val="left"/>
      <w:lvlText w:val="(%1)"/>
      <w:numFmt w:val="lowerRoman"/>
      <w:start w:val="3"/>
    </w:lvl>
  </w:abstractNum>
  <w:abstractNum w:abstractNumId="168">
    <w:nsid w:val="3822CB01"/>
    <w:multiLevelType w:val="hybridMultilevel"/>
    <w:lvl w:ilvl="0">
      <w:lvlJc w:val="left"/>
      <w:lvlText w:val="%1."/>
      <w:numFmt w:val="decimal"/>
      <w:start w:val="1"/>
    </w:lvl>
  </w:abstractNum>
  <w:abstractNum w:abstractNumId="169">
    <w:nsid w:val="6CE00443"/>
    <w:multiLevelType w:val="hybridMultilevel"/>
    <w:lvl w:ilvl="0">
      <w:lvlJc w:val="left"/>
      <w:lvlText w:val="%1."/>
      <w:numFmt w:val="decimal"/>
      <w:start w:val="1"/>
    </w:lvl>
  </w:abstractNum>
  <w:abstractNum w:abstractNumId="170">
    <w:nsid w:val="79F0D62F"/>
    <w:multiLevelType w:val="hybridMultilevel"/>
    <w:lvl w:ilvl="0">
      <w:lvlJc w:val="left"/>
      <w:lvlText w:val="(%1)"/>
      <w:numFmt w:val="lowerRoman"/>
      <w:start w:val="1"/>
    </w:lvl>
  </w:abstractNum>
  <w:abstractNum w:abstractNumId="171">
    <w:nsid w:val="7975E8EE"/>
    <w:multiLevelType w:val="hybridMultilevel"/>
    <w:lvl w:ilvl="0">
      <w:lvlJc w:val="left"/>
      <w:lvlText w:val="(%1)"/>
      <w:numFmt w:val="lowerLetter"/>
      <w:start w:val="1"/>
    </w:lvl>
  </w:abstractNum>
  <w:abstractNum w:abstractNumId="172">
    <w:nsid w:val="73154115"/>
    <w:multiLevelType w:val="hybridMultilevel"/>
    <w:lvl w:ilvl="0">
      <w:lvlJc w:val="left"/>
      <w:lvlText w:val="(%1)"/>
      <w:numFmt w:val="lowerLetter"/>
      <w:start w:val="3"/>
    </w:lvl>
  </w:abstractNum>
  <w:abstractNum w:abstractNumId="173">
    <w:nsid w:val="622D8102"/>
    <w:multiLevelType w:val="hybridMultilevel"/>
    <w:lvl w:ilvl="0">
      <w:lvlJc w:val="left"/>
      <w:lvlText w:val="%1."/>
      <w:numFmt w:val="decimal"/>
      <w:start w:val="1"/>
    </w:lvl>
  </w:abstractNum>
  <w:abstractNum w:abstractNumId="174">
    <w:nsid w:val="2AB26587"/>
    <w:multiLevelType w:val="hybridMultilevel"/>
    <w:lvl w:ilvl="0">
      <w:lvlJc w:val="left"/>
      <w:lvlText w:val="%1."/>
      <w:numFmt w:val="decimal"/>
      <w:start w:val="1"/>
    </w:lvl>
  </w:abstractNum>
  <w:abstractNum w:abstractNumId="175">
    <w:nsid w:val="44B3FA61"/>
    <w:multiLevelType w:val="hybridMultilevel"/>
    <w:lvl w:ilvl="0">
      <w:lvlJc w:val="left"/>
      <w:lvlText w:val="%1."/>
      <w:numFmt w:val="decimal"/>
      <w:start w:val="4"/>
    </w:lvl>
  </w:abstractNum>
  <w:abstractNum w:abstractNumId="176">
    <w:nsid w:val="1C0CA67C"/>
    <w:multiLevelType w:val="hybridMultilevel"/>
    <w:lvl w:ilvl="0">
      <w:lvlJc w:val="left"/>
      <w:lvlText w:val="%1."/>
      <w:numFmt w:val="decimal"/>
      <w:start w:val="1"/>
    </w:lvl>
  </w:abstractNum>
  <w:abstractNum w:abstractNumId="177">
    <w:nsid w:val="3D206613"/>
    <w:multiLevelType w:val="hybridMultilevel"/>
    <w:lvl w:ilvl="0">
      <w:lvlJc w:val="left"/>
      <w:lvlText w:val="(%1)"/>
      <w:numFmt w:val="lowerLetter"/>
      <w:start w:val="1"/>
    </w:lvl>
    <w:lvl w:ilvl="1">
      <w:lvlJc w:val="left"/>
      <w:lvlText w:val="(%2)"/>
      <w:numFmt w:val="decimal"/>
      <w:start w:val="1"/>
    </w:lvl>
  </w:abstractNum>
  <w:abstractNum w:abstractNumId="178">
    <w:nsid w:val="7993B662"/>
    <w:multiLevelType w:val="hybridMultilevel"/>
    <w:lvl w:ilvl="0">
      <w:lvlJc w:val="left"/>
      <w:lvlText w:val="(%1)"/>
      <w:numFmt w:val="decimal"/>
      <w:start w:val="2"/>
    </w:lvl>
    <w:lvl w:ilvl="1">
      <w:lvlJc w:val="left"/>
      <w:lvlText w:val="(%2)"/>
      <w:numFmt w:val="upperLetter"/>
      <w:start w:val="1"/>
    </w:lvl>
  </w:abstractNum>
  <w:abstractNum w:abstractNumId="179">
    <w:nsid w:val="3BAB699E"/>
    <w:multiLevelType w:val="hybridMultilevel"/>
    <w:lvl w:ilvl="0">
      <w:lvlJc w:val="left"/>
      <w:lvlText w:val="%1"/>
      <w:numFmt w:val="lowerLetter"/>
      <w:start w:val="1"/>
    </w:lvl>
    <w:lvl w:ilvl="1">
      <w:lvlJc w:val="left"/>
      <w:lvlText w:val="(%2)"/>
      <w:numFmt w:val="upperLetter"/>
      <w:start w:val="2"/>
    </w:lvl>
  </w:abstractNum>
  <w:abstractNum w:abstractNumId="180">
    <w:nsid w:val="71315369"/>
    <w:multiLevelType w:val="hybridMultilevel"/>
    <w:lvl w:ilvl="0">
      <w:lvlJc w:val="left"/>
      <w:lvlText w:val="(%1)"/>
      <w:numFmt w:val="lowerLetter"/>
      <w:start w:val="26"/>
    </w:lvl>
    <w:lvl w:ilvl="1">
      <w:lvlJc w:val="left"/>
      <w:lvlText w:val="%2"/>
      <w:numFmt w:val="upperLetter"/>
      <w:start w:val="1"/>
    </w:lvl>
  </w:abstractNum>
  <w:abstractNum w:abstractNumId="181">
    <w:nsid w:val="7BCFBAFC"/>
    <w:multiLevelType w:val="hybridMultilevel"/>
    <w:lvl w:ilvl="0">
      <w:lvlJc w:val="left"/>
      <w:lvlText w:val="(%1)"/>
      <w:numFmt w:val="lowerLetter"/>
      <w:start w:val="61"/>
    </w:lvl>
    <w:lvl w:ilvl="1">
      <w:lvlJc w:val="left"/>
      <w:lvlText w:val="%2"/>
      <w:numFmt w:val="upperLetter"/>
      <w:start w:val="1"/>
    </w:lvl>
  </w:abstractNum>
  <w:abstractNum w:abstractNumId="182">
    <w:nsid w:val="17859F72"/>
    <w:multiLevelType w:val="hybridMultilevel"/>
    <w:lvl w:ilvl="0">
      <w:lvlJc w:val="left"/>
      <w:lvlText w:val="(%1)"/>
      <w:numFmt w:val="upperLetter"/>
      <w:start w:val="4"/>
    </w:lvl>
  </w:abstractNum>
  <w:abstractNum w:abstractNumId="183">
    <w:nsid w:val="3AA10581"/>
    <w:multiLevelType w:val="hybridMultilevel"/>
    <w:lvl w:ilvl="0">
      <w:lvlJc w:val="left"/>
      <w:lvlText w:val="%1"/>
      <w:numFmt w:val="decimal"/>
      <w:start w:val="1"/>
    </w:lvl>
    <w:lvl w:ilvl="1">
      <w:lvlJc w:val="left"/>
      <w:lvlText w:val="(%2)"/>
      <w:numFmt w:val="decimal"/>
      <w:start w:val="3"/>
    </w:lvl>
  </w:abstractNum>
  <w:abstractNum w:abstractNumId="184">
    <w:nsid w:val="63DE60CD"/>
    <w:multiLevelType w:val="hybridMultilevel"/>
    <w:lvl w:ilvl="0">
      <w:lvlJc w:val="left"/>
      <w:lvlText w:val="(%1)"/>
      <w:numFmt w:val="decimal"/>
      <w:start w:val="10"/>
    </w:lvl>
    <w:lvl w:ilvl="1">
      <w:lvlJc w:val="left"/>
      <w:lvlText w:val="(%2)"/>
      <w:numFmt w:val="decimal"/>
      <w:start w:val="4"/>
    </w:lvl>
  </w:abstractNum>
  <w:abstractNum w:abstractNumId="185">
    <w:nsid w:val="621AF471"/>
    <w:multiLevelType w:val="hybridMultilevel"/>
    <w:lvl w:ilvl="0">
      <w:lvlJc w:val="left"/>
      <w:lvlText w:val="(%1)"/>
      <w:numFmt w:val="lowerLetter"/>
      <w:start w:val="2"/>
    </w:lvl>
    <w:lvl w:ilvl="1">
      <w:lvlJc w:val="left"/>
      <w:lvlText w:val="(%2)"/>
      <w:numFmt w:val="decimal"/>
      <w:start w:val="1"/>
    </w:lvl>
  </w:abstractNum>
  <w:abstractNum w:abstractNumId="186">
    <w:nsid w:val="73CFE165"/>
    <w:multiLevelType w:val="hybridMultilevel"/>
    <w:lvl w:ilvl="0">
      <w:lvlJc w:val="left"/>
      <w:lvlText w:val="%1"/>
      <w:numFmt w:val="lowerLetter"/>
      <w:start w:val="1"/>
    </w:lvl>
    <w:lvl w:ilvl="1">
      <w:lvlJc w:val="left"/>
      <w:lvlText w:val="(%2)"/>
      <w:numFmt w:val="decimal"/>
      <w:start w:val="2"/>
    </w:lvl>
  </w:abstractNum>
  <w:abstractNum w:abstractNumId="187">
    <w:nsid w:val="20F88EA6"/>
    <w:multiLevelType w:val="hybridMultilevel"/>
    <w:lvl w:ilvl="0">
      <w:lvlJc w:val="left"/>
      <w:lvlText w:val="(%1)"/>
      <w:numFmt w:val="lowerLetter"/>
      <w:start w:val="3"/>
    </w:lvl>
    <w:lvl w:ilvl="1">
      <w:lvlJc w:val="left"/>
      <w:lvlText w:val="%2"/>
      <w:numFmt w:val="decimal"/>
      <w:start w:val="1"/>
    </w:lvl>
  </w:abstractNum>
  <w:abstractNum w:abstractNumId="188">
    <w:nsid w:val="617C843E"/>
    <w:multiLevelType w:val="hybridMultilevel"/>
    <w:lvl w:ilvl="0">
      <w:lvlJc w:val="left"/>
      <w:lvlText w:val="(%1)"/>
      <w:numFmt w:val="lowerLetter"/>
      <w:start w:val="1"/>
    </w:lvl>
  </w:abstractNum>
  <w:abstractNum w:abstractNumId="189">
    <w:nsid w:val="7B541FAB"/>
    <w:multiLevelType w:val="hybridMultilevel"/>
    <w:lvl w:ilvl="0">
      <w:lvlJc w:val="left"/>
      <w:lvlText w:val="(%1)"/>
      <w:numFmt w:val="lowerLetter"/>
      <w:start w:val="5"/>
    </w:lvl>
  </w:abstractNum>
  <w:abstractNum w:abstractNumId="190">
    <w:nsid w:val="2A79EC49"/>
    <w:multiLevelType w:val="hybridMultilevel"/>
    <w:lvl w:ilvl="0">
      <w:lvlJc w:val="left"/>
      <w:lvlText w:val="(%1)"/>
      <w:numFmt w:val="lowerLetter"/>
      <w:start w:val="1"/>
    </w:lvl>
  </w:abstractNum>
  <w:abstractNum w:abstractNumId="191">
    <w:nsid w:val="338125CF"/>
    <w:multiLevelType w:val="hybridMultilevel"/>
    <w:lvl w:ilvl="0">
      <w:lvlJc w:val="left"/>
      <w:lvlText w:val="%1"/>
      <w:numFmt w:val="lowerLetter"/>
      <w:start w:val="1"/>
    </w:lvl>
    <w:lvl w:ilvl="1">
      <w:lvlJc w:val="left"/>
      <w:lvlText w:val="(%2)"/>
      <w:numFmt w:val="lowerLetter"/>
      <w:start w:val="2"/>
    </w:lvl>
  </w:abstractNum>
  <w:abstractNum w:abstractNumId="192">
    <w:nsid w:val="47C7C971"/>
    <w:multiLevelType w:val="hybridMultilevel"/>
    <w:lvl w:ilvl="0">
      <w:lvlJc w:val="left"/>
      <w:lvlText w:val="(%1)"/>
      <w:numFmt w:val="lowerLetter"/>
      <w:start w:val="35"/>
    </w:lvl>
    <w:lvl w:ilvl="1">
      <w:lvlJc w:val="left"/>
      <w:lvlText w:val="%2"/>
      <w:numFmt w:val="lowerLetter"/>
      <w:start w:val="1"/>
    </w:lvl>
  </w:abstractNum>
  <w:abstractNum w:abstractNumId="193">
    <w:nsid w:val="46F8284B"/>
    <w:multiLevelType w:val="hybridMultilevel"/>
    <w:lvl w:ilvl="0">
      <w:lvlJc w:val="left"/>
      <w:lvlText w:val="(%1)"/>
      <w:numFmt w:val="lowerLetter"/>
      <w:start w:val="1"/>
    </w:lvl>
    <w:lvl w:ilvl="1">
      <w:lvlJc w:val="left"/>
      <w:lvlText w:val="(%2)"/>
      <w:numFmt w:val="decimal"/>
      <w:start w:val="1"/>
    </w:lvl>
  </w:abstractNum>
  <w:abstractNum w:abstractNumId="194">
    <w:nsid w:val="4FA327CE"/>
    <w:multiLevelType w:val="hybridMultilevel"/>
    <w:lvl w:ilvl="0">
      <w:lvlJc w:val="left"/>
      <w:lvlText w:val="(%1)"/>
      <w:numFmt w:val="lowerLetter"/>
      <w:start w:val="1"/>
    </w:lvl>
  </w:abstractNum>
  <w:abstractNum w:abstractNumId="195">
    <w:nsid w:val="1873983A"/>
    <w:multiLevelType w:val="hybridMultilevel"/>
    <w:lvl w:ilvl="0">
      <w:lvlJc w:val="left"/>
      <w:lvlText w:val="(%1)"/>
      <w:numFmt w:val="lowerLetter"/>
      <w:start w:val="2"/>
    </w:lvl>
  </w:abstractNum>
  <w:abstractNum w:abstractNumId="196">
    <w:nsid w:val="3D2DD275"/>
    <w:multiLevelType w:val="hybridMultilevel"/>
    <w:lvl w:ilvl="0">
      <w:lvlJc w:val="left"/>
      <w:lvlText w:val="(%1)"/>
      <w:numFmt w:val="lowerLetter"/>
      <w:start w:val="1"/>
    </w:lvl>
  </w:abstractNum>
  <w:abstractNum w:abstractNumId="197">
    <w:nsid w:val="2E17ECA7"/>
    <w:multiLevelType w:val="hybridMultilevel"/>
    <w:lvl w:ilvl="0">
      <w:lvlJc w:val="left"/>
      <w:lvlText w:val="(%1)"/>
      <w:numFmt w:val="lowerLetter"/>
      <w:start w:val="1"/>
    </w:lvl>
  </w:abstractNum>
  <w:abstractNum w:abstractNumId="198">
    <w:nsid w:val="53B2564F"/>
    <w:multiLevelType w:val="hybridMultilevel"/>
    <w:lvl w:ilvl="0">
      <w:lvlJc w:val="left"/>
      <w:lvlText w:val="(%1)"/>
      <w:numFmt w:val="lowerLetter"/>
      <w:start w:val="1"/>
    </w:lvl>
  </w:abstractNum>
  <w:abstractNum w:abstractNumId="199">
    <w:nsid w:val="75509D76"/>
    <w:multiLevelType w:val="hybridMultilevel"/>
    <w:lvl w:ilvl="0">
      <w:lvlJc w:val="left"/>
      <w:lvlText w:val="(%1)"/>
      <w:numFmt w:val="lowerLetter"/>
      <w:start w:val="1"/>
    </w:lvl>
    <w:lvl w:ilvl="1">
      <w:lvlJc w:val="left"/>
      <w:lvlText w:val="(%2)"/>
      <w:numFmt w:val="lowerRoman"/>
      <w:start w:val="1"/>
    </w:lvl>
  </w:abstractNum>
  <w:abstractNum w:abstractNumId="200">
    <w:nsid w:val="1AF7F0EA"/>
    <w:multiLevelType w:val="hybridMultilevel"/>
    <w:lvl w:ilvl="0">
      <w:lvlJc w:val="left"/>
      <w:lvlText w:val="(%1)"/>
      <w:numFmt w:val="lowerLetter"/>
      <w:start w:val="3"/>
    </w:lvl>
  </w:abstractNum>
  <w:abstractNum w:abstractNumId="201">
    <w:nsid w:val="4DA32C7E"/>
    <w:multiLevelType w:val="hybridMultilevel"/>
    <w:lvl w:ilvl="0">
      <w:lvlJc w:val="left"/>
      <w:lvlText w:val="(%1)"/>
      <w:numFmt w:val="lowerLetter"/>
      <w:start w:val="4"/>
    </w:lvl>
  </w:abstractNum>
  <w:abstractNum w:abstractNumId="202">
    <w:nsid w:val="6EC68664"/>
    <w:multiLevelType w:val="hybridMultilevel"/>
    <w:lvl w:ilvl="0">
      <w:lvlJc w:val="left"/>
      <w:lvlText w:val="(%1)"/>
      <w:numFmt w:val="lowerLetter"/>
      <w:start w:val="1"/>
    </w:lvl>
  </w:abstractNum>
  <w:abstractNum w:abstractNumId="203">
    <w:nsid w:val="E0D31FF"/>
    <w:multiLevelType w:val="hybridMultilevel"/>
    <w:lvl w:ilvl="0">
      <w:lvlJc w:val="left"/>
      <w:lvlText w:val="(%1)"/>
      <w:numFmt w:val="lowerLetter"/>
      <w:start w:val="2"/>
    </w:lvl>
  </w:abstractNum>
  <w:abstractNum w:abstractNumId="204">
    <w:nsid w:val="2FD0AD81"/>
    <w:multiLevelType w:val="hybridMultilevel"/>
    <w:lvl w:ilvl="0">
      <w:lvlJc w:val="left"/>
      <w:lvlText w:val="(%1)"/>
      <w:numFmt w:val="lowerLetter"/>
      <w:start w:val="4"/>
    </w:lvl>
  </w:abstractNum>
  <w:abstractNum w:abstractNumId="205">
    <w:nsid w:val="1978EBEB"/>
    <w:multiLevelType w:val="hybridMultilevel"/>
    <w:lvl w:ilvl="0">
      <w:lvlJc w:val="left"/>
      <w:lvlText w:val="(%1)"/>
      <w:numFmt w:val="lowerLetter"/>
      <w:start w:val="1"/>
    </w:lvl>
  </w:abstractNum>
  <w:abstractNum w:abstractNumId="206">
    <w:nsid w:val="52C12C61"/>
    <w:multiLevelType w:val="hybridMultilevel"/>
    <w:lvl w:ilvl="0">
      <w:lvlJc w:val="left"/>
      <w:lvlText w:val="(%1)"/>
      <w:numFmt w:val="lowerLetter"/>
      <w:start w:val="2"/>
    </w:lvl>
    <w:lvl w:ilvl="1">
      <w:lvlJc w:val="left"/>
      <w:lvlText w:val="(%2)"/>
      <w:numFmt w:val="lowerRoman"/>
      <w:start w:val="1"/>
    </w:lvl>
  </w:abstractNum>
  <w:abstractNum w:abstractNumId="207">
    <w:nsid w:val="4BDD53FD"/>
    <w:multiLevelType w:val="hybridMultilevel"/>
    <w:lvl w:ilvl="0">
      <w:lvlJc w:val="left"/>
      <w:lvlText w:val="(%1)"/>
      <w:numFmt w:val="lowerRoman"/>
      <w:start w:val="4"/>
    </w:lvl>
  </w:abstractNum>
  <w:abstractNum w:abstractNumId="208">
    <w:nsid w:val="569951FE"/>
    <w:multiLevelType w:val="hybridMultilevel"/>
    <w:lvl w:ilvl="0">
      <w:lvlJc w:val="left"/>
      <w:lvlText w:val="(%1)"/>
      <w:numFmt w:val="lowerLetter"/>
      <w:start w:val="6"/>
    </w:lvl>
  </w:abstractNum>
  <w:abstractNum w:abstractNumId="209">
    <w:nsid w:val="4C54E2C3"/>
    <w:multiLevelType w:val="hybridMultilevel"/>
    <w:lvl w:ilvl="0">
      <w:lvlJc w:val="left"/>
      <w:lvlText w:val="(%1)"/>
      <w:numFmt w:val="lowerLetter"/>
      <w:start w:val="1"/>
    </w:lvl>
  </w:abstractNum>
  <w:abstractNum w:abstractNumId="210">
    <w:nsid w:val="788BD9B"/>
    <w:multiLevelType w:val="hybridMultilevel"/>
    <w:lvl w:ilvl="0">
      <w:lvlJc w:val="left"/>
      <w:lvlText w:val="(%1)"/>
      <w:numFmt w:val="lowerLetter"/>
      <w:start w:val="4"/>
    </w:lvl>
  </w:abstractNum>
  <w:abstractNum w:abstractNumId="211">
    <w:nsid w:val="47CAA567"/>
    <w:multiLevelType w:val="hybridMultilevel"/>
    <w:lvl w:ilvl="0">
      <w:lvlJc w:val="left"/>
      <w:lvlText w:val="(%1)"/>
      <w:numFmt w:val="lowerLetter"/>
      <w:start w:val="1"/>
    </w:lvl>
  </w:abstractNum>
  <w:abstractNum w:abstractNumId="212">
    <w:nsid w:val="48249DBF"/>
    <w:multiLevelType w:val="hybridMultilevel"/>
    <w:lvl w:ilvl="0">
      <w:lvlJc w:val="left"/>
      <w:lvlText w:val="(%1)"/>
      <w:numFmt w:val="lowerLetter"/>
      <w:start w:val="1"/>
    </w:lvl>
  </w:abstractNum>
  <w:abstractNum w:abstractNumId="213">
    <w:nsid w:val="1F0E5D0D"/>
    <w:multiLevelType w:val="hybridMultilevel"/>
    <w:lvl w:ilvl="0">
      <w:lvlJc w:val="left"/>
      <w:lvlText w:val="(%1)"/>
      <w:numFmt w:val="lowerLetter"/>
      <w:start w:val="1"/>
    </w:lvl>
  </w:abstractNum>
  <w:abstractNum w:abstractNumId="214">
    <w:nsid w:val="26BAAE9"/>
    <w:multiLevelType w:val="hybridMultilevel"/>
    <w:lvl w:ilvl="0">
      <w:lvlJc w:val="left"/>
      <w:lvlText w:val="(%1)"/>
      <w:numFmt w:val="lowerLetter"/>
      <w:start w:val="1"/>
    </w:lvl>
  </w:abstractNum>
  <w:abstractNum w:abstractNumId="215">
    <w:nsid w:val="2C02FE8C"/>
    <w:multiLevelType w:val="hybridMultilevel"/>
    <w:lvl w:ilvl="0">
      <w:lvlJc w:val="left"/>
      <w:lvlText w:val="(%1)"/>
      <w:numFmt w:val="lowerLetter"/>
      <w:start w:val="1"/>
    </w:lvl>
  </w:abstractNum>
  <w:abstractNum w:abstractNumId="216">
    <w:nsid w:val="129517E"/>
    <w:multiLevelType w:val="hybridMultilevel"/>
    <w:lvl w:ilvl="0">
      <w:lvlJc w:val="left"/>
      <w:lvlText w:val="(%1)"/>
      <w:numFmt w:val="lowerLetter"/>
      <w:start w:val="2"/>
    </w:lvl>
  </w:abstractNum>
  <w:abstractNum w:abstractNumId="217">
    <w:nsid w:val="763B8C4E"/>
    <w:multiLevelType w:val="hybridMultilevel"/>
    <w:lvl w:ilvl="0">
      <w:lvlJc w:val="left"/>
      <w:lvlText w:val="(%1)"/>
      <w:numFmt w:val="lowerLetter"/>
      <w:start w:val="1"/>
    </w:lvl>
    <w:lvl w:ilvl="1">
      <w:lvlJc w:val="left"/>
      <w:lvlText w:val="(%2)"/>
      <w:numFmt w:val="lowerRoman"/>
      <w:start w:val="1"/>
    </w:lvl>
  </w:abstractNum>
  <w:abstractNum w:abstractNumId="218">
    <w:nsid w:val="4CFB8D32"/>
    <w:multiLevelType w:val="hybridMultilevel"/>
    <w:lvl w:ilvl="0">
      <w:lvlJc w:val="left"/>
      <w:lvlText w:val="(%1)"/>
      <w:numFmt w:val="lowerLetter"/>
      <w:start w:val="1"/>
    </w:lvl>
  </w:abstractNum>
  <w:abstractNum w:abstractNumId="219">
    <w:nsid w:val="62A5D5BD"/>
    <w:multiLevelType w:val="hybridMultilevel"/>
    <w:lvl w:ilvl="0">
      <w:lvlJc w:val="left"/>
      <w:lvlText w:val="(%1)"/>
      <w:numFmt w:val="lowerLetter"/>
      <w:start w:val="3"/>
    </w:lvl>
  </w:abstractNum>
  <w:abstractNum w:abstractNumId="220">
    <w:nsid w:val="718FABF9"/>
    <w:multiLevelType w:val="hybridMultilevel"/>
    <w:lvl w:ilvl="0">
      <w:lvlJc w:val="left"/>
      <w:lvlText w:val="%1."/>
      <w:numFmt w:val="decimal"/>
      <w:start w:val="1"/>
    </w:lvl>
  </w:abstractNum>
  <w:abstractNum w:abstractNumId="221">
    <w:nsid w:val="7775797C"/>
    <w:multiLevelType w:val="hybridMultilevel"/>
    <w:lvl w:ilvl="0">
      <w:lvlJc w:val="left"/>
      <w:lvlText w:val="*"/>
      <w:numFmt w:val="bullet"/>
      <w:start w:val="1"/>
    </w:lvl>
  </w:abstractNum>
  <w:abstractNum w:abstractNumId="222">
    <w:nsid w:val="1626FB8C"/>
    <w:multiLevelType w:val="hybridMultilevel"/>
    <w:lvl w:ilvl="0">
      <w:lvlJc w:val="left"/>
      <w:lvlText w:val="%1."/>
      <w:numFmt w:val="decimal"/>
      <w:start w:val="2"/>
    </w:lvl>
    <w:lvl w:ilvl="1">
      <w:lvlJc w:val="left"/>
      <w:lvlText w:val="(%2)"/>
      <w:numFmt w:val="lowerLetter"/>
      <w:start w:val="1"/>
    </w:lvl>
  </w:abstractNum>
  <w:abstractNum w:abstractNumId="223">
    <w:nsid w:val="3957756A"/>
    <w:multiLevelType w:val="hybridMultilevel"/>
    <w:lvl w:ilvl="0">
      <w:lvlJc w:val="left"/>
      <w:lvlText w:val="(%1)"/>
      <w:numFmt w:val="lowerLetter"/>
      <w:start w:val="2"/>
    </w:lvl>
  </w:abstractNum>
  <w:abstractNum w:abstractNumId="224">
    <w:nsid w:val="3E6DA1C7"/>
    <w:multiLevelType w:val="hybridMultilevel"/>
    <w:lvl w:ilvl="0">
      <w:lvlJc w:val="left"/>
      <w:lvlText w:val="%1"/>
      <w:numFmt w:val="decimal"/>
      <w:start w:val="1"/>
    </w:lvl>
    <w:lvl w:ilvl="1">
      <w:lvlJc w:val="left"/>
      <w:lvlText w:val="(%2)"/>
      <w:numFmt w:val="lowerLetter"/>
      <w:start w:val="3"/>
    </w:lvl>
  </w:abstractNum>
  <w:abstractNum w:abstractNumId="225">
    <w:nsid w:val="65CA235B"/>
    <w:multiLevelType w:val="hybridMultilevel"/>
    <w:lvl w:ilvl="0">
      <w:lvlJc w:val="left"/>
      <w:lvlText w:val="%1."/>
      <w:numFmt w:val="decimal"/>
      <w:start w:val="3"/>
    </w:lvl>
    <w:lvl w:ilvl="1">
      <w:lvlJc w:val="left"/>
      <w:lvlText w:val="(%2)"/>
      <w:numFmt w:val="lowerLetter"/>
      <w:start w:val="1"/>
    </w:lvl>
  </w:abstractNum>
  <w:abstractNum w:abstractNumId="226">
    <w:nsid w:val="51CB0DA4"/>
    <w:multiLevelType w:val="hybridMultilevel"/>
    <w:lvl w:ilvl="0">
      <w:lvlJc w:val="left"/>
      <w:lvlText w:val="%1."/>
      <w:numFmt w:val="decimal"/>
      <w:start w:val="4"/>
    </w:lvl>
  </w:abstractNum>
  <w:abstractNum w:abstractNumId="227">
    <w:nsid w:val="7B9B743C"/>
    <w:multiLevelType w:val="hybridMultilevel"/>
    <w:lvl w:ilvl="0">
      <w:lvlJc w:val="left"/>
      <w:lvlText w:val="%1"/>
      <w:numFmt w:val="lowerRoman"/>
      <w:start w:val="1"/>
    </w:lvl>
    <w:lvl w:ilvl="1">
      <w:lvlJc w:val="left"/>
      <w:lvlText w:val="%2."/>
      <w:numFmt w:val="decimal"/>
      <w:start w:val="9"/>
    </w:lvl>
  </w:abstractNum>
  <w:abstractNum w:abstractNumId="228">
    <w:nsid w:val="13E21002"/>
    <w:multiLevelType w:val="hybridMultilevel"/>
    <w:lvl w:ilvl="0">
      <w:lvlJc w:val="left"/>
      <w:lvlText w:val="(%1)"/>
      <w:numFmt w:val="lowerRoman"/>
      <w:start w:val="4"/>
    </w:lvl>
    <w:lvl w:ilvl="1">
      <w:lvlJc w:val="left"/>
      <w:lvlText w:val="%2"/>
      <w:numFmt w:val="decimal"/>
      <w:start w:val="1"/>
    </w:lvl>
  </w:abstractNum>
  <w:abstractNum w:abstractNumId="229">
    <w:nsid w:val="257D63F4"/>
    <w:multiLevelType w:val="hybridMultilevel"/>
    <w:lvl w:ilvl="0">
      <w:lvlJc w:val="left"/>
      <w:lvlText w:val="%1."/>
      <w:numFmt w:val="decimal"/>
      <w:start w:val="11"/>
    </w:lvl>
  </w:abstractNum>
  <w:abstractNum w:abstractNumId="230">
    <w:nsid w:val="70EC11B2"/>
    <w:multiLevelType w:val="hybridMultilevel"/>
    <w:lvl w:ilvl="0">
      <w:lvlJc w:val="left"/>
      <w:lvlText w:val="%1."/>
      <w:numFmt w:val="decimal"/>
      <w:start w:val="1"/>
    </w:lvl>
  </w:abstractNum>
  <w:abstractNum w:abstractNumId="231">
    <w:nsid w:val="2EDA00ED"/>
    <w:multiLevelType w:val="hybridMultilevel"/>
    <w:lvl w:ilvl="0">
      <w:lvlJc w:val="left"/>
      <w:lvlText w:val="%1."/>
      <w:numFmt w:val="decimal"/>
      <w:start w:val="2"/>
    </w:lvl>
    <w:lvl w:ilvl="1">
      <w:lvlJc w:val="left"/>
      <w:lvlText w:val="(%2)"/>
      <w:numFmt w:val="lowerLetter"/>
      <w:start w:val="1"/>
    </w:lvl>
  </w:abstractNum>
  <w:abstractNum w:abstractNumId="232">
    <w:nsid w:val="73209072"/>
    <w:multiLevelType w:val="hybridMultilevel"/>
    <w:lvl w:ilvl="0">
      <w:lvlJc w:val="left"/>
      <w:lvlText w:val="(%1)"/>
      <w:numFmt w:val="lowerLetter"/>
      <w:start w:val="2"/>
    </w:lvl>
  </w:abstractNum>
  <w:abstractNum w:abstractNumId="233">
    <w:nsid w:val="5FB29816"/>
    <w:multiLevelType w:val="hybridMultilevel"/>
    <w:lvl w:ilvl="0">
      <w:lvlJc w:val="left"/>
      <w:lvlText w:val="%1"/>
      <w:numFmt w:val="decimal"/>
      <w:start w:val="1"/>
    </w:lvl>
    <w:lvl w:ilvl="1">
      <w:lvlJc w:val="left"/>
      <w:lvlText w:val="(%2)"/>
      <w:numFmt w:val="lowerLetter"/>
      <w:start w:val="3"/>
    </w:lvl>
  </w:abstractNum>
  <w:abstractNum w:abstractNumId="234">
    <w:nsid w:val="3CE732EC"/>
    <w:multiLevelType w:val="hybridMultilevel"/>
    <w:lvl w:ilvl="0">
      <w:lvlJc w:val="left"/>
      <w:lvlText w:val="%1."/>
      <w:numFmt w:val="decimal"/>
      <w:start w:val="3"/>
    </w:lvl>
    <w:lvl w:ilvl="1">
      <w:lvlJc w:val="left"/>
      <w:lvlText w:val="(%2)"/>
      <w:numFmt w:val="lowerLetter"/>
      <w:start w:val="1"/>
    </w:lvl>
  </w:abstractNum>
  <w:abstractNum w:abstractNumId="235">
    <w:nsid w:val="22F13DF3"/>
    <w:multiLevelType w:val="hybridMultilevel"/>
    <w:lvl w:ilvl="0">
      <w:lvlJc w:val="left"/>
      <w:lvlText w:val="%1"/>
      <w:numFmt w:val="lowerRoman"/>
      <w:start w:val="1"/>
    </w:lvl>
    <w:lvl w:ilvl="1">
      <w:lvlJc w:val="left"/>
      <w:lvlText w:val="%2."/>
      <w:numFmt w:val="decimal"/>
      <w:start w:val="7"/>
    </w:lvl>
  </w:abstractNum>
  <w:abstractNum w:abstractNumId="236">
    <w:nsid w:val="792B8401"/>
    <w:multiLevelType w:val="hybridMultilevel"/>
    <w:lvl w:ilvl="0">
      <w:lvlJc w:val="left"/>
      <w:lvlText w:val="(%1)"/>
      <w:numFmt w:val="lowerRoman"/>
      <w:start w:val="4"/>
    </w:lvl>
    <w:lvl w:ilvl="1">
      <w:lvlJc w:val="left"/>
      <w:lvlText w:val="%2"/>
      <w:numFmt w:val="decimal"/>
      <w:start w:val="1"/>
    </w:lvl>
  </w:abstractNum>
  <w:abstractNum w:abstractNumId="237">
    <w:nsid w:val="FA85F4D"/>
    <w:multiLevelType w:val="hybridMultilevel"/>
    <w:lvl w:ilvl="0">
      <w:lvlJc w:val="left"/>
      <w:lvlText w:val="%1."/>
      <w:numFmt w:val="decimal"/>
      <w:start w:val="9"/>
    </w:lvl>
  </w:abstractNum>
  <w:abstractNum w:abstractNumId="238">
    <w:nsid w:val="6ECE91F0"/>
    <w:multiLevelType w:val="hybridMultilevel"/>
    <w:lvl w:ilvl="0">
      <w:lvlJc w:val="left"/>
      <w:lvlText w:val="%1."/>
      <w:numFmt w:val="decimal"/>
      <w:start w:val="1"/>
    </w:lvl>
  </w:abstractNum>
  <w:abstractNum w:abstractNumId="239">
    <w:nsid w:val="4FC4D600"/>
    <w:multiLevelType w:val="hybridMultilevel"/>
    <w:lvl w:ilvl="0">
      <w:lvlJc w:val="left"/>
      <w:lvlText w:val="%1."/>
      <w:numFmt w:val="decimal"/>
      <w:start w:val="2"/>
    </w:lvl>
    <w:lvl w:ilvl="1">
      <w:lvlJc w:val="left"/>
      <w:lvlText w:val="(%2)"/>
      <w:numFmt w:val="lowerLetter"/>
      <w:start w:val="1"/>
    </w:lvl>
  </w:abstractNum>
  <w:abstractNum w:abstractNumId="240">
    <w:nsid w:val="5BFD4210"/>
    <w:multiLevelType w:val="hybridMultilevel"/>
    <w:lvl w:ilvl="0">
      <w:lvlJc w:val="left"/>
      <w:lvlText w:val="(%1)"/>
      <w:numFmt w:val="lowerLetter"/>
      <w:start w:val="2"/>
    </w:lvl>
  </w:abstractNum>
  <w:abstractNum w:abstractNumId="241">
    <w:nsid w:val="76574F8B"/>
    <w:multiLevelType w:val="hybridMultilevel"/>
    <w:lvl w:ilvl="0">
      <w:lvlJc w:val="left"/>
      <w:lvlText w:val="%1"/>
      <w:numFmt w:val="decimal"/>
      <w:start w:val="1"/>
    </w:lvl>
    <w:lvl w:ilvl="1">
      <w:lvlJc w:val="left"/>
      <w:lvlText w:val="(%2)"/>
      <w:numFmt w:val="lowerLetter"/>
      <w:start w:val="3"/>
    </w:lvl>
  </w:abstractNum>
  <w:abstractNum w:abstractNumId="242">
    <w:nsid w:val="178F7B67"/>
    <w:multiLevelType w:val="hybridMultilevel"/>
    <w:lvl w:ilvl="0">
      <w:lvlJc w:val="left"/>
      <w:lvlText w:val="%1."/>
      <w:numFmt w:val="decimal"/>
      <w:start w:val="3"/>
    </w:lvl>
    <w:lvl w:ilvl="1">
      <w:lvlJc w:val="left"/>
      <w:lvlText w:val="(%2)"/>
      <w:numFmt w:val="lowerLetter"/>
      <w:start w:val="1"/>
    </w:lvl>
  </w:abstractNum>
  <w:abstractNum w:abstractNumId="243">
    <w:nsid w:val="2421DFCF"/>
    <w:multiLevelType w:val="hybridMultilevel"/>
    <w:lvl w:ilvl="0">
      <w:lvlJc w:val="left"/>
      <w:lvlText w:val="%1."/>
      <w:numFmt w:val="decimal"/>
      <w:start w:val="4"/>
    </w:lvl>
  </w:abstractNum>
  <w:abstractNum w:abstractNumId="244">
    <w:nsid w:val="1565AC99"/>
    <w:multiLevelType w:val="hybridMultilevel"/>
    <w:lvl w:ilvl="0">
      <w:lvlJc w:val="left"/>
      <w:lvlText w:val="%1."/>
      <w:numFmt w:val="decimal"/>
      <w:start w:val="10"/>
    </w:lvl>
  </w:abstractNum>
  <w:abstractNum w:abstractNumId="245">
    <w:nsid w:val="19FB2650"/>
    <w:multiLevelType w:val="hybridMultilevel"/>
    <w:lvl w:ilvl="0">
      <w:lvlJc w:val="left"/>
      <w:lvlText w:val="%1."/>
      <w:numFmt w:val="decimal"/>
      <w:start w:val="1"/>
    </w:lvl>
  </w:abstractNum>
  <w:abstractNum w:abstractNumId="246">
    <w:nsid w:val="5024DE5B"/>
    <w:multiLevelType w:val="hybridMultilevel"/>
    <w:lvl w:ilvl="0">
      <w:lvlJc w:val="left"/>
      <w:lvlText w:val="("/>
      <w:numFmt w:val="bullet"/>
      <w:start w:val="1"/>
    </w:lvl>
  </w:abstractNum>
  <w:abstractNum w:abstractNumId="247">
    <w:nsid w:val="168EFE17"/>
    <w:multiLevelType w:val="hybridMultilevel"/>
    <w:lvl w:ilvl="0">
      <w:lvlJc w:val="left"/>
      <w:lvlText w:val="("/>
      <w:numFmt w:val="bullet"/>
      <w:start w:val="1"/>
    </w:lvl>
  </w:abstractNum>
  <w:abstractNum w:abstractNumId="248">
    <w:nsid w:val="1036B29F"/>
    <w:multiLevelType w:val="hybridMultilevel"/>
    <w:lvl w:ilvl="0">
      <w:lvlJc w:val="left"/>
      <w:lvlText w:val="("/>
      <w:numFmt w:val="bullet"/>
      <w:start w:val="1"/>
    </w:lvl>
  </w:abstractNum>
  <w:abstractNum w:abstractNumId="249">
    <w:nsid w:val="1D206B8E"/>
    <w:multiLevelType w:val="hybridMultilevel"/>
    <w:lvl w:ilvl="0">
      <w:lvlJc w:val="left"/>
      <w:lvlText w:val="("/>
      <w:numFmt w:val="bullet"/>
      <w:start w:val="1"/>
    </w:lvl>
  </w:abstractNum>
  <w:abstractNum w:abstractNumId="250">
    <w:nsid w:val="7934D3D4"/>
    <w:multiLevelType w:val="hybridMultilevel"/>
    <w:lvl w:ilvl="0">
      <w:lvlJc w:val="left"/>
      <w:lvlText w:val="%1."/>
      <w:numFmt w:val="decimal"/>
      <w:start w:val="2"/>
    </w:lvl>
    <w:lvl w:ilvl="1">
      <w:lvlJc w:val="left"/>
      <w:lvlText w:val="(%2)"/>
      <w:numFmt w:val="lowerLetter"/>
      <w:start w:val="1"/>
    </w:lvl>
  </w:abstractNum>
  <w:abstractNum w:abstractNumId="251">
    <w:nsid w:val="1C65E98"/>
    <w:multiLevelType w:val="hybridMultilevel"/>
    <w:lvl w:ilvl="0">
      <w:lvlJc w:val="left"/>
      <w:lvlText w:val="(%1)"/>
      <w:numFmt w:val="lowerLetter"/>
      <w:start w:val="2"/>
    </w:lvl>
  </w:abstractNum>
  <w:abstractNum w:abstractNumId="252">
    <w:nsid w:val="1495E50A"/>
    <w:multiLevelType w:val="hybridMultilevel"/>
    <w:lvl w:ilvl="0">
      <w:lvlJc w:val="left"/>
      <w:lvlText w:val="%1"/>
      <w:numFmt w:val="decimal"/>
      <w:start w:val="1"/>
    </w:lvl>
    <w:lvl w:ilvl="1">
      <w:lvlJc w:val="left"/>
      <w:lvlText w:val="(%2)"/>
      <w:numFmt w:val="lowerLetter"/>
      <w:start w:val="3"/>
    </w:lvl>
  </w:abstractNum>
  <w:abstractNum w:abstractNumId="253">
    <w:nsid w:val="F5BCF61"/>
    <w:multiLevelType w:val="hybridMultilevel"/>
    <w:lvl w:ilvl="0">
      <w:lvlJc w:val="left"/>
      <w:lvlText w:val="%1."/>
      <w:numFmt w:val="decimal"/>
      <w:start w:val="3"/>
    </w:lvl>
    <w:lvl w:ilvl="1">
      <w:lvlJc w:val="left"/>
      <w:lvlText w:val="%2"/>
      <w:numFmt w:val="lowerLetter"/>
      <w:start w:val="1"/>
    </w:lvl>
  </w:abstractNum>
  <w:abstractNum w:abstractNumId="254">
    <w:nsid w:val="3B1DD403"/>
    <w:multiLevelType w:val="hybridMultilevel"/>
    <w:lvl w:ilvl="0">
      <w:lvlJc w:val="left"/>
      <w:lvlText w:val="%1."/>
      <w:numFmt w:val="decimal"/>
      <w:start w:val="9"/>
    </w:lvl>
  </w:abstractNum>
  <w:abstractNum w:abstractNumId="255">
    <w:nsid w:val="530386D1"/>
    <w:multiLevelType w:val="hybridMultilevel"/>
    <w:lvl w:ilvl="0">
      <w:lvlJc w:val="left"/>
      <w:lvlText w:val="%1."/>
      <w:numFmt w:val="decimal"/>
      <w:start w:val="1"/>
    </w:lvl>
  </w:abstractNum>
  <w:abstractNum w:abstractNumId="256">
    <w:nsid w:val="7525F2BC"/>
    <w:multiLevelType w:val="hybridMultilevel"/>
    <w:lvl w:ilvl="0">
      <w:lvlJc w:val="left"/>
      <w:lvlText w:val="("/>
      <w:numFmt w:val="bullet"/>
      <w:start w:val="1"/>
    </w:lvl>
  </w:abstractNum>
  <w:abstractNum w:abstractNumId="257">
    <w:nsid w:val="CE8E1A7"/>
    <w:multiLevelType w:val="hybridMultilevel"/>
    <w:lvl w:ilvl="0">
      <w:lvlJc w:val="left"/>
      <w:lvlText w:val="("/>
      <w:numFmt w:val="bullet"/>
      <w:start w:val="1"/>
    </w:lvl>
  </w:abstractNum>
  <w:abstractNum w:abstractNumId="258">
    <w:nsid w:val="4E9EFB0D"/>
    <w:multiLevelType w:val="hybridMultilevel"/>
    <w:lvl w:ilvl="0">
      <w:lvlJc w:val="left"/>
      <w:lvlText w:val="("/>
      <w:numFmt w:val="bullet"/>
      <w:start w:val="1"/>
    </w:lvl>
  </w:abstractNum>
  <w:abstractNum w:abstractNumId="259">
    <w:nsid w:val="90802BE"/>
    <w:multiLevelType w:val="hybridMultilevel"/>
    <w:lvl w:ilvl="0">
      <w:lvlJc w:val="left"/>
      <w:lvlText w:val="%1."/>
      <w:numFmt w:val="decimal"/>
      <w:start w:val="3"/>
    </w:lvl>
  </w:abstractNum>
  <w:abstractNum w:abstractNumId="260">
    <w:nsid w:val="3266459B"/>
    <w:multiLevelType w:val="hybridMultilevel"/>
    <w:lvl w:ilvl="0">
      <w:lvlJc w:val="left"/>
      <w:lvlText w:val="%1."/>
      <w:numFmt w:val="decimal"/>
      <w:start w:val="4"/>
    </w:lvl>
  </w:abstractNum>
  <w:abstractNum w:abstractNumId="261">
    <w:nsid w:val="3F8B0CBF"/>
    <w:multiLevelType w:val="hybridMultilevel"/>
    <w:lvl w:ilvl="0">
      <w:lvlJc w:val="left"/>
      <w:lvlText w:val="%1."/>
      <w:numFmt w:val="decimal"/>
      <w:start w:val="11"/>
    </w:lvl>
  </w:abstractNum>
  <w:abstractNum w:abstractNumId="262">
    <w:nsid w:val="37E203AB"/>
    <w:multiLevelType w:val="hybridMultilevel"/>
    <w:lvl w:ilvl="0">
      <w:lvlJc w:val="left"/>
      <w:lvlText w:val="%1."/>
      <w:numFmt w:val="decimal"/>
      <w:start w:val="1"/>
    </w:lvl>
  </w:abstractNum>
  <w:abstractNum w:abstractNumId="263">
    <w:nsid w:val="2586D60E"/>
    <w:multiLevelType w:val="hybridMultilevel"/>
    <w:lvl w:ilvl="0">
      <w:lvlJc w:val="left"/>
      <w:lvlText w:val="("/>
      <w:numFmt w:val="bullet"/>
      <w:start w:val="1"/>
    </w:lvl>
  </w:abstractNum>
  <w:abstractNum w:abstractNumId="264">
    <w:nsid w:val="1F3DA4D5"/>
    <w:multiLevelType w:val="hybridMultilevel"/>
    <w:lvl w:ilvl="0">
      <w:lvlJc w:val="left"/>
      <w:lvlText w:val="("/>
      <w:numFmt w:val="bullet"/>
      <w:start w:val="1"/>
    </w:lvl>
  </w:abstractNum>
  <w:abstractNum w:abstractNumId="265">
    <w:nsid w:val="74C93698"/>
    <w:multiLevelType w:val="hybridMultilevel"/>
    <w:lvl w:ilvl="0">
      <w:lvlJc w:val="left"/>
      <w:lvlText w:val="("/>
      <w:numFmt w:val="bullet"/>
      <w:start w:val="1"/>
    </w:lvl>
  </w:abstractNum>
  <w:abstractNum w:abstractNumId="266">
    <w:nsid w:val="48781401"/>
    <w:multiLevelType w:val="hybridMultilevel"/>
    <w:lvl w:ilvl="0">
      <w:lvlJc w:val="left"/>
      <w:lvlText w:val="%1."/>
      <w:numFmt w:val="decimal"/>
      <w:start w:val="3"/>
    </w:lvl>
  </w:abstractNum>
  <w:abstractNum w:abstractNumId="267">
    <w:nsid w:val="186928D6"/>
    <w:multiLevelType w:val="hybridMultilevel"/>
    <w:lvl w:ilvl="0">
      <w:lvlJc w:val="left"/>
      <w:lvlText w:val="%1"/>
      <w:numFmt w:val="lowerRoman"/>
      <w:start w:val="1"/>
    </w:lvl>
    <w:lvl w:ilvl="1">
      <w:lvlJc w:val="left"/>
      <w:lvlText w:val="%2."/>
      <w:numFmt w:val="decimal"/>
      <w:start w:val="4"/>
    </w:lvl>
  </w:abstractNum>
  <w:abstractNum w:abstractNumId="268">
    <w:nsid w:val="47195E5"/>
    <w:multiLevelType w:val="hybridMultilevel"/>
    <w:lvl w:ilvl="0">
      <w:lvlJc w:val="left"/>
      <w:lvlText w:val="(%1)"/>
      <w:numFmt w:val="lowerRoman"/>
      <w:start w:val="4"/>
    </w:lvl>
    <w:lvl w:ilvl="1">
      <w:lvlJc w:val="left"/>
      <w:lvlText w:val="%2."/>
      <w:numFmt w:val="decimal"/>
      <w:start w:val="10"/>
    </w:lvl>
  </w:abstractNum>
  <w:abstractNum w:abstractNumId="269">
    <w:nsid w:val="3746A5F2"/>
    <w:multiLevelType w:val="hybridMultilevel"/>
    <w:lvl w:ilvl="0">
      <w:lvlJc w:val="left"/>
      <w:lvlText w:val="%1."/>
      <w:numFmt w:val="decimal"/>
      <w:start w:val="1"/>
    </w:lvl>
    <w:lvl w:ilvl="1">
      <w:lvlJc w:val="left"/>
      <w:lvlText w:val="(%2)"/>
      <w:numFmt w:val="lowerLetter"/>
      <w:start w:val="1"/>
    </w:lvl>
  </w:abstractNum>
  <w:abstractNum w:abstractNumId="270">
    <w:nsid w:val="682DFED6"/>
    <w:multiLevelType w:val="hybridMultilevel"/>
    <w:lvl w:ilvl="0">
      <w:lvlJc w:val="left"/>
      <w:lvlText w:val="%1."/>
      <w:numFmt w:val="decimal"/>
      <w:start w:val="3"/>
    </w:lvl>
  </w:abstractNum>
  <w:abstractNum w:abstractNumId="271">
    <w:nsid w:val="606ED7F6"/>
    <w:multiLevelType w:val="hybridMultilevel"/>
    <w:lvl w:ilvl="0">
      <w:lvlJc w:val="left"/>
      <w:lvlText w:val="("/>
      <w:numFmt w:val="bullet"/>
      <w:start w:val="1"/>
    </w:lvl>
  </w:abstractNum>
  <w:abstractNum w:abstractNumId="272">
    <w:nsid w:val="2D9DF57D"/>
    <w:multiLevelType w:val="hybridMultilevel"/>
    <w:lvl w:ilvl="0">
      <w:lvlJc w:val="left"/>
      <w:lvlText w:val="("/>
      <w:numFmt w:val="bullet"/>
      <w:start w:val="1"/>
    </w:lvl>
  </w:abstractNum>
  <w:abstractNum w:abstractNumId="273">
    <w:nsid w:val="7FBD7A3E"/>
    <w:multiLevelType w:val="hybridMultilevel"/>
    <w:lvl w:ilvl="0">
      <w:lvlJc w:val="left"/>
      <w:lvlText w:val="("/>
      <w:numFmt w:val="bullet"/>
      <w:start w:val="1"/>
    </w:lvl>
  </w:abstractNum>
  <w:abstractNum w:abstractNumId="274">
    <w:nsid w:val="490B7C5"/>
    <w:multiLevelType w:val="hybridMultilevel"/>
    <w:lvl w:ilvl="0">
      <w:lvlJc w:val="left"/>
      <w:lvlText w:val="("/>
      <w:numFmt w:val="bullet"/>
      <w:start w:val="1"/>
    </w:lvl>
  </w:abstractNum>
  <w:abstractNum w:abstractNumId="275">
    <w:nsid w:val="4303A216"/>
    <w:multiLevelType w:val="hybridMultilevel"/>
    <w:lvl w:ilvl="0">
      <w:lvlJc w:val="left"/>
      <w:lvlText w:val="%1."/>
      <w:numFmt w:val="decimal"/>
      <w:start w:val="4"/>
    </w:lvl>
  </w:abstractNum>
  <w:abstractNum w:abstractNumId="276">
    <w:nsid w:val="19B8A08E"/>
    <w:multiLevelType w:val="hybridMultilevel"/>
    <w:lvl w:ilvl="0">
      <w:lvlJc w:val="left"/>
      <w:lvlText w:val="%1"/>
      <w:numFmt w:val="lowerRoman"/>
      <w:start w:val="1"/>
    </w:lvl>
    <w:lvl w:ilvl="1">
      <w:lvlJc w:val="left"/>
      <w:lvlText w:val="%2."/>
      <w:numFmt w:val="decimal"/>
      <w:start w:val="8"/>
    </w:lvl>
  </w:abstractNum>
  <w:abstractNum w:abstractNumId="277">
    <w:nsid w:val="54B59621"/>
    <w:multiLevelType w:val="hybridMultilevel"/>
    <w:lvl w:ilvl="0">
      <w:lvlJc w:val="left"/>
      <w:lvlText w:val="(%1)"/>
      <w:numFmt w:val="lowerRoman"/>
      <w:start w:val="4"/>
    </w:lvl>
    <w:lvl w:ilvl="1">
      <w:lvlJc w:val="left"/>
      <w:lvlText w:val="%2."/>
      <w:numFmt w:val="decimal"/>
      <w:start w:val="12"/>
    </w:lvl>
  </w:abstractNum>
  <w:abstractNum w:abstractNumId="278">
    <w:nsid w:val="5992A02E"/>
    <w:multiLevelType w:val="hybridMultilevel"/>
    <w:lvl w:ilvl="0">
      <w:lvlJc w:val="left"/>
      <w:lvlText w:val="%1."/>
      <w:numFmt w:val="decimal"/>
      <w:start w:val="1"/>
    </w:lvl>
  </w:abstractNum>
  <w:abstractNum w:abstractNumId="279">
    <w:nsid w:val="29EF532D"/>
    <w:multiLevelType w:val="hybridMultilevel"/>
    <w:lvl w:ilvl="0">
      <w:lvlJc w:val="left"/>
      <w:lvlText w:val="%1."/>
      <w:numFmt w:val="decimal"/>
      <w:start w:val="2"/>
    </w:lvl>
  </w:abstractNum>
  <w:abstractNum w:abstractNumId="280">
    <w:nsid w:val="71D601AF"/>
    <w:multiLevelType w:val="hybridMultilevel"/>
    <w:lvl w:ilvl="0">
      <w:lvlJc w:val="left"/>
      <w:lvlText w:val="%1."/>
      <w:numFmt w:val="decimal"/>
      <w:start w:val="3"/>
    </w:lvl>
  </w:abstractNum>
  <w:abstractNum w:abstractNumId="281">
    <w:nsid w:val="52C77402"/>
    <w:multiLevelType w:val="hybridMultilevel"/>
    <w:lvl w:ilvl="0">
      <w:lvlJc w:val="left"/>
      <w:lvlText w:val="%1."/>
      <w:numFmt w:val="decimal"/>
      <w:start w:val="4"/>
    </w:lvl>
    <w:lvl w:ilvl="1">
      <w:lvlJc w:val="left"/>
      <w:lvlText w:val="(%2)"/>
      <w:numFmt w:val="lowerLetter"/>
      <w:start w:val="1"/>
    </w:lvl>
  </w:abstractNum>
  <w:abstractNum w:abstractNumId="282">
    <w:nsid w:val="2BB5B1C6"/>
    <w:multiLevelType w:val="hybridMultilevel"/>
    <w:lvl w:ilvl="0">
      <w:lvlJc w:val="left"/>
      <w:lvlText w:val="(%1)"/>
      <w:numFmt w:val="lowerLetter"/>
      <w:start w:val="2"/>
    </w:lvl>
  </w:abstractNum>
  <w:abstractNum w:abstractNumId="283">
    <w:nsid w:val="66BE6B9"/>
    <w:multiLevelType w:val="hybridMultilevel"/>
    <w:lvl w:ilvl="0">
      <w:lvlJc w:val="left"/>
      <w:lvlText w:val="%1."/>
      <w:numFmt w:val="decimal"/>
      <w:start w:val="5"/>
    </w:lvl>
    <w:lvl w:ilvl="1">
      <w:lvlJc w:val="left"/>
      <w:lvlText w:val="(%2)"/>
      <w:numFmt w:val="lowerLetter"/>
      <w:start w:val="1"/>
    </w:lvl>
  </w:abstractNum>
  <w:abstractNum w:abstractNumId="284">
    <w:nsid w:val="62234363"/>
    <w:multiLevelType w:val="hybridMultilevel"/>
    <w:lvl w:ilvl="0">
      <w:lvlJc w:val="left"/>
      <w:lvlText w:val="(%1)"/>
      <w:numFmt w:val="lowerLetter"/>
      <w:start w:val="1"/>
    </w:lvl>
  </w:abstractNum>
  <w:abstractNum w:abstractNumId="285">
    <w:nsid w:val="66D385C9"/>
    <w:multiLevelType w:val="hybridMultilevel"/>
    <w:lvl w:ilvl="0">
      <w:lvlJc w:val="left"/>
      <w:lvlText w:val="(%1)"/>
      <w:numFmt w:val="lowerLetter"/>
      <w:start w:val="5"/>
    </w:lvl>
  </w:abstractNum>
  <w:abstractNum w:abstractNumId="286">
    <w:nsid w:val="596F6D8A"/>
    <w:multiLevelType w:val="hybridMultilevel"/>
    <w:lvl w:ilvl="0">
      <w:lvlJc w:val="left"/>
      <w:lvlText w:val="(%1)"/>
      <w:numFmt w:val="lowerLetter"/>
      <w:start w:val="1"/>
    </w:lvl>
  </w:abstractNum>
  <w:abstractNum w:abstractNumId="287">
    <w:nsid w:val="5749361F"/>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2"/>
    </w:lvl>
  </w:abstractNum>
  <w:abstractNum w:abstractNumId="288">
    <w:nsid w:val="73BC6770"/>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289">
    <w:nsid w:val="280E6897"/>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4"/>
    </w:lvl>
  </w:abstractNum>
  <w:abstractNum w:abstractNumId="290">
    <w:nsid w:val="605138DE"/>
    <w:multiLevelType w:val="hybridMultilevel"/>
    <w:lvl w:ilvl="0">
      <w:lvlJc w:val="left"/>
      <w:lvlText w:val="(%1)"/>
      <w:numFmt w:val="decimal"/>
      <w:start w:val="30"/>
    </w:lvl>
  </w:abstractNum>
  <w:abstractNum w:abstractNumId="291">
    <w:nsid w:val="2622AD0C"/>
    <w:multiLevelType w:val="hybridMultilevel"/>
    <w:lvl w:ilvl="0">
      <w:lvlJc w:val="left"/>
      <w:lvlText w:val="(%1)"/>
      <w:numFmt w:val="lowerLetter"/>
      <w:start w:val="1"/>
    </w:lvl>
  </w:abstractNum>
  <w:abstractNum w:abstractNumId="292">
    <w:nsid w:val="67997556"/>
    <w:multiLevelType w:val="hybridMultilevel"/>
    <w:lvl w:ilvl="0">
      <w:lvlJc w:val="left"/>
      <w:lvlText w:val="%1"/>
      <w:numFmt w:val="lowerLetter"/>
      <w:start w:val="1"/>
    </w:lvl>
    <w:lvl w:ilvl="1">
      <w:lvlJc w:val="left"/>
      <w:lvlText w:val="(%2)"/>
      <w:numFmt w:val="lowerLetter"/>
      <w:start w:val="1"/>
    </w:lvl>
  </w:abstractNum>
  <w:abstractNum w:abstractNumId="293">
    <w:nsid w:val="18333C89"/>
    <w:multiLevelType w:val="hybridMultilevel"/>
    <w:lvl w:ilvl="0">
      <w:lvlJc w:val="left"/>
      <w:lvlText w:val="(%1)"/>
      <w:numFmt w:val="lowerLetter"/>
      <w:start w:val="24"/>
    </w:lvl>
    <w:lvl w:ilvl="1">
      <w:lvlJc w:val="left"/>
      <w:lvlText w:val="%2"/>
      <w:numFmt w:val="lowerLetter"/>
      <w:start w:val="1"/>
    </w:lvl>
  </w:abstractNum>
  <w:abstractNum w:abstractNumId="294">
    <w:nsid w:val="4BA9831A"/>
    <w:multiLevelType w:val="hybridMultilevel"/>
    <w:lvl w:ilvl="0">
      <w:lvlJc w:val="left"/>
      <w:lvlText w:val="(%1)"/>
      <w:numFmt w:val="lowerLetter"/>
      <w:start w:val="2"/>
    </w:lvl>
  </w:abstractNum>
  <w:abstractNum w:abstractNumId="295">
    <w:nsid w:val="6D71A2B"/>
    <w:multiLevelType w:val="hybridMultilevel"/>
    <w:lvl w:ilvl="0">
      <w:lvlJc w:val="left"/>
      <w:lvlText w:val="(%1)"/>
      <w:numFmt w:val="lowerLetter"/>
      <w:start w:val="1"/>
    </w:lvl>
  </w:abstractNum>
  <w:abstractNum w:abstractNumId="296">
    <w:nsid w:val="CFC7321"/>
    <w:multiLevelType w:val="hybridMultilevel"/>
    <w:lvl w:ilvl="0">
      <w:lvlJc w:val="left"/>
      <w:lvlText w:val="(%1)"/>
      <w:numFmt w:val="lowerLetter"/>
      <w:start w:val="1"/>
    </w:lvl>
  </w:abstractNum>
  <w:abstractNum w:abstractNumId="297">
    <w:nsid w:val="1421971B"/>
    <w:multiLevelType w:val="hybridMultilevel"/>
    <w:lvl w:ilvl="0">
      <w:lvlJc w:val="left"/>
      <w:lvlText w:val="(%1)"/>
      <w:numFmt w:val="lowerLetter"/>
      <w:start w:val="2"/>
    </w:lvl>
  </w:abstractNum>
  <w:abstractNum w:abstractNumId="298">
    <w:nsid w:val="1F404301"/>
    <w:multiLevelType w:val="hybridMultilevel"/>
    <w:lvl w:ilvl="0">
      <w:lvlJc w:val="left"/>
      <w:lvlText w:val="(%1)"/>
      <w:numFmt w:val="lowerLetter"/>
      <w:start w:val="1"/>
    </w:lvl>
  </w:abstractNum>
  <w:abstractNum w:abstractNumId="299">
    <w:nsid w:val="116E0907"/>
    <w:multiLevelType w:val="hybridMultilevel"/>
    <w:lvl w:ilvl="0">
      <w:lvlJc w:val="left"/>
      <w:lvlText w:val="(%1)"/>
      <w:numFmt w:val="lowerLetter"/>
      <w:start w:val="4"/>
    </w:lvl>
  </w:abstractNum>
  <w:abstractNum w:abstractNumId="300">
    <w:nsid w:val="4B683D0D"/>
    <w:multiLevelType w:val="hybridMultilevel"/>
    <w:lvl w:ilvl="0">
      <w:lvlJc w:val="left"/>
      <w:lvlText w:val="(%1)"/>
      <w:numFmt w:val="lowerLetter"/>
      <w:start w:val="1"/>
    </w:lvl>
  </w:abstractNum>
  <w:abstractNum w:abstractNumId="301">
    <w:nsid w:val="76E41D8"/>
    <w:multiLevelType w:val="hybridMultilevel"/>
    <w:lvl w:ilvl="0">
      <w:lvlJc w:val="left"/>
      <w:lvlText w:val="(%1)"/>
      <w:numFmt w:val="lowerLetter"/>
      <w:start w:val="1"/>
    </w:lvl>
  </w:abstractNum>
  <w:abstractNum w:abstractNumId="302">
    <w:nsid w:val="71DCE0FD"/>
    <w:multiLevelType w:val="hybridMultilevel"/>
    <w:lvl w:ilvl="0">
      <w:lvlJc w:val="left"/>
      <w:lvlText w:val="1"/>
      <w:numFmt w:val="bullet"/>
      <w:start w:val="1"/>
    </w:lvl>
  </w:abstractNum>
  <w:abstractNum w:abstractNumId="303">
    <w:nsid w:val="7906328B"/>
    <w:multiLevelType w:val="hybridMultilevel"/>
    <w:lvl w:ilvl="0">
      <w:lvlJc w:val="left"/>
      <w:lvlText w:val="(%1)"/>
      <w:numFmt w:val="lowerLetter"/>
      <w:start w:val="1"/>
    </w:lvl>
  </w:abstractNum>
  <w:abstractNum w:abstractNumId="304">
    <w:nsid w:val="72BBC16"/>
    <w:multiLevelType w:val="hybridMultilevel"/>
    <w:lvl w:ilvl="0">
      <w:lvlJc w:val="left"/>
      <w:lvlText w:val="(%1)"/>
      <w:numFmt w:val="lowerLetter"/>
      <w:start w:val="6"/>
    </w:lvl>
  </w:abstractNum>
  <w:abstractNum w:abstractNumId="305">
    <w:nsid w:val="766D98C2"/>
    <w:multiLevelType w:val="hybridMultilevel"/>
    <w:lvl w:ilvl="0">
      <w:lvlJc w:val="left"/>
      <w:lvlText w:val="(%1)"/>
      <w:numFmt w:val="lowerLetter"/>
      <w:start w:val="1"/>
    </w:lvl>
  </w:abstractNum>
  <w:abstractNum w:abstractNumId="306">
    <w:nsid w:val="3C09D4A1"/>
    <w:multiLevelType w:val="hybridMultilevel"/>
    <w:lvl w:ilvl="0">
      <w:lvlJc w:val="left"/>
      <w:lvlText w:val="(%1)"/>
      <w:numFmt w:val="lowerLetter"/>
      <w:start w:val="3"/>
    </w:lvl>
  </w:abstractNum>
  <w:abstractNum w:abstractNumId="307">
    <w:nsid w:val="20E45CA4"/>
    <w:multiLevelType w:val="hybridMultilevel"/>
    <w:lvl w:ilvl="0">
      <w:lvlJc w:val="left"/>
      <w:lvlText w:val="(%1)"/>
      <w:numFmt w:val="decimal"/>
      <w:start w:val="30"/>
    </w:lvl>
  </w:abstractNum>
  <w:abstractNum w:abstractNumId="308">
    <w:nsid w:val="4B232EE3"/>
    <w:multiLevelType w:val="hybridMultilevel"/>
    <w:lvl w:ilvl="0">
      <w:lvlJc w:val="left"/>
      <w:lvlText w:val="(%1)"/>
      <w:numFmt w:val="lowerLetter"/>
      <w:start w:val="1"/>
    </w:lvl>
  </w:abstractNum>
  <w:abstractNum w:abstractNumId="309">
    <w:nsid w:val="159C74CF"/>
    <w:multiLevelType w:val="hybridMultilevel"/>
    <w:lvl w:ilvl="0">
      <w:lvlJc w:val="left"/>
      <w:lvlText w:val="(%1)"/>
      <w:numFmt w:val="lowerLetter"/>
      <w:start w:val="1"/>
    </w:lvl>
  </w:abstractNum>
  <w:abstractNum w:abstractNumId="310">
    <w:nsid w:val="4AD3AFD2"/>
    <w:multiLevelType w:val="hybridMultilevel"/>
    <w:lvl w:ilvl="0">
      <w:lvlJc w:val="left"/>
      <w:lvlText w:val="2"/>
      <w:numFmt w:val="bullet"/>
      <w:start w:val="1"/>
    </w:lvl>
  </w:abstractNum>
  <w:abstractNum w:abstractNumId="311">
    <w:nsid w:val="3CF93092"/>
    <w:multiLevelType w:val="hybridMultilevel"/>
    <w:lvl w:ilvl="0">
      <w:lvlJc w:val="left"/>
      <w:lvlText w:val="(%1)"/>
      <w:numFmt w:val="lowerLetter"/>
      <w:start w:val="25"/>
    </w:lvl>
    <w:lvl w:ilvl="1">
      <w:lvlJc w:val="left"/>
      <w:lvlText w:val="(%2)"/>
      <w:numFmt w:val="lowerLetter"/>
      <w:start w:val="2"/>
    </w:lvl>
  </w:abstractNum>
  <w:abstractNum w:abstractNumId="312">
    <w:nsid w:val="6863E8D2"/>
    <w:multiLevelType w:val="hybridMultilevel"/>
    <w:lvl w:ilvl="0">
      <w:lvlJc w:val="left"/>
      <w:lvlText w:val="(%1)"/>
      <w:numFmt w:val="lowerLetter"/>
      <w:start w:val="1"/>
    </w:lvl>
  </w:abstractNum>
  <w:abstractNum w:abstractNumId="313">
    <w:nsid w:val="76896198"/>
    <w:multiLevelType w:val="hybridMultilevel"/>
    <w:lvl w:ilvl="0">
      <w:lvlJc w:val="left"/>
      <w:lvlText w:val="(%1)"/>
      <w:numFmt w:val="lowerLetter"/>
      <w:start w:val="1"/>
    </w:lvl>
  </w:abstractNum>
  <w:abstractNum w:abstractNumId="314">
    <w:nsid w:val="4365174B"/>
    <w:multiLevelType w:val="hybridMultilevel"/>
    <w:lvl w:ilvl="0">
      <w:lvlJc w:val="left"/>
      <w:lvlText w:val="(%1)"/>
      <w:numFmt w:val="lowerLetter"/>
      <w:start w:val="2"/>
    </w:lvl>
  </w:abstractNum>
  <w:abstractNum w:abstractNumId="315">
    <w:nsid w:val="4A872C35"/>
    <w:multiLevelType w:val="hybridMultilevel"/>
    <w:lvl w:ilvl="0">
      <w:lvlJc w:val="left"/>
      <w:lvlText w:val="(%1)"/>
      <w:numFmt w:val="lowerLetter"/>
      <w:start w:val="1"/>
    </w:lvl>
  </w:abstractNum>
  <w:abstractNum w:abstractNumId="316">
    <w:nsid w:val="5D5CE761"/>
    <w:multiLevelType w:val="hybridMultilevel"/>
    <w:lvl w:ilvl="0">
      <w:lvlJc w:val="left"/>
      <w:lvlText w:val="(%1)"/>
      <w:numFmt w:val="lowerLetter"/>
      <w:start w:val="1"/>
    </w:lvl>
  </w:abstractNum>
  <w:abstractNum w:abstractNumId="317">
    <w:nsid w:val="1CD484D5"/>
    <w:multiLevelType w:val="hybridMultilevel"/>
    <w:lvl w:ilvl="0">
      <w:lvlJc w:val="left"/>
      <w:lvlText w:val="%1."/>
      <w:numFmt w:val="decimal"/>
      <w:start w:val="1"/>
    </w:lvl>
  </w:abstractNum>
  <w:abstractNum w:abstractNumId="318">
    <w:nsid w:val="21D06255"/>
    <w:multiLevelType w:val="hybridMultilevel"/>
    <w:lvl w:ilvl="0">
      <w:lvlJc w:val="left"/>
      <w:lvlText w:val="(%1)"/>
      <w:numFmt w:val="lowerRoman"/>
      <w:start w:val="1"/>
    </w:lvl>
  </w:abstractNum>
  <w:abstractNum w:abstractNumId="319">
    <w:nsid w:val="51194ED1"/>
    <w:multiLevelType w:val="hybridMultilevel"/>
    <w:lvl w:ilvl="0">
      <w:lvlJc w:val="left"/>
      <w:lvlText w:val="%1."/>
      <w:numFmt w:val="decimal"/>
      <w:start w:val="2"/>
    </w:lvl>
  </w:abstractNum>
  <w:abstractNum w:abstractNumId="320">
    <w:nsid w:val="44E2ED6C"/>
    <w:multiLevelType w:val="hybridMultilevel"/>
    <w:lvl w:ilvl="0">
      <w:lvlJc w:val="left"/>
      <w:lvlText w:val="%1."/>
      <w:numFmt w:val="decimal"/>
      <w:start w:val="3"/>
    </w:lvl>
  </w:abstractNum>
  <w:abstractNum w:abstractNumId="321">
    <w:nsid w:val="2219B33"/>
    <w:multiLevelType w:val="hybridMultilevel"/>
    <w:lvl w:ilvl="0">
      <w:lvlJc w:val="left"/>
      <w:lvlText w:val="%1."/>
      <w:numFmt w:val="decimal"/>
      <w:start w:val="4"/>
    </w:lvl>
  </w:abstractNum>
  <w:abstractNum w:abstractNumId="322">
    <w:nsid w:val="773BFBDD"/>
    <w:multiLevelType w:val="hybridMultilevel"/>
    <w:lvl w:ilvl="0">
      <w:lvlJc w:val="left"/>
      <w:lvlText w:val="(%1)"/>
      <w:numFmt w:val="lowerLetter"/>
      <w:start w:val="1"/>
    </w:lvl>
    <w:lvl w:ilvl="1">
      <w:lvlJc w:val="left"/>
      <w:lvlText w:val="***"/>
      <w:numFmt w:val="bullet"/>
      <w:start w:val="1"/>
    </w:lvl>
  </w:abstractNum>
  <w:abstractNum w:abstractNumId="323">
    <w:nsid w:val="2C7C62C2"/>
    <w:multiLevelType w:val="hybridMultilevel"/>
    <w:lvl w:ilvl="0">
      <w:lvlJc w:val="left"/>
      <w:lvlText w:val="(%1)"/>
      <w:numFmt w:val="lowerLetter"/>
      <w:start w:val="3"/>
    </w:lvl>
  </w:abstractNum>
  <w:abstractNum w:abstractNumId="324">
    <w:nsid w:val="1A54D7BC"/>
    <w:multiLevelType w:val="hybridMultilevel"/>
    <w:lvl w:ilvl="0">
      <w:lvlJc w:val="left"/>
      <w:lvlText w:val="%1."/>
      <w:numFmt w:val="decimal"/>
      <w:start w:val="5"/>
    </w:lvl>
  </w:abstractNum>
  <w:abstractNum w:abstractNumId="325">
    <w:nsid w:val="42E57EF7"/>
    <w:multiLevelType w:val="hybridMultilevel"/>
    <w:lvl w:ilvl="0">
      <w:lvlJc w:val="left"/>
      <w:lvlText w:val="%1."/>
      <w:numFmt w:val="decimal"/>
      <w:start w:val="6"/>
    </w:lvl>
  </w:abstractNum>
  <w:abstractNum w:abstractNumId="326">
    <w:nsid w:val="33537CED"/>
    <w:multiLevelType w:val="hybridMultilevel"/>
    <w:lvl w:ilvl="0">
      <w:lvlJc w:val="left"/>
      <w:lvlText w:val="%1."/>
      <w:numFmt w:val="decimal"/>
      <w:start w:val="7"/>
    </w:lvl>
  </w:abstractNum>
  <w:abstractNum w:abstractNumId="327">
    <w:nsid w:val="27514ADE"/>
    <w:multiLevelType w:val="hybridMultilevel"/>
    <w:lvl w:ilvl="0">
      <w:lvlJc w:val="left"/>
      <w:lvlText w:val="(%1)"/>
      <w:numFmt w:val="lowerLetter"/>
      <w:start w:val="1"/>
    </w:lvl>
  </w:abstractNum>
  <w:abstractNum w:abstractNumId="328">
    <w:nsid w:val="57071613"/>
    <w:multiLevelType w:val="hybridMultilevel"/>
    <w:lvl w:ilvl="0">
      <w:lvlJc w:val="left"/>
      <w:lvlText w:val="%1."/>
      <w:numFmt w:val="decimal"/>
      <w:start w:val="8"/>
    </w:lvl>
  </w:abstractNum>
  <w:abstractNum w:abstractNumId="329">
    <w:nsid w:val="5293BFEF"/>
    <w:multiLevelType w:val="hybridMultilevel"/>
    <w:lvl w:ilvl="0">
      <w:lvlJc w:val="left"/>
      <w:lvlText w:val="(%1)"/>
      <w:numFmt w:val="lowerLetter"/>
      <w:start w:val="1"/>
    </w:lvl>
  </w:abstractNum>
  <w:abstractNum w:abstractNumId="330">
    <w:nsid w:val="38BF53E5"/>
    <w:multiLevelType w:val="hybridMultilevel"/>
    <w:lvl w:ilvl="0">
      <w:lvlJc w:val="left"/>
      <w:lvlText w:val="%1."/>
      <w:numFmt w:val="decimal"/>
      <w:start w:val="9"/>
    </w:lvl>
  </w:abstractNum>
  <w:abstractNum w:abstractNumId="331">
    <w:nsid w:val="226F5320"/>
    <w:multiLevelType w:val="hybridMultilevel"/>
    <w:lvl w:ilvl="0">
      <w:lvlJc w:val="left"/>
      <w:lvlText w:val="%1."/>
      <w:numFmt w:val="decimal"/>
      <w:start w:val="10"/>
    </w:lvl>
  </w:abstractNum>
  <w:abstractNum w:abstractNumId="332">
    <w:nsid w:val="5A0201C7"/>
    <w:multiLevelType w:val="hybridMultilevel"/>
    <w:lvl w:ilvl="0">
      <w:lvlJc w:val="left"/>
      <w:lvlText w:val="%1."/>
      <w:numFmt w:val="decimal"/>
      <w:start w:val="11"/>
    </w:lvl>
  </w:abstractNum>
  <w:abstractNum w:abstractNumId="333">
    <w:nsid w:val="2A9C34E2"/>
    <w:multiLevelType w:val="hybridMultilevel"/>
    <w:lvl w:ilvl="0">
      <w:lvlJc w:val="left"/>
      <w:lvlText w:val="[***]"/>
      <w:numFmt w:val="bullet"/>
      <w:start w:val="1"/>
    </w:lvl>
  </w:abstractNum>
  <w:abstractNum w:abstractNumId="334">
    <w:nsid w:val="1B7585AB"/>
    <w:multiLevelType w:val="hybridMultilevel"/>
    <w:lvl w:ilvl="0">
      <w:lvlJc w:val="left"/>
      <w:lvlText w:val="(%1)"/>
      <w:numFmt w:val="lowerLetter"/>
      <w:start w:val="3"/>
    </w:lvl>
  </w:abstractNum>
  <w:abstractNum w:abstractNumId="335">
    <w:nsid w:val="612DBDDD"/>
    <w:multiLevelType w:val="hybridMultilevel"/>
    <w:lvl w:ilvl="0">
      <w:lvlJc w:val="left"/>
      <w:lvlText w:val="%1."/>
      <w:numFmt w:val="decimal"/>
      <w:start w:val="1"/>
    </w:lvl>
    <w:lvl w:ilvl="1">
      <w:lvlJc w:val="left"/>
      <w:lvlText w:val="(%2)"/>
      <w:numFmt w:val="lowerLetter"/>
      <w:start w:val="1"/>
    </w:lvl>
  </w:abstractNum>
  <w:abstractNum w:abstractNumId="336">
    <w:nsid w:val="2109CDA4"/>
    <w:multiLevelType w:val="hybridMultilevel"/>
    <w:lvl w:ilvl="0">
      <w:lvlJc w:val="left"/>
      <w:lvlText w:val="%1."/>
      <w:numFmt w:val="decimal"/>
      <w:start w:val="2"/>
    </w:lvl>
    <w:lvl w:ilvl="1">
      <w:lvlJc w:val="left"/>
      <w:lvlText w:val="(%2)"/>
      <w:numFmt w:val="lowerLetter"/>
      <w:start w:val="1"/>
    </w:lvl>
  </w:abstractNum>
  <w:abstractNum w:abstractNumId="337">
    <w:nsid w:val="577F5A4D"/>
    <w:multiLevelType w:val="hybridMultilevel"/>
    <w:lvl w:ilvl="0">
      <w:lvlJc w:val="left"/>
      <w:lvlText w:val="(%1)"/>
      <w:numFmt w:val="lowerLetter"/>
      <w:start w:val="3"/>
    </w:lvl>
  </w:abstractNum>
  <w:abstractNum w:abstractNumId="338">
    <w:nsid w:val="2121A81"/>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6"/>
    </w:lvl>
  </w:abstractNum>
  <w:abstractNum w:abstractNumId="339">
    <w:nsid w:val="6C2CFC88"/>
    <w:multiLevelType w:val="hybridMultilevel"/>
    <w:lvl w:ilvl="0">
      <w:lvlJc w:val="left"/>
      <w:lvlText w:val="(%1)"/>
      <w:numFmt w:val="lowerRoman"/>
      <w:start w:val="2"/>
    </w:lvl>
    <w:lvl w:ilvl="1">
      <w:lvlJc w:val="left"/>
      <w:lvlText w:val="%2."/>
      <w:numFmt w:val="decimal"/>
      <w:start w:val="4"/>
    </w:lvl>
    <w:lvl w:ilvl="2">
      <w:lvlJc w:val="left"/>
      <w:lvlText w:val="(%3)"/>
      <w:numFmt w:val="lowerLetter"/>
      <w:start w:val="1"/>
    </w:lvl>
  </w:abstractNum>
  <w:abstractNum w:abstractNumId="340">
    <w:nsid w:val="6D1BCF1C"/>
    <w:multiLevelType w:val="hybridMultilevel"/>
    <w:lvl w:ilvl="0">
      <w:lvlJc w:val="left"/>
      <w:lvlText w:val="%1"/>
      <w:numFmt w:val="decimal"/>
      <w:start w:val="1"/>
    </w:lvl>
    <w:lvl w:ilvl="1">
      <w:lvlJc w:val="left"/>
      <w:lvlText w:val="(%2)"/>
      <w:numFmt w:val="lowerRoman"/>
      <w:start w:val="1"/>
    </w:lvl>
  </w:abstractNum>
  <w:abstractNum w:abstractNumId="341">
    <w:nsid w:val="4CE5CA53"/>
    <w:multiLevelType w:val="hybridMultilevel"/>
    <w:lvl w:ilvl="0">
      <w:lvlJc w:val="left"/>
      <w:lvlText w:val="%1."/>
      <w:numFmt w:val="decimal"/>
      <w:start w:val="5"/>
    </w:lvl>
    <w:lvl w:ilvl="1">
      <w:lvlJc w:val="left"/>
      <w:lvlText w:val="%2"/>
      <w:numFmt w:val="lowerRoman"/>
      <w:start w:val="1"/>
    </w:lvl>
  </w:abstractNum>
  <w:abstractNum w:abstractNumId="342">
    <w:nsid w:val="29262D1A"/>
    <w:multiLevelType w:val="hybridMultilevel"/>
    <w:lvl w:ilvl="0">
      <w:lvlJc w:val="left"/>
      <w:lvlText w:val="(%1)"/>
      <w:numFmt w:val="lowerLetter"/>
      <w:start w:val="1"/>
    </w:lvl>
    <w:lvl w:ilvl="1">
      <w:lvlJc w:val="left"/>
      <w:lvlText w:val="(%2)"/>
      <w:numFmt w:val="lowerRoman"/>
      <w:start w:val="1"/>
    </w:lvl>
  </w:abstractNum>
  <w:abstractNum w:abstractNumId="343">
    <w:nsid w:val="557FB7E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2"/>
    </w:lvl>
  </w:abstractNum>
  <w:abstractNum w:abstractNumId="344">
    <w:nsid w:val="436F2BEB"/>
    <w:multiLevelType w:val="hybridMultilevel"/>
    <w:lvl w:ilvl="0">
      <w:lvlJc w:val="left"/>
      <w:lvlText w:val="(%1)"/>
      <w:numFmt w:val="lowerRoman"/>
      <w:start w:val="1"/>
    </w:lvl>
  </w:abstractNum>
  <w:abstractNum w:abstractNumId="345">
    <w:nsid w:val="6C8B4466"/>
    <w:multiLevelType w:val="hybridMultilevel"/>
    <w:lvl w:ilvl="0">
      <w:lvlJc w:val="left"/>
      <w:lvlText w:val="(%1)"/>
      <w:numFmt w:val="lowerRoman"/>
      <w:start w:val="2"/>
    </w:lvl>
  </w:abstractNum>
  <w:abstractNum w:abstractNumId="346">
    <w:nsid w:val="2006E424"/>
    <w:multiLevelType w:val="hybridMultilevel"/>
    <w:lvl w:ilvl="0">
      <w:lvlJc w:val="left"/>
      <w:lvlText w:val="%1."/>
      <w:numFmt w:val="decimal"/>
      <w:start w:val="6"/>
    </w:lvl>
    <w:lvl w:ilvl="1">
      <w:lvlJc w:val="left"/>
      <w:lvlText w:val="(%2)"/>
      <w:numFmt w:val="lowerLetter"/>
      <w:start w:val="1"/>
    </w:lvl>
  </w:abstractNum>
  <w:abstractNum w:abstractNumId="347">
    <w:nsid w:val="20CC134C"/>
    <w:multiLevelType w:val="hybridMultilevel"/>
    <w:lvl w:ilvl="0">
      <w:lvlJc w:val="left"/>
      <w:lvlText w:val="%1"/>
      <w:numFmt w:val="decimal"/>
      <w:start w:val="1"/>
    </w:lvl>
    <w:lvl w:ilvl="1">
      <w:lvlJc w:val="left"/>
      <w:lvlText w:val="(%2)"/>
      <w:numFmt w:val="lowerLetter"/>
      <w:start w:val="2"/>
    </w:lvl>
  </w:abstractNum>
  <w:abstractNum w:abstractNumId="348">
    <w:nsid w:val="95FC93B"/>
    <w:multiLevelType w:val="hybridMultilevel"/>
    <w:lvl w:ilvl="0">
      <w:lvlJc w:val="left"/>
      <w:lvlText w:val="%1."/>
      <w:numFmt w:val="decimal"/>
      <w:start w:val="7"/>
    </w:lvl>
    <w:lvl w:ilvl="1">
      <w:lvlJc w:val="left"/>
      <w:lvlText w:val="(%2)"/>
      <w:numFmt w:val="lowerLetter"/>
      <w:start w:val="1"/>
    </w:lvl>
  </w:abstractNum>
  <w:abstractNum w:abstractNumId="349">
    <w:nsid w:val="41D74679"/>
    <w:multiLevelType w:val="hybridMultilevel"/>
    <w:lvl w:ilvl="0">
      <w:lvlJc w:val="left"/>
      <w:lvlText w:val="%1"/>
      <w:numFmt w:val="decimal"/>
      <w:start w:val="1"/>
    </w:lvl>
    <w:lvl w:ilvl="1">
      <w:lvlJc w:val="left"/>
      <w:lvlText w:val="(%2)"/>
      <w:numFmt w:val="lowerLetter"/>
      <w:start w:val="3"/>
    </w:lvl>
  </w:abstractNum>
  <w:abstractNum w:abstractNumId="350">
    <w:nsid w:val="71E5621E"/>
    <w:multiLevelType w:val="hybridMultilevel"/>
    <w:lvl w:ilvl="0">
      <w:lvlJc w:val="left"/>
      <w:lvlText w:val="%1."/>
      <w:numFmt w:val="decimal"/>
      <w:start w:val="8"/>
    </w:lvl>
    <w:lvl w:ilvl="1">
      <w:lvlJc w:val="left"/>
      <w:lvlText w:val="%2"/>
      <w:numFmt w:val="lowerLetter"/>
      <w:start w:val="1"/>
    </w:lvl>
  </w:abstractNum>
  <w:abstractNum w:abstractNumId="351">
    <w:nsid w:val="4E42B6A8"/>
    <w:multiLevelType w:val="hybridMultilevel"/>
    <w:lvl w:ilvl="0">
      <w:lvlJc w:val="left"/>
      <w:lvlText w:val="%1."/>
      <w:numFmt w:val="decimal"/>
      <w:start w:val="9"/>
    </w:lvl>
  </w:abstractNum>
  <w:abstractNum w:abstractNumId="352">
    <w:nsid w:val="43F8E1AC"/>
    <w:multiLevelType w:val="hybridMultilevel"/>
    <w:lvl w:ilvl="0">
      <w:lvlJc w:val="left"/>
      <w:lvlText w:val="%1."/>
      <w:numFmt w:val="decimal"/>
      <w:start w:val="14"/>
    </w:lvl>
  </w:abstractNum>
  <w:abstractNum w:abstractNumId="353">
    <w:nsid w:val="69215DFB"/>
    <w:multiLevelType w:val="hybridMultilevel"/>
    <w:lvl w:ilvl="0">
      <w:lvlJc w:val="left"/>
      <w:lvlText w:val="%1."/>
      <w:numFmt w:val="decimal"/>
      <w:start w:val="1"/>
    </w:lvl>
    <w:lvl w:ilvl="1">
      <w:lvlJc w:val="left"/>
      <w:lvlText w:val="(%2)"/>
      <w:numFmt w:val="lowerLetter"/>
      <w:start w:val="1"/>
    </w:lvl>
  </w:abstractNum>
  <w:abstractNum w:abstractNumId="354">
    <w:nsid w:val="7ABF196A"/>
    <w:multiLevelType w:val="hybridMultilevel"/>
    <w:lvl w:ilvl="0">
      <w:lvlJc w:val="left"/>
      <w:lvlText w:val="%1."/>
      <w:numFmt w:val="decimal"/>
      <w:start w:val="2"/>
    </w:lvl>
    <w:lvl w:ilvl="1">
      <w:lvlJc w:val="left"/>
      <w:lvlText w:val="(%2)"/>
      <w:numFmt w:val="lowerLetter"/>
      <w:start w:val="1"/>
    </w:lvl>
  </w:abstractNum>
  <w:abstractNum w:abstractNumId="355">
    <w:nsid w:val="5E4DB968"/>
    <w:multiLevelType w:val="hybridMultilevel"/>
    <w:lvl w:ilvl="0">
      <w:lvlJc w:val="left"/>
      <w:lvlText w:val="%1"/>
      <w:numFmt w:val="lowerLetter"/>
      <w:start w:val="1"/>
    </w:lvl>
    <w:lvl w:ilvl="1">
      <w:lvlJc w:val="left"/>
      <w:lvlText w:val="(%2)"/>
      <w:numFmt w:val="lowerLetter"/>
      <w:start w:val="3"/>
    </w:lvl>
  </w:abstractNum>
  <w:abstractNum w:abstractNumId="356">
    <w:nsid w:val="2C06DCF3"/>
    <w:multiLevelType w:val="hybridMultilevel"/>
    <w:lvl w:ilvl="0">
      <w:lvlJc w:val="left"/>
      <w:lvlText w:val="(%1)"/>
      <w:numFmt w:val="lowerLetter"/>
      <w:start w:val="22"/>
    </w:lvl>
    <w:lvl w:ilvl="1">
      <w:lvlJc w:val="left"/>
      <w:lvlText w:val="(%2)"/>
      <w:numFmt w:val="lowerLetter"/>
      <w:start w:val="4"/>
    </w:lvl>
  </w:abstractNum>
  <w:abstractNum w:abstractNumId="357">
    <w:nsid w:val="2E12965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358">
    <w:nsid w:val="59F0446"/>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
    </w:lvl>
  </w:abstractNum>
  <w:abstractNum w:abstractNumId="359">
    <w:nsid w:val="30DF306"/>
    <w:multiLevelType w:val="hybridMultilevel"/>
    <w:lvl w:ilvl="0">
      <w:lvlJc w:val="left"/>
      <w:lvlText w:val="%1"/>
      <w:numFmt w:val="decimal"/>
      <w:start w:val="1"/>
    </w:lvl>
    <w:lvl w:ilvl="1">
      <w:lvlJc w:val="left"/>
      <w:lvlText w:val="(%2)"/>
      <w:numFmt w:val="lowerRoman"/>
      <w:start w:val="1"/>
    </w:lvl>
  </w:abstractNum>
  <w:abstractNum w:abstractNumId="360">
    <w:nsid w:val="A65647"/>
    <w:multiLevelType w:val="hybridMultilevel"/>
    <w:lvl w:ilvl="0">
      <w:lvlJc w:val="left"/>
      <w:lvlText w:val="%1."/>
      <w:numFmt w:val="decimal"/>
      <w:start w:val="5"/>
    </w:lvl>
    <w:lvl w:ilvl="1">
      <w:lvlJc w:val="left"/>
      <w:lvlText w:val="%2"/>
      <w:numFmt w:val="lowerRoman"/>
      <w:start w:val="1"/>
    </w:lvl>
  </w:abstractNum>
  <w:abstractNum w:abstractNumId="361">
    <w:nsid w:val="3E5E582B"/>
    <w:multiLevelType w:val="hybridMultilevel"/>
    <w:lvl w:ilvl="0">
      <w:lvlJc w:val="left"/>
      <w:lvlText w:val="(%1)"/>
      <w:numFmt w:val="lowerLetter"/>
      <w:start w:val="1"/>
    </w:lvl>
    <w:lvl w:ilvl="1">
      <w:lvlJc w:val="left"/>
      <w:lvlText w:val="(%2)"/>
      <w:numFmt w:val="lowerRoman"/>
      <w:start w:val="1"/>
    </w:lvl>
  </w:abstractNum>
  <w:abstractNum w:abstractNumId="362">
    <w:nsid w:val="257D4626"/>
    <w:multiLevelType w:val="hybridMultilevel"/>
    <w:lvl w:ilvl="0">
      <w:lvlJc w:val="left"/>
      <w:lvlText w:val="%1"/>
      <w:numFmt w:val="lowerLetter"/>
      <w:start w:val="1"/>
    </w:lvl>
    <w:lvl w:ilvl="1">
      <w:lvlJc w:val="left"/>
      <w:lvlText w:val="(%2)"/>
      <w:numFmt w:val="lowerRoman"/>
      <w:start w:val="2"/>
    </w:lvl>
  </w:abstractNum>
  <w:abstractNum w:abstractNumId="363">
    <w:nsid w:val="5AA8580E"/>
    <w:multiLevelType w:val="hybridMultilevel"/>
    <w:lvl w:ilvl="0">
      <w:lvlJc w:val="left"/>
      <w:lvlText w:val="(%1)"/>
      <w:numFmt w:val="lowerLetter"/>
      <w:start w:val="3"/>
    </w:lvl>
    <w:lvl w:ilvl="1">
      <w:lvlJc w:val="left"/>
      <w:lvlText w:val="%2"/>
      <w:numFmt w:val="lowerRoman"/>
      <w:start w:val="1"/>
    </w:lvl>
  </w:abstractNum>
  <w:abstractNum w:abstractNumId="364">
    <w:nsid w:val="68FA8D0D"/>
    <w:multiLevelType w:val="hybridMultilevel"/>
    <w:lvl w:ilvl="0">
      <w:lvlJc w:val="left"/>
      <w:lvlText w:val="(%1)"/>
      <w:numFmt w:val="lowerRoman"/>
      <w:start w:val="1"/>
    </w:lvl>
  </w:abstractNum>
  <w:abstractNum w:abstractNumId="365">
    <w:nsid w:val="40F2CBD2"/>
    <w:multiLevelType w:val="hybridMultilevel"/>
    <w:lvl w:ilvl="0">
      <w:lvlJc w:val="left"/>
      <w:lvlText w:val="(%1)"/>
      <w:numFmt w:val="lowerRoman"/>
      <w:start w:val="2"/>
    </w:lvl>
  </w:abstractNum>
  <w:abstractNum w:abstractNumId="366">
    <w:nsid w:val="3BD615EB"/>
    <w:multiLevelType w:val="hybridMultilevel"/>
    <w:lvl w:ilvl="0">
      <w:lvlJc w:val="left"/>
      <w:lvlText w:val="%1."/>
      <w:numFmt w:val="decimal"/>
      <w:start w:val="6"/>
    </w:lvl>
    <w:lvl w:ilvl="1">
      <w:lvlJc w:val="left"/>
      <w:lvlText w:val="(%2)"/>
      <w:numFmt w:val="lowerLetter"/>
      <w:start w:val="1"/>
    </w:lvl>
  </w:abstractNum>
  <w:abstractNum w:abstractNumId="367">
    <w:nsid w:val="A045AB2"/>
    <w:multiLevelType w:val="hybridMultilevel"/>
    <w:lvl w:ilvl="0">
      <w:lvlJc w:val="left"/>
      <w:lvlText w:val="%1"/>
      <w:numFmt w:val="decimal"/>
      <w:start w:val="1"/>
    </w:lvl>
    <w:lvl w:ilvl="1">
      <w:lvlJc w:val="left"/>
      <w:lvlText w:val="(%2)"/>
      <w:numFmt w:val="lowerLetter"/>
      <w:start w:val="2"/>
    </w:lvl>
  </w:abstractNum>
  <w:abstractNum w:abstractNumId="368">
    <w:nsid w:val="1872261F"/>
    <w:multiLevelType w:val="hybridMultilevel"/>
    <w:lvl w:ilvl="0">
      <w:lvlJc w:val="left"/>
      <w:lvlText w:val="%1."/>
      <w:numFmt w:val="decimal"/>
      <w:start w:val="7"/>
    </w:lvl>
    <w:lvl w:ilvl="1">
      <w:lvlJc w:val="left"/>
      <w:lvlText w:val="(%2)"/>
      <w:numFmt w:val="lowerLetter"/>
      <w:start w:val="1"/>
    </w:lvl>
  </w:abstractNum>
  <w:abstractNum w:abstractNumId="369">
    <w:nsid w:val="3DE8306C"/>
    <w:multiLevelType w:val="hybridMultilevel"/>
    <w:lvl w:ilvl="0">
      <w:lvlJc w:val="left"/>
      <w:lvlText w:val="(%1)"/>
      <w:numFmt w:val="lowerLetter"/>
      <w:start w:val="2"/>
    </w:lvl>
  </w:abstractNum>
  <w:abstractNum w:abstractNumId="370">
    <w:nsid w:val="7631573A"/>
    <w:multiLevelType w:val="hybridMultilevel"/>
    <w:lvl w:ilvl="0">
      <w:lvlJc w:val="left"/>
      <w:lvlText w:val="%1."/>
      <w:numFmt w:val="decimal"/>
      <w:start w:val="8"/>
    </w:lvl>
  </w:abstractNum>
  <w:abstractNum w:abstractNumId="371">
    <w:nsid w:val="58DF53B"/>
    <w:multiLevelType w:val="hybridMultilevel"/>
    <w:lvl w:ilvl="0">
      <w:lvlJc w:val="left"/>
      <w:lvlText w:val="%1."/>
      <w:numFmt w:val="decimal"/>
      <w:start w:val="14"/>
    </w:lvl>
  </w:abstractNum>
  <w:abstractNum w:abstractNumId="372">
    <w:nsid w:val="ACDFAC0"/>
    <w:multiLevelType w:val="hybridMultilevel"/>
    <w:lvl w:ilvl="0">
      <w:lvlJc w:val="left"/>
      <w:lvlText w:val="%1."/>
      <w:numFmt w:val="decimal"/>
      <w:start w:val="1"/>
    </w:lvl>
    <w:lvl w:ilvl="1">
      <w:lvlJc w:val="left"/>
      <w:lvlText w:val="(%2)"/>
      <w:numFmt w:val="lowerLetter"/>
      <w:start w:val="1"/>
    </w:lvl>
  </w:abstractNum>
  <w:abstractNum w:abstractNumId="373">
    <w:nsid w:val="1F57845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74">
    <w:nsid w:val="5B0DAD2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75">
    <w:nsid w:val="4E3D26AB"/>
    <w:multiLevelType w:val="hybridMultilevel"/>
    <w:lvl w:ilvl="0">
      <w:lvlJc w:val="left"/>
      <w:lvlText w:val="%1"/>
      <w:numFmt w:val="decimal"/>
      <w:start w:val="1"/>
    </w:lvl>
    <w:lvl w:ilvl="1">
      <w:lvlJc w:val="left"/>
      <w:lvlText w:val="(%2)"/>
      <w:numFmt w:val="lowerLetter"/>
      <w:start w:val="7"/>
    </w:lvl>
  </w:abstractNum>
  <w:abstractNum w:abstractNumId="376">
    <w:nsid w:val="BE2C8BA"/>
    <w:multiLevelType w:val="hybridMultilevel"/>
    <w:lvl w:ilvl="0">
      <w:lvlJc w:val="left"/>
      <w:lvlText w:val="%1."/>
      <w:numFmt w:val="decimal"/>
      <w:start w:val="3"/>
    </w:lvl>
    <w:lvl w:ilvl="1">
      <w:lvlJc w:val="left"/>
      <w:lvlText w:val="(%2)"/>
      <w:numFmt w:val="lowerLetter"/>
      <w:start w:val="1"/>
    </w:lvl>
  </w:abstractNum>
  <w:abstractNum w:abstractNumId="377">
    <w:nsid w:val="7B14914E"/>
    <w:multiLevelType w:val="hybridMultilevel"/>
    <w:lvl w:ilvl="0">
      <w:lvlJc w:val="left"/>
      <w:lvlText w:val="(%1)"/>
      <w:numFmt w:val="lowerLetter"/>
      <w:start w:val="3"/>
    </w:lvl>
  </w:abstractNum>
  <w:abstractNum w:abstractNumId="378">
    <w:nsid w:val="6F0939F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6"/>
    </w:lvl>
  </w:abstractNum>
  <w:abstractNum w:abstractNumId="379">
    <w:nsid w:val="154291F6"/>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
    </w:lvl>
  </w:abstractNum>
  <w:abstractNum w:abstractNumId="380">
    <w:nsid w:val="3CEBD7C7"/>
    <w:multiLevelType w:val="hybridMultilevel"/>
    <w:lvl w:ilvl="0">
      <w:lvlJc w:val="left"/>
      <w:lvlText w:val="%1"/>
      <w:numFmt w:val="decimal"/>
      <w:start w:val="1"/>
    </w:lvl>
    <w:lvl w:ilvl="1">
      <w:lvlJc w:val="left"/>
      <w:lvlText w:val="(%2)"/>
      <w:numFmt w:val="lowerRoman"/>
      <w:start w:val="1"/>
    </w:lvl>
  </w:abstractNum>
  <w:abstractNum w:abstractNumId="381">
    <w:nsid w:val="60EE9C16"/>
    <w:multiLevelType w:val="hybridMultilevel"/>
    <w:lvl w:ilvl="0">
      <w:lvlJc w:val="left"/>
      <w:lvlText w:val="%1."/>
      <w:numFmt w:val="decimal"/>
      <w:start w:val="5"/>
    </w:lvl>
    <w:lvl w:ilvl="1">
      <w:lvlJc w:val="left"/>
      <w:lvlText w:val="%2"/>
      <w:numFmt w:val="lowerRoman"/>
      <w:start w:val="1"/>
    </w:lvl>
  </w:abstractNum>
  <w:abstractNum w:abstractNumId="382">
    <w:nsid w:val="6385489E"/>
    <w:multiLevelType w:val="hybridMultilevel"/>
    <w:lvl w:ilvl="0">
      <w:lvlJc w:val="left"/>
      <w:lvlText w:val="(%1)"/>
      <w:numFmt w:val="lowerLetter"/>
      <w:start w:val="1"/>
    </w:lvl>
    <w:lvl w:ilvl="1">
      <w:lvlJc w:val="left"/>
      <w:lvlText w:val="(%2)"/>
      <w:numFmt w:val="lowerRoman"/>
      <w:start w:val="1"/>
    </w:lvl>
  </w:abstractNum>
  <w:abstractNum w:abstractNumId="383">
    <w:nsid w:val="E4B973"/>
    <w:multiLevelType w:val="hybridMultilevel"/>
    <w:lvl w:ilvl="0">
      <w:lvlJc w:val="left"/>
      <w:lvlText w:val="%1"/>
      <w:numFmt w:val="lowerLetter"/>
      <w:start w:val="1"/>
    </w:lvl>
    <w:lvl w:ilvl="1">
      <w:lvlJc w:val="left"/>
      <w:lvlText w:val="(%2)"/>
      <w:numFmt w:val="lowerRoman"/>
      <w:start w:val="2"/>
    </w:lvl>
  </w:abstractNum>
  <w:abstractNum w:abstractNumId="384">
    <w:nsid w:val="4A0FFA11"/>
    <w:multiLevelType w:val="hybridMultilevel"/>
    <w:lvl w:ilvl="0">
      <w:lvlJc w:val="left"/>
      <w:lvlText w:val="(%1)"/>
      <w:numFmt w:val="lowerLetter"/>
      <w:start w:val="3"/>
    </w:lvl>
    <w:lvl w:ilvl="1">
      <w:lvlJc w:val="left"/>
      <w:lvlText w:val="%2"/>
      <w:numFmt w:val="lowerRoman"/>
      <w:start w:val="1"/>
    </w:lvl>
  </w:abstractNum>
  <w:abstractNum w:abstractNumId="385">
    <w:nsid w:val="5E446208"/>
    <w:multiLevelType w:val="hybridMultilevel"/>
    <w:lvl w:ilvl="0">
      <w:lvlJc w:val="left"/>
      <w:lvlText w:val="(%1)"/>
      <w:numFmt w:val="lowerRoman"/>
      <w:start w:val="1"/>
    </w:lvl>
  </w:abstractNum>
  <w:abstractNum w:abstractNumId="386">
    <w:nsid w:val="5F3272DB"/>
    <w:multiLevelType w:val="hybridMultilevel"/>
    <w:lvl w:ilvl="0">
      <w:lvlJc w:val="left"/>
      <w:lvlText w:val="(%1)"/>
      <w:numFmt w:val="lowerRoman"/>
      <w:start w:val="2"/>
    </w:lvl>
  </w:abstractNum>
  <w:abstractNum w:abstractNumId="387">
    <w:nsid w:val="7616D704"/>
    <w:multiLevelType w:val="hybridMultilevel"/>
    <w:lvl w:ilvl="0">
      <w:lvlJc w:val="left"/>
      <w:lvlText w:val="%1."/>
      <w:numFmt w:val="decimal"/>
      <w:start w:val="6"/>
    </w:lvl>
    <w:lvl w:ilvl="1">
      <w:lvlJc w:val="left"/>
      <w:lvlText w:val="(%2)"/>
      <w:numFmt w:val="lowerLetter"/>
      <w:start w:val="1"/>
    </w:lvl>
  </w:abstractNum>
  <w:abstractNum w:abstractNumId="388">
    <w:nsid w:val="C56F860"/>
    <w:multiLevelType w:val="hybridMultilevel"/>
    <w:lvl w:ilvl="0">
      <w:lvlJc w:val="left"/>
      <w:lvlText w:val="%1"/>
      <w:numFmt w:val="decimal"/>
      <w:start w:val="1"/>
    </w:lvl>
    <w:lvl w:ilvl="1">
      <w:lvlJc w:val="left"/>
      <w:lvlText w:val="(%2)"/>
      <w:numFmt w:val="lowerLetter"/>
      <w:start w:val="2"/>
    </w:lvl>
  </w:abstractNum>
  <w:abstractNum w:abstractNumId="389">
    <w:nsid w:val="64D17722"/>
    <w:multiLevelType w:val="hybridMultilevel"/>
    <w:lvl w:ilvl="0">
      <w:lvlJc w:val="left"/>
      <w:lvlText w:val="%1."/>
      <w:numFmt w:val="decimal"/>
      <w:start w:val="7"/>
    </w:lvl>
    <w:lvl w:ilvl="1">
      <w:lvlJc w:val="left"/>
      <w:lvlText w:val="(%2)"/>
      <w:numFmt w:val="lowerLetter"/>
      <w:start w:val="1"/>
    </w:lvl>
  </w:abstractNum>
  <w:abstractNum w:abstractNumId="390">
    <w:nsid w:val="7924CA0A"/>
    <w:multiLevelType w:val="hybridMultilevel"/>
    <w:lvl w:ilvl="0">
      <w:lvlJc w:val="left"/>
      <w:lvlText w:val="%1"/>
      <w:numFmt w:val="decimal"/>
      <w:start w:val="1"/>
    </w:lvl>
    <w:lvl w:ilvl="1">
      <w:lvlJc w:val="left"/>
      <w:lvlText w:val="(%2)"/>
      <w:numFmt w:val="lowerLetter"/>
      <w:start w:val="3"/>
    </w:lvl>
  </w:abstractNum>
  <w:abstractNum w:abstractNumId="391">
    <w:nsid w:val="CFD4EA7"/>
    <w:multiLevelType w:val="hybridMultilevel"/>
    <w:lvl w:ilvl="0">
      <w:lvlJc w:val="left"/>
      <w:lvlText w:val="%1."/>
      <w:numFmt w:val="decimal"/>
      <w:start w:val="8"/>
    </w:lvl>
    <w:lvl w:ilvl="1">
      <w:lvlJc w:val="left"/>
      <w:lvlText w:val="%2"/>
      <w:numFmt w:val="lowerLetter"/>
      <w:start w:val="1"/>
    </w:lvl>
  </w:abstractNum>
  <w:abstractNum w:abstractNumId="392">
    <w:nsid w:val="232FCF4D"/>
    <w:multiLevelType w:val="hybridMultilevel"/>
    <w:lvl w:ilvl="0">
      <w:lvlJc w:val="left"/>
      <w:lvlText w:val="%1."/>
      <w:numFmt w:val="decimal"/>
      <w:start w:val="9"/>
    </w:lvl>
  </w:abstractNum>
  <w:abstractNum w:abstractNumId="393">
    <w:nsid w:val="1EA21031"/>
    <w:multiLevelType w:val="hybridMultilevel"/>
    <w:lvl w:ilvl="0">
      <w:lvlJc w:val="left"/>
      <w:lvlText w:val="%1."/>
      <w:numFmt w:val="decimal"/>
      <w:start w:val="14"/>
    </w:lvl>
  </w:abstractNum>
  <w:abstractNum w:abstractNumId="394">
    <w:nsid w:val="67A5A6B5"/>
    <w:multiLevelType w:val="hybridMultilevel"/>
    <w:lvl w:ilvl="0">
      <w:lvlJc w:val="left"/>
      <w:lvlText w:val="%1."/>
      <w:numFmt w:val="decimal"/>
      <w:start w:val="1"/>
    </w:lvl>
  </w:abstractNum>
  <w:abstractNum w:abstractNumId="395">
    <w:nsid w:val="C2A5C5B"/>
    <w:multiLevelType w:val="hybridMultilevel"/>
    <w:lvl w:ilvl="0">
      <w:lvlJc w:val="left"/>
      <w:lvlText w:val="%1."/>
      <w:numFmt w:val="decimal"/>
      <w:start w:val="2"/>
    </w:lvl>
  </w:abstractNum>
  <w:abstractNum w:abstractNumId="396">
    <w:nsid w:val="5F94DC03"/>
    <w:multiLevelType w:val="hybridMultilevel"/>
    <w:lvl w:ilvl="0">
      <w:lvlJc w:val="left"/>
      <w:lvlText w:val="%1."/>
      <w:numFmt w:val="decimal"/>
      <w:start w:val="4"/>
    </w:lvl>
    <w:lvl w:ilvl="1">
      <w:lvlJc w:val="left"/>
      <w:lvlText w:val="(%2)"/>
      <w:numFmt w:val="lowerLetter"/>
      <w:start w:val="1"/>
    </w:lvl>
  </w:abstractNum>
  <w:abstractNum w:abstractNumId="397">
    <w:nsid w:val="237BBCA0"/>
    <w:multiLevelType w:val="hybridMultilevel"/>
    <w:lvl w:ilvl="0">
      <w:lvlJc w:val="left"/>
      <w:lvlText w:val="%1."/>
      <w:numFmt w:val="decimal"/>
      <w:start w:val="5"/>
    </w:lvl>
  </w:abstractNum>
  <w:abstractNum w:abstractNumId="398">
    <w:nsid w:val="162EB70D"/>
    <w:multiLevelType w:val="hybridMultilevel"/>
    <w:lvl w:ilvl="0">
      <w:lvlJc w:val="left"/>
      <w:lvlText w:val="%1"/>
      <w:numFmt w:val="lowerLetter"/>
      <w:start w:val="1"/>
    </w:lvl>
    <w:lvl w:ilvl="1">
      <w:lvlJc w:val="left"/>
      <w:lvlText w:val="%2."/>
      <w:numFmt w:val="decimal"/>
      <w:start w:val="8"/>
    </w:lvl>
  </w:abstractNum>
  <w:abstractNum w:abstractNumId="399">
    <w:nsid w:val="78070222"/>
    <w:multiLevelType w:val="hybridMultilevel"/>
    <w:lvl w:ilvl="0">
      <w:lvlJc w:val="left"/>
      <w:lvlText w:val="(%1)"/>
      <w:numFmt w:val="lowerLetter"/>
      <w:start w:val="2"/>
    </w:lvl>
    <w:lvl w:ilvl="1">
      <w:lvlJc w:val="left"/>
      <w:lvlText w:val="%2"/>
      <w:numFmt w:val="decimal"/>
      <w:start w:val="1"/>
    </w:lvl>
  </w:abstractNum>
  <w:abstractNum w:abstractNumId="400">
    <w:nsid w:val="6163ED0D"/>
    <w:multiLevelType w:val="hybridMultilevel"/>
    <w:lvl w:ilvl="0">
      <w:lvlJc w:val="left"/>
      <w:lvlText w:val="%1."/>
      <w:numFmt w:val="decimal"/>
      <w:start w:val="9"/>
    </w:lvl>
  </w:abstractNum>
  <w:abstractNum w:abstractNumId="401">
    <w:nsid w:val="C600E47"/>
    <w:multiLevelType w:val="hybridMultilevel"/>
    <w:lvl w:ilvl="0">
      <w:lvlJc w:val="left"/>
      <w:lvlText w:val="%1."/>
      <w:numFmt w:val="decimal"/>
      <w:start w:val="12"/>
    </w:lvl>
  </w:abstractNum>
  <w:abstractNum w:abstractNumId="402">
    <w:nsid w:val="7D94F75D"/>
    <w:multiLevelType w:val="hybridMultilevel"/>
    <w:lvl w:ilvl="0">
      <w:lvlJc w:val="left"/>
      <w:lvlText w:val="%1."/>
      <w:numFmt w:val="decimal"/>
      <w:start w:val="14"/>
    </w:lvl>
  </w:abstractNum>
  <w:abstractNum w:abstractNumId="403">
    <w:nsid w:val="6C31E7CD"/>
    <w:multiLevelType w:val="hybridMultilevel"/>
    <w:lvl w:ilvl="0">
      <w:lvlJc w:val="left"/>
      <w:lvlText w:val="%1."/>
      <w:numFmt w:val="decimal"/>
      <w:start w:val="20"/>
    </w:lvl>
  </w:abstractNum>
  <w:abstractNum w:abstractNumId="404">
    <w:nsid w:val="2BB7929B"/>
    <w:multiLevelType w:val="hybridMultilevel"/>
    <w:lvl w:ilvl="0">
      <w:lvlJc w:val="left"/>
      <w:lvlText w:val="%1."/>
      <w:numFmt w:val="decimal"/>
      <w:start w:val="26"/>
    </w:lvl>
  </w:abstractNum>
  <w:abstractNum w:abstractNumId="405">
    <w:nsid w:val="58A2A487"/>
    <w:multiLevelType w:val="hybridMultilevel"/>
    <w:lvl w:ilvl="0">
      <w:lvlJc w:val="left"/>
      <w:lvlText w:val="%1."/>
      <w:numFmt w:val="decimal"/>
      <w:start w:val="1"/>
    </w:lvl>
  </w:abstractNum>
  <w:abstractNum w:abstractNumId="406">
    <w:nsid w:val="3A6F0E78"/>
    <w:multiLevelType w:val="hybridMultilevel"/>
    <w:lvl w:ilvl="0">
      <w:lvlJc w:val="left"/>
      <w:lvlText w:val="%1."/>
      <w:numFmt w:val="decimal"/>
      <w:start w:val="2"/>
    </w:lvl>
  </w:abstractNum>
  <w:abstractNum w:abstractNumId="407">
    <w:nsid w:val="379A5B56"/>
    <w:multiLevelType w:val="hybridMultilevel"/>
    <w:lvl w:ilvl="0">
      <w:lvlJc w:val="left"/>
      <w:lvlText w:val="•"/>
      <w:numFmt w:val="bullet"/>
      <w:start w:val="1"/>
    </w:lvl>
  </w:abstractNum>
  <w:abstractNum w:abstractNumId="408">
    <w:nsid w:val="53B735D5"/>
    <w:multiLevelType w:val="hybridMultilevel"/>
    <w:lvl w:ilvl="0">
      <w:lvlJc w:val="left"/>
      <w:lvlText w:val="•"/>
      <w:numFmt w:val="bullet"/>
      <w:start w:val="1"/>
    </w:lvl>
  </w:abstractNum>
  <w:abstractNum w:abstractNumId="409">
    <w:nsid w:val="29784870"/>
    <w:multiLevelType w:val="hybridMultilevel"/>
    <w:lvl w:ilvl="0">
      <w:lvlJc w:val="left"/>
      <w:lvlText w:val="•"/>
      <w:numFmt w:val="bullet"/>
      <w:start w:val="1"/>
    </w:lvl>
  </w:abstractNum>
  <w:abstractNum w:abstractNumId="410">
    <w:nsid w:val="4CDCED4C"/>
    <w:multiLevelType w:val="hybridMultilevel"/>
    <w:lvl w:ilvl="0">
      <w:lvlJc w:val="left"/>
      <w:lvlText w:val="•"/>
      <w:numFmt w:val="bullet"/>
      <w:start w:val="1"/>
    </w:lvl>
  </w:abstractNum>
  <w:abstractNum w:abstractNumId="411">
    <w:nsid w:val="10A30D9C"/>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7"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1"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346" Type="http://schemas.openxmlformats.org/officeDocument/2006/relationships/image" Target="media/image327.png"/><Relationship Id="rId347" Type="http://schemas.openxmlformats.org/officeDocument/2006/relationships/image" Target="media/image328.png"/><Relationship Id="rId348" Type="http://schemas.openxmlformats.org/officeDocument/2006/relationships/image" Target="media/image329.png"/><Relationship Id="rId349" Type="http://schemas.openxmlformats.org/officeDocument/2006/relationships/image" Target="media/image330.png"/><Relationship Id="rId350" Type="http://schemas.openxmlformats.org/officeDocument/2006/relationships/image" Target="media/image331.png"/><Relationship Id="rId351" Type="http://schemas.openxmlformats.org/officeDocument/2006/relationships/image" Target="media/image332.png"/><Relationship Id="rId352" Type="http://schemas.openxmlformats.org/officeDocument/2006/relationships/image" Target="media/image333.png"/><Relationship Id="rId353" Type="http://schemas.openxmlformats.org/officeDocument/2006/relationships/image" Target="media/image334.png"/><Relationship Id="rId354" Type="http://schemas.openxmlformats.org/officeDocument/2006/relationships/image" Target="media/image335.png"/><Relationship Id="rId355" Type="http://schemas.openxmlformats.org/officeDocument/2006/relationships/image" Target="media/image336.png"/><Relationship Id="rId356" Type="http://schemas.openxmlformats.org/officeDocument/2006/relationships/image" Target="media/image337.png"/><Relationship Id="rId357" Type="http://schemas.openxmlformats.org/officeDocument/2006/relationships/image" Target="media/image338.png"/><Relationship Id="rId358" Type="http://schemas.openxmlformats.org/officeDocument/2006/relationships/image" Target="media/image339.png"/><Relationship Id="rId359" Type="http://schemas.openxmlformats.org/officeDocument/2006/relationships/image" Target="media/image340.png"/><Relationship Id="rId360" Type="http://schemas.openxmlformats.org/officeDocument/2006/relationships/image" Target="media/image341.png"/><Relationship Id="rId361" Type="http://schemas.openxmlformats.org/officeDocument/2006/relationships/image" Target="media/image342.png"/><Relationship Id="rId362" Type="http://schemas.openxmlformats.org/officeDocument/2006/relationships/image" Target="media/image343.png"/><Relationship Id="rId363" Type="http://schemas.openxmlformats.org/officeDocument/2006/relationships/image" Target="media/image344.png"/><Relationship Id="rId364" Type="http://schemas.openxmlformats.org/officeDocument/2006/relationships/image" Target="media/image345.png"/><Relationship Id="rId365" Type="http://schemas.openxmlformats.org/officeDocument/2006/relationships/image" Target="media/image346.png"/><Relationship Id="rId366" Type="http://schemas.openxmlformats.org/officeDocument/2006/relationships/image" Target="media/image347.png"/><Relationship Id="rId367" Type="http://schemas.openxmlformats.org/officeDocument/2006/relationships/image" Target="media/image348.png"/><Relationship Id="rId368" Type="http://schemas.openxmlformats.org/officeDocument/2006/relationships/image" Target="media/image349.png"/><Relationship Id="rId369" Type="http://schemas.openxmlformats.org/officeDocument/2006/relationships/image" Target="media/image350.png"/><Relationship Id="rId370" Type="http://schemas.openxmlformats.org/officeDocument/2006/relationships/image" Target="media/image351.png"/><Relationship Id="rId371" Type="http://schemas.openxmlformats.org/officeDocument/2006/relationships/image" Target="media/image352.png"/><Relationship Id="rId372" Type="http://schemas.openxmlformats.org/officeDocument/2006/relationships/image" Target="media/image353.png"/><Relationship Id="rId373" Type="http://schemas.openxmlformats.org/officeDocument/2006/relationships/image" Target="media/image354.png"/><Relationship Id="rId374" Type="http://schemas.openxmlformats.org/officeDocument/2006/relationships/image" Target="media/image355.png"/><Relationship Id="rId375" Type="http://schemas.openxmlformats.org/officeDocument/2006/relationships/image" Target="media/image356.png"/><Relationship Id="rId376" Type="http://schemas.openxmlformats.org/officeDocument/2006/relationships/image" Target="media/image357.png"/><Relationship Id="rId377" Type="http://schemas.openxmlformats.org/officeDocument/2006/relationships/image" Target="media/image358.png"/><Relationship Id="rId378" Type="http://schemas.openxmlformats.org/officeDocument/2006/relationships/image" Target="media/image359.png"/><Relationship Id="rId379" Type="http://schemas.openxmlformats.org/officeDocument/2006/relationships/image" Target="media/image360.png"/><Relationship Id="rId380" Type="http://schemas.openxmlformats.org/officeDocument/2006/relationships/image" Target="media/image361.png"/><Relationship Id="rId381" Type="http://schemas.openxmlformats.org/officeDocument/2006/relationships/image" Target="media/image362.png"/><Relationship Id="rId382" Type="http://schemas.openxmlformats.org/officeDocument/2006/relationships/image" Target="media/image363.png"/><Relationship Id="rId383" Type="http://schemas.openxmlformats.org/officeDocument/2006/relationships/image" Target="media/image364.png"/><Relationship Id="rId384" Type="http://schemas.openxmlformats.org/officeDocument/2006/relationships/image" Target="media/image365.png"/><Relationship Id="rId385" Type="http://schemas.openxmlformats.org/officeDocument/2006/relationships/image" Target="media/image366.png"/><Relationship Id="rId386" Type="http://schemas.openxmlformats.org/officeDocument/2006/relationships/image" Target="media/image367.png"/><Relationship Id="rId387" Type="http://schemas.openxmlformats.org/officeDocument/2006/relationships/image" Target="media/image368.png"/><Relationship Id="rId388" Type="http://schemas.openxmlformats.org/officeDocument/2006/relationships/image" Target="media/image369.png"/><Relationship Id="rId389" Type="http://schemas.openxmlformats.org/officeDocument/2006/relationships/image" Target="media/image370.png"/><Relationship Id="rId390" Type="http://schemas.openxmlformats.org/officeDocument/2006/relationships/image" Target="media/image371.png"/><Relationship Id="rId391" Type="http://schemas.openxmlformats.org/officeDocument/2006/relationships/image" Target="media/image372.png"/><Relationship Id="rId392" Type="http://schemas.openxmlformats.org/officeDocument/2006/relationships/image" Target="media/image373.png"/><Relationship Id="rId393" Type="http://schemas.openxmlformats.org/officeDocument/2006/relationships/image" Target="media/image374.png"/><Relationship Id="rId394" Type="http://schemas.openxmlformats.org/officeDocument/2006/relationships/image" Target="media/image375.png"/><Relationship Id="rId395" Type="http://schemas.openxmlformats.org/officeDocument/2006/relationships/image" Target="media/image376.png"/><Relationship Id="rId396" Type="http://schemas.openxmlformats.org/officeDocument/2006/relationships/image" Target="media/image377.png"/><Relationship Id="rId397" Type="http://schemas.openxmlformats.org/officeDocument/2006/relationships/image" Target="media/image378.png"/><Relationship Id="rId398" Type="http://schemas.openxmlformats.org/officeDocument/2006/relationships/image" Target="media/image379.png"/><Relationship Id="rId399" Type="http://schemas.openxmlformats.org/officeDocument/2006/relationships/image" Target="media/image380.png"/><Relationship Id="rId400" Type="http://schemas.openxmlformats.org/officeDocument/2006/relationships/image" Target="media/image381.png"/><Relationship Id="rId401" Type="http://schemas.openxmlformats.org/officeDocument/2006/relationships/image" Target="media/image382.png"/><Relationship Id="rId402" Type="http://schemas.openxmlformats.org/officeDocument/2006/relationships/image" Target="media/image383.png"/><Relationship Id="rId403" Type="http://schemas.openxmlformats.org/officeDocument/2006/relationships/image" Target="media/image384.png"/><Relationship Id="rId404" Type="http://schemas.openxmlformats.org/officeDocument/2006/relationships/image" Target="media/image385.png"/><Relationship Id="rId405" Type="http://schemas.openxmlformats.org/officeDocument/2006/relationships/image" Target="media/image386.png"/><Relationship Id="rId406" Type="http://schemas.openxmlformats.org/officeDocument/2006/relationships/image" Target="media/image387.png"/><Relationship Id="rId407" Type="http://schemas.openxmlformats.org/officeDocument/2006/relationships/image" Target="media/image388.png"/><Relationship Id="rId408" Type="http://schemas.openxmlformats.org/officeDocument/2006/relationships/image" Target="media/image389.png"/><Relationship Id="rId409" Type="http://schemas.openxmlformats.org/officeDocument/2006/relationships/image" Target="media/image390.jpeg"/><Relationship Id="rId410" Type="http://schemas.openxmlformats.org/officeDocument/2006/relationships/image" Target="media/image391.png"/><Relationship Id="rId411" Type="http://schemas.openxmlformats.org/officeDocument/2006/relationships/image" Target="media/image392.png"/><Relationship Id="rId412" Type="http://schemas.openxmlformats.org/officeDocument/2006/relationships/image" Target="media/image393.png"/><Relationship Id="rId413" Type="http://schemas.openxmlformats.org/officeDocument/2006/relationships/image" Target="media/image394.png"/><Relationship Id="rId414" Type="http://schemas.openxmlformats.org/officeDocument/2006/relationships/image" Target="media/image395.png"/><Relationship Id="rId415" Type="http://schemas.openxmlformats.org/officeDocument/2006/relationships/image" Target="media/image396.png"/><Relationship Id="rId416" Type="http://schemas.openxmlformats.org/officeDocument/2006/relationships/image" Target="media/image397.png"/><Relationship Id="rId417" Type="http://schemas.openxmlformats.org/officeDocument/2006/relationships/image" Target="media/image398.png"/><Relationship Id="rId418" Type="http://schemas.openxmlformats.org/officeDocument/2006/relationships/image" Target="media/image399.png"/><Relationship Id="rId419" Type="http://schemas.openxmlformats.org/officeDocument/2006/relationships/image" Target="media/image400.png"/><Relationship Id="rId420" Type="http://schemas.openxmlformats.org/officeDocument/2006/relationships/image" Target="media/image401.png"/><Relationship Id="rId421" Type="http://schemas.openxmlformats.org/officeDocument/2006/relationships/image" Target="media/image402.png"/><Relationship Id="rId422" Type="http://schemas.openxmlformats.org/officeDocument/2006/relationships/image" Target="media/image403.png"/><Relationship Id="rId423" Type="http://schemas.openxmlformats.org/officeDocument/2006/relationships/image" Target="media/image404.png"/><Relationship Id="rId424" Type="http://schemas.openxmlformats.org/officeDocument/2006/relationships/image" Target="media/image405.png"/><Relationship Id="rId425" Type="http://schemas.openxmlformats.org/officeDocument/2006/relationships/image" Target="media/image406.png"/><Relationship Id="rId426" Type="http://schemas.openxmlformats.org/officeDocument/2006/relationships/image" Target="media/image407.png"/><Relationship Id="rId427" Type="http://schemas.openxmlformats.org/officeDocument/2006/relationships/image" Target="media/image408.png"/><Relationship Id="rId428" Type="http://schemas.openxmlformats.org/officeDocument/2006/relationships/image" Target="media/image409.png"/><Relationship Id="rId429" Type="http://schemas.openxmlformats.org/officeDocument/2006/relationships/image" Target="media/image410.png"/><Relationship Id="rId430" Type="http://schemas.openxmlformats.org/officeDocument/2006/relationships/image" Target="media/image411.png"/><Relationship Id="rId431" Type="http://schemas.openxmlformats.org/officeDocument/2006/relationships/image" Target="media/image412.png"/><Relationship Id="rId432" Type="http://schemas.openxmlformats.org/officeDocument/2006/relationships/image" Target="media/image413.png"/><Relationship Id="rId433" Type="http://schemas.openxmlformats.org/officeDocument/2006/relationships/image" Target="media/image414.png"/><Relationship Id="rId434" Type="http://schemas.openxmlformats.org/officeDocument/2006/relationships/image" Target="media/image415.png"/><Relationship Id="rId435" Type="http://schemas.openxmlformats.org/officeDocument/2006/relationships/image" Target="media/image416.png"/><Relationship Id="rId436" Type="http://schemas.openxmlformats.org/officeDocument/2006/relationships/image" Target="media/image417.png"/><Relationship Id="rId437" Type="http://schemas.openxmlformats.org/officeDocument/2006/relationships/image" Target="media/image418.png"/><Relationship Id="rId438" Type="http://schemas.openxmlformats.org/officeDocument/2006/relationships/image" Target="media/image419.png"/><Relationship Id="rId439" Type="http://schemas.openxmlformats.org/officeDocument/2006/relationships/image" Target="media/image420.png"/><Relationship Id="rId440" Type="http://schemas.openxmlformats.org/officeDocument/2006/relationships/image" Target="media/image421.png"/><Relationship Id="rId441" Type="http://schemas.openxmlformats.org/officeDocument/2006/relationships/image" Target="media/image422.png"/><Relationship Id="rId442" Type="http://schemas.openxmlformats.org/officeDocument/2006/relationships/image" Target="media/image423.png"/><Relationship Id="rId443" Type="http://schemas.openxmlformats.org/officeDocument/2006/relationships/image" Target="media/image424.png"/><Relationship Id="rId444" Type="http://schemas.openxmlformats.org/officeDocument/2006/relationships/image" Target="media/image425.png"/><Relationship Id="rId445" Type="http://schemas.openxmlformats.org/officeDocument/2006/relationships/image" Target="media/image426.png"/><Relationship Id="rId446" Type="http://schemas.openxmlformats.org/officeDocument/2006/relationships/image" Target="media/image427.png"/><Relationship Id="rId447" Type="http://schemas.openxmlformats.org/officeDocument/2006/relationships/image" Target="media/image428.png"/><Relationship Id="rId448" Type="http://schemas.openxmlformats.org/officeDocument/2006/relationships/image" Target="media/image429.png"/><Relationship Id="rId449" Type="http://schemas.openxmlformats.org/officeDocument/2006/relationships/image" Target="media/image430.png"/><Relationship Id="rId450" Type="http://schemas.openxmlformats.org/officeDocument/2006/relationships/image" Target="media/image431.png"/><Relationship Id="rId451" Type="http://schemas.openxmlformats.org/officeDocument/2006/relationships/image" Target="media/image432.png"/><Relationship Id="rId452" Type="http://schemas.openxmlformats.org/officeDocument/2006/relationships/image" Target="media/image433.png"/><Relationship Id="rId453" Type="http://schemas.openxmlformats.org/officeDocument/2006/relationships/image" Target="media/image434.png"/><Relationship Id="rId454" Type="http://schemas.openxmlformats.org/officeDocument/2006/relationships/image" Target="media/image435.png"/><Relationship Id="rId455" Type="http://schemas.openxmlformats.org/officeDocument/2006/relationships/image" Target="media/image436.png"/><Relationship Id="rId456" Type="http://schemas.openxmlformats.org/officeDocument/2006/relationships/image" Target="media/image437.png"/><Relationship Id="rId457" Type="http://schemas.openxmlformats.org/officeDocument/2006/relationships/image" Target="media/image438.png"/><Relationship Id="rId458" Type="http://schemas.openxmlformats.org/officeDocument/2006/relationships/image" Target="media/image439.png"/><Relationship Id="rId459" Type="http://schemas.openxmlformats.org/officeDocument/2006/relationships/image" Target="media/image440.png"/><Relationship Id="rId460" Type="http://schemas.openxmlformats.org/officeDocument/2006/relationships/image" Target="media/image441.png"/><Relationship Id="rId461" Type="http://schemas.openxmlformats.org/officeDocument/2006/relationships/image" Target="media/image442.png"/><Relationship Id="rId462" Type="http://schemas.openxmlformats.org/officeDocument/2006/relationships/image" Target="media/image443.png"/><Relationship Id="rId463" Type="http://schemas.openxmlformats.org/officeDocument/2006/relationships/image" Target="media/image444.png"/><Relationship Id="rId464" Type="http://schemas.openxmlformats.org/officeDocument/2006/relationships/image" Target="media/image445.png"/><Relationship Id="rId465" Type="http://schemas.openxmlformats.org/officeDocument/2006/relationships/image" Target="media/image446.png"/><Relationship Id="rId466" Type="http://schemas.openxmlformats.org/officeDocument/2006/relationships/image" Target="media/image447.png"/><Relationship Id="rId467" Type="http://schemas.openxmlformats.org/officeDocument/2006/relationships/image" Target="media/image448.png"/><Relationship Id="rId468" Type="http://schemas.openxmlformats.org/officeDocument/2006/relationships/image" Target="media/image449.png"/><Relationship Id="rId469" Type="http://schemas.openxmlformats.org/officeDocument/2006/relationships/image" Target="media/image450.png"/><Relationship Id="rId470" Type="http://schemas.openxmlformats.org/officeDocument/2006/relationships/image" Target="media/image451.png"/><Relationship Id="rId471" Type="http://schemas.openxmlformats.org/officeDocument/2006/relationships/image" Target="media/image452.png"/><Relationship Id="rId472" Type="http://schemas.openxmlformats.org/officeDocument/2006/relationships/image" Target="media/image453.png"/><Relationship Id="rId473" Type="http://schemas.openxmlformats.org/officeDocument/2006/relationships/image" Target="media/image454.png"/><Relationship Id="rId474" Type="http://schemas.openxmlformats.org/officeDocument/2006/relationships/image" Target="media/image455.png"/><Relationship Id="rId475" Type="http://schemas.openxmlformats.org/officeDocument/2006/relationships/image" Target="media/image456.png"/><Relationship Id="rId476" Type="http://schemas.openxmlformats.org/officeDocument/2006/relationships/image" Target="media/image457.png"/><Relationship Id="rId477" Type="http://schemas.openxmlformats.org/officeDocument/2006/relationships/image" Target="media/image458.png"/><Relationship Id="rId478" Type="http://schemas.openxmlformats.org/officeDocument/2006/relationships/image" Target="media/image459.png"/><Relationship Id="rId479" Type="http://schemas.openxmlformats.org/officeDocument/2006/relationships/image" Target="media/image460.png"/><Relationship Id="rId480" Type="http://schemas.openxmlformats.org/officeDocument/2006/relationships/image" Target="media/image461.png"/><Relationship Id="rId481" Type="http://schemas.openxmlformats.org/officeDocument/2006/relationships/image" Target="media/image462.png"/><Relationship Id="rId482" Type="http://schemas.openxmlformats.org/officeDocument/2006/relationships/image" Target="media/image463.png"/><Relationship Id="rId483" Type="http://schemas.openxmlformats.org/officeDocument/2006/relationships/image" Target="media/image464.png"/><Relationship Id="rId484" Type="http://schemas.openxmlformats.org/officeDocument/2006/relationships/image" Target="media/image465.png"/><Relationship Id="rId485" Type="http://schemas.openxmlformats.org/officeDocument/2006/relationships/image" Target="media/image466.png"/><Relationship Id="rId486" Type="http://schemas.openxmlformats.org/officeDocument/2006/relationships/image" Target="media/image467.png"/><Relationship Id="rId487" Type="http://schemas.openxmlformats.org/officeDocument/2006/relationships/image" Target="media/image468.png"/><Relationship Id="rId488" Type="http://schemas.openxmlformats.org/officeDocument/2006/relationships/image" Target="media/image469.png"/><Relationship Id="rId489" Type="http://schemas.openxmlformats.org/officeDocument/2006/relationships/image" Target="media/image470.png"/><Relationship Id="rId490" Type="http://schemas.openxmlformats.org/officeDocument/2006/relationships/image" Target="media/image471.png"/><Relationship Id="rId491" Type="http://schemas.openxmlformats.org/officeDocument/2006/relationships/image" Target="media/image472.png"/><Relationship Id="rId492" Type="http://schemas.openxmlformats.org/officeDocument/2006/relationships/image" Target="media/image473.png"/><Relationship Id="rId493" Type="http://schemas.openxmlformats.org/officeDocument/2006/relationships/image" Target="media/image474.png"/><Relationship Id="rId494" Type="http://schemas.openxmlformats.org/officeDocument/2006/relationships/image" Target="media/image475.png"/><Relationship Id="rId495" Type="http://schemas.openxmlformats.org/officeDocument/2006/relationships/image" Target="media/image476.png"/><Relationship Id="rId496" Type="http://schemas.openxmlformats.org/officeDocument/2006/relationships/image" Target="media/image477.png"/><Relationship Id="rId497" Type="http://schemas.openxmlformats.org/officeDocument/2006/relationships/image" Target="media/image478.png"/><Relationship Id="rId498" Type="http://schemas.openxmlformats.org/officeDocument/2006/relationships/image" Target="media/image479.png"/><Relationship Id="rId499" Type="http://schemas.openxmlformats.org/officeDocument/2006/relationships/image" Target="media/image480.png"/><Relationship Id="rId500" Type="http://schemas.openxmlformats.org/officeDocument/2006/relationships/image" Target="media/image481.png"/><Relationship Id="rId501" Type="http://schemas.openxmlformats.org/officeDocument/2006/relationships/image" Target="media/image482.png"/><Relationship Id="rId502" Type="http://schemas.openxmlformats.org/officeDocument/2006/relationships/image" Target="media/image483.png"/><Relationship Id="rId503" Type="http://schemas.openxmlformats.org/officeDocument/2006/relationships/image" Target="media/image484.png"/><Relationship Id="rId504" Type="http://schemas.openxmlformats.org/officeDocument/2006/relationships/image" Target="media/image485.png"/><Relationship Id="rId505" Type="http://schemas.openxmlformats.org/officeDocument/2006/relationships/image" Target="media/image486.png"/><Relationship Id="rId506" Type="http://schemas.openxmlformats.org/officeDocument/2006/relationships/image" Target="media/image487.png"/><Relationship Id="rId507" Type="http://schemas.openxmlformats.org/officeDocument/2006/relationships/image" Target="media/image488.png"/><Relationship Id="rId508" Type="http://schemas.openxmlformats.org/officeDocument/2006/relationships/image" Target="media/image489.png"/><Relationship Id="rId509" Type="http://schemas.openxmlformats.org/officeDocument/2006/relationships/image" Target="media/image490.png"/><Relationship Id="rId510" Type="http://schemas.openxmlformats.org/officeDocument/2006/relationships/image" Target="media/image491.png"/><Relationship Id="rId511" Type="http://schemas.openxmlformats.org/officeDocument/2006/relationships/image" Target="media/image492.png"/><Relationship Id="rId512" Type="http://schemas.openxmlformats.org/officeDocument/2006/relationships/image" Target="media/image493.png"/><Relationship Id="rId513" Type="http://schemas.openxmlformats.org/officeDocument/2006/relationships/image" Target="media/image494.png"/><Relationship Id="rId514" Type="http://schemas.openxmlformats.org/officeDocument/2006/relationships/image" Target="media/image495.png"/><Relationship Id="rId515" Type="http://schemas.openxmlformats.org/officeDocument/2006/relationships/image" Target="media/image496.png"/><Relationship Id="rId516" Type="http://schemas.openxmlformats.org/officeDocument/2006/relationships/image" Target="media/image497.png"/><Relationship Id="rId517" Type="http://schemas.openxmlformats.org/officeDocument/2006/relationships/image" Target="media/image498.png"/><Relationship Id="rId518" Type="http://schemas.openxmlformats.org/officeDocument/2006/relationships/image" Target="media/image499.png"/><Relationship Id="rId519" Type="http://schemas.openxmlformats.org/officeDocument/2006/relationships/image" Target="media/image500.png"/><Relationship Id="rId520" Type="http://schemas.openxmlformats.org/officeDocument/2006/relationships/image" Target="media/image501.png"/><Relationship Id="rId521" Type="http://schemas.openxmlformats.org/officeDocument/2006/relationships/image" Target="media/image502.png"/><Relationship Id="rId522" Type="http://schemas.openxmlformats.org/officeDocument/2006/relationships/image" Target="media/image503.png"/><Relationship Id="rId523" Type="http://schemas.openxmlformats.org/officeDocument/2006/relationships/image" Target="media/image504.png"/><Relationship Id="rId524" Type="http://schemas.openxmlformats.org/officeDocument/2006/relationships/image" Target="media/image505.png"/><Relationship Id="rId525" Type="http://schemas.openxmlformats.org/officeDocument/2006/relationships/image" Target="media/image506.png"/><Relationship Id="rId526" Type="http://schemas.openxmlformats.org/officeDocument/2006/relationships/image" Target="media/image507.png"/><Relationship Id="rId527" Type="http://schemas.openxmlformats.org/officeDocument/2006/relationships/image" Target="media/image508.png"/><Relationship Id="rId528" Type="http://schemas.openxmlformats.org/officeDocument/2006/relationships/image" Target="media/image509.png"/><Relationship Id="rId529" Type="http://schemas.openxmlformats.org/officeDocument/2006/relationships/image" Target="media/image510.png"/><Relationship Id="rId530" Type="http://schemas.openxmlformats.org/officeDocument/2006/relationships/image" Target="media/image511.png"/><Relationship Id="rId531" Type="http://schemas.openxmlformats.org/officeDocument/2006/relationships/image" Target="media/image512.png"/><Relationship Id="rId532" Type="http://schemas.openxmlformats.org/officeDocument/2006/relationships/image" Target="media/image513.png"/><Relationship Id="rId533" Type="http://schemas.openxmlformats.org/officeDocument/2006/relationships/image" Target="media/image514.png"/><Relationship Id="rId534" Type="http://schemas.openxmlformats.org/officeDocument/2006/relationships/image" Target="media/image515.png"/><Relationship Id="rId535" Type="http://schemas.openxmlformats.org/officeDocument/2006/relationships/image" Target="media/image516.png"/><Relationship Id="rId536" Type="http://schemas.openxmlformats.org/officeDocument/2006/relationships/image" Target="media/image517.png"/><Relationship Id="rId537" Type="http://schemas.openxmlformats.org/officeDocument/2006/relationships/image" Target="media/image518.png"/><Relationship Id="rId538" Type="http://schemas.openxmlformats.org/officeDocument/2006/relationships/image" Target="media/image519.png"/><Relationship Id="rId539" Type="http://schemas.openxmlformats.org/officeDocument/2006/relationships/image" Target="media/image520.png"/><Relationship Id="rId540" Type="http://schemas.openxmlformats.org/officeDocument/2006/relationships/image" Target="media/image521.png"/><Relationship Id="rId541" Type="http://schemas.openxmlformats.org/officeDocument/2006/relationships/image" Target="media/image522.png"/><Relationship Id="rId542" Type="http://schemas.openxmlformats.org/officeDocument/2006/relationships/image" Target="media/image523.png"/><Relationship Id="rId543" Type="http://schemas.openxmlformats.org/officeDocument/2006/relationships/image" Target="media/image524.png"/><Relationship Id="rId544" Type="http://schemas.openxmlformats.org/officeDocument/2006/relationships/image" Target="media/image525.png"/><Relationship Id="rId545" Type="http://schemas.openxmlformats.org/officeDocument/2006/relationships/image" Target="media/image526.png"/><Relationship Id="rId546" Type="http://schemas.openxmlformats.org/officeDocument/2006/relationships/image" Target="media/image527.png"/><Relationship Id="rId547" Type="http://schemas.openxmlformats.org/officeDocument/2006/relationships/image" Target="media/image528.png"/><Relationship Id="rId548" Type="http://schemas.openxmlformats.org/officeDocument/2006/relationships/image" Target="media/image529.png"/><Relationship Id="rId549" Type="http://schemas.openxmlformats.org/officeDocument/2006/relationships/image" Target="media/image530.png"/><Relationship Id="rId550" Type="http://schemas.openxmlformats.org/officeDocument/2006/relationships/image" Target="media/image531.png"/><Relationship Id="rId551" Type="http://schemas.openxmlformats.org/officeDocument/2006/relationships/image" Target="media/image532.png"/><Relationship Id="rId552" Type="http://schemas.openxmlformats.org/officeDocument/2006/relationships/image" Target="media/image533.png"/><Relationship Id="rId553" Type="http://schemas.openxmlformats.org/officeDocument/2006/relationships/image" Target="media/image534.png"/><Relationship Id="rId554" Type="http://schemas.openxmlformats.org/officeDocument/2006/relationships/image" Target="media/image535.png"/><Relationship Id="rId555" Type="http://schemas.openxmlformats.org/officeDocument/2006/relationships/image" Target="media/image536.png"/><Relationship Id="rId556" Type="http://schemas.openxmlformats.org/officeDocument/2006/relationships/image" Target="media/image537.png"/><Relationship Id="rId557" Type="http://schemas.openxmlformats.org/officeDocument/2006/relationships/image" Target="media/image538.png"/><Relationship Id="rId558" Type="http://schemas.openxmlformats.org/officeDocument/2006/relationships/image" Target="media/image539.png"/><Relationship Id="rId559" Type="http://schemas.openxmlformats.org/officeDocument/2006/relationships/image" Target="media/image540.png"/><Relationship Id="rId560" Type="http://schemas.openxmlformats.org/officeDocument/2006/relationships/image" Target="media/image541.png"/><Relationship Id="rId561" Type="http://schemas.openxmlformats.org/officeDocument/2006/relationships/image" Target="media/image542.png"/><Relationship Id="rId562" Type="http://schemas.openxmlformats.org/officeDocument/2006/relationships/image" Target="media/image543.png"/><Relationship Id="rId563" Type="http://schemas.openxmlformats.org/officeDocument/2006/relationships/image" Target="media/image544.png"/><Relationship Id="rId564" Type="http://schemas.openxmlformats.org/officeDocument/2006/relationships/image" Target="media/image545.png"/><Relationship Id="rId565" Type="http://schemas.openxmlformats.org/officeDocument/2006/relationships/image" Target="media/image546.png"/><Relationship Id="rId566" Type="http://schemas.openxmlformats.org/officeDocument/2006/relationships/image" Target="media/image547.png"/><Relationship Id="rId567" Type="http://schemas.openxmlformats.org/officeDocument/2006/relationships/image" Target="media/image548.png"/><Relationship Id="rId568" Type="http://schemas.openxmlformats.org/officeDocument/2006/relationships/image" Target="media/image549.png"/><Relationship Id="rId569" Type="http://schemas.openxmlformats.org/officeDocument/2006/relationships/image" Target="media/image550.png"/><Relationship Id="rId570" Type="http://schemas.openxmlformats.org/officeDocument/2006/relationships/image" Target="media/image551.png"/><Relationship Id="rId571" Type="http://schemas.openxmlformats.org/officeDocument/2006/relationships/image" Target="media/image552.png"/><Relationship Id="rId572" Type="http://schemas.openxmlformats.org/officeDocument/2006/relationships/image" Target="media/image553.png"/><Relationship Id="rId573" Type="http://schemas.openxmlformats.org/officeDocument/2006/relationships/image" Target="media/image554.png"/><Relationship Id="rId574" Type="http://schemas.openxmlformats.org/officeDocument/2006/relationships/image" Target="media/image555.png"/><Relationship Id="rId575" Type="http://schemas.openxmlformats.org/officeDocument/2006/relationships/image" Target="media/image556.png"/><Relationship Id="rId576" Type="http://schemas.openxmlformats.org/officeDocument/2006/relationships/image" Target="media/image557.png"/><Relationship Id="rId577" Type="http://schemas.openxmlformats.org/officeDocument/2006/relationships/image" Target="media/image558.png"/><Relationship Id="rId578" Type="http://schemas.openxmlformats.org/officeDocument/2006/relationships/image" Target="media/image559.png"/><Relationship Id="rId579" Type="http://schemas.openxmlformats.org/officeDocument/2006/relationships/image" Target="media/image560.png"/><Relationship Id="rId580" Type="http://schemas.openxmlformats.org/officeDocument/2006/relationships/image" Target="media/image561.png"/><Relationship Id="rId581" Type="http://schemas.openxmlformats.org/officeDocument/2006/relationships/image" Target="media/image562.png"/><Relationship Id="rId582" Type="http://schemas.openxmlformats.org/officeDocument/2006/relationships/image" Target="media/image563.png"/><Relationship Id="rId583" Type="http://schemas.openxmlformats.org/officeDocument/2006/relationships/image" Target="media/image564.png"/><Relationship Id="rId584" Type="http://schemas.openxmlformats.org/officeDocument/2006/relationships/image" Target="media/image565.png"/><Relationship Id="rId585" Type="http://schemas.openxmlformats.org/officeDocument/2006/relationships/image" Target="media/image566.png"/><Relationship Id="rId586" Type="http://schemas.openxmlformats.org/officeDocument/2006/relationships/image" Target="media/image567.png"/><Relationship Id="rId587" Type="http://schemas.openxmlformats.org/officeDocument/2006/relationships/image" Target="media/image568.png"/><Relationship Id="rId588" Type="http://schemas.openxmlformats.org/officeDocument/2006/relationships/image" Target="media/image569.png"/><Relationship Id="rId589" Type="http://schemas.openxmlformats.org/officeDocument/2006/relationships/image" Target="media/image570.png"/><Relationship Id="rId590" Type="http://schemas.openxmlformats.org/officeDocument/2006/relationships/image" Target="media/image571.png"/><Relationship Id="rId591" Type="http://schemas.openxmlformats.org/officeDocument/2006/relationships/image" Target="media/image572.png"/><Relationship Id="rId592" Type="http://schemas.openxmlformats.org/officeDocument/2006/relationships/image" Target="media/image573.png"/><Relationship Id="rId593" Type="http://schemas.openxmlformats.org/officeDocument/2006/relationships/image" Target="media/image574.png"/><Relationship Id="rId594" Type="http://schemas.openxmlformats.org/officeDocument/2006/relationships/image" Target="media/image575.png"/><Relationship Id="rId595" Type="http://schemas.openxmlformats.org/officeDocument/2006/relationships/image" Target="media/image576.png"/><Relationship Id="rId596" Type="http://schemas.openxmlformats.org/officeDocument/2006/relationships/image" Target="media/image577.png"/><Relationship Id="rId597" Type="http://schemas.openxmlformats.org/officeDocument/2006/relationships/image" Target="media/image578.png"/><Relationship Id="rId598" Type="http://schemas.openxmlformats.org/officeDocument/2006/relationships/image" Target="media/image579.png"/><Relationship Id="rId599" Type="http://schemas.openxmlformats.org/officeDocument/2006/relationships/image" Target="media/image580.png"/><Relationship Id="rId600" Type="http://schemas.openxmlformats.org/officeDocument/2006/relationships/image" Target="media/image581.png"/><Relationship Id="rId601" Type="http://schemas.openxmlformats.org/officeDocument/2006/relationships/image" Target="media/image582.png"/><Relationship Id="rId602" Type="http://schemas.openxmlformats.org/officeDocument/2006/relationships/image" Target="media/image583.png"/><Relationship Id="rId603" Type="http://schemas.openxmlformats.org/officeDocument/2006/relationships/image" Target="media/image584.png"/><Relationship Id="rId604" Type="http://schemas.openxmlformats.org/officeDocument/2006/relationships/image" Target="media/image585.png"/><Relationship Id="rId605" Type="http://schemas.openxmlformats.org/officeDocument/2006/relationships/image" Target="media/image586.png"/><Relationship Id="rId606" Type="http://schemas.openxmlformats.org/officeDocument/2006/relationships/image" Target="media/image587.png"/><Relationship Id="rId607" Type="http://schemas.openxmlformats.org/officeDocument/2006/relationships/image" Target="media/image588.png"/><Relationship Id="rId608" Type="http://schemas.openxmlformats.org/officeDocument/2006/relationships/image" Target="media/image589.png"/><Relationship Id="rId609" Type="http://schemas.openxmlformats.org/officeDocument/2006/relationships/image" Target="media/image590.png"/><Relationship Id="rId610" Type="http://schemas.openxmlformats.org/officeDocument/2006/relationships/image" Target="media/image591.png"/><Relationship Id="rId611" Type="http://schemas.openxmlformats.org/officeDocument/2006/relationships/image" Target="media/image592.png"/><Relationship Id="rId612" Type="http://schemas.openxmlformats.org/officeDocument/2006/relationships/image" Target="media/image593.png"/><Relationship Id="rId613" Type="http://schemas.openxmlformats.org/officeDocument/2006/relationships/image" Target="media/image594.png"/><Relationship Id="rId614" Type="http://schemas.openxmlformats.org/officeDocument/2006/relationships/image" Target="media/image595.png"/><Relationship Id="rId615" Type="http://schemas.openxmlformats.org/officeDocument/2006/relationships/image" Target="media/image596.png"/><Relationship Id="rId616" Type="http://schemas.openxmlformats.org/officeDocument/2006/relationships/image" Target="media/image597.png"/><Relationship Id="rId617" Type="http://schemas.openxmlformats.org/officeDocument/2006/relationships/image" Target="media/image598.png"/><Relationship Id="rId618" Type="http://schemas.openxmlformats.org/officeDocument/2006/relationships/image" Target="media/image599.png"/><Relationship Id="rId619" Type="http://schemas.openxmlformats.org/officeDocument/2006/relationships/image" Target="media/image600.png"/><Relationship Id="rId620" Type="http://schemas.openxmlformats.org/officeDocument/2006/relationships/image" Target="media/image601.png"/><Relationship Id="rId621" Type="http://schemas.openxmlformats.org/officeDocument/2006/relationships/image" Target="media/image602.png"/><Relationship Id="rId622" Type="http://schemas.openxmlformats.org/officeDocument/2006/relationships/image" Target="media/image603.png"/><Relationship Id="rId623" Type="http://schemas.openxmlformats.org/officeDocument/2006/relationships/image" Target="media/image604.png"/><Relationship Id="rId624" Type="http://schemas.openxmlformats.org/officeDocument/2006/relationships/image" Target="media/image605.png"/><Relationship Id="rId625" Type="http://schemas.openxmlformats.org/officeDocument/2006/relationships/image" Target="media/image606.png"/><Relationship Id="rId626" Type="http://schemas.openxmlformats.org/officeDocument/2006/relationships/image" Target="media/image607.png"/><Relationship Id="rId627" Type="http://schemas.openxmlformats.org/officeDocument/2006/relationships/image" Target="media/image608.png"/><Relationship Id="rId628" Type="http://schemas.openxmlformats.org/officeDocument/2006/relationships/image" Target="media/image609.png"/><Relationship Id="rId629" Type="http://schemas.openxmlformats.org/officeDocument/2006/relationships/image" Target="media/image610.png"/><Relationship Id="rId630" Type="http://schemas.openxmlformats.org/officeDocument/2006/relationships/image" Target="media/image611.png"/><Relationship Id="rId631" Type="http://schemas.openxmlformats.org/officeDocument/2006/relationships/image" Target="media/image612.png"/><Relationship Id="rId632" Type="http://schemas.openxmlformats.org/officeDocument/2006/relationships/image" Target="media/image613.png"/><Relationship Id="rId633" Type="http://schemas.openxmlformats.org/officeDocument/2006/relationships/image" Target="media/image614.png"/><Relationship Id="rId634" Type="http://schemas.openxmlformats.org/officeDocument/2006/relationships/image" Target="media/image615.png"/><Relationship Id="rId635" Type="http://schemas.openxmlformats.org/officeDocument/2006/relationships/image" Target="media/image616.png"/><Relationship Id="rId636" Type="http://schemas.openxmlformats.org/officeDocument/2006/relationships/image" Target="media/image617.png"/><Relationship Id="rId637" Type="http://schemas.openxmlformats.org/officeDocument/2006/relationships/image" Target="media/image618.png"/><Relationship Id="rId638" Type="http://schemas.openxmlformats.org/officeDocument/2006/relationships/image" Target="media/image619.png"/><Relationship Id="rId639" Type="http://schemas.openxmlformats.org/officeDocument/2006/relationships/image" Target="media/image620.png"/><Relationship Id="rId640" Type="http://schemas.openxmlformats.org/officeDocument/2006/relationships/image" Target="media/image621.png"/><Relationship Id="rId641" Type="http://schemas.openxmlformats.org/officeDocument/2006/relationships/image" Target="media/image622.png"/><Relationship Id="rId642" Type="http://schemas.openxmlformats.org/officeDocument/2006/relationships/image" Target="media/image623.png"/><Relationship Id="rId643" Type="http://schemas.openxmlformats.org/officeDocument/2006/relationships/image" Target="media/image624.png"/><Relationship Id="rId644" Type="http://schemas.openxmlformats.org/officeDocument/2006/relationships/image" Target="media/image625.png"/><Relationship Id="rId645" Type="http://schemas.openxmlformats.org/officeDocument/2006/relationships/image" Target="media/image626.png"/><Relationship Id="rId646" Type="http://schemas.openxmlformats.org/officeDocument/2006/relationships/image" Target="media/image627.png"/><Relationship Id="rId647" Type="http://schemas.openxmlformats.org/officeDocument/2006/relationships/image" Target="media/image628.png"/><Relationship Id="rId648" Type="http://schemas.openxmlformats.org/officeDocument/2006/relationships/image" Target="media/image629.png"/><Relationship Id="rId649" Type="http://schemas.openxmlformats.org/officeDocument/2006/relationships/image" Target="media/image630.png"/><Relationship Id="rId650" Type="http://schemas.openxmlformats.org/officeDocument/2006/relationships/image" Target="media/image631.png"/><Relationship Id="rId651" Type="http://schemas.openxmlformats.org/officeDocument/2006/relationships/image" Target="media/image632.png"/><Relationship Id="rId652" Type="http://schemas.openxmlformats.org/officeDocument/2006/relationships/image" Target="media/image633.png"/><Relationship Id="rId653" Type="http://schemas.openxmlformats.org/officeDocument/2006/relationships/image" Target="media/image634.png"/><Relationship Id="rId654" Type="http://schemas.openxmlformats.org/officeDocument/2006/relationships/image" Target="media/image635.png"/><Relationship Id="rId655" Type="http://schemas.openxmlformats.org/officeDocument/2006/relationships/image" Target="media/image636.png"/><Relationship Id="rId656" Type="http://schemas.openxmlformats.org/officeDocument/2006/relationships/image" Target="media/image637.png"/><Relationship Id="rId657" Type="http://schemas.openxmlformats.org/officeDocument/2006/relationships/image" Target="media/image638.png"/><Relationship Id="rId658" Type="http://schemas.openxmlformats.org/officeDocument/2006/relationships/image" Target="media/image639.png"/><Relationship Id="rId659" Type="http://schemas.openxmlformats.org/officeDocument/2006/relationships/image" Target="media/image640.png"/><Relationship Id="rId660" Type="http://schemas.openxmlformats.org/officeDocument/2006/relationships/image" Target="media/image641.png"/><Relationship Id="rId661" Type="http://schemas.openxmlformats.org/officeDocument/2006/relationships/image" Target="media/image642.png"/><Relationship Id="rId662" Type="http://schemas.openxmlformats.org/officeDocument/2006/relationships/image" Target="media/image643.png"/><Relationship Id="rId663" Type="http://schemas.openxmlformats.org/officeDocument/2006/relationships/image" Target="media/image644.png"/><Relationship Id="rId664" Type="http://schemas.openxmlformats.org/officeDocument/2006/relationships/image" Target="media/image645.png"/><Relationship Id="rId665" Type="http://schemas.openxmlformats.org/officeDocument/2006/relationships/image" Target="media/image646.png"/><Relationship Id="rId666" Type="http://schemas.openxmlformats.org/officeDocument/2006/relationships/image" Target="media/image647.png"/><Relationship Id="rId667" Type="http://schemas.openxmlformats.org/officeDocument/2006/relationships/image" Target="media/image648.png"/><Relationship Id="rId668" Type="http://schemas.openxmlformats.org/officeDocument/2006/relationships/image" Target="media/image649.png"/><Relationship Id="rId669" Type="http://schemas.openxmlformats.org/officeDocument/2006/relationships/image" Target="media/image650.png"/><Relationship Id="rId670" Type="http://schemas.openxmlformats.org/officeDocument/2006/relationships/image" Target="media/image651.png"/><Relationship Id="rId671" Type="http://schemas.openxmlformats.org/officeDocument/2006/relationships/image" Target="media/image652.png"/><Relationship Id="rId672" Type="http://schemas.openxmlformats.org/officeDocument/2006/relationships/image" Target="media/image653.png"/><Relationship Id="rId673" Type="http://schemas.openxmlformats.org/officeDocument/2006/relationships/image" Target="media/image654.png"/><Relationship Id="rId674" Type="http://schemas.openxmlformats.org/officeDocument/2006/relationships/image" Target="media/image655.png"/><Relationship Id="rId675" Type="http://schemas.openxmlformats.org/officeDocument/2006/relationships/image" Target="media/image656.png"/><Relationship Id="rId676" Type="http://schemas.openxmlformats.org/officeDocument/2006/relationships/image" Target="media/image657.png"/><Relationship Id="rId677" Type="http://schemas.openxmlformats.org/officeDocument/2006/relationships/image" Target="media/image658.png"/><Relationship Id="rId678" Type="http://schemas.openxmlformats.org/officeDocument/2006/relationships/image" Target="media/image659.png"/><Relationship Id="rId679" Type="http://schemas.openxmlformats.org/officeDocument/2006/relationships/image" Target="media/image660.png"/><Relationship Id="rId680" Type="http://schemas.openxmlformats.org/officeDocument/2006/relationships/image" Target="media/image661.png"/><Relationship Id="rId681" Type="http://schemas.openxmlformats.org/officeDocument/2006/relationships/image" Target="media/image662.png"/><Relationship Id="rId682" Type="http://schemas.openxmlformats.org/officeDocument/2006/relationships/image" Target="media/image663.png"/><Relationship Id="rId683" Type="http://schemas.openxmlformats.org/officeDocument/2006/relationships/image" Target="media/image664.png"/><Relationship Id="rId684" Type="http://schemas.openxmlformats.org/officeDocument/2006/relationships/image" Target="media/image665.png"/><Relationship Id="rId685" Type="http://schemas.openxmlformats.org/officeDocument/2006/relationships/image" Target="media/image666.png"/><Relationship Id="rId686" Type="http://schemas.openxmlformats.org/officeDocument/2006/relationships/image" Target="media/image667.png"/><Relationship Id="rId687" Type="http://schemas.openxmlformats.org/officeDocument/2006/relationships/image" Target="media/image668.png"/><Relationship Id="rId688" Type="http://schemas.openxmlformats.org/officeDocument/2006/relationships/image" Target="media/image669.png"/><Relationship Id="rId689" Type="http://schemas.openxmlformats.org/officeDocument/2006/relationships/image" Target="media/image670.png"/><Relationship Id="rId690" Type="http://schemas.openxmlformats.org/officeDocument/2006/relationships/image" Target="media/image671.jpeg"/><Relationship Id="rId691" Type="http://schemas.openxmlformats.org/officeDocument/2006/relationships/image" Target="media/image672.png"/><Relationship Id="rId692" Type="http://schemas.openxmlformats.org/officeDocument/2006/relationships/image" Target="media/image673.png"/><Relationship Id="rId693" Type="http://schemas.openxmlformats.org/officeDocument/2006/relationships/image" Target="media/image674.png"/><Relationship Id="rId694" Type="http://schemas.openxmlformats.org/officeDocument/2006/relationships/image" Target="media/image675.png"/><Relationship Id="rId313" Type="http://schemas.openxmlformats.org/officeDocument/2006/relationships/hyperlink" Target="http://www.sec.gov/Archives/edgar/data/1681087/000119312518175024/d562006dex31.htm" TargetMode="External"/><Relationship Id="rId314" Type="http://schemas.openxmlformats.org/officeDocument/2006/relationships/hyperlink" Target="http://www.sec.gov/Archives/edgar/data/1681087/000119312518175024/d562006dex34.htm" TargetMode="External"/><Relationship Id="rId315" Type="http://schemas.openxmlformats.org/officeDocument/2006/relationships/hyperlink" Target="http://www.sec.gov/Archives/edgar/data/1681087/000119312518175024/d562006dex42.htm" TargetMode="External"/><Relationship Id="rId316" Type="http://schemas.openxmlformats.org/officeDocument/2006/relationships/hyperlink" Target="http://www.sec.gov/Archives/edgar/data/1681087/000119312518175024/d562006dex43.htm" TargetMode="External"/><Relationship Id="rId318" Type="http://schemas.openxmlformats.org/officeDocument/2006/relationships/hyperlink" Target="http://www.sec.gov/Archives/edgar/data/1681087/000119312518175024/d562006dex101.htm" TargetMode="External"/><Relationship Id="rId319" Type="http://schemas.openxmlformats.org/officeDocument/2006/relationships/hyperlink" Target="http://www.sec.gov/Archives/edgar/data/1681087/000119312518181102/d562006dex105.htm" TargetMode="External"/><Relationship Id="rId320" Type="http://schemas.openxmlformats.org/officeDocument/2006/relationships/hyperlink" Target="http://www.sec.gov/Archives/edgar/data/1681087/000119312518175024/d562006dex107.htm" TargetMode="External"/><Relationship Id="rId321" Type="http://schemas.openxmlformats.org/officeDocument/2006/relationships/hyperlink" Target="http://www.sec.gov/Archives/edgar/data/1681087/000119312518175024/d562006dex108.htm" TargetMode="External"/><Relationship Id="rId322" Type="http://schemas.openxmlformats.org/officeDocument/2006/relationships/hyperlink" Target="http://www.sec.gov/Archives/edgar/data/1681087/000119312518175024/d562006dex1012.htm" TargetMode="External"/><Relationship Id="rId323" Type="http://schemas.openxmlformats.org/officeDocument/2006/relationships/hyperlink" Target="http://www.sec.gov/Archives/edgar/data/1681087/000119312518175024/d562006dex1013.htm" TargetMode="External"/><Relationship Id="rId324" Type="http://schemas.openxmlformats.org/officeDocument/2006/relationships/hyperlink" Target="http://www.sec.gov/Archives/edgar/data/1681087/000119312518175024/d562006dex211.htm" TargetMode="External"/><Relationship Id="rId325" Type="http://schemas.openxmlformats.org/officeDocument/2006/relationships/hyperlink" Target="http://www.sec.gov/Archives/edgar/data/1681087/000119312518175024/d562006d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2019-12-08T15:25:34Z</dcterms:created>
  <dcterms:modified xsi:type="dcterms:W3CDTF">2019-12-08T15:25:34Z</dcterms:modified>
</cp:coreProperties>
</file>