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19, 2024</w:t>
      </w:r>
    </w:p>
    <w:p>
      <w:pPr>
        <w:spacing w:after="0" w:line="28"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6"/>
          <w:szCs w:val="36"/>
          <w:b w:val="1"/>
          <w:bCs w:val="1"/>
          <w:color w:val="auto"/>
        </w:rPr>
        <w:t>Tectonic Therapeutic, Inc.</w:t>
      </w:r>
    </w:p>
    <w:p>
      <w:pPr>
        <w:spacing w:after="0" w:line="5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4"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2836</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81-0710585</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No.)</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490 Arsenal Way</w:t>
      </w:r>
    </w:p>
    <w:p>
      <w:pPr>
        <w:spacing w:after="0" w:line="2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Suite 210</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Watertown, MA 02472</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(339) 666-3320</w:t>
      </w:r>
    </w:p>
    <w:p>
      <w:pPr>
        <w:spacing w:after="0" w:line="1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Daniel Lochner</w:t>
      </w:r>
    </w:p>
    <w:p>
      <w:pPr>
        <w:spacing w:after="0" w:line="2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490 Arsenal Way</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Suite 210</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Watertown, MA 02472</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(339) 666-3320</w:t>
      </w:r>
    </w:p>
    <w:p>
      <w:pPr>
        <w:spacing w:after="0" w:line="1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2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Marc A. Recht</w:t>
      </w:r>
    </w:p>
    <w:p>
      <w:pPr>
        <w:spacing w:after="0" w:line="2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Courtney T. Thorne</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500 Boylston Street, 14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Boston, Massachusetts 02116</w:t>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(617) 937-2300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80"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0" w:lineRule="exact"/>
        <w:rPr>
          <w:sz w:val="24"/>
          <w:szCs w:val="24"/>
          <w:color w:val="auto"/>
        </w:rPr>
      </w:pPr>
    </w:p>
    <w:p>
      <w:pPr>
        <w:ind w:left="120" w:right="2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52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ind w:left="120" w:right="2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left="120" w:right="18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40"/>
          </w:cols>
          <w:pgMar w:left="320" w:top="225"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61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On June 20, 2024 (the “Closing Date”), Tectonic Therapeutic, Inc., a Delaware corporation (previously named AVROBIO, Inc. and our predecessor company (“AVROBIO”)), consummated the previously announced merger pursuant to the terms of the Agreement and Plan of Merger and Reorganization, dated as of January 30, 2024 (the “Merger Agreement”), by and among AVROBIO, Alpine Merger Subsidiary, Inc., a Delaware corporation and direct wholly owned subsidiary of AVROBIO (“Merger Sub”), and Tectonic Operating Company, Inc., a Delaware corporation (previously named Tectonic Therapeutic, Inc. (“Legacy Tectonic”)).</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on the Closing Date, (i) AVROBIO effected a reverse stock split of AVROBIO’s issued and outstanding common stock at a ratio of 1:12 (the “Reverse Stock Split”), (ii) AVROBIO changed its name to “Tectonic Therapeutic, Inc.” and Legacy Tectonic changed its name to “Tectonic Operating Company, Inc.,” and (iii) Merger Sub merged with and into Legacy Tectonic (the “Merger”), with Legacy Tectonic continuing as the surviving company in the Merger and as a wholly-owned subsidiary of Tectonic Therapeutic, Inc. (the “Company” and together with its consolidated subsidiaries, “Tectonic,” “we” or “us”).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(i) immediately prior to the effective time of the Merger, each share of Legacy Tectonic preferred stock was converted into one share of Legacy Tectonic common stock, and (ii) at the effective time of the Merger, the Company issued an aggregate of approximately 5,322,169 shares of its common stock to Legacy Tectonic stockholders, based on an exchange ratio (after giving effect to the Reverse Stock Split) of 0.53441999 shares of the Company’s common stock for each share of Legacy Tectonic common stock outstanding immediately prior to the Merger, including those shares of Legacy Tectonic common stock issued upon conversion of the Legacy Tectonic preferred stock and simple agreements for future equity (“SAFEs”) and those shares of Legacy Tectonic common stock issued in the Pre-Closing Financing (defined below), but excluding shares to be canceled pursuant to the Merger Agreement, resulting in approximately 14,734,323 shares of the Company’s common stock being issued and outstanding immediately following the effective time of the Merger.</w:t>
      </w:r>
    </w:p>
    <w:p>
      <w:pPr>
        <w:spacing w:after="0" w:line="188"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On January 30, 2024, Legacy Tectonic entered into a subscription agreement (the “Subscription Agreement”), with certain institutional investors named therein. Pursuant to the Subscription Agreement, immediately prior to consummation of the Merger, Legacy Tectonic issued and sold an aggregate of 7,790,889 shares of its common stock at a purchase price of approximately $12.39908 per share, for an aggregate purchase price of approximately $96.6 million (the “Pre-Closing Financing”), and the shares of Legacy Tectonic common stock issued to investors in the Pre-Closing Financing were exchanged at the closing of the Merger at the exchange ratio for an aggregate of 4,163,606 shares of the Company’s common stock.</w:t>
      </w:r>
    </w:p>
    <w:p>
      <w:pPr>
        <w:spacing w:after="0" w:line="187"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As of the open of trading on June 21, 2024, the common stock of the Company began trading on the Nasdaq Global Market under the symbol “TECX.”</w:t>
      </w:r>
    </w:p>
    <w:p>
      <w:pPr>
        <w:sectPr>
          <w:pgSz w:w="11900" w:h="16838" w:orient="portrait"/>
          <w:cols w:equalWidth="0" w:num="1">
            <w:col w:w="10940"/>
          </w:cols>
          <w:pgMar w:left="320" w:top="482" w:right="6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FF4338"/>
        </w:rPr>
        <w:t>SUBJECT TO COMPLETION, DATED July 19,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173990</wp:posOffset>
            </wp:positionV>
            <wp:extent cx="1285875"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offer and resale or other disposition from time to time by the selling stockholders identified in this prospectus of up to an aggregate of 2,969,583 shares of common stock, par value $0.0001 per share, of Tectonic Therapeutic, Inc.</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registering the resale of the shares of common stock pursuant to the selling stockholders’ registration rights under the Subscription Agreement between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or transfer taxes relating to the sale of common stock, which will be borne by the selling stockholders.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“TECX.” On July 12, 2024, the closing price for our common stock, as reported on Nasdaq, was $16.94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4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See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9 of this prospectus to read about factors you should consider before buying our securities.</w:t>
      </w:r>
    </w:p>
    <w:p>
      <w:pPr>
        <w:spacing w:after="0" w:line="159"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00"/>
          </w:cols>
          <w:pgMar w:left="320" w:top="482"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7"/>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2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72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220" w:type="dxa"/>
            <w:vAlign w:val="bottom"/>
            <w:gridSpan w:val="1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0" w:type="dxa"/>
            <w:vAlign w:val="bottom"/>
          </w:tcPr>
          <w:p>
            <w:pPr>
              <w:spacing w:after="0"/>
              <w:rPr>
                <w:sz w:val="17"/>
                <w:szCs w:val="17"/>
                <w:color w:val="auto"/>
              </w:rPr>
            </w:pPr>
          </w:p>
        </w:tc>
        <w:tc>
          <w:tcPr>
            <w:tcW w:w="60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INFORMATION FOR COMMON STOCK AND DIVIDEND POLICY</w:t>
            </w:r>
          </w:p>
        </w:tc>
        <w:tc>
          <w:tcPr>
            <w:tcW w:w="380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20" w:type="dxa"/>
            <w:vAlign w:val="bottom"/>
          </w:tcPr>
          <w:p>
            <w:pPr>
              <w:spacing w:after="0"/>
              <w:rPr>
                <w:sz w:val="17"/>
                <w:szCs w:val="17"/>
                <w:color w:val="auto"/>
              </w:rPr>
            </w:pPr>
          </w:p>
        </w:tc>
        <w:tc>
          <w:tcPr>
            <w:tcW w:w="65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2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500" w:type="dxa"/>
            <w:vAlign w:val="bottom"/>
            <w:gridSpan w:val="1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6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12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120" w:type="dxa"/>
            <w:vAlign w:val="bottom"/>
          </w:tcPr>
          <w:p>
            <w:pPr>
              <w:spacing w:after="0"/>
              <w:rPr>
                <w:sz w:val="17"/>
                <w:szCs w:val="17"/>
                <w:color w:val="auto"/>
              </w:rPr>
            </w:pPr>
          </w:p>
        </w:tc>
        <w:tc>
          <w:tcPr>
            <w:tcW w:w="5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SECURITYHOLDERS</w:t>
            </w:r>
          </w:p>
        </w:tc>
        <w:tc>
          <w:tcPr>
            <w:tcW w:w="434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160" w:type="dxa"/>
            <w:vAlign w:val="bottom"/>
            <w:tcBorders>
              <w:top w:val="single" w:sz="8" w:color="0000EE"/>
            </w:tcBorders>
          </w:tcPr>
          <w:p>
            <w:pPr>
              <w:spacing w:after="0"/>
              <w:rPr>
                <w:sz w:val="17"/>
                <w:szCs w:val="17"/>
                <w:color w:val="auto"/>
              </w:rPr>
            </w:pPr>
          </w:p>
        </w:tc>
        <w:tc>
          <w:tcPr>
            <w:tcW w:w="714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196"/>
        </w:trPr>
        <w:tc>
          <w:tcPr>
            <w:tcW w:w="12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196"/>
        </w:trPr>
        <w:tc>
          <w:tcPr>
            <w:tcW w:w="120" w:type="dxa"/>
            <w:vAlign w:val="bottom"/>
          </w:tcPr>
          <w:p>
            <w:pPr>
              <w:spacing w:after="0"/>
              <w:rPr>
                <w:sz w:val="17"/>
                <w:szCs w:val="17"/>
                <w:color w:val="auto"/>
              </w:rPr>
            </w:pPr>
          </w:p>
        </w:tc>
        <w:tc>
          <w:tcPr>
            <w:tcW w:w="58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92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776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196"/>
        </w:trPr>
        <w:tc>
          <w:tcPr>
            <w:tcW w:w="12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CHANGE IN CERTIFYING ACCOUNTANT</w:t>
            </w:r>
          </w:p>
        </w:tc>
        <w:tc>
          <w:tcPr>
            <w:tcW w:w="644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r>
      <w:tr>
        <w:trPr>
          <w:trHeight w:val="196"/>
        </w:trPr>
        <w:tc>
          <w:tcPr>
            <w:tcW w:w="12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2"/>
          </w:tcPr>
          <w:p>
            <w:pPr>
              <w:spacing w:after="0"/>
              <w:rPr>
                <w:sz w:val="17"/>
                <w:szCs w:val="17"/>
                <w:color w:val="auto"/>
              </w:rPr>
            </w:pPr>
          </w:p>
        </w:tc>
        <w:tc>
          <w:tcPr>
            <w:tcW w:w="600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right="14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to exhibits to the registration statement of which this prospectus forms a part and any applicable prospectus supplement or amendment. Neither we nor the selling stockholders have authorized anyone to provide you with different information. Neither we nor the selling stockholders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73"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99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899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under the caption “Selling Stockholders,” from time to time, of up to an aggregate of 2,969,583 shares of common stock. We are not selling any shares of common stock under this prospectus, and we will not receive any proceeds from the sale of shares of common stock offered hereby by the Selling Stockholders.</w:t>
      </w:r>
    </w:p>
    <w:p>
      <w:pPr>
        <w:spacing w:after="0" w:line="176" w:lineRule="exact"/>
        <w:rPr>
          <w:sz w:val="20"/>
          <w:szCs w:val="20"/>
          <w:color w:val="auto"/>
        </w:rPr>
      </w:pPr>
    </w:p>
    <w:p>
      <w:pPr>
        <w:ind w:left="300" w:right="60" w:firstLine="426"/>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95" w:lineRule="exact"/>
        <w:rPr>
          <w:sz w:val="20"/>
          <w:szCs w:val="20"/>
          <w:color w:val="auto"/>
        </w:rPr>
      </w:pPr>
    </w:p>
    <w:p>
      <w:pPr>
        <w:ind w:left="300" w:right="140" w:firstLine="426"/>
        <w:spacing w:after="0" w:line="289" w:lineRule="auto"/>
        <w:rPr>
          <w:sz w:val="20"/>
          <w:szCs w:val="20"/>
          <w:color w:val="auto"/>
        </w:rPr>
      </w:pPr>
      <w:r>
        <w:rPr>
          <w:rFonts w:ascii="Times New Roman" w:cs="Times New Roman" w:eastAsia="Times New Roman" w:hAnsi="Times New Roman"/>
          <w:sz w:val="17"/>
          <w:szCs w:val="17"/>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w:t>
      </w:r>
    </w:p>
    <w:p>
      <w:pPr>
        <w:spacing w:after="0" w:line="158"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“Company,” “we,” “our” and “us” refer, collectively to Tectonic Therapeutic, Inc., a Delaware corporation, and its consolidated subsidiaries (including Legacy Tectonic).</w:t>
      </w:r>
    </w:p>
    <w:p>
      <w:pPr>
        <w:spacing w:after="0" w:line="162" w:lineRule="exact"/>
        <w:rPr>
          <w:sz w:val="20"/>
          <w:szCs w:val="20"/>
          <w:color w:val="auto"/>
        </w:rPr>
      </w:pPr>
    </w:p>
    <w:p>
      <w:pPr>
        <w:jc w:val="both"/>
        <w:ind w:left="300" w:right="80" w:firstLine="426"/>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82"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24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300" w:firstLine="426"/>
        <w:spacing w:after="0" w:line="272" w:lineRule="auto"/>
        <w:rPr>
          <w:sz w:val="20"/>
          <w:szCs w:val="20"/>
          <w:color w:val="auto"/>
        </w:rPr>
      </w:pPr>
      <w:r>
        <w:rPr>
          <w:rFonts w:ascii="Times New Roman" w:cs="Times New Roman" w:eastAsia="Times New Roman" w:hAnsi="Times New Roman"/>
          <w:sz w:val="17"/>
          <w:szCs w:val="17"/>
          <w:color w:val="auto"/>
        </w:rPr>
        <w:t>This prospectus contains and/or incorporates by reference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prospectus may include, for example, statements about:</w:t>
      </w:r>
    </w:p>
    <w:p>
      <w:pPr>
        <w:spacing w:after="0" w:line="77" w:lineRule="exact"/>
        <w:rPr>
          <w:sz w:val="20"/>
          <w:szCs w:val="20"/>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and any other product candidates, and our anticipated milestones and timing therefor;</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or the commercial or market opportunity with respect to any of our future products;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 and</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w:t>
      </w:r>
    </w:p>
    <w:p>
      <w:pPr>
        <w:spacing w:after="0" w:line="162"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prospectus in the section entitled “Risk Factors” and in our periodic filings with the Securities and Exchange Commission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w:t>
      </w:r>
    </w:p>
    <w:p>
      <w:pPr>
        <w:spacing w:after="0" w:line="188"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if any, completely and with the understanding that our actual future results, levels of activity and performance as well as other events and</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82"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47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w:t>
      </w:r>
    </w:p>
    <w:p>
      <w:pPr>
        <w:spacing w:after="0" w:line="29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320" w:top="482" w:right="8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40" w:firstLine="426"/>
        <w:spacing w:after="0" w:line="236" w:lineRule="auto"/>
        <w:rPr>
          <w:sz w:val="20"/>
          <w:szCs w:val="20"/>
          <w:color w:val="auto"/>
        </w:rPr>
      </w:pPr>
      <w:r>
        <w:rPr>
          <w:rFonts w:ascii="Times New Roman" w:cs="Times New Roman" w:eastAsia="Times New Roman" w:hAnsi="Times New Roman"/>
          <w:sz w:val="18"/>
          <w:szCs w:val="18"/>
          <w:color w:val="auto"/>
        </w:rPr>
        <w:t>We are a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200"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92" w:lineRule="exact"/>
        <w:rPr>
          <w:sz w:val="20"/>
          <w:szCs w:val="20"/>
          <w:color w:val="auto"/>
        </w:rPr>
      </w:pPr>
    </w:p>
    <w:p>
      <w:pPr>
        <w:ind w:left="300" w:right="60" w:firstLine="426"/>
        <w:spacing w:after="0" w:line="234" w:lineRule="auto"/>
        <w:rPr>
          <w:sz w:val="20"/>
          <w:szCs w:val="20"/>
          <w:color w:val="auto"/>
        </w:rPr>
      </w:pPr>
      <w:r>
        <w:rPr>
          <w:rFonts w:ascii="Times New Roman" w:cs="Times New Roman" w:eastAsia="Times New Roman" w:hAnsi="Times New Roman"/>
          <w:sz w:val="18"/>
          <w:szCs w:val="18"/>
          <w:color w:val="auto"/>
        </w:rPr>
        <w:t>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 The initial platform components, first generation yeast library design and initial yeast selection protocols, were developed in Dr. Andrew Kruse’s lab at Harvard Medical School. However, over the last few years our team has made many improvements and modifications to all aspects of the platform including second and third generation library designs, optimized GPCR engineering strategies and yeast selection protocols better suited to GPCR antibody discovery. These modifications have resulted in selection campaigns that have a higher hit rate with molecules that have higher affinity and potency compared to hits identified from initial antibody selection campaigns. The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includes components aimed at optimizing the expression, purification, and stabilization of GPCRs and pairs these advances with our protein engineering and structural biology capabilities. While the current libraries, receptor engineering and selection strategies are producing GPCR-targeted antibodies, our team continues to evolve and modify aspects of the platform, which we believe will lead to even better results.</w:t>
      </w:r>
    </w:p>
    <w:p>
      <w:pPr>
        <w:spacing w:after="0" w:line="20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lead asset, TX000045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0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development of a viable therapeutic has been challenging, primarily because of relaxin’s very short half-life. We believe TX45’s pharmacological profile, the direct result of applying our protein engineering capabilities, has the potential to overcome the limitations that have impeded previous attempts to develop relaxin as a therapeutic protein. To interrogate the therapeutic potential of relaxin, we have identified Group 2 Pulmonary Hypertension (“PH”) in the setting of Heart Failure with Preserved Ejection Fraction (“HFpEF”) referred to as Group 2 PH / HFpEF hereafter, as the initial disease setting. We hypothesize that in this setting,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planned to confirm this hypothesis. Despite this belief, our business carries substantial risks, including our limited experience in therapeutic discovery and development, and the risk that that the platform may never result in the regulatory approval of a product candidate.</w:t>
      </w:r>
    </w:p>
    <w:p>
      <w:pPr>
        <w:spacing w:after="0" w:line="18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second program is aimed at the discovery and development of a GPCR targeting biotherapeutic as a potential treatment for Hereditary Hemorrhagic Telangiectasia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 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planned GPCR target for our HHT program is a receptor for an angiogenic factor known to be upregulated in HHT animal models. By blocking the signaling of this receptor, we anticipate the potential for decreased bleeding resulting from the abnormal angiogenesis seen in HHT, a hypothesis we plan to investigate in the clinical setting following the selection of a development candidate to evaluate its safety and efficacy.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development programs and other pipeline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82"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61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490 Arsenal Way, Suite 210, Watertown, Massachusetts 02472, and our telephone number is (339) 666-3320. Our website address is </w:t>
      </w:r>
      <w:r>
        <w:rPr>
          <w:rFonts w:ascii="Times New Roman" w:cs="Times New Roman" w:eastAsia="Times New Roman" w:hAnsi="Times New Roman"/>
          <w:sz w:val="18"/>
          <w:szCs w:val="18"/>
          <w:i w:val="1"/>
          <w:iCs w:val="1"/>
          <w:color w:val="auto"/>
        </w:rPr>
        <w:t>www.tectonictx.com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following this prospectus summary. These risks include the following, among others:</w:t>
      </w:r>
    </w:p>
    <w:p>
      <w:pPr>
        <w:spacing w:after="0" w:line="81" w:lineRule="exact"/>
        <w:rPr>
          <w:sz w:val="20"/>
          <w:szCs w:val="20"/>
          <w:color w:val="auto"/>
        </w:rPr>
      </w:pPr>
    </w:p>
    <w:p>
      <w:pPr>
        <w:ind w:left="1240" w:right="3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net losses in every year since our inception, and expect to continue to incur net losses in the future.</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81" w:lineRule="exact"/>
        <w:rPr>
          <w:rFonts w:ascii="Times New Roman" w:cs="Times New Roman" w:eastAsia="Times New Roman" w:hAnsi="Times New Roman"/>
          <w:sz w:val="18"/>
          <w:szCs w:val="18"/>
          <w:color w:val="auto"/>
        </w:rPr>
      </w:pPr>
    </w:p>
    <w:p>
      <w:pPr>
        <w:ind w:left="1240" w:right="140" w:hanging="415"/>
        <w:spacing w:after="0" w:line="213"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therapeutic discovery and development and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104"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67"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commercialize any product candidate for which we receive regulatory approval,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67" w:lineRule="exact"/>
        <w:rPr>
          <w:rFonts w:ascii="Times New Roman" w:cs="Times New Roman" w:eastAsia="Times New Roman" w:hAnsi="Times New Roman"/>
          <w:sz w:val="18"/>
          <w:szCs w:val="18"/>
          <w:color w:val="auto"/>
        </w:rPr>
      </w:pPr>
    </w:p>
    <w:p>
      <w:pPr>
        <w:ind w:left="1240" w:right="48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w:t>
      </w:r>
    </w:p>
    <w:p>
      <w:pPr>
        <w:spacing w:after="0" w:line="81"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use third-party manufacturing suites or if the third-party manufacturers encounter difficulties in production.</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and the market price of the common stock may drop.</w:t>
      </w:r>
    </w:p>
    <w:p>
      <w:pPr>
        <w:spacing w:after="0" w:line="130"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490 Arsenal Way, Suite 210, Watertown, Massachusetts 02472, and our telephone number is (339) 666-3320. Our website address is www.tectonictx.com. We do not incorporate</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82"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018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2018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the information on or accessible through our website into this prospectus, and you should not consider any information on, or that can be accessed through, our website as part of this prospectus. Our common stock is listed on Nasdaq under the symbol “TECX.”</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w:t>
      </w:r>
    </w:p>
    <w:p>
      <w:pPr>
        <w:spacing w:after="0" w:line="183"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320" w:top="482"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3004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30041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40"/>
          </w:cols>
          <w:pgMar w:left="320" w:top="482" w:right="739" w:bottom="1440" w:gutter="0" w:footer="0" w:header="0"/>
        </w:sectPr>
      </w:pP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Tectonic Therapeutic, Inc.</w:t>
      </w:r>
    </w:p>
    <w:p>
      <w:pPr>
        <w:spacing w:after="0" w:line="156"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Offered by the Selling</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an aggregate of 2,969,583 shares of common stock.</w:t>
      </w:r>
    </w:p>
    <w:p>
      <w:pPr>
        <w:spacing w:after="0" w:line="360" w:lineRule="exact"/>
        <w:rPr>
          <w:sz w:val="20"/>
          <w:szCs w:val="20"/>
          <w:color w:val="auto"/>
        </w:rPr>
      </w:pPr>
    </w:p>
    <w:p>
      <w:pPr>
        <w:sectPr>
          <w:pgSz w:w="11900" w:h="16838" w:orient="portrait"/>
          <w:cols w:equalWidth="0" w:num="2">
            <w:col w:w="3780" w:space="56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14,734,325 shares of common stock as of July 6, 2024</w:t>
      </w:r>
    </w:p>
    <w:p>
      <w:pPr>
        <w:spacing w:after="0" w:line="156"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We will not receive any proceeds from the sale of the shares of common stock covered by this prospectus.</w:t>
      </w:r>
    </w:p>
    <w:p>
      <w:pPr>
        <w:spacing w:after="0" w:line="85"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TECX</w:t>
      </w:r>
    </w:p>
    <w:p>
      <w:pPr>
        <w:spacing w:after="0" w:line="156"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selling stockholders will offer the shares of common stock offered by this prospectus at the prevailing market prices or at privately negotiated prices.</w:t>
      </w:r>
    </w:p>
    <w:p>
      <w:pPr>
        <w:spacing w:after="0" w:line="67"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for a discussion of factors to consider carefully before deciding to invest in shares of our common stock.</w:t>
      </w:r>
    </w:p>
    <w:p>
      <w:pPr>
        <w:spacing w:after="0" w:line="160"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185.</w:t>
      </w:r>
    </w:p>
    <w:p>
      <w:pPr>
        <w:spacing w:after="0" w:line="3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320" w:top="482" w:right="7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When determining whether to invest, you should also refer to the other information contained in this prospectus, including our financial statements and the related notes thereto, and the other financial information concerning us included elsewhere in this prospectus.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Cash Needs</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net losses in every year since our inception. We expect to continue to incur net losses in the future.</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development and other expenses related to our ongoing operations. As a result, we are not profitable and have incurred losses in each period since our inception. For the three months ended March 31, 2024 and 2023, Legacy Tectonic reported a net loss of $15.2 million and $14.4 million, respectively. As of March 31, 2024, Legacy Tectonic had an accumulated deficit of $105.8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right="1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clinical- and preclinical-stage product candidates and discovery-stage programs, including the continued development of our lead product candidate TX45;</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 using our proprietary discovery approach;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infrastructure to commercialize any products for which we may obtain marketing approval and intend to commercialize on our own or jointly with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7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manufacturing challenges, safety issues or other regulatory challenges.</w:t>
      </w:r>
    </w:p>
    <w:p>
      <w:pPr>
        <w:spacing w:after="0" w:line="16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To date, Legacy Tectonic has funded its operations primarily with proceeds from the sale of Series A convertible preferred stock, convertible promissory notes and the issuance of SAFEs. We are also planning to fund our operations with the funds we received in the Merger and pursuant to the Subscription Agreement. We expect our expenses to increase in connection with our ongoing activities, particularly as we complete the Phase 1 clinical trial of TX45, continue our Phase 1b clinical trial and initiate the planned Phase 2 clinical trial of TX45,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188"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operating expenses and capital expenditure requirements into mid-2027. We have based this estimate on assumptions that may prove to be wrong, and we could use our capital resources sooner than we currently expect. Future capital requirements for TX45 or our preclinical programs will depend on many factors, including:</w:t>
      </w:r>
    </w:p>
    <w:p>
      <w:pPr>
        <w:spacing w:after="0" w:line="81" w:lineRule="exact"/>
        <w:rPr>
          <w:sz w:val="20"/>
          <w:szCs w:val="20"/>
          <w:color w:val="auto"/>
        </w:rPr>
      </w:pPr>
    </w:p>
    <w:p>
      <w:pPr>
        <w:ind w:left="1080" w:right="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are eligible to receive under our license agreements with President and Fellows of Harvard College (“Harvard”) and other license agreements,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identify and decide to develop;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or expanded pre-clinical studies and clinical trials beyond those that we plan to conduct with respect to our current and future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the organization to the size needed to allow for the research, development and potential commercialization of our current or any future product candidates;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maintaining and enforcing patents or defending against infringement or other claims raised by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our existing license and collaboration agreements and the entry into new license and collaboration agreements;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our product candidates, if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225"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Israel and Hamas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its product candidates.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it may have to relinquish certain valuable rights to its intellectual property, future revenue streams, research programs or product candidates, or grant licenses on terms that may not be favorable to us. If we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980"/>
        <w:spacing w:after="0" w:line="312" w:lineRule="auto"/>
        <w:rPr>
          <w:sz w:val="20"/>
          <w:szCs w:val="20"/>
          <w:color w:val="auto"/>
        </w:rPr>
      </w:pPr>
      <w:r>
        <w:rPr>
          <w:rFonts w:ascii="Times New Roman" w:cs="Times New Roman" w:eastAsia="Times New Roman" w:hAnsi="Times New Roman"/>
          <w:sz w:val="17"/>
          <w:szCs w:val="17"/>
          <w:color w:val="auto"/>
        </w:rPr>
        <w:t>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left="120" w:right="22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therapeutic discovery and development and our GEODe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platform may never result in the regulatory approval of a product candidate.</w:t>
      </w:r>
    </w:p>
    <w:p>
      <w:pPr>
        <w:spacing w:after="0" w:line="91" w:lineRule="exact"/>
        <w:rPr>
          <w:sz w:val="20"/>
          <w:szCs w:val="20"/>
          <w:color w:val="auto"/>
        </w:rPr>
      </w:pPr>
    </w:p>
    <w:p>
      <w:pPr>
        <w:ind w:left="120" w:right="100" w:firstLine="440"/>
        <w:spacing w:after="0" w:line="236" w:lineRule="auto"/>
        <w:rPr>
          <w:sz w:val="20"/>
          <w:szCs w:val="20"/>
          <w:color w:val="auto"/>
        </w:rPr>
      </w:pPr>
      <w:r>
        <w:rPr>
          <w:rFonts w:ascii="Times New Roman" w:cs="Times New Roman" w:eastAsia="Times New Roman" w:hAnsi="Times New Roman"/>
          <w:sz w:val="18"/>
          <w:szCs w:val="18"/>
          <w:color w:val="auto"/>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30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p>
    <w:p>
      <w:pPr>
        <w:spacing w:after="0" w:line="6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1 clinical trials.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in the foreseeable future, if ever, will depend heavily on the successful development and eventual commercialization of TX45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94" w:lineRule="exact"/>
        <w:rPr>
          <w:sz w:val="20"/>
          <w:szCs w:val="20"/>
          <w:color w:val="auto"/>
        </w:rPr>
      </w:pPr>
    </w:p>
    <w:p>
      <w:pPr>
        <w:ind w:left="1080" w:right="6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for which the FDA, or any comparable foreign regulatory authority agree with the design, endpoints or implementation;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or authorizations for conducting our planned clinical trials or future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in, and completion of, additional clinical trials on a timely basis;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 is safe, pure, and potent for its targeted indications;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6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for our product candidates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proprietary information protection or regulatory exclusivity for our product candidates, both in the United States and internationally;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a sales and marketing organization and launching commercial sales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benefits and uses,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companies developing and commercializing other therapies in the indications which our product candidates target;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date, we have not completed any clinical trials required for the approval of any of our product candidates. Although we have completed dosing in our Phase 1a clinical trial of TX45 in healthy volunteers, and we have initiated a Phase 1b clinical trial in Group 2 PH patients with HFpEF,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w:t>
      </w:r>
    </w:p>
    <w:p>
      <w:pPr>
        <w:spacing w:after="0" w:line="94" w:lineRule="exact"/>
        <w:rPr>
          <w:sz w:val="20"/>
          <w:szCs w:val="20"/>
          <w:color w:val="auto"/>
        </w:rPr>
      </w:pPr>
    </w:p>
    <w:p>
      <w:pPr>
        <w:ind w:left="5540" w:right="4640" w:hanging="4884"/>
        <w:spacing w:after="0" w:line="454" w:lineRule="auto"/>
        <w:tabs>
          <w:tab w:leader="none" w:pos="10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authorizations to commence a trial; 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contract research organizations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approval at each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 sufficient number of suitable patients to participate in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our product candidates for use in clinical trials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or any other regulatory authority’s good clinical practices (“GCP”) requirements, or regulatory guidelines in other countries;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our product candidates falling below acceptable standards;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5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its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approval may limit the scope and use of the specific product candidate, which may also limit our commercial potential.</w:t>
      </w:r>
    </w:p>
    <w:p>
      <w:pPr>
        <w:spacing w:after="0" w:line="329" w:lineRule="exact"/>
        <w:rPr>
          <w:sz w:val="20"/>
          <w:szCs w:val="20"/>
          <w:color w:val="auto"/>
        </w:rPr>
      </w:pPr>
    </w:p>
    <w:p>
      <w:pPr>
        <w:jc w:val="both"/>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2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29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7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and the Phase 1a healthy volunteer trial to date, the results from future preclinical studies and clinical trials, including of our other product candidates, may identify safety concerns or other undesirable properties of our product candidates.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results of our ongoing Phase 1 clinical trials of TX45, the planned Phase 2 clinical trials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Additionally, adverse developments in clinical trials of pharmaceutical and biopharmaceutical products conducted by others may cause the FDA or other regulatory oversight bodies to suspend or terminate our clinical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to take such approved product off the market;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its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w:t>
      </w:r>
    </w:p>
    <w:p>
      <w:pPr>
        <w:spacing w:after="0" w:line="97" w:lineRule="exact"/>
        <w:rPr>
          <w:sz w:val="20"/>
          <w:szCs w:val="20"/>
          <w:color w:val="auto"/>
        </w:rPr>
      </w:pPr>
    </w:p>
    <w:p>
      <w:pPr>
        <w:ind w:left="1080" w:right="5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one of our expected trial sites in Moldova for the Phase 1b trial and its proximity to the conflict between Russia and the Ukraine;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 and process for identifying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patient’s disease at the time of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adequately monitor patients during and after treatment.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26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its disclosure, and any information we determine not to disclose may ultimately be deemed significant with respect to future decisions, conclusions, views, activities or otherwise regarding a particular product, if any, product candidate or its business. If the preliminary and interim data that we report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6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7"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7"/>
          <w:szCs w:val="17"/>
          <w:color w:val="auto"/>
        </w:rPr>
        <w:t>Before we can commence clinical trials for any product candidate, we must complete extensive preclinical studies that support any future Investigational New Drug (“IND”) applications in the United States, or similar applications in other jurisdictions. We have completed a pre-IND consultation with the FDA for our TX45 program but we do not yet have an approved IND in the US and as of July 6, 2024, studies are only being conducted in Australia, Moldova and the Netherlands.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Phase 1a and Phase 1b clinical trials for TX45, and plan to initially conduct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spacing w:after="0" w:line="286" w:lineRule="exact"/>
        <w:rPr>
          <w:sz w:val="20"/>
          <w:szCs w:val="20"/>
          <w:color w:val="auto"/>
        </w:rPr>
      </w:pPr>
    </w:p>
    <w:p>
      <w:pPr>
        <w:ind w:left="12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may not be sufficiently broad or representative to assure safety or efficacy in the population for which we seek approval;</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clinical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554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 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beyond those that we currently anticipate;</w:t>
      </w:r>
    </w:p>
    <w:p>
      <w:pPr>
        <w:spacing w:after="0" w:line="67" w:lineRule="exact"/>
        <w:rPr>
          <w:rFonts w:ascii="Times New Roman" w:cs="Times New Roman" w:eastAsia="Times New Roman" w:hAnsi="Times New Roman"/>
          <w:sz w:val="18"/>
          <w:szCs w:val="18"/>
          <w:color w:val="auto"/>
        </w:rPr>
      </w:pPr>
    </w:p>
    <w:p>
      <w:pPr>
        <w:jc w:val="both"/>
        <w:ind w:left="1080" w:right="360" w:hanging="424"/>
        <w:spacing w:after="0" w:line="312" w:lineRule="auto"/>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45" w:lineRule="exact"/>
        <w:rPr>
          <w:rFonts w:ascii="Times New Roman" w:cs="Times New Roman" w:eastAsia="Times New Roman" w:hAnsi="Times New Roman"/>
          <w:sz w:val="17"/>
          <w:szCs w:val="17"/>
          <w:color w:val="auto"/>
        </w:rPr>
      </w:pPr>
    </w:p>
    <w:p>
      <w:pPr>
        <w:ind w:left="1080" w:right="6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any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its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its product candidates. Even if we believe the data collected from clinical trials of its product candidates are promising, such data may not be sufficient to support approval by the FDA or comparable foreign regulatory authorities.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 and any comparable foreign regulatory authorities may not accept data from trials conducted in locations outside of their jurisdiction.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presently conducting clinical development in Australia, Moldova and the Netherlands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its product candidates not receiving approval for commercialization in the applicable jurisdiction.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(“cGMPs”) and GCP requirements for any clinical trials that we conduct post-approval.</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its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3" w:lineRule="exact"/>
        <w:rPr>
          <w:sz w:val="20"/>
          <w:szCs w:val="20"/>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holder of a BLA must submit new or supplemental applications and obtain approval for certain changes to the approved product, product labeling, or manufacturing process. We could also be asked to conduct post-marketing clinical trials to verify the safety and efficacy of its products in general or in specific patient subsets. If original marketing approval was obtained via the accelerated approval pathway, we could be required to conduct a successful post-marketing clinical trial to confirm clinical benefit for its products. An unsuccessful post-marketing study or failure to complete such a study could result in the withdrawal of marketing approval.</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may face competition from biosimilars approved through an abbreviated regulatory pathway.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developing TX45 initially for the treatment of Group 2 Pulmonary Hypertension (“PH”),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products is not yet clear, and will depend on a number of marketplace and regulatory factors that are still developing.</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its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100"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its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its product candidates or misread trends in the biotechnology industry, in particular for our lead product candidate, TX45, our business, financial condition and results of operations could be materially adversely affected.</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TX45 or any other product candidate, our ability to generate revenues from any such products will depend on its success in:</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strategic collaborations with, or offering licenses to, third parties to promote and sell such products in foreign markets where we receive marketing approval;</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 in sufficient quantities, (ii) at acceptable quality and cost and (iii) in a presentation that is practical and compatible with the intended clinical use to meet commercial demand at launch and thereafter;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its product candidates are efficacy, safety, tolerability, reliability, convenience of use, price and reimbursement.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for the treatment of Group 2 PH and Diagonal Therapeutics and Vaderis Therapeutics for the treatment of HHT. Also, treatments that could potentially be of use across all HFpEF patients, such as are currently being developed by Lilly and others, could also benefit the Group 2 PH subgroup of the HFpEF population and thus represent competition for us in this segment as well.</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its business, financial condition and results of operations.</w:t>
      </w:r>
    </w:p>
    <w:p>
      <w:pPr>
        <w:spacing w:after="0" w:line="293"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9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adequate numbers of physicians on the benefits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marketing and promotion above those anticipated by 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280"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its product candidates over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in relation to other potentially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 candidates in relation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and government authorities;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including as compared to alternative treatments and competitive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perceived risk of potential product liability claims.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negatively impact our ability to profitably sell TX45 and any potential future product candidates, if approved.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repealed the tax-based shared responsibility payment imposed by the ACA on certain individuals who fail to maintain qualifying health coverage that is commonly referred to as the “individual mandate.” 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negotiation exemption to products with only one orphan drug designation, the IRA may decrease our interest in pursuing orphan drug designation for its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29, 2023, HHS announced the list of the first ten drugs that will be subject to price negotiations, although the Medicare drug pricing negotiation program is currently subject to legal challenges. The IRA permits HHS to implement many of these provisions through guidance, as opposed to regulation, for the initial years. HHS has and will continue to issue and update guidance as these programs are implemented. It is currently unclear how the IRA will be implemented but is likely to have a significant impact on the pharmaceutical industry.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our business.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price referencing, therapeutic-reference pricing, increases in mandates, incentives for generic substitution and biosimilar usage, government-mandated price cuts, limitations on coverage of target population and introduction of volume caps.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its products in some EU member states, we may be required to compile additional data comparing the cost- 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190"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its operation.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89" w:lineRule="exact"/>
        <w:rPr>
          <w:sz w:val="20"/>
          <w:szCs w:val="20"/>
          <w:color w:val="auto"/>
        </w:rPr>
      </w:pPr>
    </w:p>
    <w:p>
      <w:pPr>
        <w:ind w:left="1080" w:right="180" w:hanging="424"/>
        <w:spacing w:after="0" w:line="254"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9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440"/>
        <w:spacing w:after="0" w:line="282" w:lineRule="auto"/>
        <w:rPr>
          <w:sz w:val="20"/>
          <w:szCs w:val="20"/>
          <w:color w:val="auto"/>
        </w:rPr>
      </w:pPr>
      <w:r>
        <w:rPr>
          <w:rFonts w:ascii="Times New Roman" w:cs="Times New Roman" w:eastAsia="Times New Roman" w:hAnsi="Times New Roman"/>
          <w:sz w:val="18"/>
          <w:szCs w:val="18"/>
          <w:color w:val="auto"/>
        </w:rPr>
        <w:t>certain circumstances, many of which differ from each other in significant ways and may not have the same effect, thus complicating compliance efforts;</w:t>
      </w:r>
    </w:p>
    <w:p>
      <w:pPr>
        <w:spacing w:after="0" w:line="67" w:lineRule="exact"/>
        <w:rPr>
          <w:sz w:val="20"/>
          <w:szCs w:val="20"/>
          <w:color w:val="auto"/>
        </w:rPr>
      </w:pPr>
    </w:p>
    <w:p>
      <w:pPr>
        <w:ind w:left="1080" w:right="2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19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its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political unrest in China, as well as the effects of disease outbreaks, epidemics and pandemics.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its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its clinical trials, which may include increased clinical trial costs, longer timelines and delay in our ability to obtain regulatory approvals of TX45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w:t>
      </w:r>
    </w:p>
    <w:p>
      <w:pPr>
        <w:spacing w:after="0" w:line="29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on our anticipated development timelines. Likewise, the operations of our third-party manufacturers may be requisitioned, diverted or allocated by U.S. or foreign government orders.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its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w:t>
      </w:r>
    </w:p>
    <w:p>
      <w:pPr>
        <w:spacing w:after="0" w:line="287"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its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with respect to our product candidates is threatened, we could dissuade companies from collaborating with us to develop, and threaten our ability to commercialize, our product candidates. Further, if we encounter delays in its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its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its issued patents, all of which could have a material adverse effect on our business and financial condition.</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its competitive advantage. For example:</w:t>
      </w:r>
    </w:p>
    <w:p>
      <w:pPr>
        <w:spacing w:after="0" w:line="67" w:lineRule="exact"/>
        <w:rPr>
          <w:sz w:val="20"/>
          <w:szCs w:val="20"/>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its patents;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its obligations to the U.S. government in regards to any in-licensed patents and patent applications funded by U.S. government grants, leading to the loss of patent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us or our licensors’ patents, as the case may be, or parts of ours or their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its own;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ours or our licensors’, as the case may be, proprietary rights to the same extent as the laws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its patents, or become hostile to us or the patents or patent applications on which they are named as inventors;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we develop may be covered by third parties’ patents or other exclusive rights;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2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Any termination of these licenses could result in the loss of significant rights and could harm our ability to commercialize our product candidates. Please see the section titled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Business—Collaboration, License and Services Agreements</w:t>
      </w:r>
      <w:r>
        <w:rPr>
          <w:rFonts w:ascii="Times New Roman" w:cs="Times New Roman" w:eastAsia="Times New Roman" w:hAnsi="Times New Roman"/>
          <w:sz w:val="18"/>
          <w:szCs w:val="18"/>
          <w:color w:val="auto"/>
        </w:rPr>
        <w:t>” located elsewhere in this prospectus for additional information regarding our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right="6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 with a third party, we could lose license rights that are important to our business.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its proprietary information, our business and competitive position would be harmed.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82"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proprietary information, including through contractual means with our employees and consultants, third parties may independently develop substantially equivalent proprietary information and techniques or otherwise gain access to, or disclose, our technology.</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its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its premises or using its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31" w:lineRule="exact"/>
        <w:rPr>
          <w:sz w:val="20"/>
          <w:szCs w:val="20"/>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that the infringement was willful, we could be ordered to pay treble damages and the patent owner’s attorneys’ fees;</w:t>
      </w:r>
    </w:p>
    <w:p>
      <w:pPr>
        <w:spacing w:after="0" w:line="131" w:lineRule="exact"/>
        <w:rPr>
          <w:sz w:val="20"/>
          <w:szCs w:val="20"/>
          <w:color w:val="auto"/>
        </w:rPr>
      </w:pPr>
    </w:p>
    <w:p>
      <w:pPr>
        <w:ind w:left="1080" w:right="7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its products;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its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its ability to further develop and commercialize its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one or more licenses from third parties, pay royalties or redesign its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291"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proprietary information.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its compounds and pre-existing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its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 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84"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2041 through 2042, without taking into account any possible patent term adjustments or extensions. However, we cannot be assured that the USPTO or relevant foreign patent offices will grant any of these patent applications.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cs="Times New Roman" w:eastAsia="Times New Roman" w:hAnsi="Times New Roman"/>
          <w:sz w:val="18"/>
          <w:szCs w:val="18"/>
          <w:i w:val="1"/>
          <w:iCs w:val="1"/>
          <w:color w:val="auto"/>
        </w:rPr>
        <w:t>Assoc.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Molecular Pathology v. Myriad Genetics, Inc., </w:t>
      </w:r>
      <w:r>
        <w:rPr>
          <w:rFonts w:ascii="Times New Roman" w:cs="Times New Roman" w:eastAsia="Times New Roman" w:hAnsi="Times New Roman"/>
          <w:sz w:val="18"/>
          <w:szCs w:val="18"/>
          <w:color w:val="auto"/>
        </w:rPr>
        <w:t>the Supreme Court held that certain claims to DNA molecules are not patentable. We cannot predict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its proprietary rights generally. The initiation of proceedings by third parties to challenge the scope or validity of our patent rights in foreign jurisdictions could result in substantial cost and divert its efforts and attention from other aspects of its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products and technology.</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do not currently lease or own any facility that may be used as our clinical-scale manufacturing and processing facility and currently rely on a contract manufacturing organization (“CMO”), WuXi Biologics (Hong Kong) Limited (“WuXi Biologics”), to manufacture TX45 our product candidate used in our Phase 1a and Phase Ib clinical trials. We currently have a sole source relationship with WuXi Biologics for our supply of TX45 (see the section titled “</w:t>
      </w:r>
      <w:r>
        <w:rPr>
          <w:rFonts w:ascii="Times New Roman" w:cs="Times New Roman" w:eastAsia="Times New Roman" w:hAnsi="Times New Roman"/>
          <w:sz w:val="18"/>
          <w:szCs w:val="18"/>
          <w:i w:val="1"/>
          <w:iCs w:val="1"/>
          <w:color w:val="auto"/>
        </w:rPr>
        <w:t>Our Business–Collaboration, License and Services Agreements</w:t>
      </w:r>
      <w:r>
        <w:rPr>
          <w:rFonts w:ascii="Times New Roman" w:cs="Times New Roman" w:eastAsia="Times New Roman" w:hAnsi="Times New Roman"/>
          <w:sz w:val="18"/>
          <w:szCs w:val="18"/>
          <w:color w:val="auto"/>
        </w:rPr>
        <w:t>” located elsewhere in this prospectus for additional information on our relationship with WuXi Biologics). If there should be any disruption in such supply arrangement, including any adverse events affecting our sole supplier,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 for compliance with cGMP requirements and any other regulatory requirements of the FDA or comparable foreign regulatory authorities for the manufacture of a product candidate. We perform periodic audits of each CMO facility that supports our supply of TX45 and reviews and approves all TX45 cGMP-related documentation. We also have a quality agreement with WuXi Biologics that documents our mutual agreement on compliance with cGMPs and expectations on quality-required communications to us. Beyond this, we have no control over the ability of its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CMO,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pacing w:after="0" w:line="189" w:lineRule="exact"/>
        <w:rPr>
          <w:sz w:val="20"/>
          <w:szCs w:val="20"/>
          <w:color w:val="auto"/>
        </w:rPr>
      </w:pPr>
    </w:p>
    <w:p>
      <w:pPr>
        <w:jc w:val="both"/>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Moreover, our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the event of changes in the policies of the United States or Chinese governments or political unrest or unstable economic conditions in China. For example, the recently proposed BIOSECURE Act introduced in the U.S. House of Representatives, as well as a substantially similar bill in the U.S. Senate, target U.S. government contracts, loans, and grants to entities that use equipment or services from certain Chinese biotechnology companies and would authorize the U.S. government to name other Chinese biotechnology companies of concern. If these bills become law, or similar laws are passed, they would have the potential to severely restrict the ability of companies to contract with certain Chinese biotechnology companies of concern without losing the ability to contract with, or otherwise receive funding from, the U.S. government.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293" w:lineRule="exact"/>
        <w:rPr>
          <w:sz w:val="20"/>
          <w:szCs w:val="20"/>
          <w:color w:val="auto"/>
        </w:rPr>
      </w:pPr>
    </w:p>
    <w:p>
      <w:pPr>
        <w:jc w:val="both"/>
        <w:ind w:left="12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4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its clinical trials may be deemed unreliable and the FDA or comparable foreign regulatory authorities may require us to perform additional preclinical studies or clinical trials before approving its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its preclinical or clinical protocols, regulatory requirements or for other reasons, its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its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5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capability for commercialization. Accordingly, we may enter into collaborations with other companies to provide us with important technologies and funding for its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but not limited to, the following:</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ours may be viewed by our collaborators as competitive with their own product candidates or products, which may cause collaborators to cease to devote resources to the commercialization of its product candidates;</w:t>
      </w:r>
    </w:p>
    <w:p>
      <w:pPr>
        <w:spacing w:after="0" w:line="45" w:lineRule="exact"/>
        <w:rPr>
          <w:rFonts w:ascii="Times New Roman" w:cs="Times New Roman" w:eastAsia="Times New Roman" w:hAnsi="Times New Roman"/>
          <w:sz w:val="17"/>
          <w:szCs w:val="17"/>
          <w:color w:val="auto"/>
        </w:rPr>
      </w:pPr>
    </w:p>
    <w:p>
      <w:pPr>
        <w:ind w:left="1080" w:right="6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prospectus also apply to the activities of its therapeutic collaborators.</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research requires the use of Non-Human Primates (“NHP”), the supply of which could delay or prevent development of product candidates.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its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8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94"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the information technology systems of our CROs, our CMOs, service providers, our current and potential future partners or other third parties upon which we rely were compromised, we could experience adverse consequences, including but not limited to material disruptions to our business operations, regulatory investigations or actions, litigation, fines and penalties, reputational harm, loss of revenue or profits, or other adverse consequences.</w:t>
      </w:r>
    </w:p>
    <w:p>
      <w:pPr>
        <w:spacing w:after="0" w:line="72"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upon which we rely process certain of that information on our behalf.</w:t>
      </w:r>
    </w:p>
    <w:p>
      <w:pPr>
        <w:spacing w:after="0" w:line="15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Security incidents may result from the actions of a wide variety of actors with a wide range of motives and expertise, including traditional hackers, our personnel or the personnel of the third parties upon which we rely,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In addition, our reliance on third-party service providers could introduce new cybersecurity risks and vulnerabilities, and other threats to its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its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its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imposes additional risks to our business.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We may be required to, or we may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may require us to implement and maintain specific security measures or industry-standard or reasonable security measures to protect our information technology systems and sensitive information.</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its information technology systems, or those of the third parties upon which we rely. If our information systems or data, or that of the third parties on which we rely, are compromised, it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w:t>
      </w:r>
    </w:p>
    <w:p>
      <w:pPr>
        <w:spacing w:after="0" w:line="19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82"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176"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our processing of personal information from clinical trial participants and other individuals located in the EEA, the United Kingdom (the “UK”), or Switzerland and, if TX45 or any potential future product candidates are approved, our possible commercialization of those products in the EEA, the UK, or Switzerland (as applicable).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and other jurisdictions that regulate cybersecurity and non-personal data, such as data collected through the internet of things. Depending on how these laws are interpreted, we may have to make changes to our business practices and products to comply with such obligations.</w:t>
      </w:r>
    </w:p>
    <w:p>
      <w:pPr>
        <w:spacing w:after="0" w:line="20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we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bound by contractual obligations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its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19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If we (or third parties on which we rely)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its products; expenditure of time and resources to defend any claim or inquiry; adverse publicity; or revision or restructuring of its operations.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82"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292"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research and development operations through our Australian wholly-owned subsidiary. If we lose our ability to operate in Australia, or if our subsidiary is unable to receive the research and development incentive payment allowed by Australian regulations, our business and results of operations could suffer.</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September 2023, we formed a wholly-owned Australian subsidiary, Tectonic Therapeutic Pty Ltd., to conduct various preclinical studies and clinical trials for its product candidates in Australia. Due to the geographical distance and lack of employees currently in Australia, as well as our lack of experience operating in Australia, we may not be able to efficiently or successfully monitor its clinical activities in Australia, including conducting preclinical studies and clinical trials. Furthermore, we have no assurance that the results of any clinical trials that we conduct for our product candidate in Australia will be accepted by the FDA or comparable foreign regulatory authorities for development and commercialization approvals.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incentive payment equal to 43.5% of qualified expenditures to companies with an annual turnover of less than AU$20 million. Tectonic Therapeutic Pty Ltd. may be eligible to receive incentive payments during 2025 for research expenditures made during 2024. If our subsidiary loses our ability to operate in Australia, or if we are ineligible or unable to receive the research and development incentive payment, or the Australian government significantly reduces or eliminates the incentive program, our business and results of operation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of March 31, 2024, we had U.S. federal net operating loss carryforwards of approximately $15.2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could be limited by an “ownership change” as described above, which could result in increased tax liability to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94"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262"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its reported results of operations.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its resources, and our clinical trials or regulatory approvals could be suspended, which could have a material adverse effect on our business, financial condition, results of operations and prospects.</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third-party CMOs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266"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8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well-conceived and operated, can provide only reasonable, not absolute, assurance that the objectives of the control system are met.</w:t>
      </w:r>
    </w:p>
    <w:p>
      <w:pPr>
        <w:spacing w:after="0" w:line="225"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could file lawsuits relating to the Merger.</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which was voluntarily dismissed without prejudice on June 13, 2024. Two actions have been filed in the Supreme Court of New York, captioned </w:t>
      </w:r>
      <w:r>
        <w:rPr>
          <w:rFonts w:ascii="Times New Roman" w:cs="Times New Roman" w:eastAsia="Times New Roman" w:hAnsi="Times New Roman"/>
          <w:sz w:val="18"/>
          <w:szCs w:val="18"/>
          <w:i w:val="1"/>
          <w:iCs w:val="1"/>
          <w:color w:val="auto"/>
        </w:rPr>
        <w:t>Price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Avrobio, Inc., et al.</w:t>
      </w:r>
      <w:r>
        <w:rPr>
          <w:rFonts w:ascii="Times New Roman" w:cs="Times New Roman" w:eastAsia="Times New Roman" w:hAnsi="Times New Roman"/>
          <w:sz w:val="18"/>
          <w:szCs w:val="18"/>
          <w:color w:val="auto"/>
        </w:rPr>
        <w:t>, No. 652555/2024 (filed May 17, 2024) and</w:t>
      </w:r>
      <w:r>
        <w:rPr>
          <w:rFonts w:ascii="Times New Roman" w:cs="Times New Roman" w:eastAsia="Times New Roman" w:hAnsi="Times New Roman"/>
          <w:sz w:val="18"/>
          <w:szCs w:val="18"/>
          <w:i w:val="1"/>
          <w:iCs w:val="1"/>
          <w:color w:val="auto"/>
        </w:rPr>
        <w:t xml:space="preserve"> Keller v. Avrobio, Inc., et al.</w:t>
      </w:r>
      <w:r>
        <w:rPr>
          <w:rFonts w:ascii="Times New Roman" w:cs="Times New Roman" w:eastAsia="Times New Roman" w:hAnsi="Times New Roman"/>
          <w:sz w:val="18"/>
          <w:szCs w:val="18"/>
          <w:color w:val="auto"/>
        </w:rPr>
        <w:t>, No. 652597/2024 (filed May 21, 2024).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referred to as the “Merger Actions.”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(filed by AVROBIO on February 14, 2024, as amended on March 26, 2024, April 15, 2024, and April 29, 2024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Keller </w:t>
      </w:r>
      <w:r>
        <w:rPr>
          <w:rFonts w:ascii="Times New Roman" w:cs="Times New Roman" w:eastAsia="Times New Roman" w:hAnsi="Times New Roman"/>
          <w:sz w:val="18"/>
          <w:szCs w:val="18"/>
          <w:color w:val="auto"/>
        </w:rPr>
        <w:t>actions assert claims for breach of fiduciary duty against all defendants. The Merger Actions seek, among other things, an injunction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enjoining the consummation of the Merger, rescission of the Merger if consummated, costs of the action, including plaintiff’s attorneys’ fees and experts’ fees and other relief the court may deem just and proper.</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an adverse impact on the Company because of defense and settlement costs, diversion of management resources and other factors. Regardless of the outcome, litigation can have a material and adverse impact on us because of defense and settlement costs, diversion of management resources and other factors.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volatile and fluctuate substantially.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the our product candidates, or those of our competitors or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its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the selling stockholders or other securityholders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its operations or continued development of its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of such sales, by us or the selling stockholders pursuant to this prospectus, in the public market or otherwise, could cause the market price for our securities to decline, even though the selling stockholders would still realize a profit on sales at lower prices. Resales of the securities offered by this prospectus may cause the market price of such securities to drop significantly, even if our business is doing well.</w:t>
      </w:r>
    </w:p>
    <w:p>
      <w:pPr>
        <w:spacing w:after="0" w:line="7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sale of our Common Stock in the public market or otherwise, including sales pursuant to this prospectus,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of the selling stockholders named in this prospectus acquired securities at prices that are significantly less than the current trading price of our Common Stock. Accordingly, certain of the selling stockholders could still realize a profit on sales at lower prices. Even if the trading price of our Common Stock falls to or significantly below the current trading price, the selling stockholders may still have an incentive to sell and profit due to the nominal purchase prices paid by such selling stockholders, which are significantly lower than the purchase prices paid by the public stockholders.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the selling stockholders named in this prospectus hold a large portion of our outstanding Common Stock. The Common Stock being offered for resale pursuant to this prospectus by the selling stockholders would represent approximately 20.2% of our outstanding Common Stock as of July 6, 2024. Given the substantial number of shares of Common Stock being registered for potential resale by selling stockholders pursuant to this prospectus, the sale of shares by the selling stockholders of a large number of shares, or the perception in the market that the selling stockholders of a large number of shares intend to sell shares, could increase the volatility of the market price of our Common Stock or result in a significant decline in the public trading price of our Common Stock. While certain of the selling stockholders may experience a positive rate of return on their investment in our Common Stock as a result, the public securityholders may not experience a similar rate of return on the securities they purchased due to differences in their purchase prices and the trading price.</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being registered for sale is significant in relation to the number of outstanding shares of our common stock. Future sales of shares by existing stockholders could cause our stock price to decline.</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July 6, 2024, we had approximately 14,734,325 shares of common stock outstanding. This prospectus is a part of a registration statement on Form S-1 that registers 2,969,583 shares of common stock for sale into the public market by the selling stockholders. These shares represent a significant number of our outstanding common stock, and if sold in the market all at once or at about the same time, such transactions could depress the market price of our common stock during the period the registration statement remains effective. Any such transaction could also adversely affect our ability to raise equity capital.</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addition, certain of our shares are subject to lock-up agreements between AVROBIO and Legacy Tectonic. Following the expiration of these lock-up agreements, the relevant stockholders will not be restricted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from selling shares our common stock held by them, other than by applicable securities laws. Stockholders not subject to these lock-up agreements will not be restricted from selling shares of our common stock held by them, other than by applicable securities laws. In addition, shares of common stock that are subject to outstanding options or will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w:t>
      </w:r>
    </w:p>
    <w:p>
      <w:pPr>
        <w:spacing w:after="0" w:line="28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As of July 6, 2024, our executive officers, directors and principal stockholders, in the aggregate, beneficially own approximately 47.4%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27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82"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and bylaws and Delaware law contain provisions that may have the effect of delaying or preventing a change in control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or changes in our management. Our charter and bylaws, include provisions that:</w:t>
      </w:r>
    </w:p>
    <w:p>
      <w:pPr>
        <w:spacing w:after="0" w:line="112" w:lineRule="exact"/>
        <w:rPr>
          <w:sz w:val="20"/>
          <w:szCs w:val="20"/>
          <w:color w:val="auto"/>
        </w:rPr>
      </w:pPr>
    </w:p>
    <w:p>
      <w:pPr>
        <w:ind w:left="1080" w:right="5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Board, the chairperson of the Board, our Chief Executive Officer or our President;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may be filled only by a majority of directors then in office, even though less than a quorum;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Board to modify, alter or repeal our amended and restated by-laws;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82"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We will not receive any proceeds from any sales of shares of our common stock by the selling stockholders.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82" w:right="5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“TECX.” Prior to the consummation of the Merger, the common stock was listed on the Nasdaq Global Select Market under the symbol “AVRO.”</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of July 6, 2024, we had approximately 14,734,325 shares of common stock issued and outstanding held of record by approximately 86 registered 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for use in the operation of our business and do not anticipate paying any cash dividends on our capital stock in the foreseeable future. Notwithstanding the foregoing, any determination to pay cash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40"/>
          </w:cols>
          <w:pgMar w:left="320" w:top="482" w:right="5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June 20, 2024, AVROBIO, Inc. (“AVROBIO”), Tectonic Therapeutic, Inc. (“Tectonic”), and Alpine Merger Subsidiary, Inc., a direct, wholly owned subsidiary of AVROBIO (“Merger Sub”) consummated the previously announced merger transaction pursuant to that certain agreement and plan of merger and reorganization (the “Merger Agreement”), dated January 30, 2024. Pursuant to the terms of the Merger Agreement, Merger Sub merged with and into Tectonic, with Tectonic surviving as a wholly owned subsidiary of AVROBIO (such transaction, the “merger”). Upon completion of the merger, the business of Tectonic will continue as the business of the surviving corporation, referred to herein as the “combined company.” After the completion of the merger, AVROBIO changed its corporate name to Tectonic Therapeutic, Inc.</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the closing of the merger (the “effective time” or the “Closing”) and related transactions, the shares of Tectonic common stock outstanding immediately prior to the effective time, including outstanding and unvested Tectonic Restricted Stock (defined in Note 1 of the accompanying notes), were converted into 10,956,614 shares of AVROBIO common stock in the aggregate, based on an exchange ratio determined in accordance with the terms of the Merger Agreement (the “Exchange Ratio”). The shares of AVROBIO common stock received by former Tectonic stockholders include 11,448 shares that are subject to vesting conditions, based on the unvested Tectonic Restricted Stock at Closing multiplied by the Exchange Ratio. The number of shares of Tectonic common stock outstanding immediately prior to the effective time included Tectonic common stock issued upon conversion of each share of Tectonic convertible preferred stock, and shares of Tectonic common stock issued in connection with the Subscription Agreements and Company SAFEs as defined in Note 1 of the accompanying notes (together with the merger, the “Transactions”). The Exchange Ratio is approximately 0.53 shares of AVROBIO common stock for each share of Tectonic common stock, after giving effect to the 1-for-12 reverse stock split of AVROBIO common stock that was effected on June 20, 2024.</w:t>
      </w:r>
    </w:p>
    <w:p>
      <w:pPr>
        <w:spacing w:after="0" w:line="194"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balance sheets of AVROBIO and Tectonic as of March 31, 2024, and depicts the accounting of the Transactions under U.S. generally accepted accounting principles (“pro forma balance sheet transaction accounting adjustments”). The unaudited pro forma condensed combined statement of operations for the three months ended March 31, 2024, and the year ended December 31, 2023 combine the historical results of AVROBIO and Tectonic for these periods and depict the pro forma balance sheet transaction accounting adjustments assuming that those adjustments were made as of January 1, 2023 (“pro forma statement of operations transaction accounting adjustments”). Collectively, pro forma balance sheet transaction accounting adjustments and pro forma statement of operations transaction accounting adjustments are referred to as “transaction accounting adjustments” or “pro forma adjustments.”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unaudited pro forma condensed combined financial information and related notes have been derived from and should be read in conjunction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w:t>
      </w:r>
    </w:p>
    <w:p>
      <w:pPr>
        <w:spacing w:after="0" w:line="112" w:lineRule="exact"/>
        <w:rPr>
          <w:sz w:val="20"/>
          <w:szCs w:val="20"/>
          <w:color w:val="auto"/>
        </w:rPr>
      </w:pPr>
    </w:p>
    <w:p>
      <w:pPr>
        <w:ind w:left="1080" w:right="3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Tectonic as of and for the three months ended March 31, 2024, and the related notes included elsewhere in this prospectus;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AVROBIO as of and for the three months ended March 31, 2024, and the related notes included elsewhere in this prospectus;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Tectonic as of and for the years ended December 31, 2023 and 2022, and the related notes included elsewhere in this prospectus;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AVROBIO as of and for the years ended December 31, 2023 and 2022, and the related notes included elsewhere in this prospectus; and</w:t>
      </w:r>
    </w:p>
    <w:p>
      <w:pPr>
        <w:spacing w:after="0" w:line="65" w:lineRule="exact"/>
        <w:rPr>
          <w:rFonts w:ascii="Times New Roman" w:cs="Times New Roman" w:eastAsia="Times New Roman" w:hAnsi="Times New Roman"/>
          <w:sz w:val="18"/>
          <w:szCs w:val="18"/>
          <w:color w:val="auto"/>
        </w:rPr>
      </w:pPr>
    </w:p>
    <w:p>
      <w:pPr>
        <w:ind w:left="1080" w:right="680" w:hanging="424"/>
        <w:spacing w:after="0" w:line="284"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other financial information relating to Tectonic and AVROBIO included elsewhere in this prospectus.</w:t>
      </w: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AVROBIO and Tectonic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60"/>
          </w:cols>
          <w:pgMar w:left="320" w:top="482"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7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29"/>
              <w:spacing w:after="0" w:line="109" w:lineRule="exact"/>
              <w:rPr>
                <w:sz w:val="20"/>
                <w:szCs w:val="20"/>
                <w:color w:val="auto"/>
              </w:rPr>
            </w:pPr>
            <w:r>
              <w:rPr>
                <w:rFonts w:ascii="Times New Roman" w:cs="Times New Roman" w:eastAsia="Times New Roman" w:hAnsi="Times New Roman"/>
                <w:sz w:val="12"/>
                <w:szCs w:val="12"/>
                <w:b w:val="1"/>
                <w:bCs w:val="1"/>
                <w:color w:val="auto"/>
                <w:w w:val="99"/>
              </w:rPr>
              <w:t>(B)</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Tectonic</w:t>
            </w:r>
          </w:p>
        </w:tc>
        <w:tc>
          <w:tcPr>
            <w:tcW w:w="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8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AVROBIO</w:t>
            </w:r>
          </w:p>
        </w:tc>
        <w:tc>
          <w:tcPr>
            <w:tcW w:w="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Therapeutic</w:t>
            </w:r>
          </w:p>
        </w:tc>
        <w:tc>
          <w:tcPr>
            <w:tcW w:w="8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Forma</w:t>
            </w:r>
          </w:p>
        </w:tc>
        <w:tc>
          <w:tcPr>
            <w:tcW w:w="0" w:type="dxa"/>
            <w:vAlign w:val="bottom"/>
          </w:tcPr>
          <w:p>
            <w:pPr>
              <w:spacing w:after="0"/>
              <w:rPr>
                <w:sz w:val="1"/>
                <w:szCs w:val="1"/>
                <w:color w:val="auto"/>
              </w:rPr>
            </w:pPr>
          </w:p>
        </w:tc>
      </w:tr>
      <w:tr>
        <w:trPr>
          <w:trHeight w:val="155"/>
        </w:trPr>
        <w:tc>
          <w:tcPr>
            <w:tcW w:w="7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Inc.</w:t>
            </w:r>
          </w:p>
        </w:tc>
        <w:tc>
          <w:tcPr>
            <w:tcW w:w="10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20" w:type="dxa"/>
            <w:vAlign w:val="bottom"/>
          </w:tcPr>
          <w:p>
            <w:pPr>
              <w:spacing w:after="0"/>
              <w:rPr>
                <w:sz w:val="13"/>
                <w:szCs w:val="13"/>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90,481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18,748</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94,600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203,421</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(1,776)</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6(h)</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6(k)</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6(k)</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6(i)</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156"/>
        </w:trPr>
        <w:tc>
          <w:tcPr>
            <w:tcW w:w="72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91,838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20,558</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93,461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205,857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right-of-use assets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6(j)</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Finance right-of-use assets, net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equipment and improvements, net</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2,864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2,864</w:t>
            </w: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3,444</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(3,444)</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 net of current portion</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6(k)</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56"/>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92,348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31,155</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89,507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213,010</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2,563</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2,806</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3,042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11,048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5,236</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27,063</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3,380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6(h)</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6(l)</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SAFE liabilities</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32,590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(34,125)</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liability - current portion</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6(j)</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155"/>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Finance lease liability - current portion</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48,064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(19,841)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31,732</w:t>
            </w:r>
          </w:p>
        </w:tc>
        <w:tc>
          <w:tcPr>
            <w:tcW w:w="0" w:type="dxa"/>
            <w:vAlign w:val="bottom"/>
          </w:tcPr>
          <w:p>
            <w:pPr>
              <w:spacing w:after="0"/>
              <w:rPr>
                <w:sz w:val="1"/>
                <w:szCs w:val="1"/>
                <w:color w:val="auto"/>
              </w:rPr>
            </w:pPr>
          </w:p>
        </w:tc>
      </w:tr>
      <w:tr>
        <w:trPr>
          <w:trHeight w:val="149"/>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liability - net of current portion</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Finance lease liability - net of current portion</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63"/>
        </w:trPr>
        <w:tc>
          <w:tcPr>
            <w:tcW w:w="72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3,509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50,102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33,770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Tectonic convertible preferred stock (Series A-1, A-2, A-3 and A-4), $0.0001 par value</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80,627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(80,627)</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6(d)</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7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AVROBIO common stock, $0.0001 par value</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6(l)</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Tectonic common stock, $0.0001 par value</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6(d)</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572,918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6,304</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80,626</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6(d)</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287,059</w:t>
            </w: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94,599</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34,125</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(8,680)</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(493,518)</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(484,083)</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(105,825)</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(107,767)</w:t>
            </w: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(5,156)</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6(h)</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6(i)</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6(j)</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6(l)</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493,523</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2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88,839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(99,574)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189,975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179,240</w:t>
            </w:r>
          </w:p>
        </w:tc>
        <w:tc>
          <w:tcPr>
            <w:tcW w:w="0" w:type="dxa"/>
            <w:vAlign w:val="bottom"/>
          </w:tcPr>
          <w:p>
            <w:pPr>
              <w:spacing w:after="0"/>
              <w:rPr>
                <w:sz w:val="1"/>
                <w:szCs w:val="1"/>
                <w:color w:val="auto"/>
              </w:rPr>
            </w:pPr>
          </w:p>
        </w:tc>
      </w:tr>
      <w:tr>
        <w:trPr>
          <w:trHeight w:val="155"/>
        </w:trPr>
        <w:tc>
          <w:tcPr>
            <w:tcW w:w="72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liabilities, convertible preferred stock and stockholders’ equity (deficit)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92,348</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31,155</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89,507</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213,010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CONDENSED COMBINED STATEMENT OF OPERATIONS FOR THE THREE MONTHS ENDED MARCH 31, 2024 </w:t>
      </w:r>
      <w:r>
        <w:rPr>
          <w:rFonts w:ascii="Times New Roman" w:cs="Times New Roman" w:eastAsia="Times New Roman" w:hAnsi="Times New Roman"/>
          <w:sz w:val="18"/>
          <w:szCs w:val="18"/>
          <w:color w:val="auto"/>
        </w:rPr>
        <w:t>(In thousands, except share and per share amounts)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0"/>
                <w:szCs w:val="10"/>
                <w:color w:val="auto"/>
              </w:rPr>
            </w:pPr>
          </w:p>
        </w:tc>
        <w:tc>
          <w:tcPr>
            <w:tcW w:w="72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Tectonic</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AVROBIO</w:t>
            </w:r>
          </w:p>
        </w:tc>
        <w:tc>
          <w:tcPr>
            <w:tcW w:w="1040" w:type="dxa"/>
            <w:vAlign w:val="bottom"/>
            <w:gridSpan w:val="3"/>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Therapeutic</w:t>
            </w:r>
          </w:p>
        </w:tc>
        <w:tc>
          <w:tcPr>
            <w:tcW w:w="16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94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10,818</w:t>
            </w:r>
          </w:p>
        </w:tc>
        <w:tc>
          <w:tcPr>
            <w:tcW w:w="4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11,501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9,408</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(20,909)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1,402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(416)</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2,075</w:t>
            </w:r>
          </w:p>
        </w:tc>
        <w:tc>
          <w:tcPr>
            <w:tcW w:w="90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7(d)</w:t>
            </w:r>
          </w:p>
        </w:tc>
        <w:tc>
          <w:tcPr>
            <w:tcW w:w="10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955</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for the period attributable 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(15,221)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(19,954)</w:t>
            </w: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44,790,825*</w:t>
            </w:r>
          </w:p>
        </w:tc>
        <w:tc>
          <w:tcPr>
            <w:tcW w:w="10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7"/>
              </w:rPr>
              <w:t>2,608,740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8"/>
              </w:rPr>
              <w:t>14,711,544</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200" w:hanging="224"/>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1-for-12 reverse stock split of AVROBIO common stock that was effected on June 20, 2024, the basic and diluted net loss per common share was $1.82 and the basic and diluted weighted average number of common shares outstanding was 3,732,568 shares.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12"/>
              <w:spacing w:after="0" w:line="118" w:lineRule="exact"/>
              <w:rPr>
                <w:sz w:val="20"/>
                <w:szCs w:val="20"/>
                <w:color w:val="auto"/>
              </w:rPr>
            </w:pPr>
            <w:r>
              <w:rPr>
                <w:rFonts w:ascii="Times New Roman" w:cs="Times New Roman" w:eastAsia="Times New Roman" w:hAnsi="Times New Roman"/>
                <w:sz w:val="13"/>
                <w:szCs w:val="13"/>
                <w:b w:val="1"/>
                <w:bCs w:val="1"/>
                <w:color w:val="auto"/>
              </w:rPr>
              <w:t>(D)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Tectonic</w:t>
            </w: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AVROBIO Inc.</w:t>
            </w:r>
          </w:p>
        </w:tc>
        <w:tc>
          <w:tcPr>
            <w:tcW w:w="6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Therapeutic Inc.</w:t>
            </w:r>
          </w:p>
        </w:tc>
        <w:tc>
          <w:tcPr>
            <w:tcW w:w="10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47,700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36,966</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86,041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1,338</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23,967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5,156</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7(b)</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39,828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2,612</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125,869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asset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83,736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83,736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(1,877)</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7(e)</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 of SAFEs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(1,255)</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(1,535)</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12,534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(42,519)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2"/>
              </w:rPr>
              <w:t>     (12,230)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(42,896)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(loss) for the period attributable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equity holders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12,157</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44,327,204</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2,373,674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14,547,285</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44,567,918</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2,373,674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14,567,345</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80" w:hanging="224"/>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1-for-12 reverse stock split of AVROBIO common stock that was effected on June 20, 2024, the basic and diluted net income per common share was $3.29 and $3.27, respectively, and the basic and diluted weighted average number of common shares outstanding was 3,693,933 shares and 3,713,993 shares, respectively.</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560" w:firstLine="1578"/>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1. Description of the Merger</w:t>
      </w:r>
    </w:p>
    <w:p>
      <w:pPr>
        <w:spacing w:after="0" w:line="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June 20, 2024, AVROBIO, Tectonic and Merger Sub consummated the previously announced merger transaction pursuant to the terms of the Merger Agreement dated January 30, 2024, pursuant to which Merger Sub merged with and into Tectonic, with Tectonic surviving as a wholly owned subsidiary of AVROBIO. Subject to the terms and conditions of the Merger Agreement, at Closing:</w:t>
      </w:r>
    </w:p>
    <w:p>
      <w:pPr>
        <w:spacing w:after="0" w:line="81" w:lineRule="exact"/>
        <w:rPr>
          <w:sz w:val="20"/>
          <w:szCs w:val="20"/>
          <w:color w:val="auto"/>
        </w:rPr>
      </w:pPr>
    </w:p>
    <w:p>
      <w:pPr>
        <w:ind w:left="1080" w:right="300" w:hanging="532"/>
        <w:spacing w:after="0" w:line="312"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share of Tectonic common stock, including outstanding and unvested Tectonic Restricted Stock (defined below), after giving effect to the Transactions, converted into a number of shares of AVROBIO’s common stock, based on the Exchange Ratio,</w:t>
      </w:r>
    </w:p>
    <w:p>
      <w:pPr>
        <w:spacing w:after="0" w:line="45" w:lineRule="exact"/>
        <w:rPr>
          <w:rFonts w:ascii="Times New Roman" w:cs="Times New Roman" w:eastAsia="Times New Roman" w:hAnsi="Times New Roman"/>
          <w:sz w:val="17"/>
          <w:szCs w:val="17"/>
          <w:color w:val="auto"/>
        </w:rPr>
      </w:pPr>
    </w:p>
    <w:p>
      <w:pPr>
        <w:jc w:val="both"/>
        <w:ind w:left="1080" w:right="140" w:hanging="532"/>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to purchase shares of Tectonic common stock (“Tectonic options”) immediately prior to Closing was assumed by AVROBIO and converted into an option to purchase shares of AVROBIO common stock, with necessary adjustments to the number of shares and exercise price to reflect the Exchange Ratio; and</w:t>
      </w:r>
    </w:p>
    <w:p>
      <w:pPr>
        <w:spacing w:after="0" w:line="202"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Tectonic restricted common stock outstanding and unvested immediately prior to Closing (“Tectonic Restricted Stock”) that was assumed by AVROBIO in the merger remains unvested to the same extent and is subject to the same repurchase option, risk of forfeiture or other condition under any applicable restricted stock purchase agreement.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board of directors of AVROBIO accelerated the vesting of certain outstanding options to purchase AVROBIO common stock, after giving effect to the 1-for-12 reverse stock split that was effected on June 20, 2024, held by a current employee, director or consultant of AVROBIO as of the Closing, and accelerated the vesting and settled into shares of AVROBIO common stock each outstanding restricted stock unit (“RSU”) in respect of AVROBIO common stock that vests solely on the basis of time. The acceleration of vesting of AVROBIO’s options and RSUs occurs either upon a change of control as defined, pursuant to the terms of the original awards, or a modification of the awards as a result of the merger. The post-merger stock-based compensation expense, including the incremental fair value of the AVROBIO’s options and RSUs associated with the modification to accelerate vesting is immaterial at Closing and is not included as an adjustment to the unaudited pro forma condensed combined financial information.</w:t>
      </w:r>
    </w:p>
    <w:p>
      <w:pPr>
        <w:spacing w:after="0" w:line="19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Immediately following the merger, AVROBIO stockholders as of immediately prior to the merger will own approximately 24.8% of the outstanding capital stock of the combined company on a diluted basis, former Tectonic stockholders will own approximately 38.5% of the outstanding capital stock of the combined company on a diluted basis, and investors participating in the Subscription Agreements and Company SAFEs will own approximately 27.1% and 9.6% of the outstanding capital stock of the combined company, respectively, on a diluted basis. Tectonic stockholders received approximately 10,956,614 shares of AVROBIO common stock in connection with the merger, including 11,448 shares of AVROBIO common stock subject to vesting terms, based on the number of shares of Tectonic common stock outstanding immediately prior to the merger, including Tectonic Restricted Stock, the number of shares Tectonic common stock issued to investors participating in the Subscription Agreements and Company SAFEs, and Tectonic convertible preferred stock outstanding immediately prior to the merger, which was converted into shares of Tectonic common stock on a one-for-one basis immediately prior to the closing of the merger. The number of shares of AVROBIO common stock issued to Tectonic stockholders in connection with the merger was based on certain inputs, including (i) AVROBIO’s net cash at Closing of $77.3 million, (ii) the 1-for-12 reverse stock split of AVROBIO common stock effected on June 20, 2024, and (iii) aggregate proceeds from the Private Financing Transactions (as defined below)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$130.7 million. The following table summarizes the number of shares of common stock of the combined company outstanding following the consummation of the Transactions.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Capitalization Summary</w:t>
            </w: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Upon Consummation of the Merger</w:t>
            </w:r>
          </w:p>
        </w:tc>
        <w:tc>
          <w:tcPr>
            <w:tcW w:w="372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Shares Owned</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Tectonic stockholders (1)</w:t>
            </w:r>
          </w:p>
        </w:tc>
        <w:tc>
          <w:tcPr>
            <w:tcW w:w="8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5,322,169</w:t>
            </w:r>
          </w:p>
        </w:tc>
        <w:tc>
          <w:tcPr>
            <w:tcW w:w="6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AVROBIO stockholders</w:t>
            </w: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3,777,709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 participating in the Company SAFEs</w:t>
            </w:r>
          </w:p>
        </w:tc>
        <w:tc>
          <w:tcPr>
            <w:tcW w:w="15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1,470,839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participating in the Subscription Agreements</w:t>
            </w: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4,163,606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of the combined company</w:t>
            </w:r>
          </w:p>
        </w:tc>
        <w:tc>
          <w:tcPr>
            <w:tcW w:w="15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14,734,323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36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of the combined company received by former Tectonic stockholders include 11,448 shares that are subject to vesting conditions, based on 21,422 shares of unvested Tectonic Restricted Stock at Closing multiplied by the Exchange Ratio of 0.53.</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employment agreements for AVROBIO employees included entitlement to change in control payments for certain executives, and severance and retention bonus payments for certain non-executives, the aggregate of which was treated as pre-merger compensation expense of AVROBIO and reflected as an increase to accrued expenses of AVROBIO, which was assumed by the combined company at Closing. Prior to Closing, AVROBIO also discontinued its research and development activities and terminated and/or expired its leases. Additionally, AVROBIO’s directors &amp; officers (D&amp;O) insurance policy was fully utilized at Closing.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Financing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parties have entered into certain subscription agreements (the “Subscription Agreements”) with Tectonic to purchase, prior to the consummation of the merger, 7,790,889 shares of Tectonic common stock at a purchase price of approximately $12.40 per share for an aggregate purchase price of approximately $96.6 million (the “Private Placement”). The closing of the Private Placement was completed on June 20, 2024, and shares of Tectonic common stock issued pursuant to the Subscription Agreements were converted into 4,163,606 shares of AVROBIO common stock at Closing based on the Exchange Ratio, pursuant to the Merger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Company SAFEs</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From October to December 2023, Tectonic entered into various simple agreements for future equity (the “Company SAFEs”) with existing investors, who are also related parties of Tectonic and received $34.1 million representing the aggregate purchase amount. Tectonic accounts for the Company SAFEs as a liability pursuant to Accounting Standards Codification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Company SAFEs were initially measured at their fair value upon issuance. In addition, until redemption, the Company SAFEs are measured at fair value on a recurring basis with subsequent changes in fair value recorded in the Tectonic’s statement of operations and comprehensive loss. Under the terms of the Company SAFEs, in the event of a public listing transaction such as an initial public offering or a reverse merger with a public company, the Company SAFEs will be redeemed through delivery of a variable number of shares of Tectonic common stock determined by dividing the Company SAFEs purchase amount by the offering or conversion price in the respective transaction. In connection with the merger, the principal balance of the Company SAFEs was automatically redeemed into 2,752,216 shares of Tectonic common stock at the conversion price of approximately $12.40 per share immediately prior to the Closing. At Closing, shares of Tectonic common stock issued pursuant to the redemption of the Company SAFEs were converted into 1,470,839 shares of AVROBIO common stock based on the Exchange Ratio, pursuant to the Merger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aggregate proceeds from the Private Financing Transactions (the Subscription Agreements and the Company SAFEs) was approximately $130.7 million.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merger, AVROBIO and its designated rights agent entered into a Contingent Value Rights Agreement (the “CVR Agreement”). Pursuant to the CVR Agreement, each holder of AVROBIO common stock immediately prior to the effective time, is entitled to receive a contractual contingent value right (“CVR”) subject to and in accordance with the terms and conditions of the CVR Agreement, representing the contractual right to receive a pro rata portion of 80% of the net proceeds, if any, as a result of an AVROBIO disposition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CVRs represent contingent consideration in the merger, however the unaudited pro forma condensed combined financial information does not include the fair value of contingent consideration related to the CVRs as the fair value of the CVRs was determined to be nominal at Closing.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prepared in accordance with Article 11 of SEC Regulation S-X. The adjustments presented in the unaudited pro forma condensed combined financial information have been identified and presented to provide relevant information necessary for an understanding of the combined company upon consummation of the merger.</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following the completion of the merger, and have been made solely for the purpose of providing unaudited pro forma condensed combined financial information.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cash used in AVROBIO’s operations, and (iii) other changes in AVROBIO’s assets and liabilities, which will be completed after the Closing, and these differences could have a material impact on the accompanying unaudited pro forma condensed combined financial information and the combined company’s future results of operations and financial position.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Accounting Policies</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During the preparation of the accompanying unaudited pro forma combined financial information, Management was not aware of any material differences between Tectonic’s accounting policies and the accounting policies of AVROBIO. Following the consummation of the merger, Tectonic will conduct a more detailed review of AVROBIO’s accounting policies. As a result, Tectonic may identify differences between the accounting policies of the two companies that, when conformed, could have had a material impact on the accompanying unaudited pro forma combined financial information.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Accounting for the Merger</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gives effect to the merger, which is accounted for under U.S. generally accepted accounting principles (“GAAP”) as an in-substance reverse recapitalization of AVROBIO by Tectonic. Under this method of accounting, Tectonic is considered the accounting acquirer for financial reporting purposes. This determination is based on an evaluation of the following facts and circumstances immediately following the merger: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 stockholders will own a substantial majority of the voting rights in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largest stockholder will retain the largest interest in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 will designate a majority of the initial members of the board of directors of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executive management team will become the management of the combined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be renamed Tectonic Therapeutic, Inc. and will be headquartered in Massachusetts.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Tectonic being treated as the accounting acquirer, Tectonic’s assets and liabilities are recorded at their pre-combination carrying amounts. AVROBIO’s assets and liabilities are measured and recognized at their fair values as of the effective time, which approximates the carrying value of the acquired cash and other non-operating assets, with no goodwill or other intangible assets recorded. The difference between the consideration transferred and the fair value of the net assets of AVROBIO following the determination of the actual consideration transferred for AVROBIO is reflected as an adjustment to additional paid-in capital. For periods prior to Closing, the historical financial statements of Tectonic become the historical financial statements of the combined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Preliminary Estimated Consideration Transferred (Purchase Price)</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estimated preliminary purchase price, which represents the consideration transferred to AVROBIO stockholders in the merger, is calculated based on the fair value of the common stock of the combined company that AVROBIO stockholders own as of the Closing of the Transactions because, with no active trading market for shares of Tectonic, the fair value of the AVROBIO common stock represents a more reliable measure of the fair value of consideration transferred in the merger. Accordingly, the accompanying unaudited pro forma combined financial information reflects an estimated preliminary purchase price of approximately $68.4 million. The following summarizes the preliminary estimate of the purchase price to be paid in the merger, after giving effect to the 1-for-12 reverse stock split of AVROBIO common stock that was effected on June 20, 2024 (in thousands, except share and per share amounts):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of the combined company owned by AVROBIO stockholders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3,769,005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the fair value per share of AVROBIO common stock (2)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67,390</w:t>
            </w: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fair value of assumed AVROBIO stock-based awards based 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pre-merger service (3)</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estimated purchase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68,442</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60" w:hanging="424"/>
        <w:spacing w:after="0" w:line="253"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purchase price was determined based on the number of shares of AVROBIO common stock that AVROBIO stockholders owned immediately prior to Closing. For purposes of this unaudited pro forma condensed combined financial information, the estimated number of shares, after giving effect to the 1-for-12 reverse stock split of AVROBIO common stock that was effected on June 20, 2024, represents 3,740,186 shares of AVROBIO common stock outstanding as of March 31, 2024, 3,787 shares of AVROBIO common stock issued subsequent to March 31, 2024 and 25,032 unvested RSUs outstanding as of the Closing which vested in full upon Closing in accordance with the terms of the original awards.</w:t>
      </w:r>
    </w:p>
    <w:p>
      <w:pPr>
        <w:spacing w:after="0" w:line="5"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purchase price was based on the closing price of AVROBIO common stock on the Nasdaq Global Select Market on June 11, 2024, after giving effect to the 1-for-12 reverse stock split of AVROBIO common stock that was effected on June 20, 2024.</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66"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acquisition-date fair value of the assumed AVROBIO equity awards attributable to pre-merger service that were outstanding as of the effective time. This is included as an adjustment to the unaudited pro forma condensed combined balance sheet by crediting and debiting additional paid-in capital, resulting in no impact to the unaudited pro forma condensed combined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Shares of AVROBIO Common Stock Issued to Tectonic Stockholders upon Closing of the Merger</w:t>
      </w:r>
    </w:p>
    <w:p>
      <w:pPr>
        <w:spacing w:after="0" w:line="12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At Closing, all outstanding shares of Tectonic common stock (including shares of Tectonic common stock issued upon conversion of Tectonic convertible preferred stock and shares of Tectonic common stock issued in connection with the Subscription Agreements and Company SAFEs) were exchanged for shares of AVROBIO common stock based on the Exchange Ratio of 0.53, determined in accordance with the terms of the Merger Agreement and after giving effect to the 1-for-12 reverse stock split of AVROBIO common stock that was effected on June 20, 2024. The number of shares of AVROBIO common stock that AVROBIO expects to issue to Tectonic’s stockholders is based on AVROBIO’s net cash at Closing of $77.3 million and is determined as follows:</w:t>
      </w:r>
    </w:p>
    <w:p>
      <w:pPr>
        <w:sectPr>
          <w:pgSz w:w="11900" w:h="16838" w:orient="portrait"/>
          <w:cols w:equalWidth="0" w:num="1">
            <w:col w:w="11120"/>
          </w:cols>
          <w:pgMar w:left="320" w:top="482" w:right="459" w:bottom="1440" w:gutter="0" w:footer="0" w:header="0"/>
        </w:sectPr>
      </w:pPr>
    </w:p>
    <w:p>
      <w:pPr>
        <w:spacing w:after="0" w:line="2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Shares of Tectonic common stock outstanding as of March 31,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Tectonic stock option exercises subsequent to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14950" cy="274320"/>
                    </a:xfrm>
                    <a:prstGeom prst="rect">
                      <a:avLst/>
                    </a:prstGeom>
                    <a:noFill/>
                  </pic:spPr>
                </pic:pic>
              </a:graphicData>
            </a:graphic>
          </wp:anchor>
        </w:drawing>
      </w:r>
    </w:p>
    <w:p>
      <w:pPr>
        <w:ind w:left="1620" w:right="100" w:hanging="179"/>
        <w:spacing w:after="0" w:line="250" w:lineRule="auto"/>
        <w:rPr>
          <w:sz w:val="20"/>
          <w:szCs w:val="20"/>
          <w:color w:val="auto"/>
        </w:rPr>
      </w:pPr>
      <w:r>
        <w:rPr>
          <w:rFonts w:ascii="Times New Roman" w:cs="Times New Roman" w:eastAsia="Times New Roman" w:hAnsi="Times New Roman"/>
          <w:sz w:val="18"/>
          <w:szCs w:val="18"/>
          <w:color w:val="auto"/>
        </w:rPr>
        <w:t>Shares of Tectonic common stock issued upon conversion of Tectonic convertible preferred stock, see Note 6(d)</w:t>
      </w:r>
    </w:p>
    <w:p>
      <w:pPr>
        <w:spacing w:after="0" w:line="1" w:lineRule="exact"/>
        <w:rPr>
          <w:sz w:val="20"/>
          <w:szCs w:val="20"/>
          <w:color w:val="auto"/>
        </w:rPr>
      </w:pPr>
    </w:p>
    <w:p>
      <w:pPr>
        <w:ind w:left="1620" w:hanging="179"/>
        <w:spacing w:after="0" w:line="250" w:lineRule="auto"/>
        <w:rPr>
          <w:sz w:val="20"/>
          <w:szCs w:val="20"/>
          <w:color w:val="auto"/>
        </w:rPr>
      </w:pPr>
      <w:r>
        <w:rPr>
          <w:rFonts w:ascii="Times New Roman" w:cs="Times New Roman" w:eastAsia="Times New Roman" w:hAnsi="Times New Roman"/>
          <w:sz w:val="18"/>
          <w:szCs w:val="18"/>
          <w:color w:val="auto"/>
        </w:rPr>
        <w:t>Shares of Tectonic common stock issued in connection with the Subscription Agreements, see Note 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Shares of Tectonic common stock issued upon redemption of the Company SAFEs, see Note 6(f)</w:t>
      </w:r>
    </w:p>
    <w:p>
      <w:pPr>
        <w:spacing w:after="0" w:line="18" w:lineRule="exact"/>
        <w:rPr>
          <w:sz w:val="20"/>
          <w:szCs w:val="20"/>
          <w:color w:val="auto"/>
        </w:rPr>
      </w:pPr>
    </w:p>
    <w:p>
      <w:pPr>
        <w:ind w:left="1440" w:right="1660"/>
        <w:spacing w:after="0" w:line="266" w:lineRule="auto"/>
        <w:rPr>
          <w:sz w:val="20"/>
          <w:szCs w:val="20"/>
          <w:color w:val="auto"/>
        </w:rPr>
      </w:pPr>
      <w:r>
        <w:rPr>
          <w:rFonts w:ascii="Times New Roman" w:cs="Times New Roman" w:eastAsia="Times New Roman" w:hAnsi="Times New Roman"/>
          <w:sz w:val="18"/>
          <w:szCs w:val="18"/>
          <w:color w:val="auto"/>
        </w:rPr>
        <w:t>Total Tectonic common shares outstanding prior to the closing of the merger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531495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7"/>
          <w:szCs w:val="17"/>
          <w:color w:val="auto"/>
        </w:rPr>
        <w:t>Shares of AVROBIO common stock issued to Tectonic stockholders upon closing of the merger (2)</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2,637,120</w:t>
      </w:r>
    </w:p>
    <w:p>
      <w:pPr>
        <w:spacing w:after="0" w:line="27"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496,182</w:t>
      </w:r>
    </w:p>
    <w:p>
      <w:pPr>
        <w:spacing w:after="0" w:line="207"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6,825,483</w:t>
      </w:r>
    </w:p>
    <w:p>
      <w:pPr>
        <w:spacing w:after="0" w:line="225"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7,790,889</w:t>
      </w:r>
    </w:p>
    <w:p>
      <w:pPr>
        <w:spacing w:after="0" w:line="27"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2,752,216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wp:posOffset>
            </wp:positionV>
            <wp:extent cx="6515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jc w:val="right"/>
        <w:ind w:right="1380"/>
        <w:spacing w:after="0"/>
        <w:rPr>
          <w:sz w:val="20"/>
          <w:szCs w:val="20"/>
          <w:color w:val="auto"/>
        </w:rPr>
      </w:pPr>
      <w:r>
        <w:rPr>
          <w:rFonts w:ascii="Times New Roman" w:cs="Times New Roman" w:eastAsia="Times New Roman" w:hAnsi="Times New Roman"/>
          <w:sz w:val="17"/>
          <w:szCs w:val="17"/>
          <w:color w:val="auto"/>
        </w:rPr>
        <w:t>20,501,890</w:t>
      </w:r>
    </w:p>
    <w:p>
      <w:pPr>
        <w:spacing w:after="0" w:line="39"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wp:posOffset>
            </wp:positionV>
            <wp:extent cx="6515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10,956,614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24765</wp:posOffset>
            </wp:positionV>
            <wp:extent cx="6515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41910</wp:posOffset>
            </wp:positionV>
            <wp:extent cx="6515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0" w:space="340"/>
            <w:col w:w="2180"/>
          </w:cols>
          <w:pgMar w:left="320" w:top="482" w:right="459" w:bottom="1440" w:gutter="0" w:footer="0" w:header="0"/>
          <w:type w:val="continuous"/>
        </w:sectPr>
      </w:pPr>
    </w:p>
    <w:p>
      <w:pPr>
        <w:spacing w:after="0" w:line="118"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Tectonic common stock outstanding include 21,565 shares of unvested Tectonic Restricted Stock as of March 31, 2024.</w:t>
      </w:r>
    </w:p>
    <w:p>
      <w:pPr>
        <w:spacing w:after="0" w:line="27"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shares of AVROBIO common stock issued to Tectonic stockholders at Closing, including 11,448 shares of AVROBIO common stock subject to vesting conditions, based on 21,422 shares of unvested Tectonic Restricted Stock at Closing multiplied by the Exchange Ratio of 0.53.</w:t>
      </w:r>
    </w:p>
    <w:p>
      <w:pPr>
        <w:spacing w:after="0" w:line="18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merger, AVROBIO assumes all of the outstanding options to acquire Tectonic common stock and such stock options will become exercisable for shares of AVROBIO common stock following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Adjustments to Unaudited Pro Forma Condensed Combined Balance Sheet as of December 31, 2023</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6(A) Derived from the unaudited condensed consolidated balance sheet of AVROBIO as of March 31, 2024.</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6(B) Derived from the unaudited condensed consolidated balance sheet of Tectonic as of March 31, 2024.</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Balance Sheet Transaction Accounting Adjustments: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6(a)</w:t>
        <w:tab/>
        <w:t>To reflect the exercise of 496,182 Tectonic stock options subsequent to March 31, 2024.</w:t>
      </w:r>
    </w:p>
    <w:p>
      <w:pPr>
        <w:spacing w:after="0" w:line="131" w:lineRule="exact"/>
        <w:rPr>
          <w:sz w:val="20"/>
          <w:szCs w:val="20"/>
          <w:color w:val="auto"/>
        </w:rPr>
      </w:pPr>
    </w:p>
    <w:p>
      <w:pPr>
        <w:ind w:left="660" w:right="1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6(b)</w:t>
        <w:tab/>
        <w:t>To reflect the exercise of 3,787 AVROBIO stock options subsequent to March 31, 2024, after giving effect to the 1-for-12 reverse stock split of AVROBIO common stock that was effected on June 20, 2024.</w:t>
      </w:r>
    </w:p>
    <w:p>
      <w:pPr>
        <w:spacing w:after="0" w:line="67" w:lineRule="exact"/>
        <w:rPr>
          <w:sz w:val="20"/>
          <w:szCs w:val="20"/>
          <w:color w:val="auto"/>
        </w:rPr>
      </w:pPr>
    </w:p>
    <w:p>
      <w:pPr>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6(c)</w:t>
        <w:tab/>
        <w:t>To reflect preliminary estimated incremental compensation expense of $3.9 million related to severance, retention bonuses and change in control payments resulting from pre-existing employment agreements or from approval from AVROBIO’s board of directors in connection with the merger that had not yet been paid or fully accrued for as of March 31, 2024. As such, the $3.9 million is recorded as an increase in accrued expenses and accumulated deficit in the unaudited pro forma condensed combined balance sheet as of March 31, 2024.</w:t>
      </w:r>
    </w:p>
    <w:p>
      <w:pPr>
        <w:spacing w:after="0" w:line="85"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6(d)</w:t>
        <w:tab/>
        <w:t>To reflect the automatic conversion, on a one-to-one basis, of all outstanding shares of Tectonic convertible preferred stock, with a carrying amount of $80.6 million, into 6,825,483 shares of Tectonic common stock immediately prior to the merger. Tectonic convertible preferred stock outstanding immediately prior to the Closing was comprised of the following:</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Tectonic Convertible Preferred Stock</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4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4,118,120</w:t>
            </w: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1,649,188</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696,516</w:t>
            </w: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361,659</w:t>
            </w:r>
          </w:p>
        </w:tc>
      </w:tr>
      <w:tr>
        <w:trPr>
          <w:trHeight w:val="198"/>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shares of Tectonic convertible preferred stock converted to shares of Tectonic</w:t>
            </w: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immediately prior to the merger</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6,825,483</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4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6(e)</w:t>
        <w:tab/>
        <w:t>To reflect the issuance of 7,790,889 shares of Tectonic common stock pursuant to the Subscription Agreements entered into concurrently with the execution of the Merger Agreement, for an aggregate purchase price of $96.6 million. The proceeds received in connection with the Subscription Agreements are recorded net of transaction costs deemed to be direct and incremental costs of the equity financing in the amount of approximately $2.0 million. The issuance of shares in connection with the Subscription Agreements are recorded as the issuance of Tectonic common stock at par value, with the remaining amount recorded to additional paid-in-capital.</w:t>
      </w:r>
    </w:p>
    <w:p>
      <w:pPr>
        <w:spacing w:after="0" w:line="89" w:lineRule="exact"/>
        <w:rPr>
          <w:sz w:val="20"/>
          <w:szCs w:val="20"/>
          <w:color w:val="auto"/>
        </w:rPr>
      </w:pPr>
    </w:p>
    <w:p>
      <w:pPr>
        <w:ind w:left="660" w:right="780" w:hanging="539"/>
        <w:spacing w:after="0" w:line="272" w:lineRule="auto"/>
        <w:tabs>
          <w:tab w:leader="none" w:pos="640" w:val="left"/>
        </w:tabs>
        <w:rPr>
          <w:sz w:val="20"/>
          <w:szCs w:val="20"/>
          <w:color w:val="auto"/>
        </w:rPr>
      </w:pPr>
      <w:r>
        <w:rPr>
          <w:rFonts w:ascii="Times New Roman" w:cs="Times New Roman" w:eastAsia="Times New Roman" w:hAnsi="Times New Roman"/>
          <w:sz w:val="17"/>
          <w:szCs w:val="17"/>
          <w:color w:val="auto"/>
        </w:rPr>
        <w:t>6(f)</w:t>
      </w:r>
      <w:r>
        <w:rPr>
          <w:sz w:val="20"/>
          <w:szCs w:val="20"/>
          <w:color w:val="auto"/>
        </w:rPr>
        <w:tab/>
      </w:r>
      <w:r>
        <w:rPr>
          <w:rFonts w:ascii="Times New Roman" w:cs="Times New Roman" w:eastAsia="Times New Roman" w:hAnsi="Times New Roman"/>
          <w:sz w:val="17"/>
          <w:szCs w:val="17"/>
          <w:color w:val="auto"/>
        </w:rPr>
        <w:t>To reflect, pursuant to the terms of the Company SAFEs, the automatic redemption of the principal balance of the Company SAFEs of $34.1 million, in the event of a public listing transaction, into 2,752,216 shares of Tectonic common stock at the conversion price of approximately $12.40 per share immediately prior to the closing of the merger, and the change in fair value of the SAFE liabilities of</w:t>
      </w:r>
    </w:p>
    <w:p>
      <w:pPr>
        <w:spacing w:after="0" w:line="2"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$1.5 million immediately prior to the redemption, which represents the difference between principal balance and the fair value of the Company SAFEs as of March 31, 2024, as an increase to accumulated deficit. The redemption is recorded as the issuance of Tectonic common stock at par value, with the remaining amount recorded to additional paid-in-capital.</w:t>
      </w:r>
    </w:p>
    <w:p>
      <w:pPr>
        <w:spacing w:after="0" w:line="91" w:lineRule="exact"/>
        <w:rPr>
          <w:sz w:val="20"/>
          <w:szCs w:val="20"/>
          <w:color w:val="auto"/>
        </w:rPr>
      </w:pPr>
    </w:p>
    <w:p>
      <w:pPr>
        <w:ind w:left="6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6(g)</w:t>
        <w:tab/>
        <w:t>To reflect preliminary estimated transaction costs of $8.7 million incurred by Tectonic in connection with the merger, such as advisory, legal and auditor fees, as an increase in accrued expenses of $5.2 million for transaction costs not yet reflected in the historical financial statements, the derecognition of the deferred offering costs of $3.4 million included in the historical financial statements, and a reduction to additional paid-in capital of $8.7 million in the unaudited pro forma condensed combined balance sheet. As the merger is accounted for as a reverse recapitalization equivalent to the issuance of equity for the net assets, primarily cash, of AVROBIO, these direct and incremental costs are treated as a reduction of the net proceeds received within additional paid-in capital.</w:t>
      </w:r>
    </w:p>
    <w:p>
      <w:pPr>
        <w:spacing w:after="0" w:line="93" w:lineRule="exact"/>
        <w:rPr>
          <w:sz w:val="20"/>
          <w:szCs w:val="20"/>
          <w:color w:val="auto"/>
        </w:rPr>
      </w:pPr>
    </w:p>
    <w:p>
      <w:pPr>
        <w:ind w:left="660" w:right="1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6(h)</w:t>
        <w:tab/>
        <w:t>To reflect preliminary estimated transaction costs of $5.2 million, not yet reflected in the historical financial statements, which were incurred by AVROBIO in connection with the merger, such as advisory,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legal and auditor fees and including the estimated $1.8 million cost of a D&amp;O tail policy. The adjustment is reflected in the unaudited pro forma condensed combined balance sheet as a decrease in cash of $1.8 million to reflect payments made subsequent to March 31, 2024, an increase in accrued expenses of $3.4 million and an increase in accumulated deficit of $5.2 million.</w:t>
      </w:r>
    </w:p>
    <w:p>
      <w:pPr>
        <w:spacing w:after="0" w:line="81" w:lineRule="exact"/>
        <w:rPr>
          <w:sz w:val="20"/>
          <w:szCs w:val="20"/>
          <w:color w:val="auto"/>
        </w:rPr>
      </w:pPr>
    </w:p>
    <w:p>
      <w:pPr>
        <w:jc w:val="both"/>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6(i)</w:t>
        <w:tab/>
        <w:t>To derecognize $0.5 million of AVROBIO’s prepaid expenses consisting of $0.1 million of prepaid research and development expenses related to discontinued research and development activities and $0.4 million of prepaid insurance primarily related to the current AVROBIO’s D&amp;O policy that was fully utilized at Closing.</w:t>
      </w:r>
    </w:p>
    <w:p>
      <w:pPr>
        <w:spacing w:after="0" w:line="81"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6(j)</w:t>
        <w:tab/>
        <w:t>To reflect the derecognition of AVROBIO’s operating leases that were terminated or expired prior to the closing of the merger. The operating lease right-of-use assets of $0.1 million and related operating lease liabilities of $0.2 million, were derecognized, resulting in a $0.1 million gain on termination of lease.</w:t>
      </w:r>
    </w:p>
    <w:p>
      <w:pPr>
        <w:spacing w:after="0" w:line="81" w:lineRule="exact"/>
        <w:rPr>
          <w:sz w:val="20"/>
          <w:szCs w:val="20"/>
          <w:color w:val="auto"/>
        </w:rPr>
      </w:pPr>
    </w:p>
    <w:p>
      <w:pPr>
        <w:jc w:val="both"/>
        <w:ind w:left="660" w:righ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6(k)</w:t>
        <w:tab/>
        <w:t>To reflect the release of $0.7 million of AVROBIO’s restricted cash, consisting of cash used to secure letters of credit in connection with AVROBIO’s lease agreements and corporate credit card program that was terminated prior to the closing of the merger, to cash and cash equivalents.</w:t>
      </w:r>
    </w:p>
    <w:p>
      <w:pPr>
        <w:spacing w:after="0" w:line="81"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6(l)</w:t>
        <w:tab/>
        <w:t>To reflect the acceleration of vesting and net settlement of AVROBIO’s RSUs at Closing as the release of 33,736 shares of AVROBIO common stock after giving effect to the 1-for-12 reverse stock split of AVROBIO common stock that was effected on June 20, 2024, at par value, an increase in accrued expenses of $0.4 million representing the number of shares withheld to satisfy tax withholding and remittance obligations for the vested AVROBIO’s RSUs based on the closing price of AVROBIO common stock on the Nasdaq Global Select Market on June 11, 2024, and a decrease in additional paid-in capital of $0.4 million.</w:t>
      </w:r>
    </w:p>
    <w:p>
      <w:pPr>
        <w:spacing w:after="0" w:line="89"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6(m)</w:t>
        <w:tab/>
        <w:t>To reflect the recapitalization of Tectonic, pursuant to the Merger Agreement, through the contribution of 20,501,890 shares of Tectonic common stock (see Note 5), and the issuance of 10,956,614 shares of AVROBIO common stock, reflecting the Exchange Ratio of 0.53 after giving effect to the 1-for-12 reverse stock split of AVROBIO common stock effected on June 20, 2024, and to reflect the derecognition of the accumulated deficit of AVROBIO which is reversed to additional paid-in capital.</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derecognition of accumulated deficit of AVROBIO of $493.5 million is determined as follows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of AVROBIO as of March 31, 2024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$484,083</w:t>
            </w:r>
          </w:p>
        </w:tc>
        <w:tc>
          <w:tcPr>
            <w:tcW w:w="80" w:type="dxa"/>
            <w:vAlign w:val="bottom"/>
            <w:shd w:val="clear" w:color="auto" w:fill="CCEEFF"/>
          </w:tcPr>
          <w:p>
            <w:pPr>
              <w:spacing w:after="0"/>
              <w:rPr>
                <w:sz w:val="18"/>
                <w:szCs w:val="18"/>
                <w:color w:val="auto"/>
              </w:rPr>
            </w:pPr>
          </w:p>
        </w:tc>
      </w:tr>
      <w:tr>
        <w:trPr>
          <w:trHeight w:val="198"/>
        </w:trPr>
        <w:tc>
          <w:tcPr>
            <w:tcW w:w="6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severance, retention bonuses and change in control</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see Note 6(c)</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of AVROBIO, see Note 6(h)</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 of prepaid research and development and prepaid insurance, see Note 6(i)</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operating leases, see Note 6(j)</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 to derecognize the accumulated deficit of AVROBIO</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493,523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Adjustments to Unaudited Pro Forma Condensed Combined Statement of Operations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660" w:right="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7(A)</w:t>
        <w:tab/>
        <w:t>Derived from the unaudited condensed consolidated statement of operations and comprehensive income (loss) of AVROBIO for the three months ended March 31,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4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7(B)</w:t>
        <w:tab/>
        <w:t>Derived from the unaudited condensed consolidated statement of operations and comprehensive loss of Tectonic for the three months ended March 31, 2024.</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7(C)</w:t>
        <w:tab/>
        <w:t>Derived from the audited consolidated statement of operations and comprehensive loss of AVROBIO for the year ended December 31, 2023.</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7(D)</w:t>
        <w:tab/>
        <w:t>Derived from the audited consolidated statement of operations and comprehensive loss of Tectonic for the year ended December 31, 2023.</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Given Tectonic’s history of net losses and valuation allowance, management assumed an effective tax rate of 0%. Therefore, the pro forma adjustments to the unaudited pro forma condensed combined statement of operations resulted in no additional income tax adjustment to the unaudited pro forma condensed combined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Statement of Operations Transaction Accounting Adjustments:</w:t>
      </w:r>
    </w:p>
    <w:p>
      <w:pPr>
        <w:spacing w:after="0" w:line="135" w:lineRule="exact"/>
        <w:rPr>
          <w:sz w:val="20"/>
          <w:szCs w:val="20"/>
          <w:color w:val="auto"/>
        </w:rPr>
      </w:pPr>
    </w:p>
    <w:p>
      <w:pPr>
        <w:ind w:left="540" w:right="220" w:hanging="41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7(a)</w:t>
        <w:tab/>
        <w:t>To reflect preliminary estimated incremental compensation expense related to severance, retention bonuses and change in control payments recorded in research and development expenses of $1.3 million and general and administrative expenses of $2.6 million, resulting from pre-existing employment agreements or from approval from AVROBIO’s board of directors in connection with the merger that had not yet been paid or fully accrued for as of March 31, 2024 assuming that the adjustment described in Note 6(c) was made on January 1, 2023.</w:t>
      </w:r>
    </w:p>
    <w:p>
      <w:pPr>
        <w:spacing w:after="0" w:line="85" w:lineRule="exact"/>
        <w:rPr>
          <w:sz w:val="20"/>
          <w:szCs w:val="20"/>
          <w:color w:val="auto"/>
        </w:rPr>
      </w:pPr>
    </w:p>
    <w:p>
      <w:pPr>
        <w:ind w:left="540" w:hanging="41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7(b)</w:t>
        <w:tab/>
        <w:t>To reflect AVROBIO’s estimated advisory, legal, audit and other costs related to the merger, including the estimated cost of a D&amp;O tail policy, that were not recorded in its historical financial statements as an increase to general and administrative expenses in the unaudited pro forma condensed combined statement of operations for the year ended December 31, 2023 assuming that the adjustment described in Note 6(h) was made on January 1, 2023.</w:t>
      </w:r>
    </w:p>
    <w:p>
      <w:pPr>
        <w:spacing w:after="0" w:line="85" w:lineRule="exact"/>
        <w:rPr>
          <w:sz w:val="20"/>
          <w:szCs w:val="20"/>
          <w:color w:val="auto"/>
        </w:rPr>
      </w:pPr>
    </w:p>
    <w:p>
      <w:pPr>
        <w:jc w:val="both"/>
        <w:ind w:left="540" w:right="400" w:hanging="41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7(c)</w:t>
        <w:tab/>
        <w:t>To reflect the derecognition of AVROBIO’s prepaid research and development expenses of $0.1 million related to discontinued research and development activities, and prepaid insurance of $0.4 million primarily related to AVROBIO’s D&amp;O policy that was fully utilized at Closing, assuming the adjustment made in Note 6(i) was made on January 1, 2023.</w:t>
      </w:r>
    </w:p>
    <w:p>
      <w:pPr>
        <w:spacing w:after="0" w:line="81" w:lineRule="exact"/>
        <w:rPr>
          <w:sz w:val="20"/>
          <w:szCs w:val="20"/>
          <w:color w:val="auto"/>
        </w:rPr>
      </w:pPr>
    </w:p>
    <w:p>
      <w:pPr>
        <w:ind w:left="540" w:right="56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7(d)</w:t>
        <w:tab/>
        <w:t>To eliminate the change in fair value of SAFE liabilities that was included in the historical financial statements, assuming that the principal balance of the Company SAFEs was redeemed for shares of Tectonic common stock on January 1, 2023.</w:t>
      </w:r>
    </w:p>
    <w:p>
      <w:pPr>
        <w:spacing w:after="0" w:line="54" w:lineRule="exact"/>
        <w:rPr>
          <w:sz w:val="20"/>
          <w:szCs w:val="20"/>
          <w:color w:val="auto"/>
        </w:rPr>
      </w:pPr>
    </w:p>
    <w:p>
      <w:pPr>
        <w:ind w:left="560" w:right="420"/>
        <w:spacing w:after="0" w:line="282" w:lineRule="auto"/>
        <w:rPr>
          <w:sz w:val="20"/>
          <w:szCs w:val="20"/>
          <w:color w:val="auto"/>
        </w:rPr>
      </w:pPr>
      <w:r>
        <w:rPr>
          <w:rFonts w:ascii="Times New Roman" w:cs="Times New Roman" w:eastAsia="Times New Roman" w:hAnsi="Times New Roman"/>
          <w:sz w:val="18"/>
          <w:szCs w:val="18"/>
          <w:color w:val="auto"/>
        </w:rPr>
        <w:t>The pro forma adjustment also reflects the change in fair value of SAFE liabilities of $1.5 million immediately prior to the redemption of the Company SAFEs, assuming that the adjustment described in Note 6(f) was made on January 1, 2023.</w:t>
      </w:r>
    </w:p>
    <w:p>
      <w:pPr>
        <w:spacing w:after="0" w:line="67" w:lineRule="exact"/>
        <w:rPr>
          <w:sz w:val="20"/>
          <w:szCs w:val="20"/>
          <w:color w:val="auto"/>
        </w:rPr>
      </w:pPr>
    </w:p>
    <w:p>
      <w:pPr>
        <w:ind w:left="540" w:right="18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7(e)</w:t>
        <w:tab/>
        <w:t>To reflect the gain on termination of AVROBIO’s operating leases of $0.1 million, relating to AVROBIO’s operating leases that were terminated or expired prior to the closing of the merger assuming that the adjustment described in Note 6(j) was made on January 1,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1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7(f)</w:t>
        <w:tab/>
        <w:t>The pro forma combined basic and diluted net income (loss) per share have been adjusted to reflect the pro forma net losses for the three months ended March 31, 2024, and the year ended December 31, 2023. In addition, the number of shares used in calculating the pro forma combined basic and diluted net loss per share has been adjusted to reflect the estimated total number of shares of common stock of the combined company that would be outstanding at the Closing of the merger, after giving effect to the 1-for-12 reverse stock split of AVROBIO common stock that was effected on June 20, 2024. For the three months ended March 31, 2024 and the year ended December 31, 2023, the pro forma weighted average shares outstanding, after giving effect to the aforementioned reverse stock split, has been calculated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260" w:type="dxa"/>
            <w:vAlign w:val="bottom"/>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Basic and Diluted</w:t>
            </w:r>
          </w:p>
        </w:tc>
        <w:tc>
          <w:tcPr>
            <w:tcW w:w="28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98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80" w:type="dxa"/>
            <w:vAlign w:val="bottom"/>
          </w:tcPr>
          <w:p>
            <w:pPr>
              <w:spacing w:after="0"/>
              <w:rPr>
                <w:sz w:val="12"/>
                <w:szCs w:val="12"/>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weighted-average number of Tectonic common shares outstanding</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2,608,740</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2,373,674</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2,373,674</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Tectonic stock option exercises subsequent to March 31, 2024, assuming consummation of the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as of January 1, 2023, see Note 6(a)</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496,182</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496,182</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496,182</w:t>
            </w:r>
          </w:p>
        </w:tc>
      </w:tr>
      <w:tr>
        <w:trPr>
          <w:trHeight w:val="198"/>
        </w:trPr>
        <w:tc>
          <w:tcPr>
            <w:tcW w:w="7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Tectonic convertible preferred stock assuming conversion as of January 1, 2023, see</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6(d)</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6,825,483</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6,825,483</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6,825,483</w:t>
            </w: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Tectonic private financing transactions assuming consummation of the merger as of</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 2023, see Note 6(e) and 6(f)</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10,543,105</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10,543,105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10,543,105</w:t>
            </w:r>
          </w:p>
        </w:tc>
      </w:tr>
      <w:tr>
        <w:trPr>
          <w:trHeight w:val="27"/>
        </w:trPr>
        <w:tc>
          <w:tcPr>
            <w:tcW w:w="7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20,473,510</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20,238,444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20,238,444</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exchange ratio to historical Tectonic weighted-average shares outstanding</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0.53</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0.53</w:t>
            </w:r>
          </w:p>
        </w:tc>
      </w:tr>
      <w:tr>
        <w:trPr>
          <w:trHeight w:val="27"/>
        </w:trPr>
        <w:tc>
          <w:tcPr>
            <w:tcW w:w="7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Tectonic weighted-average number of common shares outstanding</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10,941,453</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10,815,829</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10,815,829</w:t>
            </w: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Historical weighted-average number of AVROBIO common shares outstanding, after giving</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to the 1-for-12 reverse stock split of AVROBIO common stock</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3,732,568</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3,693,933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3,713,993</w:t>
            </w:r>
          </w:p>
        </w:tc>
      </w:tr>
      <w:tr>
        <w:trPr>
          <w:trHeight w:val="198"/>
        </w:trPr>
        <w:tc>
          <w:tcPr>
            <w:tcW w:w="7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AVROBIO common stock issued subsequent to March 31, 2024, assuming</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consummation of the merger as of January 1, 2023, see Note 6(b)</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3,787</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3,787</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3,787</w:t>
            </w: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awards subject to outstanding AVROBIO RSUs that fully vest upon consummation of the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(1)</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33,736</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33,736</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33,736</w:t>
            </w:r>
          </w:p>
        </w:tc>
      </w:tr>
      <w:tr>
        <w:trPr>
          <w:trHeight w:val="27"/>
        </w:trPr>
        <w:tc>
          <w:tcPr>
            <w:tcW w:w="7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combined weighted average number of common shares outstanding</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14,711,544</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14,547,285</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14,567,345</w:t>
            </w:r>
          </w:p>
        </w:tc>
      </w:tr>
      <w:tr>
        <w:trPr>
          <w:trHeight w:val="20"/>
        </w:trPr>
        <w:tc>
          <w:tcPr>
            <w:tcW w:w="7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0" w:hanging="424"/>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AVROBIO RSUs outstanding as of the Closing, net of the number of shares withheld to satisfy tax withholding and remittance obligations and after giving effect to the 1-for-12 reverse stock split of AVROBIO common stock that was effected on June 20, 2024, including 25,032 RSUs that vested in full immediately prior to the Closing in accordance with the terms of the original awards and 8,704 RSUs that vested in full as a result of the merger.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interim consolidated financial statements and the related notes thereto as of March 31, 2024, and for the three months ended March 31, 2024 and 2023, included elsewhere in this prospectus and our audited consolidated financial statements as of and for the fiscal year ended December 31, 2024 and the related notes appearing elsewhere or incorporated by reference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described in or implied by these forward-looking statements. Factors that could cause or contribute to such differences include, but are not limited to, those discussed in the “Risk Factors” section of this prospectus.</w:t>
      </w:r>
    </w:p>
    <w:p>
      <w:pPr>
        <w:spacing w:after="0" w:line="29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firstLine="440"/>
        <w:spacing w:after="0" w:line="233" w:lineRule="auto"/>
        <w:rPr>
          <w:sz w:val="20"/>
          <w:szCs w:val="20"/>
          <w:color w:val="auto"/>
        </w:rPr>
      </w:pPr>
      <w:r>
        <w:rPr>
          <w:rFonts w:ascii="Times New Roman" w:cs="Times New Roman" w:eastAsia="Times New Roman" w:hAnsi="Times New Roman"/>
          <w:sz w:val="18"/>
          <w:szCs w:val="18"/>
          <w:color w:val="auto"/>
        </w:rPr>
        <w:t>We are a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or extend duration of life.</w:t>
      </w:r>
    </w:p>
    <w:p>
      <w:pPr>
        <w:spacing w:after="0" w:line="20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92" w:lineRule="exact"/>
        <w:rPr>
          <w:sz w:val="20"/>
          <w:szCs w:val="20"/>
          <w:color w:val="auto"/>
        </w:rPr>
      </w:pPr>
    </w:p>
    <w:p>
      <w:pPr>
        <w:ind w:left="120" w:right="40" w:firstLine="440"/>
        <w:spacing w:after="0" w:line="264" w:lineRule="auto"/>
        <w:rPr>
          <w:sz w:val="20"/>
          <w:szCs w:val="20"/>
          <w:color w:val="auto"/>
        </w:rPr>
      </w:pPr>
      <w:r>
        <w:rPr>
          <w:rFonts w:ascii="Times New Roman" w:cs="Times New Roman" w:eastAsia="Times New Roman" w:hAnsi="Times New Roman"/>
          <w:sz w:val="18"/>
          <w:szCs w:val="18"/>
          <w:color w:val="auto"/>
        </w:rPr>
        <w:t>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We believe TX45’s pharmacological profile, the direct result of applying our protein engineering capabilities, has the potential to overcome the limitations that have impeded previous attempts to develop relaxin as a therapeutic protein. To interrogate the therapeutic potential of relaxin, we have identified: Group 2 Pulmonary Hypertension (“PH”) in the setting of Heart Failure with Preserved Ejection Fraction (“HFpEF”), referred to as Group 2 PH / HFpEF hereafter, as the initial disease setting. We hypothesize that in this setting, treatment with relaxin could improve hemodynamics through effects on pulmonary and systemic vasodilation, cardiac diastolic remodeling and potential remodeling in both the pulmonary vessels and the heart which could translate into a clinically meaningful improvement in exercise capacity in these patients. Clinical trials are planned to confirm this hypothesis. Despite this belief, our business carries substantial risks, including our limited experience in therapeutic discovery and development, and the risk that the platform may never result in the regulatory approval of a product candidate.</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our inception in 2019, our operations have focused on organizing and staffing our company, business planning, raising capital, establishing our intellectual property portfolio and conducting preclinical studies and clinical trials. Our operations have been funded primarily with proceeds from sales of Legacy Tectonic’s Series A-1, A-2, A-3, and A-4 convertible preferred stock (collectively, the “Preferred Stock”), proceeds from the issuance of common stock, proceeds from issuance of convertible promissory notes, which were all converted to convertible preferred stock in March 2021 and proceeds from issuance of Simple Agreements for Future Equity (“SAFEs”) in October and December 2023. From our inception through March 31, 2024, we received $114.7 million in capital contributions from sales of Preferred Stock, issuance of convertible promissory notes, and proceeds from issuance of SAFEs. As of March 31, 2024, we had $18.7 million in cash and cash equivalents. Upon the consummation of the transactions contemplated by that certain Agreement and Plan of Merger and Reorganization (the “Merger Agreement”) dated January 30, 2024 by and among AVROBIO, Inc. (“AVROBIO”), Alpine Merger Subsidiary, Inc. and Tectonic Operating Company, Inc. on June 20, 2024 (the “Merger”), we received $77.3 million in cash proceeds from AVROBIO, and $96.6 million in proceeds related to the sale of shares to investors pursuant to that certain subscription agreement dated January 30, 2024 among Legacy Tectonic and certain investors (the “Subscription Agreement”).</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Since our inception, we have incurred significant operating losses. Our net losses were $15.2 million and $14.4 million for the three months ended March 31, 2024 and 2023, respectively. As of March 31, 2024, we had an accumulated deficit of $105.8 million. We expect to continue to incur significant expenses and operating losses for the foreseeable future. We anticipate that our expenses will increase significantly in connection with our ongoing activities, as we:</w:t>
      </w:r>
    </w:p>
    <w:p>
      <w:pPr>
        <w:spacing w:after="0" w:line="85"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research and development of our lead product candidate TX45 and our other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scale up external manufacturing capacity with the aim of securing sufficient quantities to meet our capacity requirements for clinical trials and eventual potential commercialization;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82"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 candidate for which we may obtain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manufacturing personnel;</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discovery, clinical, operational, financial and management information systems and personnel, including personnel to support our product development and planned future commercialization efforts;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investor relations and other expenses associated with operating as a public company.</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one or more of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 Further, we will continue to incur additional costs associated with operating as a public company.</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public or private equity offerings, debt financings or other capital sources, which may include collaborations with other companies, marketing, distribution or licensing arrangements with third parties,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our product discovery and development programs or commercialization efforts.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is unable to sustain profitability on a continuing basis, then we may be unable to continue our operations at planned levels and be forced to reduce or terminate our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On January 30, 2024, Legacy Tectonic entered into the Merger Agreement with AVROBIO and Merger Sub. Pursuant to the Merger Agreement, on June 20, 2024, Merger Sub merged with and into Legacy Tectonic, with Legacy Tectonic surviving as a wholly owned subsidiary of AVROBIO.</w:t>
      </w:r>
    </w:p>
    <w:p>
      <w:pPr>
        <w:spacing w:after="0" w:line="14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(a) each outstanding share of Legacy Tectonic common stock (including shares of Legacy Tectonic common stock issued upon conversion of its preferred stock and the shares issued pursuant to the Subscription Agreement and conversion of the SAFEs) was converted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Immediately after the Merger, AVROBIO securityholders as of immediately prior to the Merger owned approximately 24.8% of the outstanding shares of capital stock of the Company on a diluted basis. Immediately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82"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after the Merger, Legacy Tectonic securityholders owned approximately 38.5% of the outstanding shares of capital stock of the Company on a diluted basis. Investors participating in the Subscription Agreement and the SAFEs owned approximately 27.1% and 9.6% of the outstanding shares of capital stock of the Company, respectively, on a diluted basis.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Legacy Tectonic stockholders received approximately 10,956,614 shares of AVROBIO common stock in connection with the Merger, including 11,448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Concurrently with the closing of the Merger, on June 20, 2024, certain investors completed the purchase of shares of Legacy Tectonic common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pursuant to the Subscription Agreement at a price of approximately $12.40 per share, for an aggregate purchase price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$96.6 million. The shares of Legacy Tectonic common stock that were issued pursuant to the Subscription Agreement were converted into 4,163,606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the Company’s common stock upon the closing of the Merger based on the exchange ratio, pursuant to the Merger Agreement.</w:t>
      </w:r>
    </w:p>
    <w:p>
      <w:pPr>
        <w:spacing w:after="0" w:line="20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Following the closing of the Merger, Legacy Tectonic was considered the accounting acquirer for financial reporting purposes and we are accounting for the Merger as an in-substance reverse recapitalization of AVROBIO by Tectonic. See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included elsewhere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we are closely monitoring the impact of the current macroeconomic conditions on all aspects of its business, including the impacts on our participants in our clinical trials, employees, suppliers, vendors and collaboration partners, the ultimate extent of the impact on our business remains highly uncertain and will depend on future developments and factors that continue to evolve. Most of these developments and factors are outside our control and could exist for an extended period of time. We will continue to evaluate the nature and extent of the potential impacts to our business, results of operations, liquidity and capital resources.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since our inception and we do not expect to generate any revenue from the sale of products in the foreseeable future, if at all. If our development efforts for our product candidates are successful and result in regulatory approval, or in collaboration or license agreements with third parties, we may generate revenue in the future from product sales or payments from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its product candidates.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60"/>
          </w:cols>
          <w:pgMar w:left="320" w:top="482"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development of its programs and platform. These expenses include:</w:t>
      </w:r>
    </w:p>
    <w:p>
      <w:pPr>
        <w:spacing w:after="0" w:line="67" w:lineRule="exact"/>
        <w:rPr>
          <w:sz w:val="20"/>
          <w:szCs w:val="20"/>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share-based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our programs and our product candidates, including under agreements with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direct research and development expenses related to the development of our lead product candidate, TX45,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Costs that are deployed across multiple of our programs, including the HHT program and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employee costs, cross-program payments made under third-party licensing agreements, costs of laboratory supplies and facilities expenses, including rent, depreciation and other indirect costs, the costs of our discovery efforts and projects are included in unallocated employee-related expenses, laboratory supplies and other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share-based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travel expenses, office and information technology costs and facilities, depreciation and other expenses related to general and administrative activities, which include direct or allocated expenses for rent and maintenance of facilities and utilities.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the we are expected to incur significantly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Issuance of SAFEs and Change in Fair Value of SAFE Liabilities</w:t>
      </w:r>
    </w:p>
    <w:p>
      <w:pPr>
        <w:spacing w:after="0" w:line="11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October and December 2023, Legacy Tectonic issued SAFEs for proceeds of $34.1 million. The SAFEs were recorded as liabilities in the consolidated balance sheet at their fair value on the issuance dates. Until redemption, the SAFEs were measured at a fair value on a recurring basis, with subsequent changes in fair value recorded in other income and expenses on the consolidated statement of operations and comprehensive loss. Legacy Tectonic recorded a loss of $2.1 million resulting from the remeasurement of the SAFEs to fair value from December 31, 2023 to March 31, 2024.</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Merger, the principal balance of the SAFEs was automatically redeemed into 2,752,216 shares of Legacy Tectonic’s common stock at the conversion price of approximately $12.40 per share. At the closing of the Merger, shares of Legacy Tectonic common stock issued pursuant to the redemption of the SAFEs were converted into 1,470,839 shares of the Company’s common stock based on the exchange ratio, pursuant to the Merger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our invested cash balances, which consist of deposit accounts and a sweep account.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primarily consists of interest expense on finance lease liabilities.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(expense), net primarily consists of the difference between transactional currency and functional currency.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incurred or for the research and development tax credits earned in each year by our operations in the United States, as we believe, based upon the weight of available evidence, that it is more likely than not that all of our net operating loss carryforwards and tax credit carryforwards will not be realized.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82"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6"/>
          </w:tcPr>
          <w:p>
            <w:pPr>
              <w:jc w:val="center"/>
              <w:ind w:right="820"/>
              <w:spacing w:after="0"/>
              <w:rPr>
                <w:sz w:val="20"/>
                <w:szCs w:val="20"/>
                <w:color w:val="auto"/>
              </w:rPr>
            </w:pPr>
            <w:r>
              <w:rPr>
                <w:rFonts w:ascii="Times New Roman" w:cs="Times New Roman" w:eastAsia="Times New Roman" w:hAnsi="Times New Roman"/>
                <w:sz w:val="14"/>
                <w:szCs w:val="14"/>
                <w:color w:val="auto"/>
              </w:rPr>
              <w:t>March 31,</w:t>
            </w:r>
          </w:p>
        </w:tc>
        <w:tc>
          <w:tcPr>
            <w:tcW w:w="120" w:type="dxa"/>
            <w:vAlign w:val="bottom"/>
          </w:tcPr>
          <w:p>
            <w:pPr>
              <w:spacing w:after="0"/>
              <w:rPr>
                <w:sz w:val="14"/>
                <w:szCs w:val="14"/>
                <w:color w:val="auto"/>
              </w:rPr>
            </w:pPr>
          </w:p>
        </w:tc>
        <w:tc>
          <w:tcPr>
            <w:tcW w:w="104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Change</w:t>
            </w:r>
          </w:p>
        </w:tc>
        <w:tc>
          <w:tcPr>
            <w:tcW w:w="5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center"/>
              <w:ind w:right="35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gridSpan w:val="4"/>
          </w:tcPr>
          <w:p>
            <w:pPr>
              <w:jc w:val="right"/>
              <w:ind w:right="406"/>
              <w:spacing w:after="0"/>
              <w:rPr>
                <w:sz w:val="20"/>
                <w:szCs w:val="20"/>
                <w:color w:val="auto"/>
              </w:rPr>
            </w:pPr>
            <w:r>
              <w:rPr>
                <w:rFonts w:ascii="Times New Roman" w:cs="Times New Roman" w:eastAsia="Times New Roman" w:hAnsi="Times New Roman"/>
                <w:sz w:val="18"/>
                <w:szCs w:val="18"/>
                <w:color w:val="auto"/>
              </w:rPr>
              <w:t>$ 10,818</w:t>
            </w:r>
          </w:p>
        </w:tc>
        <w:tc>
          <w:tcPr>
            <w:tcW w:w="9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$ 12,985</w:t>
            </w:r>
          </w:p>
        </w:tc>
        <w:tc>
          <w:tcPr>
            <w:tcW w:w="12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$(2,167)</w:t>
            </w:r>
          </w:p>
        </w:tc>
        <w:tc>
          <w:tcPr>
            <w:tcW w:w="2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gridSpan w:val="4"/>
            <w:shd w:val="clear" w:color="auto" w:fill="CCEEFF"/>
          </w:tcPr>
          <w:p>
            <w:pPr>
              <w:jc w:val="right"/>
              <w:ind w:right="406"/>
              <w:spacing w:after="0"/>
              <w:rPr>
                <w:sz w:val="20"/>
                <w:szCs w:val="20"/>
                <w:color w:val="auto"/>
              </w:rPr>
            </w:pPr>
            <w:r>
              <w:rPr>
                <w:rFonts w:ascii="Times New Roman" w:cs="Times New Roman" w:eastAsia="Times New Roman" w:hAnsi="Times New Roman"/>
                <w:sz w:val="18"/>
                <w:szCs w:val="18"/>
                <w:color w:val="auto"/>
              </w:rPr>
              <w:t>2,150</w:t>
            </w:r>
          </w:p>
        </w:tc>
        <w:tc>
          <w:tcPr>
            <w:tcW w:w="9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4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20" w:type="dxa"/>
            <w:vAlign w:val="bottom"/>
            <w:gridSpan w:val="4"/>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(12,968)</w:t>
            </w:r>
          </w:p>
        </w:tc>
        <w:tc>
          <w:tcPr>
            <w:tcW w:w="9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(14,531)</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1620" w:type="dxa"/>
            <w:vAlign w:val="bottom"/>
            <w:gridSpan w:val="4"/>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(2,075)</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(2,075)</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gridSpan w:val="4"/>
          </w:tcPr>
          <w:p>
            <w:pPr>
              <w:jc w:val="right"/>
              <w:ind w:right="406"/>
              <w:spacing w:after="0"/>
              <w:rPr>
                <w:sz w:val="20"/>
                <w:szCs w:val="20"/>
                <w:color w:val="auto"/>
              </w:rPr>
            </w:pPr>
            <w:r>
              <w:rPr>
                <w:rFonts w:ascii="Times New Roman" w:cs="Times New Roman" w:eastAsia="Times New Roman" w:hAnsi="Times New Roman"/>
                <w:sz w:val="18"/>
                <w:szCs w:val="18"/>
                <w:color w:val="auto"/>
              </w:rPr>
              <w:t>256</w:t>
            </w:r>
          </w:p>
        </w:tc>
        <w:tc>
          <w:tcPr>
            <w:tcW w:w="9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gridSpan w:val="4"/>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tcPr>
          <w:p>
            <w:pPr>
              <w:spacing w:after="0"/>
              <w:rPr>
                <w:sz w:val="18"/>
                <w:szCs w:val="18"/>
                <w:color w:val="auto"/>
              </w:rPr>
            </w:pPr>
          </w:p>
        </w:tc>
        <w:tc>
          <w:tcPr>
            <w:tcW w:w="1140" w:type="dxa"/>
            <w:vAlign w:val="bottom"/>
            <w:gridSpan w:val="3"/>
          </w:tcPr>
          <w:p>
            <w:pPr>
              <w:jc w:val="right"/>
              <w:ind w:right="346"/>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8"/>
                <w:szCs w:val="18"/>
                <w:color w:val="auto"/>
              </w:rPr>
            </w:pPr>
          </w:p>
        </w:tc>
        <w:tc>
          <w:tcPr>
            <w:tcW w:w="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—  %</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(2,253)</w:t>
            </w:r>
          </w:p>
        </w:tc>
        <w:tc>
          <w:tcPr>
            <w:tcW w:w="9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(2,339)</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3"/>
        </w:trPr>
        <w:tc>
          <w:tcPr>
            <w:tcW w:w="5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(15,221</w:t>
            </w:r>
          </w:p>
        </w:tc>
        <w:tc>
          <w:tcPr>
            <w:tcW w:w="480" w:type="dxa"/>
            <w:vAlign w:val="bottom"/>
          </w:tcPr>
          <w:p>
            <w:pPr>
              <w:jc w:val="right"/>
              <w:ind w:right="346"/>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(14,445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(776)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Change</w:t>
            </w:r>
          </w:p>
        </w:tc>
        <w:tc>
          <w:tcPr>
            <w:tcW w:w="5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700" w:type="dxa"/>
            <w:vAlign w:val="bottom"/>
            <w:tcBorders>
              <w:top w:val="single" w:sz="8" w:color="auto"/>
            </w:tcBorders>
            <w:gridSpan w:val="2"/>
          </w:tcPr>
          <w:p>
            <w:pPr>
              <w:jc w:val="right"/>
              <w:ind w:right="186"/>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920" w:type="dxa"/>
            <w:vAlign w:val="bottom"/>
            <w:tcBorders>
              <w:top w:val="single" w:sz="8" w:color="auto"/>
            </w:tcBorders>
            <w:gridSpan w:val="3"/>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ind w:right="141"/>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TX45</w:t>
            </w:r>
          </w:p>
        </w:tc>
        <w:tc>
          <w:tcPr>
            <w:tcW w:w="1620" w:type="dxa"/>
            <w:vAlign w:val="bottom"/>
            <w:gridSpan w:val="4"/>
          </w:tcPr>
          <w:p>
            <w:pPr>
              <w:jc w:val="right"/>
              <w:ind w:right="26"/>
              <w:spacing w:after="0"/>
              <w:rPr>
                <w:sz w:val="20"/>
                <w:szCs w:val="20"/>
                <w:color w:val="auto"/>
              </w:rPr>
            </w:pPr>
            <w:r>
              <w:rPr>
                <w:rFonts w:ascii="Times New Roman" w:cs="Times New Roman" w:eastAsia="Times New Roman" w:hAnsi="Times New Roman"/>
                <w:sz w:val="18"/>
                <w:szCs w:val="18"/>
                <w:color w:val="auto"/>
              </w:rPr>
              <w:t>$ 5,710</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$ 8,655</w:t>
            </w:r>
          </w:p>
        </w:tc>
        <w:tc>
          <w:tcPr>
            <w:tcW w:w="11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620" w:type="dxa"/>
            <w:vAlign w:val="bottom"/>
            <w:gridSpan w:val="4"/>
          </w:tcPr>
          <w:p>
            <w:pPr>
              <w:jc w:val="right"/>
              <w:ind w:right="26"/>
              <w:spacing w:after="0"/>
              <w:rPr>
                <w:sz w:val="20"/>
                <w:szCs w:val="20"/>
                <w:color w:val="auto"/>
              </w:rPr>
            </w:pPr>
            <w:r>
              <w:rPr>
                <w:rFonts w:ascii="Times New Roman" w:cs="Times New Roman" w:eastAsia="Times New Roman" w:hAnsi="Times New Roman"/>
                <w:sz w:val="18"/>
                <w:szCs w:val="18"/>
                <w:color w:val="auto"/>
              </w:rPr>
              <w:t>3,203</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2,853</w:t>
            </w:r>
          </w:p>
        </w:tc>
        <w:tc>
          <w:tcPr>
            <w:tcW w:w="11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350</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services</w:t>
            </w:r>
          </w:p>
        </w:tc>
        <w:tc>
          <w:tcPr>
            <w:tcW w:w="1620" w:type="dxa"/>
            <w:vAlign w:val="bottom"/>
            <w:gridSpan w:val="4"/>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784</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1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511</w:t>
            </w: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1620" w:type="dxa"/>
            <w:vAlign w:val="bottom"/>
            <w:gridSpan w:val="4"/>
          </w:tcPr>
          <w:p>
            <w:pPr>
              <w:jc w:val="right"/>
              <w:ind w:right="26"/>
              <w:spacing w:after="0"/>
              <w:rPr>
                <w:sz w:val="20"/>
                <w:szCs w:val="20"/>
                <w:color w:val="auto"/>
              </w:rPr>
            </w:pPr>
            <w:r>
              <w:rPr>
                <w:rFonts w:ascii="Times New Roman" w:cs="Times New Roman" w:eastAsia="Times New Roman" w:hAnsi="Times New Roman"/>
                <w:sz w:val="18"/>
                <w:szCs w:val="18"/>
                <w:color w:val="auto"/>
              </w:rPr>
              <w:t>1,121</w:t>
            </w:r>
          </w:p>
        </w:tc>
        <w:tc>
          <w:tcPr>
            <w:tcW w:w="3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1,204</w:t>
            </w:r>
          </w:p>
        </w:tc>
        <w:tc>
          <w:tcPr>
            <w:tcW w:w="11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20" w:type="dxa"/>
            <w:vAlign w:val="bottom"/>
            <w:gridSpan w:val="4"/>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$10,818</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12,985</w:t>
            </w:r>
          </w:p>
        </w:tc>
        <w:tc>
          <w:tcPr>
            <w:tcW w:w="116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(2,167)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$10.8 million for the three months ended March 31, 2024, as compared to $13.0 million for the three months ended March 31, 2023. The decrease of $2.2 million was primarily due to a decrease of $2.9 million in direct research and development expenses which were specifically attributed to our lead product candidate, TX45. This decrease resulted from a reduction of $5.2 million in direct research and development expenses which were specifically attributed to the end of a development and manufacturing services contract term with a major customer, partially offset by an increase of $2.3 million in clinical trial CRO costs. The increase of $0.4 million in personnel related costs was primarily due to severance and related costs incurred as a result of a reduction in force that occurred during the three months ended March 31, 2024. The increase of $0.5 million in external services was primarily due to an increase in consulting and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82"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professional services to support the ongoing development activities. The decrease of less than $0.1 million in facility, supplies and other expenses was primarily due to decreased travel costs and laboratory service and equipment purchases.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8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8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44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$1,246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$1,015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c>
          <w:tcPr>
            <w:tcW w:w="4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2,150</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1,546</w:t>
            </w:r>
          </w:p>
        </w:tc>
        <w:tc>
          <w:tcPr>
            <w:tcW w:w="4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40" w:type="dxa"/>
            <w:vAlign w:val="bottom"/>
            <w:vMerge w:val="continue"/>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$2.2 million for the three months ended March 31, 2024 as compared to $1.5 million for the three months ended March 31, 2023. The increase of $0.6 million resulted from an increase of $0.2 million in personnel related costs and was primarily due to severance and costs incurred as a result of a reduction in force that occurred during the three months ended March 31, 2024. The increase of $0.2 million in professional and consultant fees was related to an increase in consulting and professional services fees to support Merger related activities during the three months ended March 31, 2024. The increase of $0.2 million in facility related costs and other expenses was due to increased office and insurance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SAFE liabilities loss of $2.1 million resulted from the remeasurement of the SAFE liabilities to fair value from December 31, 2023 to March 31,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Interest income increased by $0.1 million for the three months ended March 31, 2024 compared to the three months ended March 31, 2023 due to an increase in interest rates in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was consistent for the three months ended March 31,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Other expense increased by $0.4 million for the three months ended March 31, 2024 compared to the three months ended March 31, 2023 due to the reversal of an Australian research and development tax credit claim during the three months ended March 31,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58" w:lineRule="auto"/>
        <w:rPr>
          <w:sz w:val="20"/>
          <w:szCs w:val="20"/>
          <w:color w:val="auto"/>
        </w:rPr>
      </w:pPr>
      <w:r>
        <w:rPr>
          <w:rFonts w:ascii="Times New Roman" w:cs="Times New Roman" w:eastAsia="Times New Roman" w:hAnsi="Times New Roman"/>
          <w:sz w:val="18"/>
          <w:szCs w:val="18"/>
          <w:color w:val="auto"/>
        </w:rPr>
        <w:t>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have any approved products and we have never generated any revenue from product sales. Historically, we have funded our operations primarily through proceeds from sales of Preferred Stock and common stock, proceeds from issuance of convertible promissory notes, and proceeds from issuance of SAFEs. From inception through March 31, 2024, we had received $114.7 million in capital contributions from sales of Preferred Stock and convertible promissory notes and proceeds from issuance of SAFEs. As of March 31, 2024, we had $18.7 million in cash and cash equivalents and an accumulated deficit of $105.8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2024 and 2023:</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71"/>
        </w:trPr>
        <w:tc>
          <w:tcPr>
            <w:tcW w:w="6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March 31,</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spacing w:after="0"/>
              <w:rPr>
                <w:sz w:val="12"/>
                <w:szCs w:val="12"/>
                <w:color w:val="auto"/>
              </w:rPr>
            </w:pPr>
          </w:p>
        </w:tc>
        <w:tc>
          <w:tcPr>
            <w:tcW w:w="7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(9,273)</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(668)</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(10,021)</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(11,094)</w:t>
            </w:r>
          </w:p>
        </w:tc>
      </w:tr>
      <w:tr>
        <w:trPr>
          <w:trHeight w:val="20"/>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$9.3 million of cash, primarily resulting from a net loss of $15.2 million, offset by changes in our operating assets and liabilities of $2.9 million and non-cash charges of $3.1 million. Non-cash charges primarily consisted of $2.1 million change in fair value of the SAFE liabilities, $0.4 million in depreciation and amortization expense, $0.3 million in stock-based compensation expense, and $0.3 million in non-cash lease expense. Net cash provided by changes in our operating assets and liabilities consisted primarily of a $1.5 million increase in accounts payable, a $1.4 million increase in accrued expenses and other current liabilities, and a $0.3 million decrease in prepaid expenses and other current assets, partially offset by a $0.3 million decrease in operating lease liabilities. The increase in accrued expenses and other current liabilities and accounts payable was primarily due to the timing of vendor and research partner payments and invoicing. The decrease in prepaid and other current assets was due to a reassessment of the tax benefit amount related to Australia. The decrease in operating lease liabilities was primarily due to the lease payments made during the three months ended March 31, 2024.</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months ended March 31, 2023, operating activities used $10.8 million of cash, primarily resulting from a net loss of</w:t>
      </w:r>
    </w:p>
    <w:p>
      <w:pPr>
        <w:spacing w:after="0" w:line="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$14.4 million, offset by non-cash charges of $1.0 million and changes in our operating assets and liabilities of $2.7 million. Non-cash charges primarily consisted of $0.4 million in depreciation and amortization expense, $0.3 million in stock-based compensation expense, and $0.3 million in non-cash lease expense. Net cash provided by changes in our operating assets and liabilities consisted primarily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82"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 $2.3 million increase in accrued expenses and other current liabilities and a $1.0 million increase in accounts payable, partially offset by a</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$0.3 million increase in prepaid expenses and other current assets and a $0.3 million decrease in operating lease liabilities. The increase in accrued expenses and other current liabilities and increase in accounts payable were primarily due to the timing of vendor and research partner payments and invoicing. The increase in prepaid expenses and other current assets is due to prepayments of material costs and insurance and license fees. The decrease in operating lease liabilities was primarily due to the lease payments made during the three months ended March 31, 2023.</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net cash used in investing activities was less than $0.1 million and $0.1 million, respectively. The change in net cash used in investing activities during the three months ended March 31, 2024 and 2023 was due to purchases of property, equipment, and improvements.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net cash used in financing activities was $0.7 million and $0.1 million, respectively. Net cash used in financing activities during the three months ended March 31, 2024 was primarily due to our payments of deferred offering costs of</w:t>
      </w: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$0.6 million and $0.1 million of repayment of finance lease obligations. Net cash used in financing activities during the three months ended March 31, 2023 was primarily due to $0.1 million of repayment of finance lease obligations.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including our lead product candidate TX45. In addition, if we obtain marketing approval for TX45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its continuing operations. If we are unable to raise capital when needed or on attractive terms, we would be forced to delay, reduce or eliminate our research and development programs or future commercialization efforts.</w:t>
      </w:r>
    </w:p>
    <w:p>
      <w:pPr>
        <w:spacing w:after="0" w:line="18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we enter into;</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publicly traded company; and</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including inflation and interest rates.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its business objectives. Adequate additional financing may not be available to us on acceptable terms, or at all.</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itself.</w:t>
      </w:r>
    </w:p>
    <w:p>
      <w:pPr>
        <w:spacing w:after="0" w:line="183"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15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Legacy Tectonic evaluated certain adverse conditions and events that raised substantial doubt about its ability to continue as a going concern within twelve months after the date that the accompanying unaudited condensed consolidated financial statements were issued. Legacy Tectonic funded its operations primarily with proceeds from the sale of common stock, preferred stock, issuance of convertible promissory notes, issuance of SAFEs. Legacy Tectonic also incurred significant recurring losses, including net losses of $15.2 million and $14.4 million for the three months ended March 31, 2024 and 2023, respectively. In addition, Legacy Tectonic used $9.3 million and $10.8 million in operations for the three months ended March 31, 2024 and 2023, respectively. As of March 31, 2024, Legacy Tectonic had an accumulated deficit of $105.8 million. In June 2024, the Merger was completed and we received $77.3 million of cash from AVROBIO and $96.6 million from the issuance of common stock pursuant to the Subscription Agreement. Our management believes that our current cash on hand, along with the cash received in connection with the closing of the Merger, is sufficient to fund our planned operations for at least one year from the date of issuance of the unaudited condensed consolidated financial statements included elsewhere in this prospectus.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our lease commitments as of March 31, 2024:</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Less than 1 Year</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1 to 3 Years</w:t>
            </w:r>
          </w:p>
        </w:tc>
        <w:tc>
          <w:tcPr>
            <w:tcW w:w="420" w:type="dxa"/>
            <w:vAlign w:val="bottom"/>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3 to 5 Years</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More than</w:t>
            </w:r>
          </w:p>
        </w:tc>
        <w:tc>
          <w:tcPr>
            <w:tcW w:w="520" w:type="dxa"/>
            <w:vAlign w:val="bottom"/>
          </w:tcPr>
          <w:p>
            <w:pPr>
              <w:spacing w:after="0"/>
              <w:rPr>
                <w:sz w:val="13"/>
                <w:szCs w:val="13"/>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5 Years</w:t>
            </w:r>
          </w:p>
        </w:tc>
        <w:tc>
          <w:tcPr>
            <w:tcW w:w="5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4"/>
          </w:tcPr>
          <w:p>
            <w:pPr>
              <w:ind w:left="8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42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2,627</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July 2020, Legacy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Legacy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As partial consideration for the Harvard License Agreement, Legacy Tectonic agreed to pay Harvard a one-time license fee of $170,000, with such</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fee to be paid in equal installments over three years. In July 2022, Legacy Tectonic paid Harvard $56,666 and in July 2023 Tectonic paid Harvard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$56,667. The final installment of $56,667 under the Harvard License Agreement is due in July 2024. As partial consideration for the Harvard License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Legacy Tectonic entered into a subscription agreement with Harvard in July 2022, pursuant to which Harvard was granted 227,486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of the Company with a fair market value in the mid six digits.</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We are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We are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we receive in connection with a sublicense, strategic partnership or know-how enabled license. With respect to any net sales of licensed products and know-how enabled products sold in certain countries outside of the United States and Europe, we and Harvard will negotiate a royalty percentage on a country-by-country basis.</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this agreement, see Note 6 to the interim condensed consolidated Tectonic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November 29, 2021, Legacy Tectonic executed a license agreement with Alloy Therapeutics, LLC (“ATX”), whereby Legacy Tectonic would use ATX technology for the purpose of preclinical development, clinical development and commercialization of potential product candidates, for an initial period of three years, with the option to extend the term for an additional two years. We will pay ATX a non-refundable and non-creditable annual fee of $0.1 million on each anniversary of the agreement. On November 7, 2022, Legacy Tectonic and ATX amended the agreement and extended the period of payment for the first fee due in May 2023. Additionally, we will be responsible for annual partnering fees if we decide to pursue clinical development of a product candidate using the ATX technology. The partnering fees may be creditable against future milestone development fees paid by us. We will also be responsible to pay ATX development milestone payments for the movement of certain product candidates thought clinical trials, which range from the low six digits to the low seven digits upon completion of each milestone and amount to $4.8 million in total milestone payments under the license agreement. Provided we are able to commercialize a product using ATX technology, we will be responsible to pay ATX commercial payments in the low seven digits per year during the first six years of commercial sales, amounting to an amount in the high eight digits in total commercial payments under the license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months ended March 31, 2024 and 2023, Legacy Tectonic paid $0.1 million and $0 to ATX,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May 1, 2023, Legacy Tectonic entered into a discovery agreement with Adimab, LLC (“Adimab”), an antibody discovery company, whereby we and Adimab are collaborating on human antibody discovery in accordance with an agreed upon research program. Legacy Tectonic paid an upfront technology access fee totaling $20,000 upon execution of the agreement during the year ended December 31, 2023. We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the option, with a non-creditable, non-refundable option exercise fee of $0.5 million, to obtain the licenses and assignments for information discovered during the research program</w:t>
      </w:r>
    </w:p>
    <w:p>
      <w:pPr>
        <w:spacing w:after="0" w:line="1" w:lineRule="exact"/>
        <w:rPr>
          <w:sz w:val="20"/>
          <w:szCs w:val="20"/>
          <w:color w:val="auto"/>
        </w:rPr>
      </w:pPr>
    </w:p>
    <w:p>
      <w:pPr>
        <w:ind w:left="380" w:hanging="264"/>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milestone payments for the movement of certain product candidates thought clinical trials, which range in the low seven digits and</w:t>
      </w:r>
    </w:p>
    <w:p>
      <w:pPr>
        <w:spacing w:after="0" w:line="9" w:lineRule="exact"/>
        <w:rPr>
          <w:rFonts w:ascii="Times New Roman" w:cs="Times New Roman" w:eastAsia="Times New Roman" w:hAnsi="Times New Roman"/>
          <w:sz w:val="18"/>
          <w:szCs w:val="18"/>
          <w:color w:val="auto"/>
        </w:rPr>
      </w:pPr>
    </w:p>
    <w:p>
      <w:pPr>
        <w:jc w:val="both"/>
        <w:ind w:left="120" w:right="240" w:hanging="4"/>
        <w:spacing w:after="0" w:line="255" w:lineRule="auto"/>
        <w:tabs>
          <w:tab w:leader="none" w:pos="3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based on the annual net sales that we generate from products that utilize Adimab technology. We have the right to terminate the agreement if certain criteria are met. During the three months ended March 31, 2024 and 2023, Legacy Tectonic paid $0.1 million and $0 to Adimab, respectively.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its financial condition and results of operations is based on Legacy Tectonic’s interim condensed consolidated financial statements, which have been prepared in accordance with generally accepted accounting principles in the United States (“GAAP”). The preparation of these interim condensed consolidated financial statements requires us to make estimates and assumptions that affect the reported amounts of assets and liabilities, the disclosures of contingent assets and liabilities at the date of the interim condensed consolidated financial statements and the reported amounts of expenses during the reporting periods. We base our estimates on historical experience, known trends and events, and various other assumptions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82"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that we believe are reasonable under the circumstances, the results of which form the basis for making judgments about the carrying values of assets and liabilities recorded expenses that are not readily apparent from other sources. We evaluate our estimates and assumptions on an ongoing basis. Actual results may differ from these estimates.</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2 to our audited annual consolidated financial statements, we believe that the following accounting policies are those most critical to the judgements and estimates used in the preparation of our interim condensed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interim condensed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prepaid and accrued research and development expenses as of each balance sheet date in the interim condensed consolidated financial statements based on facts and circumstances known to us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we do not expect our estimates to be materially different from amounts actually incurred, our understanding of the status and timing of services performed relative to the actual status and timing of services performed may vary and may result in changes in estimates reported in the current period. To date, there have not been any material adjustments to our prior estimates of prepaid and accrued research and development expenses.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Valuation of SAFE Liabilities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account for the SAFEs as liabilities at fair value and adjusts the liabilities to fair value at each period end date until a triggering event occurs that results in the settlement of the liabilities. Triggering events include an equity financing, public listing transaction, change of control and dissolution. Changes in the liabilities’ fair values are recognized in the Company’s statement of operations and comprehensive loss in change in fair value of SAFE liabilities. The fair value of the SAFEs has been estimated using probability-weighted scenario analyses and discount rates derived by application of the build-up method to reflect the cost of equity.</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valuations of the SAFE liabilities as of March 31, 2024 and December 31, 2023 were determined based on a probability-weighted scenario analysis that assumed the probabilities of the occurrence of an equity financing, public listing transaction and dissolution to be 10.0%, 87.5% and 2.5% respectively. The estimated time to redemption used in the March 31, 2024 valuation was two months for an equity financing and dissolution and one month for a public listing transaction. The estimated time to redemption used in the December 31, 2023 valuation was five months for an equity financing and dissolution and four months for a public listing transaction. The valuations used a discount rate of 30.2% to approximate the cost of equity, which was derived from application of a build-up method that incorporated the risk-free rate at the valuation date, and adjustments to reflect market risk, a small stock premium, and a selected company-specific risk premium.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measure stock options granted to employees and non-employees based on their fair value on the date of the grant using the Black- Scholes-Merton (“BSM”) option pricing model. Compensation expense for those awards is recognized over the requisite service period, which is generally the vesting period of the respective award for employees. Compensation expense for awards to non-employee with service-based vesting conditions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82"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is recognized in the same manner as if Tectonic had paid cash in exchange for the goods or services, which is generally the over the vesting period of the award. We use the straight-line method to recognize the expense of awards with service-based vesting conditions. We account for forfeitures of stock options as they occur.</w:t>
      </w:r>
    </w:p>
    <w:p>
      <w:pPr>
        <w:spacing w:after="0" w:line="176"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BSM requires the use of assumptions to determine the fair value of the stock options. The determination of fair value of our common stock is described below. Other assumptions used in the BSM, the volatility of our common stock, the expected term of our common stock, the risk-free interest rate for a period that approximates the expected term of our common stock and our expected dividend yield, are determined by our management.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Determination of Fair Value of Common Stock</w:t>
      </w:r>
    </w:p>
    <w:p>
      <w:pPr>
        <w:spacing w:after="0" w:line="11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there was no public market for Legacy Tectonic common stock prior to the closing of the Merger, the estimated fair value of Legacy Tectonic common stock was historically determined by the Legacy Tectonic Board as of the date of grant of each stock options, with input from management, considering its most recently available third-party valuations of its common stock and the Legacy Tectonic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 Company Equity Securities Issued as Compensation and were prepared using the option pricing model (“OPM”). OPM uses option theory to value the various classes of Legacy Tectonic’s securities in light of their respective claims to the enterprise value. Total shareholders’ deficit value is allocated to the various share classes based upon their respective claims on a series of call options with strike prices at various value levels depending upon the rights and preferences of each class. A BSM is typically employed in this analysis, with an option term assumption that is consistent with our expected time to a liquidity event and a volatility assumption based on the estimated stock price volatility of a peer group of comparable public companies over a similar term. In addition to considering the results of these third-party valuations, the Legacy Tectonic Board considered various objective and subjective factors to determine the fair value of Legacy Tectonic’s common stock as of each grant date.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assumptions underlying these valuations represented our management’s best estimates, which involved inherent uncertainties and the application of our management’s judgment. As a result, if we had used significantly different assumptions or estimates, our share-based compensation expense could have been materially different. Now that the Merger is completed and there is a public trading market for our common stock, it is not necessary for the Board to estimate the fair value of our common stock in connection with accounting for granted stock options or other such awards we may grant, as the fair value of our common stock and stock options will be determined based on the quoted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interim condensed consolidated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primary exposure to market risk is to market risk related to interest rate sensitivity, which is affected by changes in the general level of U.S. interest rates. As of March 31, 2024, we had cash and cash equivalents of $18.7 million, which consisted of cash and money market funds. As of March 31, 2024, we had a finance lease liability and an operating lease liability of $1.2 million and $2.7 million, respectively. In October 2023 and December 2023, we issued SAFEs to certain of our investors, and we received proceeds of $10.1 million from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October issuance and $24.0 million from the December issuance. Interest income and expenses are sensitive to changes in the general level of interest rates. However, due to the nature of these investments, an immediate 10% change in market interest rates would not have a material effect on the fair market value of our investment portfolio.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On June 20, 2024, we completed the previously announced business combination with Legacy Tectonic in accordance with the terms of the Merger Agreement, pursuant to which, among other matters, Merger Sub merged with and into Legacy Tectonic, with Legacy Tectonic surviving as our wholly owned subsidiary (such business combination, the Merger). In connection with the completion of the Merger, we changed our name from “AVROBIO, Inc.” to “Tectonic Therapeutic, Inc.,” and our business became primarily the business conducted by Legacy Tectonic. We are now a clinical stage biotechnology company focused on developing novel GPCR-targeted biologics to effectively and safely treat patients with serious medical conditions where there are currently limited or no medical options. The Merger is intended to qualify for federal income tax purposes as a tax-free reorganization under the provisions of Section 368(a) of the Internal Revenue Code of 1986, as amended, or the Code.</w:t>
      </w:r>
    </w:p>
    <w:p>
      <w:pPr>
        <w:spacing w:after="0" w:line="183"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Business Section, the words “Company,” “we,” “our,” “us” and “Tectonic” refer, collectively to Tectonic Therapeutic, Inc. and its consolidated subsidiaries following completion of the Merger.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firstLine="440"/>
        <w:spacing w:after="0" w:line="233" w:lineRule="auto"/>
        <w:rPr>
          <w:sz w:val="20"/>
          <w:szCs w:val="20"/>
          <w:color w:val="auto"/>
        </w:rPr>
      </w:pPr>
      <w:r>
        <w:rPr>
          <w:rFonts w:ascii="Times New Roman" w:cs="Times New Roman" w:eastAsia="Times New Roman" w:hAnsi="Times New Roman"/>
          <w:sz w:val="18"/>
          <w:szCs w:val="18"/>
          <w:color w:val="auto"/>
        </w:rPr>
        <w:t>We are a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20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92"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To unlock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 The initial platform components, first generation yeast library design and initial yeast selection protocols, were developed in Andrew Kruse’s laboratory at Harvard Medical School. However, over the last few years we have made many improvements and modifications to all aspect of the platform including second and third generation library designs, optimized GPCR engineering strategies and yeast selection protocols better suited to GPCR antibody discovery. These modifications have resulted in selection campaigns that have a higher</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30" w:lineRule="auto"/>
        <w:rPr>
          <w:sz w:val="20"/>
          <w:szCs w:val="20"/>
          <w:color w:val="auto"/>
        </w:rPr>
      </w:pPr>
      <w:r>
        <w:rPr>
          <w:rFonts w:ascii="Times New Roman" w:cs="Times New Roman" w:eastAsia="Times New Roman" w:hAnsi="Times New Roman"/>
          <w:sz w:val="18"/>
          <w:szCs w:val="18"/>
          <w:color w:val="auto"/>
        </w:rPr>
        <w:t>hit rate with molecules that have higher affinity and potency compared to hits identified from initial antibody selection campaigns. The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includes components aimed at optimizing the expression, purification, and stabilization of GPCRs and pairs these advances with our protein engineering and structural biology capabilities. While the current libraries, receptor engineering and selection strategies are producing GPCR-targeted antibodies, we continue to evolve and modify aspects of the platform, which we believe will lead to even better results.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development programs and other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348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lead asset, TX000045 (hereafter called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vasodilatory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TX45’s pharmacological profile,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Group 2 PH / HFpEF hereafter, as the initial disease in which to interrogate the therapeutic potential of relaxin. We hypothesize that in this setting,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planned to confirm this hypothesis. Despite this belief, our business carries substantial risks, including our limited experience in therapeutic discovery and development, and the risk that the platform may never result in the regulatory approval of a product candidate. See “</w:t>
      </w:r>
      <w:r>
        <w:rPr>
          <w:rFonts w:ascii="Times New Roman" w:cs="Times New Roman" w:eastAsia="Times New Roman" w:hAnsi="Times New Roman"/>
          <w:sz w:val="18"/>
          <w:szCs w:val="18"/>
          <w:i w:val="1"/>
          <w:iCs w:val="1"/>
          <w:color w:val="auto"/>
        </w:rPr>
        <w:t>Risk Factors – Risks Related to the Discovery,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Regulatory Approval of Our Product Candidates – We have limited experience in therapeutic discovery and development and our GEODe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platform may never result in the regulatory approval of a product candidate.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Group 2 PH is a subtype of PH which develops secondary to left heart disease (“LHD”). This is a common, chronic, life-threatening condition of complex disease causes, or etiology, for which there are presently no FDA-approved medications. Group 2 PH / HFpEF is characterized by declining cardiac function, fibrotic tissue remodeling in the heart, and in some patients, fibrotic remodeling in the pulmonary vasculature as well. We have elected to prioritize development of TX45 in Group 2 PH / HFpEF because of the high unmet medical need in this population and because of the specific physiological actions of relaxin described above that suggest that it could address the key pathophysiology of the disease which involves both impairment of left ventricular function and high pressures in the pulmonary arteries, and in some patients, high resistance in the pulmonary vasculature. There are no FDA approved therapies in Group 2 PH. Furthermore, prior clinical data in patients with acute and chronic heart failure treated with a continuous infusion of a short half-life relaxin is supportive of the potential utility of relaxin administration in these patients. Clinical trials are planned to evaluate the hypothesis that relaxin could provide efficacy in patients with Group 2 PH / HFpEF. Beyond Group 2 PH / HFpEF, we believe there are additional areas where TX45 could potentially provide benefit to patients with diseases that result in the chronic deterioration of cardiac, lung and/or kidney function due to vasoconstriction and fibrotic remodeling.</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July 6, 2024, we have completed all cohorts of our Phase 1a study, and TX45 has been generally well tolerated. Modeling of data available as of mid-January 2024 from these cohorts suggests that a single 1-2 mL injection of TX45 given once monthly (corresponding to a 150 mg and/or 300 mg dose) could be the target dose regimen. Decisions on dose and dosing frequency for the Phase 2 study will be based on a more complete Phase 1a dataset which is expected to be available in the third quarter of 2024.</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second program is aimed at the discovery and development of a GPCR targeting biotherapeutic as a potential treatment for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planned GPCR target for our HHT program is a receptor for an angiogenic factor known to be upregulated in HHT animal models. By blocking the signaling of this receptor, we anticipate the potential for decreased bleeding resulting from the abnormal angiogenesis seen in HHT.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third program is aimed at the discovery and development of potential therapies for fibrotic diseases and employs a bi-specific format for the construction of a molecule with a differentiated mechanism of action. The strategy leverages two targets, one with previous human proof of concept and one novel target. Both targets are expressed on overlapping cell types with complementary and nonoverlapping modes of action that when inhibited simultaneously could enhance the therapeutic potential over inhibition of either target on its own.</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strategically prioritized the selection of development indications for product candidates in our pipeline that we believe will offer an efficient path to Phase 2 clinical proof of concept, with outcomes measurable with 50-200 patients per indication, and which require treatment over a period of three-six months. Over the next three years, we anticipate that several significant milestones could be achieved for our lead asset TX45, including completion of the ongoing Phase 1a dose escalation trial in the third quarter of 2024, proof of concept hemodynamic data in patients with Group 2 PH / HFpEF in 2025, and data from a randomized trial in patients with Group 2 PH / HFpEF in 2026. During this time, a development candidate from our HHT program may also advance into clinical studies in the fourth quarter of 2025 or the first quarter of 2026 and could progress into efficacy studies in patients in late 2026 or early 2027.</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GEODeTM platform has been optimized over the last three years and is in the early stages of being used to discover biologic drugs targeting GPCRs. We plan to deploy our GEODeTM platform to generate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pipeline assets by identifying and optimizing new GPCR targeted biologics that have the potential to address areas of substantial unmet need.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Founders and Management Team</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were co-founded in June 2019 by Timothy A. Springer, Latham Family Professor, Harvard Medical School and Professor of Medicine, Children’s Hospital Boston, and Andrew Kruse, Professor of Biological Chemistry and Molecular Pharmacology, Harvard Medical School. These individuals are world-renowned scientists in their respective fields. Professor Springer has also been a founder of and/or founding investor in several successful biotechnology companies, including LeukoSite, Moderna, Seismic Therapeutic, Morphic Therapeutic and Scholar Rock and remains highly active in the biotechnology sector.</w:t>
      </w:r>
    </w:p>
    <w:p>
      <w:pPr>
        <w:spacing w:after="0" w:line="183" w:lineRule="exact"/>
        <w:rPr>
          <w:sz w:val="20"/>
          <w:szCs w:val="20"/>
          <w:color w:val="auto"/>
        </w:rPr>
      </w:pPr>
    </w:p>
    <w:p>
      <w:pPr>
        <w:ind w:left="120" w:right="20" w:firstLine="440"/>
        <w:spacing w:after="0" w:line="218" w:lineRule="auto"/>
        <w:rPr>
          <w:sz w:val="20"/>
          <w:szCs w:val="20"/>
          <w:color w:val="auto"/>
        </w:rPr>
      </w:pPr>
      <w:r>
        <w:rPr>
          <w:rFonts w:ascii="Times New Roman" w:cs="Times New Roman" w:eastAsia="Times New Roman" w:hAnsi="Times New Roman"/>
          <w:sz w:val="18"/>
          <w:szCs w:val="18"/>
          <w:color w:val="auto"/>
        </w:rPr>
        <w:t>We have assembled a highly qualified management team with broad experience in corporate strategy, drug discovery, clinical development, business development and finance to execute on its mission to develop GPCR-targeted biologic medicines. They are industry veterans who have worked at many of the largest, global Pharmaceutical Companies. Our team and our scientific co-founders have played key roles in drug discovery or development programs that have resulted in over 20 initial drug approvals, including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Other drugs that the founders and management team have played key roles in the discovery or development of include: Abecma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Amevive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Arcoxia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Bavencio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Braftovi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Campath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Camzyos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Claritin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Emend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Entresto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Entyvio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Grastek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Inrebic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Mavenclad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Mayzent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Nasonex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Odomzo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Raptiva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Reblozyl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Remicade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Simponi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Singulair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Tepmetko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Velcade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Zeposia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Zykadia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GPCRs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GPCRs are a family of over 800 proteins found on the surface of cells throughout the body that mediate the body’s response to extracellular stimuli by initiating a series of enzymatic reactions on the inside of cells which result in changes to cellular physiology. The diversity, functional specificity and localization to particular cell or tissue types makes GPCRs an especially compelling class of drug targets. Over 30% of approved drugs spanning a wide range of therapeutic areas, including metabolic diseases, inflammation, respiratory diseases, neurology and cancer, exert their action by modulating GPCRs. The targets for these medicines, however, represent only approximately 12% of known GPCRs, leaving at least as many GPCRs that are considered druggable still unexploited. GPCRs have a complex topology which has made both the protein production and purification of GPCRs outside of their natural environment in the cellular lipid membrane, as well as the identification of viable drug candidates to target them, challenging.</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structure of the RXFP1 GPCR activated by relaxin (also called relaxin-2) is shown below (</w:t>
      </w:r>
      <w:r>
        <w:rPr>
          <w:rFonts w:ascii="Times New Roman" w:cs="Times New Roman" w:eastAsia="Times New Roman" w:hAnsi="Times New Roman"/>
          <w:sz w:val="18"/>
          <w:szCs w:val="18"/>
          <w:b w:val="1"/>
          <w:bCs w:val="1"/>
          <w:color w:val="auto"/>
        </w:rPr>
        <w:t>Figure 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2768600" cy="12604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6860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1 – Model of RXFP1 activation by Relaxin-2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Relaxin / RXFP1 Biology</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Relaxin is a naturally occurring peptide hormone that was first identified in 1926 in the setting of pregnancy where it is upregulated to allow for hemodynamic adaptation and increased cardiac output in response to the increased demands to the developing fetus and to allow for loosening of the pelvic ligaments prior to delivery.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Relaxin is a member of the insulin superfamily of peptide hormones, and it consists of two peptide chains linked by disulfide bonds. A representation of its structure is shown in Figure 2. Notably, activation of the RXFP1 receptor by relaxin does not result in internalization of the receptor, as is observed with many other GPCRs, which suggests there would be no receptor desensitization with chronic therapy using a relaxin-based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1303020" cy="1062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302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2 – Ribbon Diagram Representation of Relaxin-2</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Relaxin has long been of interest as a therapeutic agent for the treatment of cardiovascular disease because of its natural effects on hemodynamic function. The development of relaxin-based therapeutics, however, has been limited by the short half-life of the native peptide hormone, which has necessitated continuous intravenous or subcutaneous administration to establish and maintain target therapeutic levels of the compound in circulation.</w:t>
      </w:r>
    </w:p>
    <w:p>
      <w:pPr>
        <w:spacing w:after="0" w:line="15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Previous efforts to develop recombinant native human relaxin (serelaxin) to treat acute heart failure (AHF) have shown many signs of clinical benefit. For example, a meta-analysis published by Teerlink et al. in the European Journal of Heart Failure in 2019 assessed the results of six randomized, double-blind, placebo- controlled studies with greater than 11,000 patients enrolled to evaluate serelaxin in AHF. This analysis showed a highly statistically significant benefit in five-day worsening of heart failure and improved renal function (Table 1). Despite these intriguing signals, no relaxin-based therapeutic has been approved by the FDA. One of two pivotal studies, RELAX-AHF2, included a co-primary six-month cardiovascular mortality endpoint and failed. We believe it was ambitious to expect that a two-day infusion of the compound, with its short half-life and mechanism of action, would demonstrate clinical benefit at day 5, let alone six months after the infusion as required for the six-month cardiovascular mortality endpoint. We believe these attempts have fallen short due to the short half-life of relaxin precluding its development in chronic settings where the full benefit of its impact on both vasodilation and fibrosis can be felt over longer time periods.</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Relative Risk [95% CI]</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N(drug)</w:t>
            </w:r>
          </w:p>
        </w:tc>
        <w:tc>
          <w:tcPr>
            <w:tcW w:w="12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N(placebo)</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Pre-RELAX AHF</w:t>
            </w:r>
          </w:p>
        </w:tc>
        <w:tc>
          <w:tcPr>
            <w:tcW w:w="3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0.56 [0.22 – 1.45]</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RELAX-AHF</w:t>
            </w: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0.54 [0.37 – 0.78]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RELAX-AHF-2</w:t>
            </w:r>
          </w:p>
        </w:tc>
        <w:tc>
          <w:tcPr>
            <w:tcW w:w="35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0.90 [0.76 – 1.07]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RELAX-AHF-EU</w:t>
            </w: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0.71 [0.52 – 0.98]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RELAX-AHF-ASIA</w:t>
            </w:r>
          </w:p>
        </w:tc>
        <w:tc>
          <w:tcPr>
            <w:tcW w:w="35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0.42 [0.21 – 0.84]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RELAX Japan</w:t>
            </w: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0.33 [0.04 – 2.85]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Meta-Analysis</w:t>
            </w:r>
          </w:p>
        </w:tc>
        <w:tc>
          <w:tcPr>
            <w:tcW w:w="35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0.77 [0.67 – 0.89]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3980" w:type="dxa"/>
            <w:vAlign w:val="bottom"/>
          </w:tcPr>
          <w:p>
            <w:pPr>
              <w:spacing w:after="0"/>
              <w:rPr>
                <w:sz w:val="20"/>
                <w:szCs w:val="20"/>
                <w:color w:val="auto"/>
              </w:rPr>
            </w:pP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 = 0.0002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5239</w:t>
            </w:r>
          </w:p>
        </w:tc>
        <w:tc>
          <w:tcPr>
            <w:tcW w:w="60" w:type="dxa"/>
            <w:vAlign w:val="bottom"/>
          </w:tcPr>
          <w:p>
            <w:pPr>
              <w:spacing w:after="0"/>
              <w:rPr>
                <w:sz w:val="20"/>
                <w:szCs w:val="20"/>
                <w:color w:val="auto"/>
              </w:rPr>
            </w:pPr>
          </w:p>
        </w:tc>
      </w:tr>
    </w:tbl>
    <w:p>
      <w:pPr>
        <w:spacing w:after="0" w:line="279"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Table 1 – Effects of serelaxin on worsening heart failure (WHF) – fixed-effect (FE) meta-analysis; serelaxin 30 </w:t>
      </w: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b w:val="1"/>
          <w:bCs w:val="1"/>
          <w:color w:val="auto"/>
        </w:rPr>
        <w:t>g/kg/day vs. placebo; CI, confidence interval</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address the pharmacological limitations of the native relaxin hormone and enable its development beyond AHF, we have engineered a single-chain relaxin-Fc fusion protein, TX45, that features differentiated pharmacokinetic and biophysical properties to enhance key pharmacodynamic properties. TX45 was developed in a subcutaneous formulation with the goal of chronic administration via intermittent subcutaneous injection. As noted above, to interrogate the therapeutic potential of relaxin, we have identified Group 2 PH / HFpEF as the initial indication. We believe that in this setting, treatment with relaxin could improve hemodynamics and result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82"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beneficial remodeling in both the pulmonary vessels and the heart, making it potentially ideally suited for this indication. Clinical trials are needed to confirm this hypothesis.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Group 2 PH</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PH is a serious, life-threatening condition that affects hundreds of thousands of patients in the United States. In PH, the blood pressure in the pulmonary arteries is increased, exerting severe strain on the right side of the heart, which adapts poorly to the increased pressure. PH gradually causes worsening exercise capacity, shortness of breath and right-sided heart failure which can lead to death.</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World Health Organization has specified 5 different groups of PH (Table 2). Group 1 PH is also known as pulmonary arterial hypertension (PAH) and is caused by spontaneous thickening and fibrosis of the pulmonary arteries and arterioles without underlying significant cardiac, lung parenchymal, or chronic thromboembolic disease. Group 2 PH is due to left-sided heart disease (PH-LHD). Although several Group 1 PH medications have been explored in Group 2 PH, no medications have yet been approved by the FDA for its treatment.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2 – WHO Classification of Pulmonary Hypertension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Consists of 5 Distinct Diseases; Group 2 PH is of Greatest Interest for Fc-relaxin First Indication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Group 1(PAH)</w:t>
            </w:r>
          </w:p>
        </w:tc>
        <w:tc>
          <w:tcPr>
            <w:tcW w:w="260" w:type="dxa"/>
            <w:vAlign w:val="bottom"/>
          </w:tcPr>
          <w:p>
            <w:pPr>
              <w:spacing w:after="0"/>
              <w:rPr>
                <w:sz w:val="16"/>
                <w:szCs w:val="16"/>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Group 2 (PH-LHD)</w:t>
            </w:r>
          </w:p>
        </w:tc>
        <w:tc>
          <w:tcPr>
            <w:tcW w:w="260" w:type="dxa"/>
            <w:vAlign w:val="bottom"/>
          </w:tcPr>
          <w:p>
            <w:pPr>
              <w:spacing w:after="0"/>
              <w:rPr>
                <w:sz w:val="16"/>
                <w:szCs w:val="16"/>
                <w:color w:val="auto"/>
              </w:rPr>
            </w:pP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Group 3 (PH-LD)</w:t>
            </w: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Group 4 (CTEPH)</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Group 5 (Misc.)</w:t>
            </w:r>
          </w:p>
        </w:tc>
        <w:tc>
          <w:tcPr>
            <w:tcW w:w="0" w:type="dxa"/>
            <w:vAlign w:val="bottom"/>
          </w:tcPr>
          <w:p>
            <w:pPr>
              <w:spacing w:after="0"/>
              <w:rPr>
                <w:sz w:val="1"/>
                <w:szCs w:val="1"/>
                <w:color w:val="auto"/>
              </w:rPr>
            </w:pPr>
          </w:p>
        </w:tc>
      </w:tr>
      <w:tr>
        <w:trPr>
          <w:trHeight w:val="185"/>
        </w:trPr>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64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w w:val="75"/>
              </w:rPr>
              <w:t> Idiopathic</w:t>
            </w:r>
          </w:p>
        </w:tc>
        <w:tc>
          <w:tcPr>
            <w:tcW w:w="1840" w:type="dxa"/>
            <w:vAlign w:val="bottom"/>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170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rPr>
              <w:t> Due to left heart</w:t>
            </w:r>
          </w:p>
        </w:tc>
        <w:tc>
          <w:tcPr>
            <w:tcW w:w="220" w:type="dxa"/>
            <w:vAlign w:val="bottom"/>
          </w:tcPr>
          <w:p>
            <w:pPr>
              <w:spacing w:after="0"/>
              <w:rPr>
                <w:sz w:val="16"/>
                <w:szCs w:val="16"/>
                <w:color w:val="auto"/>
              </w:rPr>
            </w:pP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1720" w:type="dxa"/>
            <w:vAlign w:val="bottom"/>
            <w:tcBorders>
              <w:top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auto"/>
                <w:w w:val="99"/>
              </w:rPr>
              <w:t> Due to lung disease or</w:t>
            </w:r>
          </w:p>
        </w:tc>
        <w:tc>
          <w:tcPr>
            <w:tcW w:w="380" w:type="dxa"/>
            <w:vAlign w:val="bottom"/>
          </w:tcPr>
          <w:p>
            <w:pPr>
              <w:spacing w:after="0"/>
              <w:rPr>
                <w:sz w:val="16"/>
                <w:szCs w:val="16"/>
                <w:color w:val="auto"/>
              </w:rPr>
            </w:pPr>
          </w:p>
        </w:tc>
        <w:tc>
          <w:tcPr>
            <w:tcW w:w="1860" w:type="dxa"/>
            <w:vAlign w:val="bottom"/>
            <w:tcBorders>
              <w:top w:val="single" w:sz="8" w:color="auto"/>
            </w:tcBorders>
          </w:tcPr>
          <w:p>
            <w:pPr>
              <w:ind w:left="100"/>
              <w:spacing w:after="0" w:line="185" w:lineRule="exact"/>
              <w:rPr>
                <w:sz w:val="20"/>
                <w:szCs w:val="20"/>
                <w:color w:val="auto"/>
              </w:rPr>
            </w:pPr>
            <w:r>
              <w:rPr>
                <w:rFonts w:ascii="Times New Roman" w:cs="Times New Roman" w:eastAsia="Times New Roman" w:hAnsi="Times New Roman"/>
                <w:sz w:val="18"/>
                <w:szCs w:val="18"/>
                <w:color w:val="auto"/>
              </w:rPr>
              <w:t>•    Due to chronic</w:t>
            </w:r>
          </w:p>
        </w:tc>
        <w:tc>
          <w:tcPr>
            <w:tcW w:w="120" w:type="dxa"/>
            <w:vAlign w:val="bottom"/>
          </w:tcPr>
          <w:p>
            <w:pPr>
              <w:spacing w:after="0"/>
              <w:rPr>
                <w:sz w:val="16"/>
                <w:szCs w:val="16"/>
                <w:color w:val="auto"/>
              </w:rPr>
            </w:pPr>
          </w:p>
        </w:tc>
        <w:tc>
          <w:tcPr>
            <w:tcW w:w="1760" w:type="dxa"/>
            <w:vAlign w:val="bottom"/>
            <w:tcBorders>
              <w:top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auto"/>
              </w:rPr>
              <w:t>•    Miscellaneous</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 Hereditary</w:t>
            </w:r>
          </w:p>
        </w:tc>
        <w:tc>
          <w:tcPr>
            <w:tcW w:w="26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disease (HFpEF,</w:t>
            </w:r>
          </w:p>
        </w:tc>
        <w:tc>
          <w:tcPr>
            <w:tcW w:w="260" w:type="dxa"/>
            <w:vAlign w:val="bottom"/>
          </w:tcPr>
          <w:p>
            <w:pPr>
              <w:spacing w:after="0"/>
              <w:rPr>
                <w:sz w:val="18"/>
                <w:szCs w:val="18"/>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hypoxia</w:t>
            </w: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thromboembolic</w:t>
            </w: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group with causes</w:t>
            </w:r>
          </w:p>
        </w:tc>
        <w:tc>
          <w:tcPr>
            <w:tcW w:w="0" w:type="dxa"/>
            <w:vAlign w:val="bottom"/>
          </w:tcPr>
          <w:p>
            <w:pPr>
              <w:spacing w:after="0"/>
              <w:rPr>
                <w:sz w:val="1"/>
                <w:szCs w:val="1"/>
                <w:color w:val="auto"/>
              </w:rPr>
            </w:pPr>
          </w:p>
        </w:tc>
      </w:tr>
      <w:tr>
        <w:trPr>
          <w:trHeight w:val="126"/>
        </w:trPr>
        <w:tc>
          <w:tcPr>
            <w:tcW w:w="260" w:type="dxa"/>
            <w:vAlign w:val="bottom"/>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HFrEF) or valvular</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2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 May be due to COPD,</w:t>
            </w:r>
          </w:p>
        </w:tc>
        <w:tc>
          <w:tcPr>
            <w:tcW w:w="1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disease (i.e.,</w:t>
            </w:r>
          </w:p>
        </w:tc>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unclear or multiple</w:t>
            </w: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 Connective tissue disease-</w:t>
            </w:r>
          </w:p>
        </w:tc>
        <w:tc>
          <w:tcPr>
            <w:tcW w:w="260" w:type="dxa"/>
            <w:vAlign w:val="bottom"/>
          </w:tcPr>
          <w:p>
            <w:pPr>
              <w:spacing w:after="0"/>
              <w:rPr>
                <w:sz w:val="10"/>
                <w:szCs w:val="10"/>
                <w:color w:val="auto"/>
              </w:rPr>
            </w:pP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heart disease</w:t>
            </w:r>
          </w:p>
        </w:tc>
        <w:tc>
          <w:tcPr>
            <w:tcW w:w="260" w:type="dxa"/>
            <w:vAlign w:val="bottom"/>
            <w:vMerge w:val="continue"/>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as a consequence</w:t>
            </w:r>
          </w:p>
        </w:tc>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underlying factors</w:t>
            </w:r>
          </w:p>
        </w:tc>
        <w:tc>
          <w:tcPr>
            <w:tcW w:w="0" w:type="dxa"/>
            <w:vAlign w:val="bottom"/>
          </w:tcPr>
          <w:p>
            <w:pPr>
              <w:spacing w:after="0"/>
              <w:rPr>
                <w:sz w:val="1"/>
                <w:szCs w:val="1"/>
                <w:color w:val="auto"/>
              </w:rPr>
            </w:pPr>
          </w:p>
        </w:tc>
      </w:tr>
      <w:tr>
        <w:trPr>
          <w:trHeight w:val="95"/>
        </w:trPr>
        <w:tc>
          <w:tcPr>
            <w:tcW w:w="260" w:type="dxa"/>
            <w:vAlign w:val="bottom"/>
            <w:vMerge w:val="continue"/>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interstitial lung</w:t>
            </w:r>
          </w:p>
        </w:tc>
        <w:tc>
          <w:tcPr>
            <w:tcW w:w="1980" w:type="dxa"/>
            <w:vAlign w:val="bottom"/>
            <w:gridSpan w:val="2"/>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associated</w:t>
            </w:r>
          </w:p>
        </w:tc>
        <w:tc>
          <w:tcPr>
            <w:tcW w:w="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of blood clots)</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0" w:type="dxa"/>
            <w:vAlign w:val="bottom"/>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 Two Subtypes:</w:t>
            </w:r>
          </w:p>
        </w:tc>
        <w:tc>
          <w:tcPr>
            <w:tcW w:w="260" w:type="dxa"/>
            <w:vAlign w:val="bottom"/>
          </w:tcPr>
          <w:p>
            <w:pPr>
              <w:spacing w:after="0"/>
              <w:rPr>
                <w:sz w:val="10"/>
                <w:szCs w:val="10"/>
                <w:color w:val="auto"/>
              </w:rPr>
            </w:pPr>
          </w:p>
        </w:tc>
        <w:tc>
          <w:tcPr>
            <w:tcW w:w="2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disease (i.e., IPF) or</w:t>
            </w:r>
          </w:p>
        </w:tc>
        <w:tc>
          <w:tcPr>
            <w:tcW w:w="1980" w:type="dxa"/>
            <w:vAlign w:val="bottom"/>
            <w:gridSpan w:val="2"/>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 Congenital heart disease-</w:t>
            </w:r>
          </w:p>
        </w:tc>
        <w:tc>
          <w:tcPr>
            <w:tcW w:w="26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CpcPH / IpcPH</w:t>
            </w:r>
          </w:p>
        </w:tc>
        <w:tc>
          <w:tcPr>
            <w:tcW w:w="260" w:type="dxa"/>
            <w:vAlign w:val="bottom"/>
          </w:tcPr>
          <w:p>
            <w:pPr>
              <w:spacing w:after="0"/>
              <w:rPr>
                <w:sz w:val="18"/>
                <w:szCs w:val="18"/>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obstructive sleep</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associated</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 CAD, HTN, T2DM,</w:t>
            </w:r>
          </w:p>
        </w:tc>
        <w:tc>
          <w:tcPr>
            <w:tcW w:w="260" w:type="dxa"/>
            <w:vAlign w:val="bottom"/>
          </w:tcPr>
          <w:p>
            <w:pPr>
              <w:spacing w:after="0"/>
              <w:rPr>
                <w:sz w:val="21"/>
                <w:szCs w:val="21"/>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apnea</w:t>
            </w: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 Drug-induced</w:t>
            </w:r>
          </w:p>
        </w:tc>
        <w:tc>
          <w:tcPr>
            <w:tcW w:w="26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high cholesterol are</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Group 2 PH Pathophysiology and Epidemiology</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Group 2 PH is caused by left-sided heart disease, including heart failure with preserved ejection fraction (HFpEF), heart failure with reduced ejection fraction (HFrEF), and valvular heart disease (VHD). Group 2 PH itself consists of 2 disease subtypes, isolated post capillary PH (IpcPH) or combined pre- and post- capillary PH (CpcPH).</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patients with left-sided heart disease, the development of pulmonary hypertension is associated with a much worse prognosis. In various forms of heart failure, the heart fails to pump sufficient blood throughout the body to meet the metabolic demands of the individual. To compensate for inadequate cardiac output, the kidneys retain excess fluid to help increase the filling of the heart (“priming the pump”) during the relaxation phase of the cardiac cycle. This attempt to increase the filling of the heart leads to increased pressure during the relaxation phase. Pulmonary hypertension can develop in this setting when the pressure is transmitted backwards from the left atrium of the heart into the pulmonary veins and pulmonary arteries. This passive backflow of high pressure leads initially to post-capillary hypertension. These patients have a subtype of Group 2 PH called Isolated post-capillary Pulmonary Hypertension (IpcPH). Over time this increased pressure can lead to the thickening and fibrosis of the pulmonary arteries and arterioles resulting in disease of the precapillary vasculature of the lung and this is demonstrated by increased pulmonary vascular resistance (PVR). When Group 2 PH results in both increased pulmonary artery pressures from the passive backflow of pressure from the left atrium along with</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77" w:lineRule="auto"/>
        <w:rPr>
          <w:sz w:val="20"/>
          <w:szCs w:val="20"/>
          <w:color w:val="auto"/>
        </w:rPr>
      </w:pPr>
      <w:r>
        <w:rPr>
          <w:rFonts w:ascii="Times New Roman" w:cs="Times New Roman" w:eastAsia="Times New Roman" w:hAnsi="Times New Roman"/>
          <w:sz w:val="17"/>
          <w:szCs w:val="17"/>
          <w:color w:val="auto"/>
        </w:rPr>
        <w:t>intrinsic changes, such as thickening, fibrosis, and narrowing of the lumen of the pulmonary arteries, it is called Combined pre-and post-capillary Pulmonary Hypertension (CpcPH). To differentiate patients with IpcPH and CpcPH, a right heart catheterization is performed. Patients with elevated PVR, elevated pulmonary artery pressure (PAP) and an elevated Pulmonary Capillary Wedge Pressure (PCWP) have CpcPH, while those with just elevated PAP and PCWP and normal PVR have IpcPH. Pulmonary hypertension places a great strain on the right ventricle which is unable to compensate for this increased workload. Eventually, pulmonary hypertension causes the right ventricle to dilate and fail, ultimately leading to death.</w:t>
      </w:r>
    </w:p>
    <w:p>
      <w:pPr>
        <w:spacing w:after="0" w:line="16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There are an estimated 6 million patients with heart failure in the United States, with HFpEF representing up to ~50%, of heart failure cases. We estimate the combined Group 2 PH population with HFpEF at more than 600,000 and the respective prevalences of IpcPH and CpcPH in the HFpEF population are believed to be approximately 20% and 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of Group 1 PH (PAH) Drugs as Treatments for Group 2 PH – Implications of PDE5i Results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Patients suffering from CpcPH typically face worse outcomes than those with IpcPH (23% survival at five years vs. 40%-50%, respectively). Optimal treatment of heart failure may improve IpcPH to some extent. However, because of the specific pulmonary vascular pathology in CpcPH, treatment of heart failure alone is often insufficient to have a meaningful impact on this form of the disease. PDE5 inhibitors which activate the nitric oxide (NO) pathway were evaluated in three separate studies in CpcPH patients with HFpEF. In those studies, PDE5 inhibitors demonstrated improvements in hemodynamics, exercise tolerance, and a reduction in hospitalizations for heart failure. These improvements were not seen in a study with the broader group of Group 2 PH/HFpEF patients which were mainly composed of patients with IpcPH. Despite these findings, PDE5 inhibitors are not FDA approved for use in Group2 PH.</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Several of the drugs used to treat Pulmonary Arterial Hypertension (Group 1 PH) have failed to demonstrate benefits in Group 2 PH/HFpEF. Most of these agents act as vasodilators in the lung, thereby increasing blood flow to the left side of the heart. However, pulmonary vasodilators have limited effect on left sided heart function or systemic circulation, and therefore, do not increase the ability of the left side of the heart to pump blood. This could worsen heart failure without improving exercise function. In contrast, PDE5 inhibitors also have a small effect on cardiac function, which may explain why they have shown the improvement in hemodynamics, exercise tolerance and hospitalizations in CpcPH as noted above.</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PDE5 inhibitors activate the nitric oxide pathway which results in its hemodynamic effects including pulmonary vasodilation. Relaxin’s hemodynamic effects are mediated both by inhibition of endothelin-1 as well as activation of the same nitric oxide signaling pathway by which PDE5 inhibitors exert their action. In addition, relaxin exerts anti-fibrotic and anti-inflammatory effects via the mechanisms shown in Figure 3. Therefore, although unproven at this time, based on its multimodal mechanism of action, we believe that TX45 has the potential to demonstrate statistically and clinically meaningful benefits in both CpcPH and IpcPH.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5186045" cy="20313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3 – PDE5 Inhibitors Affect Only One of Several Pathways Implicated in Relaxin Signaling</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support of TX45 is based upon our hypothesis that relaxin’s activities, through its remodeling and anti-fibrotic effects, may reverse the deleterious changes in the pulmonary vasculature present in CpcPH. Furthermore, relaxin’s pulmonary and systemic vasodilatory activity could unload the left ventricle, while relaxin’s anti-fibrotic and anti-inflammatory activities could promote reverse remodeling of the left ventricle in HFpEF. Last, relaxin’s ability to relax the heart muscle could improve diastolic filling in HFpEF where cardiac hypertrophy and fibrosis lead to diastolic dysfunction and heart failure. These benefits could also extend to IpcPH patients and thus to the entire Group 2 PH / HFpEF population.</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summary, depicted in Table 3 below, we hypothesize that the inherent vasodilatory, anti-fibrotic, and anti-inflammatory activities of relaxin could be suited to address both the pulmonary and cardiac pathologies of Group 2 PH / HFpEF.</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Characteristics of Group 2 PH</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IpcPH</w:t>
            </w:r>
          </w:p>
        </w:tc>
        <w:tc>
          <w:tcPr>
            <w:tcW w:w="2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CpcPH</w:t>
            </w:r>
          </w:p>
        </w:tc>
        <w:tc>
          <w:tcPr>
            <w:tcW w:w="45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Anticipated Relaxin Effects</w:t>
            </w:r>
          </w:p>
        </w:tc>
      </w:tr>
      <w:tr>
        <w:trPr>
          <w:trHeight w:val="171"/>
        </w:trPr>
        <w:tc>
          <w:tcPr>
            <w:tcW w:w="46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Pulmonary artery narrowing, thickening, stiffening, fibrotic</w:t>
            </w:r>
          </w:p>
        </w:tc>
        <w:tc>
          <w:tcPr>
            <w:tcW w:w="4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line="171" w:lineRule="exact"/>
              <w:rPr>
                <w:sz w:val="20"/>
                <w:szCs w:val="20"/>
                <w:color w:val="auto"/>
              </w:rPr>
            </w:pPr>
            <w:r>
              <w:rPr>
                <w:rFonts w:ascii="MS PGothic" w:cs="MS PGothic" w:eastAsia="MS PGothic" w:hAnsi="MS PGothic"/>
                <w:sz w:val="18"/>
                <w:szCs w:val="18"/>
                <w:color w:val="auto"/>
              </w:rPr>
              <w:t>✓</w:t>
            </w:r>
          </w:p>
        </w:tc>
        <w:tc>
          <w:tcPr>
            <w:tcW w:w="140" w:type="dxa"/>
            <w:vAlign w:val="bottom"/>
          </w:tcPr>
          <w:p>
            <w:pPr>
              <w:spacing w:after="0"/>
              <w:rPr>
                <w:sz w:val="14"/>
                <w:szCs w:val="14"/>
                <w:color w:val="auto"/>
              </w:rPr>
            </w:pPr>
          </w:p>
        </w:tc>
        <w:tc>
          <w:tcPr>
            <w:tcW w:w="452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Pulmonary vasodilation anti-inflammatory, anti-fibrotic</w:t>
            </w: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remodeling</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5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ventricular dysfunction</w:t>
            </w:r>
          </w:p>
        </w:tc>
        <w:tc>
          <w:tcPr>
            <w:tcW w:w="940" w:type="dxa"/>
            <w:vAlign w:val="bottom"/>
            <w:gridSpan w:val="2"/>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Right ventricular remodeling</w:t>
            </w:r>
          </w:p>
        </w:tc>
      </w:tr>
      <w:tr>
        <w:trPr>
          <w:trHeight w:val="27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Thickening and stiffening of left ventricle</w:t>
            </w:r>
          </w:p>
        </w:tc>
        <w:tc>
          <w:tcPr>
            <w:tcW w:w="940" w:type="dxa"/>
            <w:vAlign w:val="bottom"/>
            <w:gridSpan w:val="2"/>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Peripheral vasodilation, cardiac relaxation, left ventricular</w:t>
            </w:r>
          </w:p>
        </w:tc>
      </w:tr>
      <w:tr>
        <w:trPr>
          <w:trHeight w:val="234"/>
        </w:trPr>
        <w:tc>
          <w:tcPr>
            <w:tcW w:w="1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remodeling</w:t>
            </w:r>
          </w:p>
        </w:tc>
      </w:tr>
      <w:tr>
        <w:trPr>
          <w:trHeight w:val="35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Compromised kidney function</w:t>
            </w:r>
          </w:p>
        </w:tc>
        <w:tc>
          <w:tcPr>
            <w:tcW w:w="940" w:type="dxa"/>
            <w:vAlign w:val="bottom"/>
            <w:gridSpan w:val="2"/>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Improvement in kidney function</w:t>
            </w:r>
          </w:p>
        </w:tc>
      </w:tr>
    </w:tbl>
    <w:p>
      <w:pPr>
        <w:spacing w:after="0" w:line="17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Relaxin’s numerous physiologic activities promote vasodilation in both the systemic and pulmonary vasculature, increasing cardiac output and decreasing pulmonary vascular wedge pressure (PCWP, a measure of heart failure) have previously been demonstrated with serelaxin (recombinant native human relaxin-2). As reported by Ponikowski P. et al in </w:t>
      </w:r>
      <w:r>
        <w:rPr>
          <w:rFonts w:ascii="Times New Roman" w:cs="Times New Roman" w:eastAsia="Times New Roman" w:hAnsi="Times New Roman"/>
          <w:sz w:val="18"/>
          <w:szCs w:val="18"/>
          <w:i w:val="1"/>
          <w:iCs w:val="1"/>
          <w:color w:val="auto"/>
        </w:rPr>
        <w:t>European Heart Journal</w:t>
      </w:r>
      <w:r>
        <w:rPr>
          <w:rFonts w:ascii="Times New Roman" w:cs="Times New Roman" w:eastAsia="Times New Roman" w:hAnsi="Times New Roman"/>
          <w:sz w:val="18"/>
          <w:szCs w:val="18"/>
          <w:color w:val="auto"/>
        </w:rPr>
        <w:t xml:space="preserve"> in 2014, patients with acute heart failure who had a right heart catheterization exhibited improved hemodynamics with relaxin treatment. These observations included a reduction of mean pulmonary artery pressure (mPAP), pulmonary vascular resistance (PVR), systemic vascular resistance (SVR) and pulmonary capillary wedge pressure (PCWP). The ability of the relaxin mechanism to reduce the right ventricular strain by reducing PVR along with improving left ventricular function, as demonstrated by lowering PCWP, is fundamental to the potential of relaxin to treat PH-HFpEF. In a similar study of patients with chronic CHF reported by Dschietzig T. et al. in the </w:t>
      </w:r>
      <w:r>
        <w:rPr>
          <w:rFonts w:ascii="Times New Roman" w:cs="Times New Roman" w:eastAsia="Times New Roman" w:hAnsi="Times New Roman"/>
          <w:sz w:val="18"/>
          <w:szCs w:val="18"/>
          <w:i w:val="1"/>
          <w:iCs w:val="1"/>
          <w:color w:val="auto"/>
        </w:rPr>
        <w:t>Annals of the New York Academy of Sciences</w:t>
      </w:r>
      <w:r>
        <w:rPr>
          <w:rFonts w:ascii="Times New Roman" w:cs="Times New Roman" w:eastAsia="Times New Roman" w:hAnsi="Times New Roman"/>
          <w:sz w:val="18"/>
          <w:szCs w:val="18"/>
          <w:color w:val="auto"/>
        </w:rPr>
        <w:t xml:space="preserve"> in 2009, a reduction in PCWP and an increase in cardiac output was demonstrated in response to relaxin treatment.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33604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9493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Figure 4 – Relaxin Improves Hemodynamics in Acute Heart Failure Patients Through Reduction of Pulmonary Capillary Wedge Pressure, Mean Pulmonary Artery Pressure, Pulmonary Vascular Resistance and Systemic Vascular Resistance.</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Orange, serelaxin treatment for 20 hours (continuous infusion); Blue, placebo treatment.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improvements in some measures of placebo after 8 hours can be attributed to allowance of diuretics at that time</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Additionally, in the study reported by Ponikowski P. et al in </w:t>
      </w:r>
      <w:r>
        <w:rPr>
          <w:rFonts w:ascii="Times New Roman" w:cs="Times New Roman" w:eastAsia="Times New Roman" w:hAnsi="Times New Roman"/>
          <w:sz w:val="18"/>
          <w:szCs w:val="18"/>
          <w:i w:val="1"/>
          <w:iCs w:val="1"/>
          <w:color w:val="auto"/>
        </w:rPr>
        <w:t>European Heart Journal</w:t>
      </w:r>
      <w:r>
        <w:rPr>
          <w:rFonts w:ascii="Times New Roman" w:cs="Times New Roman" w:eastAsia="Times New Roman" w:hAnsi="Times New Roman"/>
          <w:sz w:val="18"/>
          <w:szCs w:val="18"/>
          <w:color w:val="auto"/>
        </w:rPr>
        <w:t xml:space="preserve"> in 2014, it was also reported that treatment with relaxin showed a beneficial impact on improvement in renal function in heart failure patients. This may stem from renal vasodilation with increased renal blood flow observed with treatment with relaxin. Since Group 2 / HFpEF patients also frequently present with compromised renal function, relaxin may also improve related clinical factors in our target population. We view these hemodynamic and renal function data as further evidence of relaxin’s potential utility as a therapeutic for Group 2 PH.</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TX45</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TX45 is a recombinant protein consisting of an engineered single chain human relaxin domain fused to the Fc domain of human immuno-globulin 1 (IgG1) using a peptide chain linker. The Fc portion of TX45 was modified to reduce Fcg receptor activation, and to increase binding to the neonatal Fc receptor (FcRn) with the goal of significantly increasing the half-life of the molecule in circulation, relative to the half-life of native human relaxin.</w:t>
      </w:r>
    </w:p>
    <w:p>
      <w:pPr>
        <w:spacing w:after="0" w:line="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TX45 was further engineered to reduce the isoelectric point (pI) of the molecule to enhance its pharmacokinetic properties and improve its biophysical profile. Reduction of the molecule’s pI was deemed necessary to avoid the non-specific clearance of high pI molecules from the circulation that takes place immediately following administration as a result of binding to negatively charged heparin proteoglycans on the blood vessel wall. This effect can dramatically reduce the amount of bioavailable drug to exert pharmacologic action. Of note, native relaxin and most long-acting relaxin therapeutics have a high pI. Figure 5 compares the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82"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pharmacokinetic profile of TX45 which has a reduced pI with earlier candidates in our program, and a different Fc-relaxin fusion described in the literature (“comparator”) (Sun et al. J Am Heart Assoc. 2019 Dec 17; 8(24); Hao et al. US 2019/0352366 A1). Pharmacokinetic studies in rats were run with an early Tectonic relaxin compound (TX early), the comparator compound and TX-45 in consecutive studies at the same site and analyzed in the same way. Both of the latter are high pI molecules. No head-to-head studies have been conducted between TX-45 and the comparator compound or TX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3274695" cy="2443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7469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Figure 5 – The pharmacokinetic profile of TX45 in rats showed an 11 to 15-fold reduction in the alpha phase decline at 6 hours post-dose which resulted in a 4.1 to 5.5 -fold increase in AUC (0-100 hrs) compared to a comparator molecule and an earlier TX molecule which have higher isoelectric points compared to TX45. Rats (n= 3 / group) were administered 5 mg/kg of drug intravenously in all cases.</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80"/>
          </w:cols>
          <w:pgMar w:left="320" w:top="482"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Pharmacology Studies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TX45 has been tested in several non-clinical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pharmacokinetic (PK) and pharmacology studies. These include a rat renal blood flow model that is used as a pharmacodynamic (PD) endpoint that demonstrates the vasodilatory effects of relaxin. TX45 administration shows a dose-response and exposure-response relationship on increasing rat renal blood flow (Figure 6). Renal arterial blood flow was measured with a perivascular flowmeter in anesthetized instrumented naïve rats. This study had 6-10 rats per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3334385" cy="4303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34385" cy="430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right="3160"/>
        <w:spacing w:after="0" w:line="401" w:lineRule="auto"/>
        <w:rPr>
          <w:sz w:val="20"/>
          <w:szCs w:val="20"/>
          <w:color w:val="auto"/>
        </w:rPr>
      </w:pPr>
      <w:r>
        <w:rPr>
          <w:rFonts w:ascii="Times New Roman" w:cs="Times New Roman" w:eastAsia="Times New Roman" w:hAnsi="Times New Roman"/>
          <w:sz w:val="18"/>
          <w:szCs w:val="18"/>
          <w:b w:val="1"/>
          <w:bCs w:val="1"/>
          <w:color w:val="auto"/>
        </w:rPr>
        <w:t>Figure 6 – Dose-Dependent Effect of TX45 on Rat Renal Arterial Blood Flow (RABF) (top panel) and Associated Pharmacokinetic Exposures (bottom panel)</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40"/>
          </w:cols>
          <w:pgMar w:left="320" w:top="482" w:right="5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test the impact of improvements from protein engineering efforts, and particularly the effect of reducing the pI of the molecule, we conducted a comparative assessment of TX45 and a high pI comparator Fc-Relaxin fusion protein in the same rat renal blood flow model (n = 6-10 per group). In these experiments, a dose of 0.03 mg/ kg of TX45 produced a comparable pharmacodynamic effect to 0.3 mg/kg of the comparator high pI molecule, despite being 10-fold less potent in vitro. In these studies, TX45 is ~10-fold more potent by dose in vivo than the comparator molecule, which may be consistent with a differentiated clinical profile for TX45 (Figure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3497580" cy="2100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9758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Figure 7 – The improved biophysical Profile of TX45 results in a comparable AUC at a 10-fold lower dose (0.03 mg/kg) compared to the high pI comparator (0.3 mg/kg).</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82"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use of human relaxin or human relaxin-mimetics in chronic in vivo pharmacology experiments in rats and mice has been limited by the development of anti-human relaxin antibodies that reduce relaxin levels and activity. This is because human relaxin is only ~50% homologous to rat relaxin so the rat immune system perceives human relaxin as being a foreign antigen. The development of anti-human relaxin antibodies in rodents is triggered in inflammatory disease models. To address this problem, we developed a method to administer anti-CD20 antibodies to deplete B lymphocytes and reduce antibody production. Using this approach, TX45 demonstrated a significant effect on a number of clinically relevant parameters in the rat monocrotaline-induced (MCT) model of pulmonary hypertension. The MCT model was run in the therapeutic mode, which is more stringent than the prophylactic mode. There were 10-12 rats per group and TX45 was tested in three independent experiments where it showed comparable effects. In this model, significant reductions (p&lt;0.05) in pulmonary artery pressure, right ventricular hypertrophy, NT-proBNP, and pulmonary artery muscularization were demonstrated along with 100% survival at 4 weeks compared with 75% for control animals (Figure 8, Figure 9, Figure 10). The determination of significance was done by a one-way anova test followed by Tukey’s multiple comparison test. The p values are shown in the figures. Pulmonary hemodynamics were measured using a French pressure catheter inserted into the right ventricle and pulmonary artery in anesthetized animals. Histopathology analysis was used to evaluate lung inflammation and pulmonary artery muscularization.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149225</wp:posOffset>
            </wp:positionV>
            <wp:extent cx="5177790" cy="25292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7779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Figure 8 – TX45 had a significant effect on Right Ventricular Systolic Pressure (p=0.006) (a) and Fulton’s Index (p=0.01) (b) in the MCT-PH Rat Model. Statistical significance was determined by a one-way anova test followed by Tukey’s multiple comparison test.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82"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217170</wp:posOffset>
            </wp:positionV>
            <wp:extent cx="5177790" cy="23920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7779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Figure 9 – Following Histopathological Analysis TX45 had a significant effect on Lung Inflammation (p=0.01) (a) and Muscularization of Small Pulmonary Arteries (p=0.007) (b) in MCT-PH Rats Treated with TX45 or Vehicle. Statistical significance was determined by a one-way anova test followed by Tukey’s multiple comparison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2794635" cy="32404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9463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Figure 10 – TX45 Treated Animals had a 25% improvement on survival vs. Controls in MCT-PH Rats. TX45 Achieves 100% Survival in Experiment</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82"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TX45 and earlier compounds also demonstrated a significant effect on clinically relevant parameters such as improved pulmonary hemodynamics and a reduction in kidney and cardiac fibrosis in three other preclinical models where anti-CD20 was not administered; the mouse isoproterenol model of HFpEF, the rat Sugen-hypoxia model of pulmonary hypertension as well as in the mouse unilateral ureteral obstruction model of kidney fibrosis. All of these studies had an n = 6 to 10 animals per group and statistical significance was determined by a one-way anova test followed by Tukey’s multiple comparison test. These preclinical data for TX45 have not yet been published.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Non-clinical Toxicology Studies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TX45 has been tested in rat and non-human primate (NHP) 1-month GLP toxicology and 6-month GLP toxicology studies at ITR in Canada. There is imperfect sequence homology between the active portion of TX45 and rat relaxin (~50%) or NHP relaxin (~73%). In the 1-month GLP toxicology studies, there were no specific toxicities identified and no observable adverse effect level (NOAEL), which is the greatest dose of a drug at which no detectable adverse effects occur in an exposed population, was 100 mg/kg for both species. Administration of TX45 resulted in the development of anti-drug antibodies (ADAs) in some rats and monkeys, but the ADA response was most prevalent in rats receiving TX45 by subcutaneous injection.</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During weeks 6-9 of the 26-week GLP chronic toxicology study in NHPs, 5/32 monkeys treated with TX45 developed monkey anti-human anti-drug antibodies. ADAs formed in these 5 animals while they were recovering from an upper respiratory infection (URI) during weeks 5-9 of the study. Three animals were terminated prematurely due to severe immune related reactions, two of which had measured ADAs at the time of termination. We believe the URI acted as an adjuvant to heighten the immunologic response to TX45. Only animals that had URI symptoms developed ADAs and no additional animals developed ADAs as of week 25 (out of 26) of the study. The development of ADAs was not unexpected since there is only 75% homology between human and monkey relaxin, and ADAs were previously reported in serelaxin chronic toxicology studies. There is no expected correlation between the development of ADAs against a substantially human protein administered to NHPs and the immunogenicity profile of the same protein in humans. The absence of high sequence homology between non-clinical species and human protein therapeutics is a common cause of immunogenicity in toxicology studies, particularly in longer-term studies, and does not predict immunogenicity in human clinical studies.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Clinical Development Studies and Plans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TX45 clinical development program is designed to provide data supporting key inflection points. TX000045-001, a first in human, single ascending dose study is designed to provide data on safety and tolerability, and pharmacokinetic and pharmacodynamic and immunogenicity data after single doses in healthy volunteers in the third quarter of 2024. Additionally, we anticipate that Phase 1b single dose hemodynamic data in Group 2 PH with HFpEF patients could be available in 2025, and that Phase 2 proof-of-concept efficacy data in Group 2 PH patients with HFpEF could be available in 2026.</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Phase 1a study is being conducted in Australia and the Phase 1b study is currently being conducted in Moldova and the Netherlands. These studies are being conducted under ICH and GCP guidelines. We plan to conduct our Phase 2 study in the U.S., Australia, Europe and Eastern Europe. Prior to initiating the Phase 2 study in the U.S., the Phase 1a study being conducted in Australia will need to have confirmed the safety profile of TX45 and data from the study will determine the selected doses in the Phase 2 study.</w:t>
      </w:r>
    </w:p>
    <w:p>
      <w:pPr>
        <w:spacing w:after="0" w:line="180"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 pre-IND consultation between Tectonic and the FDA occurred in early 2024. No significant issues were identified by the FDA with our planned clinical development strategy for TX45. The pre-IND consultation does not prevent the FDA from raising additional issues during the IND review. Additionally, in response to a Tectonic question about whether six minute walk distance was suitable as a pivotal endpoint in a registration study for the treatment of Group 2 PH / HFpEF, the FDA provided guidance that a six minute walk test is an acceptable assessment of functional capacity and could potentially support a label indication. Acceptance of an IND by the FDA is required before a Phase 2 clinical trial can be initiated in the U.S.</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82"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Provided the Phase 1 and 2 studies obtain sufficient safety and efficacy data to justify proceeding to Phase 3, the conduct of Global Phase 3 pivotal studies including sites in the U.S., and additional non-clinical development work including scale-up of GMP manufacturing to commercial scale would also be needed to generate the data package necessary to support regulatory approval for marketing authorization in the U.S. through the submission of a Biologic License Application (BLA) to the FDA. We would also seek similar regulatory approvals through equivalent submissions to regulatory bodies in territories outside of the U.S.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Study, Status, Location</w:t>
            </w:r>
          </w:p>
        </w:tc>
        <w:tc>
          <w:tcPr>
            <w:tcW w:w="1860" w:type="dxa"/>
            <w:vAlign w:val="bottom"/>
            <w:vMerge w:val="restart"/>
          </w:tcPr>
          <w:p>
            <w:pPr>
              <w:spacing w:after="0"/>
              <w:rPr>
                <w:sz w:val="13"/>
                <w:szCs w:val="13"/>
                <w:color w:val="auto"/>
              </w:rPr>
            </w:pPr>
          </w:p>
        </w:tc>
        <w:tc>
          <w:tcPr>
            <w:tcW w:w="25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Study Design</w:t>
            </w:r>
          </w:p>
        </w:tc>
        <w:tc>
          <w:tcPr>
            <w:tcW w:w="220" w:type="dxa"/>
            <w:vAlign w:val="bottom"/>
          </w:tcPr>
          <w:p>
            <w:pPr>
              <w:spacing w:after="0"/>
              <w:rPr>
                <w:sz w:val="13"/>
                <w:szCs w:val="13"/>
                <w:color w:val="auto"/>
              </w:rPr>
            </w:pPr>
          </w:p>
        </w:tc>
        <w:tc>
          <w:tcPr>
            <w:tcW w:w="25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Treatments</w:t>
            </w:r>
          </w:p>
        </w:tc>
        <w:tc>
          <w:tcPr>
            <w:tcW w:w="14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Population and</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32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TX000045-001 Phase 1a (Ongoing)</w:t>
            </w:r>
          </w:p>
        </w:tc>
        <w:tc>
          <w:tcPr>
            <w:tcW w:w="25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Randomized, double- blind, SAD</w:t>
            </w:r>
          </w:p>
        </w:tc>
        <w:tc>
          <w:tcPr>
            <w:tcW w:w="220" w:type="dxa"/>
            <w:vAlign w:val="bottom"/>
          </w:tcPr>
          <w:p>
            <w:pPr>
              <w:spacing w:after="0"/>
              <w:rPr>
                <w:sz w:val="14"/>
                <w:szCs w:val="14"/>
                <w:color w:val="auto"/>
              </w:rPr>
            </w:pPr>
          </w:p>
        </w:tc>
        <w:tc>
          <w:tcPr>
            <w:tcW w:w="25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TX000045 or placebo</w:t>
            </w:r>
          </w:p>
        </w:tc>
        <w:tc>
          <w:tcPr>
            <w:tcW w:w="140" w:type="dxa"/>
            <w:vAlign w:val="bottom"/>
          </w:tcPr>
          <w:p>
            <w:pPr>
              <w:spacing w:after="0"/>
              <w:rPr>
                <w:sz w:val="14"/>
                <w:szCs w:val="14"/>
                <w:color w:val="auto"/>
              </w:rPr>
            </w:pPr>
          </w:p>
        </w:tc>
        <w:tc>
          <w:tcPr>
            <w:tcW w:w="23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Healthy male and female</w:t>
            </w:r>
          </w:p>
        </w:tc>
        <w:tc>
          <w:tcPr>
            <w:tcW w:w="0" w:type="dxa"/>
            <w:vAlign w:val="bottom"/>
          </w:tcPr>
          <w:p>
            <w:pPr>
              <w:spacing w:after="0"/>
              <w:rPr>
                <w:sz w:val="1"/>
                <w:szCs w:val="1"/>
                <w:color w:val="auto"/>
              </w:rPr>
            </w:pPr>
          </w:p>
        </w:tc>
      </w:tr>
      <w:tr>
        <w:trPr>
          <w:trHeight w:val="24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2540" w:type="dxa"/>
            <w:vAlign w:val="bottom"/>
          </w:tcPr>
          <w:p>
            <w:pPr>
              <w:spacing w:after="0"/>
              <w:rPr>
                <w:sz w:val="21"/>
                <w:szCs w:val="21"/>
                <w:color w:val="auto"/>
              </w:rPr>
            </w:pPr>
          </w:p>
        </w:tc>
        <w:tc>
          <w:tcPr>
            <w:tcW w:w="2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Single ascending IV and SC doses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subjects</w:t>
            </w:r>
          </w:p>
        </w:tc>
        <w:tc>
          <w:tcPr>
            <w:tcW w:w="0" w:type="dxa"/>
            <w:vAlign w:val="bottom"/>
          </w:tcPr>
          <w:p>
            <w:pPr>
              <w:spacing w:after="0"/>
              <w:rPr>
                <w:sz w:val="1"/>
                <w:szCs w:val="1"/>
                <w:color w:val="auto"/>
              </w:rPr>
            </w:pPr>
          </w:p>
        </w:tc>
      </w:tr>
      <w:tr>
        <w:trPr>
          <w:trHeight w:val="103"/>
        </w:trPr>
        <w:tc>
          <w:tcPr>
            <w:tcW w:w="1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 clinical study protocol: IV :</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Each cohort will have 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0.3mg/kg, 1mg/kg, 3mg/kg SC:</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subjects, 6 on TX45 and 2 on</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150mg, 300mg, 600mg</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placebo</w:t>
            </w:r>
          </w:p>
        </w:tc>
        <w:tc>
          <w:tcPr>
            <w:tcW w:w="0" w:type="dxa"/>
            <w:vAlign w:val="bottom"/>
          </w:tcPr>
          <w:p>
            <w:pPr>
              <w:spacing w:after="0"/>
              <w:rPr>
                <w:sz w:val="1"/>
                <w:szCs w:val="1"/>
                <w:color w:val="auto"/>
              </w:rPr>
            </w:pPr>
          </w:p>
        </w:tc>
      </w:tr>
      <w:tr>
        <w:trPr>
          <w:trHeight w:val="502"/>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Study, Status, Location</w:t>
            </w:r>
          </w:p>
        </w:tc>
        <w:tc>
          <w:tcPr>
            <w:tcW w:w="1860" w:type="dxa"/>
            <w:vAlign w:val="bottom"/>
            <w:vMerge w:val="restart"/>
          </w:tcPr>
          <w:p>
            <w:pPr>
              <w:spacing w:after="0"/>
              <w:rPr>
                <w:sz w:val="24"/>
                <w:szCs w:val="24"/>
                <w:color w:val="auto"/>
              </w:rPr>
            </w:pPr>
          </w:p>
        </w:tc>
        <w:tc>
          <w:tcPr>
            <w:tcW w:w="25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Study Design</w:t>
            </w:r>
          </w:p>
        </w:tc>
        <w:tc>
          <w:tcPr>
            <w:tcW w:w="220" w:type="dxa"/>
            <w:vAlign w:val="bottom"/>
          </w:tcPr>
          <w:p>
            <w:pPr>
              <w:spacing w:after="0"/>
              <w:rPr>
                <w:sz w:val="24"/>
                <w:szCs w:val="24"/>
                <w:color w:val="auto"/>
              </w:rPr>
            </w:pPr>
          </w:p>
        </w:tc>
        <w:tc>
          <w:tcPr>
            <w:tcW w:w="25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Treatments</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Population and</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32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TX000045-002 Phase 1b (Ongoing)</w:t>
            </w:r>
          </w:p>
        </w:tc>
        <w:tc>
          <w:tcPr>
            <w:tcW w:w="25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Open-label single dose</w:t>
            </w:r>
          </w:p>
        </w:tc>
        <w:tc>
          <w:tcPr>
            <w:tcW w:w="220" w:type="dxa"/>
            <w:vAlign w:val="bottom"/>
          </w:tcPr>
          <w:p>
            <w:pPr>
              <w:spacing w:after="0"/>
              <w:rPr>
                <w:sz w:val="14"/>
                <w:szCs w:val="14"/>
                <w:color w:val="auto"/>
              </w:rPr>
            </w:pPr>
          </w:p>
        </w:tc>
        <w:tc>
          <w:tcPr>
            <w:tcW w:w="25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TX000045 0.3, 1, or 3 mg/kg IV</w:t>
            </w:r>
          </w:p>
        </w:tc>
        <w:tc>
          <w:tcPr>
            <w:tcW w:w="140" w:type="dxa"/>
            <w:vAlign w:val="bottom"/>
          </w:tcPr>
          <w:p>
            <w:pPr>
              <w:spacing w:after="0"/>
              <w:rPr>
                <w:sz w:val="14"/>
                <w:szCs w:val="14"/>
                <w:color w:val="auto"/>
              </w:rPr>
            </w:pPr>
          </w:p>
        </w:tc>
        <w:tc>
          <w:tcPr>
            <w:tcW w:w="23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Up to 25 patients with</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Moldova, Netherlands</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PH-HFpEF, including</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approximately 12 patients with</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PVR&gt;3 WU</w:t>
            </w:r>
          </w:p>
        </w:tc>
        <w:tc>
          <w:tcPr>
            <w:tcW w:w="0" w:type="dxa"/>
            <w:vAlign w:val="bottom"/>
          </w:tcPr>
          <w:p>
            <w:pPr>
              <w:spacing w:after="0"/>
              <w:rPr>
                <w:sz w:val="1"/>
                <w:szCs w:val="1"/>
                <w:color w:val="auto"/>
              </w:rPr>
            </w:pPr>
          </w:p>
        </w:tc>
      </w:tr>
      <w:tr>
        <w:trPr>
          <w:trHeight w:val="319"/>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0.3 mg cohort will have 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patients enrolled followed by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up to 12 patients in the 1 and 3</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mg/kg IV cohorts</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Phase 1a Trial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Phase 1 randomized, placebo-controlled, double-blind study in healthy volunteers with TX45 is currently ongoing in Australia, and includes single ascending dose (SAD) and multiple dose cohorts. In the SAD portion of the trial, TX45 is being administered by intravenous (IV) or subcutaneous (SC) injection, and in the multiple dose portion TX45 is being administered subcutaneously. The primary objective of the Phase 1 study is to determine the safety and tolerability of TX45 after single doses in ascending dose levels. The number of patients in each dose cohort is eight, six on TX45 and two on placebo. Secondary objectives include the evaluation of the pharmacokinetic (PK) and pharmacodynamic (PD) properties of TX45 to determine a PK/PD relationship. The PD endpoint in this study is the percent change from baseline renal plasma flow (RPF).</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of January 18, 2024, the first three cohorts (0.3 mg/kg IV, 1 mg/kg IV, 150 mg SC) of the single ascending dose portion of the Phase 1 study have been dosed with TX45. No drug-related SAEs have been observed thus far. Modeling of data available as of January 15, 2024 from these cohorts suggests that a single 1-2 mL injection of TX45 given once monthly (corresponding to a 150 mg and/or 300 mg dose) could be the target dose regimen. The bioavailability of TX45 after SC administration is approximately 50%. Evaluation of renal plasma flow on Day 2 after the initial starting dose administration of 0.3 mg/kg TX45 IV showed approximately 30% increase in RPF compared to baseline that was maintained on Day 8. There has been no evidence of immune-mediated clearance in subjects dosed with TX45.</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Phase 1b Trial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Phase 1b study with TX45 in patients with Group 2 PH and HFpEF has been initiated in Moldova and is being conducted in Moldova and the Netherlands. The study will enroll up to 25 patients with PH-HFpEF and approximately 12 patients will have elevated PVR (CpcPH). This study is a single dose, open-label study with intravenous administration of TX45 to evaluate the safety, tolerability and acute hemodynamic effects in patients. The doses of TX45 administered in this study will be 0.3 mg/kg IV, 1 mg/kg IV, and 3 mg/kg IV. The study will evaluate the change from baseline in pulmonary vascular resistance (PVR) as determined by right heart catheterization, as well as improvement in mean pulmonary artery pressure, pulmonary wedge pressure, cardiac output, systemic vascular resistance. We will explore change in NT-proBNP and several echocardiology endpoints.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Planned Phase 2 Proof of Concept Study in Group 2 PH and HFpEF after 24 weeks of treatment.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planned TX45 Phase 2 randomized, placebo-controlled, double-blind proof-of-concept (POC) clinical trial in patients with Group 2 PH and HFpEF is expected to begin in the second half of 2024 and will be conducted globally, including the U.S., Europe, Eastern Europe and Australia. Initiation of this study is contingent on data from the Phase 1a study demonstrating adequate safety and sufficient data to select doses and dose intervals for the Phase 2 study. This study is designed to enrich for patients with a PVR of &gt;3 on baseline right heart catheterization with the goal of evaluating efficacy in both CpcPH as well as the whole Group 2 PH population with HFpEF. We currently expect that approximately 180 subjects will enter the trial. Each subject will be randomized to one of two treatment arms or a placebo arm. In this study, TX45 or placebo would be administered by subcutaneous injection for 24-weeks followed by an 8-week follow-up period. Endpoints may include the change from baseline in PVR, stroke volume index, cardiac output, and additional hemodynamic measures as determined by right heart catheterization, 6-minute walk distance, Kansas City Cardiomyopathy Questionnaire-12 score, NT-proBNP blood level, and relevant echocardiography endpoints.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Group 2 PH with HFpEF Anticipated Pivotal Development Pathway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Subject to the results of our Phase 2 trials and feedback received during the End of Phase 2 meeting with the FDA, we expect to initiate a randomized, placebo-controlled, double-blind Phase 3 clinical trial in Group 2 PH patients with HFpEF, as well as long term, open label extension study for safety evaluation. Based on historical precedent across multiple PH subtypes and our Pre-IND consultation with the FDA regarding the specific requirements for approval in Group 2 PH with HFpEF, we believe that the achievement of a clinically significant change in a functional endpoint, such as 6-minute walk distance could be sufficient for approval. The secondary endpoints may also include change from baseline to week 24 in: KCCQ-12 score, NT-proBNP level, and the percentage who improve in WHO functional class. An additional secondary endpoint may be the time to the first occurrence of a clinical worsening event or death. At this time, we do not anticipate that an assessment of TX45’s impact on long term cardiovascular outcomes will be a requirement for approval. Commercialization in the U.S. and other countries will be contingent on approval by the regulatory authorities (the FDA in the U.S.) and an assessment by the regulators that the studies were conducted in accordance with accepted guidance and the data demonstrated that there was a positive benefit risk for patients.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HHT Opportunity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Hereditary Hemorrhagic Telangiectasia (HHT), also known as Osler-Weber-Rendu syndrome, is the second most common genetic bleeding disorder. It has been estimated that there are approximately 70,000-75,000 HHT patients in the USA and it has also been estimated that up to 10-20% of them have severe disease. Symptoms of this disorder typically arise in late teenage years or older, and the most common manifestation is recurrent epistaxis (nosebleeds), or gastrointestinal bleeding, that can be severe in some patients, requiring iron infusions or blood transfusions, Epistaxis is typically due to abnormal small blood vessels (telangiectasias) in the nasal mucosa. Patients with HHT can also develop large arterio-venous malformations (AVMs) in various organs, such as the brain, liver and lung. The presence of liver AVMs can lead to high output heart failure. AVMs can spontaneously bleed on occasion with potentially devastating results. While some AVMs can be treated by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82"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radiologic embolization, such as AVMs in the lung, others cannot, especially in the liver. Indeed, for patients with prominent liver AVMs, the only therapeutic option may be transplantation.</w:t>
      </w:r>
    </w:p>
    <w:p>
      <w:pPr>
        <w:spacing w:after="0" w:line="16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While there are no approved medical therapies for HHT, anti-VEGF therapies including bevacizumab have been used on an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basis with results demonstrating that an anti-angiogenic therapy has the potential to be an efficacious treatment. These therapies have been shown to reduce angiogenesis and bleeding in mouse models of HHT. Importantly, these data have translated to the clinic, as small investigator-sponsored trials in HHT patients have demonstrated reduced epistaxis episodes and reduced transfusion dependence. The effects of anti-VEGF therapy suggest that targeting an alternative pathway, similar to the VEGF-VEGFR pathway in its ability to more specifically regulate angiogenesis, could be a productive strategy to address HHT. In addition to bevacizumab, pazopanib, a tyrosine kinase inhibitor, has been explored in small investigator-initiated studies with early suggestion of clinical benefit.</w:t>
      </w:r>
    </w:p>
    <w:p>
      <w:pPr>
        <w:spacing w:after="0" w:line="18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HHT is a genetic disorder due to loss-of-function mutations in proteins in the BMP9/10-Endoglin-ALK1- SMAD4 signaling pathway. BMP9 is a member of the TGF-beta family of growth factors that regulate blood vessel development. “GPCR3” (the specific GPCR target is not disclosed at this stage) and its ligand (“L3”) have been described to play a role in angiogenesis and AVM formation. Expression of L3 is also upregulated in HHT disease models and likely contributes to the development of abnormal blood vessels.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 Candidate for the Treatment of HHT</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identified potential development candidates, from which one could be selected for further development as a potential treatment for HHT. These comprise a potent inhibitory anti-“GPCR3” antibody (VHH) fused to the Fc portion of IgG1. The Fc portion of these molecules was modified to reduce Fcg receptor activation and to increase binding to FcRn, in order to extend the half-life of the molecules.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Pharmacology Studies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Several murine models of HHT have been established. These include both genetic loss-of-function models that disrupt the BMP9/10-Endoglin-ALK1-SMAD4 signaling pathway at different points, and the BMP9/10 immunoblocked model. In these murine models of HHT, anti-VEGF or anti-VEGF receptor agents reduce AVM formation and bleeding. As referenced above, since bevacizumab, an anti-VEGF monoclonal antibody, has been shown to have a clinical impact in HHT patients at reducing epistaxis, the mouse models appear to be predictive of these human impacts. Despite these signs of clinical utility, neither bevacizumab nor small molecule VEGF receptor inhibitors have been approved for the treatment of HHT and they are not widely used likely because of the lack of approval, concerns about toxicity and lack of adequate information about dose. We have established a pharmacodynamic model of neonatal murine retinal angiogenesis. In this model, treatment with a potent mouse “GPCR3” Nanobody-Fc antagonist reduces neo-angiogenesis and the vascularized area in the neonatal mouse retina. We have also established the BMP9/10-immunoblocked mouse model of HHT. This model reliably leads to the development of hypervascularization, AVMs and bleeding in organs including the eye, GI tract and brain. In this model, our “GPCR3” antagonist significantly reduces both arteriovenous malformations formation (AVM) and retinal hypervascularization induced by BMP9/BMP10 blockade to a similar degree as a VEGF antagonist (Figure 11), N=7 retinas were used for AVM number determination. This demonstrates that pharmacologic inhibition of GPCR3 provides significant effects on endpoints relevant to HHT patients.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characterizing the effects of “GPCR3” antagonism on additional HHT relevant vascular pathology endpoints in mice are planned.</w:t>
      </w: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217170</wp:posOffset>
            </wp:positionV>
            <wp:extent cx="4817745" cy="2254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1774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color w:val="auto"/>
        </w:rPr>
        <w:t>Figure 11 – Anti-“GPCR3” Antibody Treatment Significantly Reduces AVM Formation and Reduces Retinal Hypervascularization Induced by BMP9/10 Blockade Compared to Treatment with Inactive Control Antibody (IgG2a/2b). Left Panel: Determination of AVM number and right panel; determination of vascular density in the retinal plexus in neonatal mice at P6 comparing “GPCR3” antagonist, isotope control antibody and a VEGF-A antibody antagonist. In all cases, data analysis was blinded. Data are mean ± SEM and analyzed using one-way ANOVA. * p&lt;0.05; **** p&lt;0.0001. Data represents N=7 mice per group. The vascular density values were generated by collecting five 200 x 200 mm2 from different fields per retina and analyzed using the ImageJ, measure particles tool software. AVM and vascular density analysis was carried out in a blinded fashion.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Plans</w:t>
      </w:r>
    </w:p>
    <w:p>
      <w:pPr>
        <w:spacing w:after="0" w:line="121"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Provided that it meets acceptable safety, tolerability and developability criteria in upcoming studies, we expect to select a development candidate (DC) in the second half of 2024 and anticipate initiating clinical studies, which could begin in the fourth quarter of 2025 or the first quarter of 2026.</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Phase 1 program for this DC would consist of a randomized, placebo-controlled, double-blind ascending-dose study that would be performed in healthy volunteers. Likely primary endpoints would be the safety and tolerability of the DC in these subjects, and likely secondary endpoints would be the pharmacokinetic properties of the DC and potentially PD endpoints in patients with HHT. Assuming adequate PK and safety are established in Phase 1, efficacy stud(ies) including a Phase 2 randomized, placebo-controlled, double-blind 3-month proof of concept (POC) study in HHT patients with frequent epistaxis and anemia would be conducted.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GEODeTM Platform</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GEODeTM platform has the potential to advance the field of biologic drugs targeted to GPCRs. To date, only 12% of the more than 800 GPCRs in the human body have been successfully translated into targets for approved therapeutics with biologics representing only three of those approvals. GPCRs have proven to be elusive targets for biologics largely due to their dynamic structure and expression levels in the plasma membrane and the difficulty of translating them in a functional form outside of their native lipid microenvironment.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majority of successful GPCR targeted therapeutics to date are small molecules, however, the success of this modality has been largely confined to just 6 GPCR subfamilies, many of which have a natural ligand that is also a small molecule. Establishing and maintaining target engagement and selectivity, therefore, for small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molecules has proven challenging for receptors of increased size and complexity, greater sequence homology in ligand binding sites, or where subfamilies have overlapping ligands.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GEODeTM was developed with the aim of addressing the challenges of GPCR targeted biologics via a combination of (1) GPCR protein engineering strategies that stabilize the pharmacologically relevant form of the receptor and increase the cell surface receptor expression, enabling purification and formulation of the receptor at scale and in the correct conformation for naïve antibody selection campaigns; (2) using an optimized cell free yeast display platform with proprietary, highly diverse Fab and VHH antibody libraries designed to target GPCRs; and (3) structure-guided protein engineering strategies to identify optimal GPCR targeted biologics. The original platform technology was developed in Dr. Andrew Kruse’s lab at Harvard. This platform technology included yeast display selection protocols, first generation Fab and VHH library designs and protocols to detergent solubilize GPCRs. Our team has made significant changes and modifications to the original platform to optimize the quality of the molecules emerging from its naïve selections and affinity maturations including optimization of its receptor design strategy, the design of its naive and affinity maturation libraries and of the yeast display selection protocols.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Our Expertise in GPCRs and mAb Discovery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optimized GPCR-targeted antibody discovery process comprises the following steps:</w:t>
      </w:r>
    </w:p>
    <w:p>
      <w:pPr>
        <w:spacing w:after="0" w:line="113" w:lineRule="exact"/>
        <w:rPr>
          <w:sz w:val="20"/>
          <w:szCs w:val="20"/>
          <w:color w:val="auto"/>
        </w:rPr>
      </w:pPr>
    </w:p>
    <w:p>
      <w:pPr>
        <w:ind w:left="120" w:firstLine="436"/>
        <w:spacing w:after="0" w:line="256"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Optimization, stabilization, and formulation of GPCRs </w:t>
      </w:r>
      <w:r>
        <w:rPr>
          <w:rFonts w:ascii="Times New Roman" w:cs="Times New Roman" w:eastAsia="Times New Roman" w:hAnsi="Times New Roman"/>
          <w:sz w:val="18"/>
          <w:szCs w:val="18"/>
          <w:color w:val="auto"/>
        </w:rPr>
        <w:t>using proprietary protein engineering and biochemistry techniques, to produce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target material in the correct conformation, as a reagent for discovery campaigns. We use structure-based homology modeling and prediction to engineer changes to the receptor that can bias it into an active or inactive state. These changes can also increase receptor cell surface expression and stability. Also, because the lipid bilayer surrounding a receptor can strongly affect its activation, we have developed techniques to present our targets in a variety of different membrane mimetics that recapitulate the lipid bilayer environment that the receptor is embedded in. We have also taken a machine learning guided protein engineering approach to generate G-protein mimetics that can stabilize GPCRs in their active state conformation. This stabilized protein complex can be used to discover agonist antibodies during yeast display selection campaigns.</w:t>
      </w:r>
    </w:p>
    <w:p>
      <w:pPr>
        <w:spacing w:after="0" w:line="182" w:lineRule="exact"/>
        <w:rPr>
          <w:rFonts w:ascii="Times New Roman" w:cs="Times New Roman" w:eastAsia="Times New Roman" w:hAnsi="Times New Roman"/>
          <w:sz w:val="18"/>
          <w:szCs w:val="18"/>
          <w:color w:val="auto"/>
        </w:rPr>
      </w:pPr>
    </w:p>
    <w:p>
      <w:pPr>
        <w:ind w:left="120" w:right="260" w:firstLine="436"/>
        <w:spacing w:after="0" w:line="262"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Optimized and streamlined yeast display antibody selection protocols </w:t>
      </w:r>
      <w:r>
        <w:rPr>
          <w:rFonts w:ascii="Times New Roman" w:cs="Times New Roman" w:eastAsia="Times New Roman" w:hAnsi="Times New Roman"/>
          <w:sz w:val="18"/>
          <w:szCs w:val="18"/>
          <w:color w:val="auto"/>
        </w:rPr>
        <w:t>that minimize false positive hits from non-specific binders and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productively pull initial hits from antibody discovery campaigns. We employ antibody libraries designed and optimized for targeting GPCRs, novel tagging strategies, and make extensive use of automated workflow. In some circumstances we compare multiple antibody discovery approaches, including animal immunization for generating initial hits against targets of interest.</w:t>
      </w:r>
    </w:p>
    <w:p>
      <w:pPr>
        <w:spacing w:after="0" w:line="176" w:lineRule="exact"/>
        <w:rPr>
          <w:rFonts w:ascii="Times New Roman" w:cs="Times New Roman" w:eastAsia="Times New Roman" w:hAnsi="Times New Roman"/>
          <w:sz w:val="18"/>
          <w:szCs w:val="18"/>
          <w:color w:val="auto"/>
        </w:rPr>
      </w:pPr>
    </w:p>
    <w:p>
      <w:pPr>
        <w:ind w:left="120" w:right="100" w:firstLine="436"/>
        <w:spacing w:after="0" w:line="286"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throughput GPCR binding assessment </w:t>
      </w:r>
      <w:r>
        <w:rPr>
          <w:rFonts w:ascii="Times New Roman" w:cs="Times New Roman" w:eastAsia="Times New Roman" w:hAnsi="Times New Roman"/>
          <w:sz w:val="18"/>
          <w:szCs w:val="18"/>
          <w:color w:val="auto"/>
        </w:rPr>
        <w:t>to confirm binding of purified antibodies to target of interest. This step enables rapid narrowing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set of initial hits to focus on the most productive options available.</w:t>
      </w:r>
    </w:p>
    <w:p>
      <w:pPr>
        <w:spacing w:after="0" w:line="154" w:lineRule="exact"/>
        <w:rPr>
          <w:rFonts w:ascii="Times New Roman" w:cs="Times New Roman" w:eastAsia="Times New Roman" w:hAnsi="Times New Roman"/>
          <w:sz w:val="18"/>
          <w:szCs w:val="18"/>
          <w:color w:val="auto"/>
        </w:rPr>
      </w:pPr>
    </w:p>
    <w:p>
      <w:pPr>
        <w:jc w:val="both"/>
        <w:ind w:left="120" w:right="720" w:firstLine="436"/>
        <w:spacing w:after="0" w:line="268"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GPCR signaling assays </w:t>
      </w:r>
      <w:r>
        <w:rPr>
          <w:rFonts w:ascii="Times New Roman" w:cs="Times New Roman" w:eastAsia="Times New Roman" w:hAnsi="Times New Roman"/>
          <w:sz w:val="18"/>
          <w:szCs w:val="18"/>
          <w:color w:val="auto"/>
        </w:rPr>
        <w:t>to confirm that hits which were identified in the selection campaign and confirmed as target binders, are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functionally active to modulate signaling through the target of interest. We have implemented a wide range of signaling assays that can support characterization of hits against different GPCR targets.</w:t>
      </w:r>
    </w:p>
    <w:p>
      <w:pPr>
        <w:spacing w:after="0" w:line="170" w:lineRule="exact"/>
        <w:rPr>
          <w:rFonts w:ascii="Times New Roman" w:cs="Times New Roman" w:eastAsia="Times New Roman" w:hAnsi="Times New Roman"/>
          <w:sz w:val="18"/>
          <w:szCs w:val="18"/>
          <w:color w:val="auto"/>
        </w:rPr>
      </w:pPr>
    </w:p>
    <w:p>
      <w:pPr>
        <w:ind w:left="120" w:right="460" w:firstLine="436"/>
        <w:spacing w:after="0" w:line="286"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Antibody Lead optimization </w:t>
      </w:r>
      <w:r>
        <w:rPr>
          <w:rFonts w:ascii="Times New Roman" w:cs="Times New Roman" w:eastAsia="Times New Roman" w:hAnsi="Times New Roman"/>
          <w:sz w:val="18"/>
          <w:szCs w:val="18"/>
          <w:color w:val="auto"/>
        </w:rPr>
        <w:t>via affinity maturation to further improve either potency, selectivity, cross-species reactivity, developability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characteristics or any combination of the above.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82"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Collaboration, License and Services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Harvard Option and License Agreement</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July 2020, we entered into an option agreement with the President and Fellows of Harvard College (“Harvard”) and obtained an option to negotiate a license under Harvard’s interest in certain patent rights (the “Patent Rights”) in exchange for an option fee in the low five digits. In October 2021, we exercised the option and in February 2022 entered into a license agreement with Harvard (the “Harvard License Agreement”). Under the Harvard License Agreement, we obtained (i) an exclusive, worldwide, royalty-bearing license under Harvard’s interests in the Patent Rights, and (ii) a non-exclusive, worldwide, royalty-bearing license to use Harvard’s interest in certain know-how to develop, manufacture and commercialize licensed products and know-how enabled products, and (iii) a non-exclusive, worldwide, royalty-bearing license to use discovery materials to develop, manufacture and commercialize discovered products. Harvard retained the right for itself and for other not-for-profit research organizations and government agencies to practice the Patent Rights and to use Harvard’s know-how and discovery materials within the scope of the license granted for research, educational and scholarly purposes.</w:t>
      </w:r>
    </w:p>
    <w:p>
      <w:pPr>
        <w:spacing w:after="0" w:line="188"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are required to use commercially reasonable efforts to develop royalty-bearing products and, once regulatory approval is received, to introduce and market such products into the commercial market and to make such products available at locally-affordable prices in certain countries outside the United States and Europe. We are also required to meet certain development and commercialization diligence milestones within specified time periods.</w:t>
      </w:r>
    </w:p>
    <w:p>
      <w:pPr>
        <w:spacing w:after="0" w:line="15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partial consideration for the Harvard License Agreement, we agreed to pay Harvard a one-time license fee of $170,000, with such fee to be paid in equal installments over three years. In July 2022, we paid Harvard $56,666 and in July 2023 we paid Harvard $56,667. The final installment of $56,667 under the Harvard License Agreement is due in July 2024. As partial consideration for the Harvard License Agreement, we entered into a subscription agreement with Harvard in July 2022, pursuant to which Harvard was granted 227,486 shares of common stock of Legacy Tectonic with a fair market value in the mid six digits.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We are required to pay a one-time milestone payment of $100,000 for each discovered product granted FDA marketing authorization as well as for the first licensed product or know-how enabled product to reach certain clinical development milestones, up to $8.5 million and for the first licensed product or know-how enabled product to reach certain commercial milestones, up to $2.0 million. We are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we receive in connection with a sublicense, strategic partnership or know-how enabled license. With respect to any net sales of licensed products and know-how enabled products sold in certain countries outside of the United States and Europe, our team and Harvard will negotiate a royalty percentage on a country-by-country basis.</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Harvard may terminate the Harvard License Agreement if we fail to maintain insurance at specified levels or fails to comply with the notice requirements therein, upon our uncured material breach or insolvency. We may terminate the Harvard License Agreement at any time with or without cause upon a specified notice period and upon an uncured material breach by Harvard.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WuXi Master Development and Manufacturing Services Agreement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On May 6, 2022, we entered into a development and manufacturing agreement (the “WuXi Biologics Manufacturing Agreement”) with WuXi Biologics. The WuXi Biologics Manufacturing Agreement governs the general terms under which WuXi Biologics, or one of its affiliates, will provide biologics development and manufacturing services as specified by our team on a project-by-project basis. Such services are performed under agreed-upon work orders. Under the terms of the WuXi Biologics Manufacturing Agreement, we have agreed to pay fees for WuXi Biologics’ performance of services in addition to reimbursing WuXi Biologics for reasonable expenses authorized by us and as provided in each applicable work order.</w:t>
      </w:r>
    </w:p>
    <w:p>
      <w:pPr>
        <w:spacing w:after="0" w:line="16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term of the WuXi Biologics Manufacturing Agreement will expire on the later of May 6, 2025 or the completion of the services under all work orders executed by the parties prior to May 6, 2025, provided that the term may be extended by our team for additional periods. We will have the right to terminate the WuXi Biologics Manufacturing Agreement or any work order upon thirty days’ prior written notice or immediately if, in our reasonable judgment, WuXi Biologics is or will be unable to perform the Services or WuXi Biologics fails to obtain or maintain any necessary licenses or approvals. Either party may terminate the WuXi Biologics Manufacturing Agreement or any work order if the other party files for bankruptcy, fails to cure a material breach during the cure period or a force majeure event that has lasted for the time period specified within the WuXi Biologics Manufacturing Agreement. WuXi Biologics has the right to terminate if the parties are unable to reach an agreement on an amendment to the services if such services become impossible due solely to changes in applicable law. The term of each work order terminates upon completion of the services under such work order, unless terminated earlier.</w:t>
      </w:r>
    </w:p>
    <w:p>
      <w:pPr>
        <w:spacing w:after="0" w:line="18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WuXi Biologics Manufacturing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Novotech Master Clinical Contract Services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March 2023, we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our team on a project-by-project basis. Such services are performed under agreed statements of work. Under the terms of the Novotech CSA, we have agreed to pay fees for Novotech’s performance of services in addition to reimbursing Novotech for reasonably incurred, pass through costs agreed to by our team and as provided in each applicable statement of work. Additionally, under the terms of the Novotech CSA, all documentation, information, and biological, chemical or other materials controlled by us and furnished to Novotech by or on behalf of us shall remain our exclusive property, and we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Novotech’s service, except for Novotech’s background intellectual property rights as defined under the Agreement.</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We may terminate the Novotech CSA or any statement of work thereunder immediately if Novotech has committed an uncurable breach or has failed to cure a breach after thirty days’ written notice. We may also terminate the Novotech CSA or any statement of work thereunder for any reason upon thirty days’ prior written notice to Novotech. Novotech may terminate the Novotech CSA or any statement of work thereunder immediately if we have failed to cure a material breach after thirty days’ written notice.</w:t>
      </w:r>
    </w:p>
    <w:p>
      <w:pPr>
        <w:spacing w:after="0" w:line="18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Novotech CSA includes customary terms relating to, among others, indemnification, intellectual property protection, confidentiality, non-solicitation, remedies and warranties.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ARENSIA Master Agreement for Early Phase Clinical Services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2023, we entered into a master agreement for early phase clinical services (the “Arensia CSA”) with ARENSIA Exploratory Medicine GmbH (“Arensia”). The Arensia CSA governs the general terms under which Arensia, or one of its affiliates, will provide early phase clinical research services in connection with clinical research programs as specified by us on a project-by-project basis. Such services are performed under agreed work orders. Under the terms of the Arensia CSA, we have agreed to pay fees for Arensia’s performance of services in addition to reimbursing Arensia for pre-approved, reasonable expenses actually and necessarily incurred by Arensia as specified in each applicable work order.</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term of the Arensia CSA will expire on the later of: (i) five years from the effective date of the Arensia CSA, or October 2028, or (ii) the completion of the services under all work orders executed prior to the fifth anniversary of the effective date of the Arensia CSA, or October 2028. Work orders shall expire upon the completion of the services specified thereunder, provided that we may terminate a work order if the study governed by such work order is suspended for more than thirty days and either party may terminate a work order for reasonable scientific safety reasons. We may terminate the Arensia CSA in its entirety for any reason upon thirty days’ prior written notice to Arensia. Either party may terminate the Arensia CSA or any statement of work thereunder immediately if the other party has failed to cure a material breach after thirty days’ written notice or for the other party’s insolvency.</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Arensia CSA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QPS Holdings Master Contract Services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2023, we entered into a master contract services agreement (the “QPS Agreement”) with QPS Holdings, LLC (“QPS”). The QPS Agreement governs the general terms under which QPS, or one of its affiliates, will provide services (excluding GMP manufacturing and clinical development related services) as specified by us on a project-by-project basis. Such services are performed under agreed statements of work. Under the terms of the QPS Agreement, we have agreed to pay for QPS’s performance of the services as specified in the applicable statement of work. Additionally, under the terms of the QPS Agreement, all documentation, information, and biological, chemical or other materials controlled by us and furnished to QPS by or on our behalf shall remain our exclusive property, and we shall own all rights to, and QPS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QPS’s services.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of the QPS Agreement will expire on the later of: (i) two years from the effective date of the QPS Agreement, or October 2025, or</w:t>
      </w:r>
    </w:p>
    <w:p>
      <w:pPr>
        <w:spacing w:after="0" w:line="27" w:lineRule="exact"/>
        <w:rPr>
          <w:sz w:val="20"/>
          <w:szCs w:val="20"/>
          <w:color w:val="auto"/>
        </w:rPr>
      </w:pPr>
    </w:p>
    <w:p>
      <w:pPr>
        <w:ind w:left="120" w:hanging="4"/>
        <w:spacing w:after="0" w:line="253" w:lineRule="auto"/>
        <w:tabs>
          <w:tab w:leader="none" w:pos="3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services under all work orders executed prior to the second anniversary of the effective date of the QPS Agreement, or October 2025. We may terminate the QPS Agreement or any statement of work thereunder for any reason upon thirty days’ prior written notice or immediately if QPS commits an uncurable breach of the QPS Agreement. QPS may terminate the QPS Agreement or any statement of work thereunder if we have failed to cure a material breach after thirty days’ written notice or may terminate the QPS Agreement for any reason upon sixty days’ prior written notice provided there are no active statements of work outstanding.</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QPS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ITR LABORATORIES Master Contract Services Agreement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February 2022, we entered into a master contract services agreement (the “ITR Agreement”) with ITR Laboratories Canada Inc. (“ITR”). The ITR Agreement governs the general terms under which ITR, or one of 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82"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affiliates, will provide services (excluding GMP manufacturing and clinical development related services) as specified by us on a project-by-project basis. Such services are performed under agreed statements of work. Under the terms of the ITR Agreement, we have agreed to pay for ITR’s performance of the services as specified in the applicable statement of work. Additionally, under the terms of the ITR Agreement, all documentation, information, and biological, chemical or other materials controlled by us and furnished to ITR by or on our behalf shall remain our exclusive property, and we shall own all rights to, and ITR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ITR’s services.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 of the ITR Agreement will expire on the later of (i) two years from the effective date of the ITR Agreement, or February 2024; or (ii) the completion of the services under all work orders executed prior to the second anniversary of the effective date of the ITR Agreement, or February 2024. we may terminate the ITR Agreement or any statement of work thereunder for any reason upon thirty days’ prior written notice or immediately if ITR commits an uncurable breach of the ITR Agreement. ITR may terminate the ITR Agreement or any statement of work thereunder if we have failed to cure a material breach after thirty days’ written notice or may terminate the ITR Agreement for any reason upon sixty days’ prior written notice provided there are no active statements of work outstanding.</w:t>
      </w:r>
    </w:p>
    <w:p>
      <w:pPr>
        <w:spacing w:after="0" w:line="18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ITR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As of July 6, 2024, our patent portfolio includes two pending U.S. non-provisional applications, one pending international (Patent Cooperation Treaty) application, and nineteen pending foreign applications relating to Fc-relaxin fusion protein compositions (including TX45) and methods of use thereof. Specifically, we have exclusively in-licensed one patent family from the President and Fellows of Harvard College that consists of one pending U.S. non-provisional patent application and nine pending foreign applications in Australia, Canada, China, Europe, Israel, Japan, Korea, Mexico, and Singapore, with any patent issuing from these applications having an expected 20-year expiry date of not earlier than May 2041. We also wholly own two patent families; the first family consists of one pending U.S. non-provisional patent application and nine pending foreign applications in Australia, Canada, China, Europe, Israel, Japan, Korea, Mexico, and Singapore, with any patent issuing from these applications having an expected 20-year expiry date of not earlier than November 2042, and the second family consists of one pending Patent Cooperation Treaty application and one pending foreign application in Taiwan, with any patent issuing from these applications having an expected 20-year expiry date of not earlier than May 2044. We also co-own one patent family with ModernaTX, Inc., which consists of one pending Patent Cooperation Treaty application relating to constitutively active modified G protein-coupled receptors and methods of use thereof, with any patent issuing from this application having an expected 20-year expiry date of not earlier than August 2043. 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82"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we rely upon trade secrets and know-how and continuing technological innovation to develop and maintain its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Our commercial success will also depend in part on not infringing upon the proprietary rights of third parties. It is uncertain whether the issuance of any third-party patent would require us to alter our development or commercial strategies, or its product candidates or processes, obtain licenses or cease certain activities. Our breach of any license agreements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w:t>
      </w:r>
      <w:r>
        <w:rPr>
          <w:rFonts w:ascii="Times New Roman" w:cs="Times New Roman" w:eastAsia="Times New Roman" w:hAnsi="Times New Roman"/>
          <w:sz w:val="17"/>
          <w:szCs w:val="17"/>
          <w:i w:val="1"/>
          <w:iCs w:val="1"/>
          <w:color w:val="auto"/>
        </w:rPr>
        <w:t>Risk Factors — Risks Related to Intellectual Property</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lead product candidate TX45. 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require our CMOs to conduct manufacturing activities in compliance with current good manufacturing practice, or cGMP, requirements. We have assembled a team of experienced employees and consultants to provide the necessary technical, quality and regulatory oversight over its CMOs. Currently, we contract with one third-party manufacturer, WuXi Biologics, to provide biologics development and manufacturing services. In the future, we may engage additional third-party manufacturers to support any clinical trials for TX45 as well as commercialization of TX45, if approved, in the United States or other jurisdictions or the clinical development and potential commercialization of additional programs from its pipeline.</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rely on WuXi Biologics to perform all chemistry, manufacturing, and controls (“CMC”) activities related to our TX45 program. We require that WuXi Biologics produces bulk drug substances and finished drug products in accordance with current Good Manufacturing Practices (“cGMPs”), and all other applicable laws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regulations. In addition, we rely on WuXi Biologics to operate facilities that meet regulatory requirements for production and testing of clinical and commercial products and to work closely with us to validate manufacturing processes prior to commercial launch. We oversee WuXi Biologics by performing technical and quality assurance review and/or approval of cGMP documentation, establishing quality agreements to define responsibilities and expectations for goods and services, and observing production and testing activities, among other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face competition from companies that are pursuing development of engineered proteins based on human relaxin including Lilly and AstraZeneca, both of whom are currently conducting Phase 2 trials. To our knowledge, neither of these companies have a specific focus on the Group 2 PH / HFpEF population, and, instead, are pursuing either the broader HFpEF population (Lilly) or Group 2 PH in the setting of either HFpEF or HFrEF (AstraZeneca). AstraZeneca has also reported efforts with a small molecule agonist of the RXFP1 receptor and recently initiated a Phase 2 clinical trial. Lastly, Moderna is studying an mRNA encoding relaxin administered via IV infusion in patients with congestive heart failure in Phase 1.</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the HHT space, Vaderis has been pursuing development of an oral AKT inhibitor and Diagonal Therapeutics has been pursuing agonist antibodies for the treatment of this condition. Investigator-initiated studies of nintendanib (Boehringer Ingelheim) and pazopanib (Novartis) are also ongoing to explore the potential utility of these kinase inhibitors to treat this condition.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focus on biologic drugs differentiates us from many competitor GPCR companies whose primary focus is on small molecule drug discovery. Additionally, our GPCR membrane protein biochemistry experience, which is key for generating optimally stabilized and formulated receptors for antibody selection campaigns, combined with our experience using novel antigen formats differentiates us from in vitro display based antibody discovery. Specifically, our use of membrane mimetics that help maintain native receptor extra- cellular domain conformations combined with the membrane protein biochemistry expertise that we have built over the last three years is a key point of potential differentiation.</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Licensure and regulation of biologics in the United States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any product candidates we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biologic in the United States generally must satisfactorily complete each of the following steps:</w:t>
      </w:r>
    </w:p>
    <w:p>
      <w:pPr>
        <w:spacing w:after="0" w:line="67" w:lineRule="exact"/>
        <w:rPr>
          <w:sz w:val="20"/>
          <w:szCs w:val="20"/>
          <w:color w:val="auto"/>
        </w:rPr>
      </w:pPr>
    </w:p>
    <w:p>
      <w:pPr>
        <w:ind w:left="1080" w:right="2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performed in accordance with the FDA’s applicable Good Laboratory Practices (“GLP”) regulations;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(“cGMP”) conditions, of the drug substance and drug product that the sponsor intends to use in human clinical trials along with required analytical and stability testing;</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for human clinical testing, which must become effective before human clinical trials may begin;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(“GCP”) regulations;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a biological product requesting marketing for one or more proposed indications, including submission of detailed information on the manufacture and composition of the product in clinical development and proposed labelling;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preclinical studies and clinical trial sites to assure compliance with GLP, as applicable, and GCP, and the integrity of clinical data in support of the BLA;</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Prescription Drug User Fee Act (“PDUFA”) fees, securing FDA approval of the BLA and licensure of the new biological product;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(“REMS”) and any post-approval studies or other post- marketing commitments required by the FDA.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6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trials or future clinical trials in a timely manner.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82"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160"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patients.</w:t>
      </w:r>
    </w:p>
    <w:p>
      <w:pPr>
        <w:spacing w:after="0" w:line="158"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73"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Information about applicable clinical trials must be submitted within specific timeframes to the National Institutes of Health (“NIH”) for public dissemination on its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xml:space="preserve"> website.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8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plan at any time.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Compliance with cGMP requirements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Review and approval of a BLA</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187" w:lineRule="exact"/>
        <w:rPr>
          <w:sz w:val="20"/>
          <w:szCs w:val="20"/>
          <w:color w:val="auto"/>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43" w:lineRule="exact"/>
        <w:rPr>
          <w:sz w:val="20"/>
          <w:szCs w:val="20"/>
          <w:color w:val="auto"/>
        </w:rPr>
      </w:pPr>
    </w:p>
    <w:p>
      <w:pPr>
        <w:ind w:left="1080" w:right="20" w:hanging="424"/>
        <w:spacing w:after="0" w:line="258"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biological products studied for their safety and effectiveness in treating serious or life-threatening illnesses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provide meaningful therapeutic benefit over existing treatments may receive accelerated approval. Accelerated approval means that a product candidate may be approved on the basis of adequate and well controlled clinical trials establishing that the product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82"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 xml:space="preserve">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r>
        <w:rPr>
          <w:rFonts w:ascii="Times New Roman" w:cs="Times New Roman" w:eastAsia="Times New Roman" w:hAnsi="Times New Roman"/>
          <w:sz w:val="18"/>
          <w:szCs w:val="18"/>
          <w:i w:val="1"/>
          <w:iCs w:val="1"/>
          <w:color w:val="auto"/>
        </w:rPr>
        <w:t>Breakthrough therapy designation.</w:t>
      </w:r>
      <w:r>
        <w:rPr>
          <w:rFonts w:ascii="Times New Roman" w:cs="Times New Roman" w:eastAsia="Times New Roman" w:hAnsi="Times New Roman"/>
          <w:sz w:val="18"/>
          <w:szCs w:val="18"/>
          <w:color w:val="auto"/>
        </w:rPr>
        <w:t xml:space="preserve"> 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95" w:lineRule="exact"/>
        <w:rPr>
          <w:sz w:val="20"/>
          <w:szCs w:val="20"/>
          <w:color w:val="auto"/>
        </w:rPr>
      </w:pPr>
    </w:p>
    <w:p>
      <w:pPr>
        <w:ind w:left="1080" w:right="120" w:hanging="424"/>
        <w:spacing w:after="0" w:line="26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8"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biological products studied for their safety and effectiveness in treating serious or life-threatening illnesses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w:t>
      </w:r>
    </w:p>
    <w:p>
      <w:pPr>
        <w:spacing w:after="0" w:line="19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None of these expedited programs change the standards for approval but they may help expedite the development or approval process of product candidates.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 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82"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82"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No interchangeable biosimilars, however, have been approved. The FDA has issued several guidance documents outlining an approach to review and approval of biosimilars. Additional guidances are expected to be finalized by the FDA in the near term.</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state-regulated, to regulate the use of biosimilars.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U.S. healthcare laws and compliance requirements</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that we may develop for which we obtain marketing approval. Our current and future arrangements with third-party payors, healthcare providers and customers may implicate broadly applicable fraud and abuse and other healthcare laws and regulations. Restrictions under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applicable federal and state healthcare laws and regulations, including certain laws and regulations applicable only if we have marketed products, include the following:</w:t>
      </w:r>
    </w:p>
    <w:p>
      <w:pPr>
        <w:spacing w:after="0" w:line="67" w:lineRule="exact"/>
        <w:rPr>
          <w:sz w:val="20"/>
          <w:szCs w:val="20"/>
          <w:color w:val="auto"/>
        </w:rPr>
      </w:pPr>
    </w:p>
    <w:p>
      <w:pPr>
        <w:ind w:left="1080" w:right="60" w:hanging="424"/>
        <w:spacing w:after="0" w:line="25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94"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spacing w:after="0" w:line="92"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5"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93"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of Medicare &amp; Medicaid Services (“CMS”), information related to payments or other transfers of value made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w:t>
      </w:r>
    </w:p>
    <w:p>
      <w:pPr>
        <w:spacing w:after="0" w:line="92"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AVROBIO’s activities are potentially subject to federal and state consumer protection and unfair competition laws.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Within the United States, the federal government and individual states have aggressively pursued healthcare reform, as evidenced by the passing of the Patient Protection and Affordable Care Act of 2010, as amended by the Health Care and Reconciliation Act of 2010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and additional modifications or repeal may occur.</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The IRA contains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 cost drugs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biologics without generic or biosimilar competition; require companies to pay rebates to Medicare for certain drug prices that increase faster than inflation; and delay until January 1, 2032 the implementation of the U.S.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IRA permits HHS to implement many of these provisions through guidance, as opposed to regulation, for the initial years. On August 29, 2023, HHS announced the list of the first ten drugs that will be subject to price negotiations, although there is currently ongoing litigation challenging the constitutionality of the IRA’s Medicare drug price negotiation program.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The effects of the IRA on our business and the healthcare industry in general is not yet known.</w:t>
      </w:r>
    </w:p>
    <w:p>
      <w:pPr>
        <w:spacing w:after="0" w:line="19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pricing regulations, reforms of regulatory approval frameworks may adversely affect our pricing strategy.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any product candidates we may develop to other available therapies. If reimbursement of our products is unavailable or limited in scope or amount, or if pricing is set at unsatisfactory levels, our business could be harmed, possibly materially.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2"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w:t>
      </w:r>
    </w:p>
    <w:p>
      <w:pPr>
        <w:spacing w:after="0" w:line="89"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there is no uniform policy of coverage and reimbursement for products that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 payor basis, with no assurance that coverage and adequate reimbursement 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Our ability to achieve acceptable levels of coverage and reimbursement for our product candidates, if approved, by governmental authorities, private health insurers and other organizations will have an effect on our ability to successfully commercialize, our product candidates. Assuming we obtain coverage for a given product by a third-party payor, the resulting reimbursement payment rates may not be adequate or may require patient out-of-pocket costs that patients find unacceptably high.</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we may not be able to successfully commercialize any product candidate for which we obtain marketing approval.</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outside of the United States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required to comply with comparable regulations in each jurisdiction outside of the United States in which we choose to manufacture, develop or seek marketing authorization for our product candidates.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Union drug development</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previous Clinical Trials Directive 2001/20/EC on January 31, 2022, a single application is now made through the Clinical Trials Information System for clinical trial authorization in up to 30 EU or European Economic Area (Norway, Iceland and Liechtenstein) (“EEA”) countries at the same time and with a single set of documentation.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w:t>
      </w:r>
    </w:p>
    <w:p>
      <w:pPr>
        <w:spacing w:after="0" w:line="27" w:lineRule="exact"/>
        <w:rPr>
          <w:sz w:val="20"/>
          <w:szCs w:val="20"/>
          <w:color w:val="auto"/>
        </w:rPr>
      </w:pPr>
    </w:p>
    <w:p>
      <w:pPr>
        <w:ind w:left="120" w:hanging="4"/>
        <w:spacing w:after="0" w:line="253" w:lineRule="auto"/>
        <w:tabs>
          <w:tab w:leader="none" w:pos="2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national and patient-level documentation). Part I is assessed by a coordinated review by the competent authorities of all European Union Member States in which an application for authorization of a clinical trial has been submitted (each, a “Member State Concerned”) of a draft report prepared by a Reference Member State. Part II is assessed separately by each Member State Concerned. The role of the relevant ethics committees in the assessment procedure continues to be governed by the national law of the Member State Concerned, however overall related timelines are defined by the Clinical Trials Regulation. The new Clinical Trials Regulation also provides for simplified reporting procedures for clinical trial sponsors.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Union drug review and approval</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obtain regulatory approval for our medicinal product candidates in the European Union, a marketing authorization application (“MAA”) needs to be submitted. There are a number of potential routes open to obtain a marketing authorization (“MA”) in the European Union. A centralized MA is issued by the European Commission through the centralized procedure, based on the opinion of the Committee for Medicinal Products for Human Use (“CHMP”) of the EMA, and is valid throughout the European Union, and in the additional Member States of the EEA. The centralized procedure is compulsory for medicinal products manufactured using biotechnological processes, orphan medicinal products, advanced therapy medicinal products (gene-therapy, somatic cell-therapy or tissue-engineered medicines) and products containing a new active substance which is not yet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w:t>
      </w:r>
    </w:p>
    <w:p>
      <w:pPr>
        <w:spacing w:after="0" w:line="19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National MAs are issued by the competent authorities of the EU Member States and only cover their respective territory. This procedure is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Member State in which the MA is sought, one of which is selected by the applicant as the Reference Member State.</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MAs in the European Union have an initial duration of five years. After these five years, the authorization may be renewed for an unlimited period on the basis of a re-evaluation of the risk-benefit balance.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 protection regulation</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our industry) with respect to the processing of personal data and the cross-border transfer of such data. We will be subject to the GDPR to the extent we process the personal data of individuals based in the EEA/UK.</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60"/>
          </w:cols>
          <w:pgMar w:left="320" w:top="482" w:right="5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As of July 6, 2024, we had 45 full-time employees, 31 of whom were primarily engaged in research and development activities, and 21 of our employees had an M.D. or Ph.D. degree. None of our employees is represented by a labor union and we consider our employee relations to be good.</w:t>
      </w:r>
    </w:p>
    <w:p>
      <w:pPr>
        <w:spacing w:after="0" w:line="14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headquarters are currently located in Watertown, Massachusetts and consist of approximately 19,000 square feet of leased research laboratory and office space under a lease that expires in January 2026. We believe that our facilities are adequate to meet our current needs.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which was voluntarily dismissed without prejudice on June 13, 2024. Two actions have been filed in the Supreme Court of New York, captioned </w:t>
      </w:r>
      <w:r>
        <w:rPr>
          <w:rFonts w:ascii="Times New Roman" w:cs="Times New Roman" w:eastAsia="Times New Roman" w:hAnsi="Times New Roman"/>
          <w:sz w:val="18"/>
          <w:szCs w:val="18"/>
          <w:i w:val="1"/>
          <w:iCs w:val="1"/>
          <w:color w:val="auto"/>
        </w:rPr>
        <w:t>Price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Avrobio, Inc., et al.</w:t>
      </w:r>
      <w:r>
        <w:rPr>
          <w:rFonts w:ascii="Times New Roman" w:cs="Times New Roman" w:eastAsia="Times New Roman" w:hAnsi="Times New Roman"/>
          <w:sz w:val="18"/>
          <w:szCs w:val="18"/>
          <w:color w:val="auto"/>
        </w:rPr>
        <w:t>, No. 652555/2024 (filed May 17, 2024) and</w:t>
      </w:r>
      <w:r>
        <w:rPr>
          <w:rFonts w:ascii="Times New Roman" w:cs="Times New Roman" w:eastAsia="Times New Roman" w:hAnsi="Times New Roman"/>
          <w:sz w:val="18"/>
          <w:szCs w:val="18"/>
          <w:i w:val="1"/>
          <w:iCs w:val="1"/>
          <w:color w:val="auto"/>
        </w:rPr>
        <w:t xml:space="preserve"> Keller v. Avrobio, Inc., et al.</w:t>
      </w:r>
      <w:r>
        <w:rPr>
          <w:rFonts w:ascii="Times New Roman" w:cs="Times New Roman" w:eastAsia="Times New Roman" w:hAnsi="Times New Roman"/>
          <w:sz w:val="18"/>
          <w:szCs w:val="18"/>
          <w:color w:val="auto"/>
        </w:rPr>
        <w:t>, No. 652597/2024 (filed May 21, 2024).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referred to as the “Merger Actions.”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Garofalo</w:t>
      </w:r>
      <w:r>
        <w:rPr>
          <w:rFonts w:ascii="Times New Roman" w:cs="Times New Roman" w:eastAsia="Times New Roman" w:hAnsi="Times New Roman"/>
          <w:sz w:val="18"/>
          <w:szCs w:val="18"/>
          <w:color w:val="auto"/>
        </w:rPr>
        <w:t xml:space="preserve"> action asserted violations of Section 14(a) of the Exchange Act and Rule 14a-9 promulgated thereunder against all defendants (AVROBIO and the AVROBIO Board) and violations of Section 20(a) of the Exchange Act against AVROBIO’s directors.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AVROBIO also received the Demands from eleven purported AVROBIO stockholders. The Demands generally assert that the Registration Statement misrepresents and/or omits certain purportedly material information relating to the Merger.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provide the Supplemental Disclosures. On June 4, 2024, AVROBIO made certain Supplemental Disclosures on Form 8-K filed with the Securities and Exchange Commission.</w:t>
      </w:r>
    </w:p>
    <w:p>
      <w:pPr>
        <w:spacing w:after="0" w:line="183"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an adverse impact on the Company because of defense and settlement costs, diversion of management resources and other factors.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Although we cannot predict the outcome of the Merger Actions or the Demands, we and our Board intend to vigorously defend the Merger Actions and the Demands.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Although the results of ordinary course litigation and claims cannot be predicted with certainty, we currently believe that the final outcome of these ordinary course matters will not have a material adverse effect on our business, financial condition, results of operations or cash flows. Regardless of the outcome, litigation can have an adverse impact because of defense and settlement costs, diversion of management resources and other factors.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82"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lists the names and ages, as of July 6, 2024, and positions of our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0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5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spacing w:after="0"/>
              <w:rPr>
                <w:sz w:val="16"/>
                <w:szCs w:val="16"/>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Alise Reicin, M.D.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Lochner, M.B.A.</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McNamara, Ph.D.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Schwabish, Ph.D.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Terrance McGuire M.S., M.B.A.</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A. Springer, Ph.D., M.B.A.</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Praveen Tipirneni, M.D.</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Stefan Vitorovic M.S., M.B.A.</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Alise Reicin, M.D.</w:t>
      </w:r>
      <w:r>
        <w:rPr>
          <w:rFonts w:ascii="Times New Roman" w:cs="Times New Roman" w:eastAsia="Times New Roman" w:hAnsi="Times New Roman"/>
          <w:sz w:val="17"/>
          <w:szCs w:val="17"/>
          <w:color w:val="auto"/>
        </w:rPr>
        <w:t>, has served as our President and Chief Executive Officer and member of the Board since completion of the Merger. Dr. Reicin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previously served as Legacy Tectonic’s President and Chief Executive Officer since August 2020. Prior to joining Legacy Tectonic, Dr. Reicin served as President, Global Clinical Development at Celgene Corporation, public pharmaceutical company, from November 2018 to December 2019 and was a member of the Executive Committee. Prior to Celgene, she served as Head of Global Clinical Development at EMD Serono Inc., a privately held pharmaceutical company, from May 2015 to October 2018. Prior to EMD Serono, Dr. Reicin served as Vice President, Program and Pipeline Leadership, Oncology at Merck &amp; Co., Inc., a public pharmaceutical company.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previously served on the board of directors of Homology Medicines, Inc., a public biopharmaceutical company and currently serves on the board of directors of Sana Biotechnology, Inc., a public cell and gene therapy company. Dr. Reicin earned a B.A. in Biochemistry from Barnard College of Columbia University. She earned a M.D. in Medicine from Harvard University. The Company believes that Dr. Reicin is qualified to serve on the Board due to her clinical expertise and leadership roles in the biotechnology and biopharmaceuticals industry.</w:t>
      </w:r>
    </w:p>
    <w:p>
      <w:pPr>
        <w:spacing w:after="0" w:line="17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Daniel Lochner, M.B.A.</w:t>
      </w:r>
      <w:r>
        <w:rPr>
          <w:rFonts w:ascii="Times New Roman" w:cs="Times New Roman" w:eastAsia="Times New Roman" w:hAnsi="Times New Roman"/>
          <w:sz w:val="18"/>
          <w:szCs w:val="18"/>
          <w:color w:val="auto"/>
        </w:rPr>
        <w:t>, has served as our Chief Financial Officer since completion of the Merger. Mr. Lochner was previously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Tectonic’s Chief Financial Officer in June 2024. Prior to joining Legacy Tectonic, Mr. Lochner served as Chief Financial Officer and Chief Business Officer for the Eye Care Division of Viatris Inc., a global healthcare company, from January 2023 to April 2024. Prior to Viatris, Mr. Lochner was the Chief Financial Officer and Chief Business Officer of Oyster Point Pharma, Inc., a biotechnology company that was acquired by Viatris in January 2023, from July 2019 to January 2023 where he led a successful initial public offering, other equity and debt financings, the transition to a commercial-stage company and the acquisition to Viatris. Previously, Mr. Lochner was a Managing Director within the Investment Management Division of Goldman Sachs &amp; Co., where he served as a lead equity portfolio manager and healthcare investor for various fund strategies. Mr. Lochner joined the Investment Management Division of Goldman Sachs &amp; Co. in 2005 as an equity investor, a position he maintained during his tenure at the firm.</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82"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Lochner received a B.A. in Economics from the University of Richmond and an Executive M.B.A. from Columbia University.</w:t>
      </w:r>
    </w:p>
    <w:p>
      <w:pPr>
        <w:spacing w:after="0" w:line="2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Peter McNamara, Ph.D.</w:t>
      </w:r>
      <w:r>
        <w:rPr>
          <w:rFonts w:ascii="Times New Roman" w:cs="Times New Roman" w:eastAsia="Times New Roman" w:hAnsi="Times New Roman"/>
          <w:sz w:val="18"/>
          <w:szCs w:val="18"/>
          <w:color w:val="auto"/>
        </w:rPr>
        <w:t>, has served as our Chief Scientific Officer since completion of the Merger. Dr. McNamara previously served as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Tectonic’s Chief Scientific Officer since June 2022. Prior to that, Dr. McNamara served as Senior Vice President, Head of Research at Tectonic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w:t>
      </w:r>
    </w:p>
    <w:p>
      <w:pPr>
        <w:spacing w:after="0" w:line="185" w:lineRule="exact"/>
        <w:rPr>
          <w:sz w:val="20"/>
          <w:szCs w:val="20"/>
          <w:color w:val="auto"/>
        </w:rPr>
      </w:pPr>
    </w:p>
    <w:p>
      <w:pPr>
        <w:ind w:left="120" w:right="40" w:firstLine="440"/>
        <w:spacing w:after="0" w:line="242" w:lineRule="auto"/>
        <w:rPr>
          <w:sz w:val="20"/>
          <w:szCs w:val="20"/>
          <w:color w:val="auto"/>
        </w:rPr>
      </w:pPr>
      <w:r>
        <w:rPr>
          <w:rFonts w:ascii="Times New Roman" w:cs="Times New Roman" w:eastAsia="Times New Roman" w:hAnsi="Times New Roman"/>
          <w:sz w:val="18"/>
          <w:szCs w:val="18"/>
          <w:b w:val="1"/>
          <w:bCs w:val="1"/>
          <w:color w:val="auto"/>
        </w:rPr>
        <w:t>Marcella K. Ruddy, M.D.</w:t>
      </w:r>
      <w:r>
        <w:rPr>
          <w:rFonts w:ascii="Times New Roman" w:cs="Times New Roman" w:eastAsia="Times New Roman" w:hAnsi="Times New Roman"/>
          <w:sz w:val="18"/>
          <w:szCs w:val="18"/>
          <w:color w:val="auto"/>
        </w:rPr>
        <w:t>, has served as our Chief Medical Officer since completion of the Merger. Dr. Ruddy previously served as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Tectonic’s Chief Medical Officer since July 2021. She has over 20 years of experience in drug development across all stages of clinical drug development. She currently serves as a member of the board of directors of Polarean Imaging plc and Upstream Bio, Inc. and has since August 2022 and January 2023, respectively. Prior to joining Tectonic’s team, Dr. Ruddy was the Head of Clinical Development for the Immunology/Inflammation Therapeutic Area at Regeneron Pharmaceuticals. In that role she led the clinical development of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w:t>
      </w:r>
    </w:p>
    <w:p>
      <w:pPr>
        <w:spacing w:after="0" w:line="19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Marc Schwabish, Ph.D.</w:t>
      </w:r>
      <w:r>
        <w:rPr>
          <w:rFonts w:ascii="Times New Roman" w:cs="Times New Roman" w:eastAsia="Times New Roman" w:hAnsi="Times New Roman"/>
          <w:sz w:val="18"/>
          <w:szCs w:val="18"/>
          <w:color w:val="auto"/>
        </w:rPr>
        <w:t>, has served as our Chief Operating Officer since completion of the Merger. Dr. Schwabish previously served as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Tectonic’s Chief Business Officer since March 2021. Prior to joining Legacy Tectonic, Dr. Schwabish served as SVP 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Heard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Phillip B. Donenberg</w:t>
      </w:r>
      <w:r>
        <w:rPr>
          <w:rFonts w:ascii="Times New Roman" w:cs="Times New Roman" w:eastAsia="Times New Roman" w:hAnsi="Times New Roman"/>
          <w:sz w:val="18"/>
          <w:szCs w:val="18"/>
          <w:color w:val="auto"/>
        </w:rPr>
        <w:t>, has served as a member of the Board since completion of the Merger. Mr. Donenberg previously served as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AVROBIO board of directors since June 2018. Mr. Donenberg served as senior 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82"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a gene therapy company, and also has experience serving on the boards of directors of privately held companies. Mr. Donenberg holds a B.S. in accountancy from the University of Illinois Champaign-Urbana College of Business and is a Certified Public Accountant. The Company believes that Mr. Donenberg is qualified to serve on the Board because of his financial expertise and his experience as an executive of companies in the life sciences industry.</w:t>
      </w:r>
    </w:p>
    <w:p>
      <w:pPr>
        <w:spacing w:after="0" w:line="188" w:lineRule="exact"/>
        <w:rPr>
          <w:sz w:val="20"/>
          <w:szCs w:val="20"/>
          <w:color w:val="auto"/>
        </w:rPr>
      </w:pPr>
    </w:p>
    <w:p>
      <w:pPr>
        <w:ind w:left="120" w:right="44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Terrance McGuire M.S., M.B.A</w:t>
      </w:r>
      <w:r>
        <w:rPr>
          <w:rFonts w:ascii="Times New Roman" w:cs="Times New Roman" w:eastAsia="Times New Roman" w:hAnsi="Times New Roman"/>
          <w:sz w:val="18"/>
          <w:szCs w:val="18"/>
          <w:color w:val="auto"/>
        </w:rPr>
        <w:t>, has served as a member of the Board since completion of the Merger. Mr. McGuire previously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Legacy Tectonic board of directors since Legacy Tectonic commenced operations as an independent company in February 2020.</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Mr. McGuire was a co-founder and is currently a general partner of Polaris Partners. He serves on the board of directors of several private companies and currently serves on the board of directors of Cyclerion Therapeutics Inc., Alector Inc., Seer Inc. and Invivyd Inc. Mr. McGuire has also served on the board of Pulmatrix Inc. Mr. McGuire is the former chairman of the National Venture Capital Association, which represents ninety percent of the venture capitalists in the U.S., chairman of the board of the Thayer School of Engineering at Dartmouth College, and a member of the boards of The David H. Koch Institute for Integrative Cancer Research at the Massachusetts Institute of Technology and The Arthur Rock Center for Entrepreneurship at Harvard Business School. Mr. McGuire earned a B.S. in physics and economics from Hobart College, an M.S. in engineering from The Thayer School at Dartmouth College, and an M.B.A. from Harvard Business School. The Company believes that Mr. McGuire is qualified to serve on the Board because of his extensive experiences as a venture capitalist focused on the biotechnology industry, as well as many years of experience as a director of biotechnology companies guiding them in the execution of their corporate strategy and objectives.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Timothy A. Springer, Ph.D.</w:t>
      </w:r>
      <w:r>
        <w:rPr>
          <w:rFonts w:ascii="Times New Roman" w:cs="Times New Roman" w:eastAsia="Times New Roman" w:hAnsi="Times New Roman"/>
          <w:sz w:val="18"/>
          <w:szCs w:val="18"/>
          <w:color w:val="auto"/>
        </w:rPr>
        <w:t>, has served as a member of the Board since completion of the Merger. Dr. Springer co-founded Legacy Tectonic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2019 and previously served as a scientific advisor to Legacy Tectonic and as a member of the Legacy Tectonic board of directors since June 2019. Dr. Springer served as Chief Executive Officer of Legacy Tectonic from June 2019 until August 2019 and as President of Legacy Tectonic from June 2019 until August 2020. Since 1989, Dr. Springer has served as the Latham Family Professor at Harvard Medical School. He has also served as Senior Investigator in the Program in Cellular and Molecular Medicine at Boston Children’s Hospital since 2012, and as a Professor of Biological Chemistry and Molecular Pharmacology at Harvard Medical School and Professor of Medicine at Boston Children’s Hospital since 2011. He was also the founder of Morphic Technology, Inc. and has served as a scientific advisor and as a member of its board of directors since June 2015. He has also served Selecta Biosciences Inc. as a scientific advisor since December 2008 and as a member of its Board since June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the Canada International Gairdner Award, and the Lasker Basic Medical Research Award. Dr. Springer received a B.A. in Biochemistry from the University of California, Berkeley, and a Ph.D. in Biochemistry and Molecular Biology from Harvard University. The Company believes that Dr. Springer is qualified to serve on the Board because of his extensive knowledge of the integrin field and his investment, business and board experience with biopharmaceutical companies.</w:t>
      </w:r>
    </w:p>
    <w:p>
      <w:pPr>
        <w:spacing w:after="0" w:line="18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Praveen Tipirneni, M.D., M.B.A.</w:t>
      </w:r>
      <w:r>
        <w:rPr>
          <w:rFonts w:ascii="Times New Roman" w:cs="Times New Roman" w:eastAsia="Times New Roman" w:hAnsi="Times New Roman"/>
          <w:sz w:val="18"/>
          <w:szCs w:val="18"/>
          <w:color w:val="auto"/>
        </w:rPr>
        <w:t>, has served as a member of the Board since completion of the Merger. Dr. Tipirneni previously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Legacy Tectonic board of directors since February 2020. Dr. Tipirneni currently serves as Chief Executive Officer and as a member of the board of directors of Morphic Holding, Inc., a position he has held since July 2015. Dr. Tipirneni received a B.A. in Mechanical Engineering from Massachusetts Institute of Technology, an M.D. from McGill University and an M.B.A. from the Wharton School of Business of the University of Pennsylvania. The Company believes Dr. Tipirneni is qualified to serve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82"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on the Board because of his experience with biotechnology companies, including working with and serving in various executive positions in life sciences companies.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Stefan Vitorovic, M.S., M.B.A.</w:t>
      </w:r>
      <w:r>
        <w:rPr>
          <w:rFonts w:ascii="Times New Roman" w:cs="Times New Roman" w:eastAsia="Times New Roman" w:hAnsi="Times New Roman"/>
          <w:sz w:val="18"/>
          <w:szCs w:val="18"/>
          <w:color w:val="auto"/>
        </w:rPr>
        <w:t>, has served as a member of the Board since completion of the Merger. Mr. Vitorovic previously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Legacy Tectonic board of directors since August 2021. Mr. Vitorovic is the co-founder and Managing Director of Vida Ventures, a role he has served in since January 2017.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 Mr. Vitorovic worked on a variety of equity and debt financings, including Aptalis Pharmaceutical Technologies (now Adare Pharma Solutions) and Biomet, Inc. (now Zimmer Biomet Holdings, Inc. (NYSE: ZBH)). Prior to TPG, Mr. Vitorovic was an investment banker at Credit Suisse’s healthcare banking group from 2004 to 2008. Mr. Vitorovic currently serves on the board of directors of Vigil Neuroscience, Inc. (NASDAQ: VIGL), Volastra Therapeutics, Inc., and Souffle Therapeutics, Inc. He was previously a board observer of Oyster Point Pharma, Inc. (formerly NASDAQ: OYST), Dyne Therapeutics (NASDAQ: DYN) and Sutro Biopharma, Inc. (NASDAQ: STRO), and a board member of Kyverna Therapeutics, Inc. (NASDAQ: KYTX) and Praxis Precision Medicines, Inc. (NASDAQ: PRAX) from 2018 to 2022. He received a B.S. with Honors in Biological Sciences and an M.S. in Biology from Stanford University, where he conducted biomedical research in the lab of Dr. Helen Blau at Stanford Medical School. Mr. Vitorovic received his M.B.A. from Harvard Business School. The Company believes Mr. Vitorovic is qualified to serve on the Board because of his deep expertise in life sciences research and investing, as well as his extensive experience in new company formation and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the Company or the Company’s subsidiaries or in which any such person has a material interest adverse to the Company or the Company’s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currently consists of six directors divided into three staggered classes, with one class to be elected at each annual meeting to serve for a three-year term.</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our certificate of incorporation (the “Certificate of Incorporation”), our Board is divided into three classes, Class I, Class II and Class III, with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 The Board is divided among the following classes:</w:t>
      </w:r>
    </w:p>
    <w:p>
      <w:pPr>
        <w:spacing w:after="0" w:line="85" w:lineRule="exact"/>
        <w:rPr>
          <w:sz w:val="20"/>
          <w:szCs w:val="20"/>
          <w:color w:val="auto"/>
        </w:rPr>
      </w:pPr>
    </w:p>
    <w:p>
      <w:pPr>
        <w:ind w:left="1080" w:right="1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Alise Reicin, M.D. and Praveen Tipirneni, M.D., whose terms will expire at the annual meeting of stockholders to be held in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Timothy A. Springer, Ph.D. and Stefan Vitorovic, whose terms will expire at the annual meeting of stockholders to be held in 2026;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Terrance McGuire and Phillip B. Donenberg, whose terms will expire at the annual meeting of stockholders to be held in 2027.</w:t>
      </w:r>
    </w:p>
    <w:p>
      <w:pPr>
        <w:spacing w:after="0" w:line="162"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or their earlier resignation, removal, retirement or death. This classification of the Board may have the effect of delaying or preventing changes in our control or management. Our directors may be removed for cause by the affirmative vote of the holders of at least 66</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of our voting stock.</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Our Board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Dr. Reicin, our president and chief executive officer, all members of the Board are independent, and all members of committees of the Board are independent. To determine independence, the Board reviewed all relevant identified transactions or relationships between each director, or any of such director’s family members, and us, our senior management and our independent auditors. Our Board has affirmatively determined that the following five current directors are independent directors within the meaning of the applicable Nasdaq listing standards: Phillip B. Donenberg, Terrance McGuire, Timothy A. Springer, Ph.D., Praveen Tipirneni, M.D. and Stefan Vitorovic. In making this determination, our Board found that none of these directors or nominees for director had a material or other disqualifying relationship with Tectonic. Dr. Reicin was determined as not being independent by virtue of her executive leadership role with us.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considered the applicable Nasdaq rules and the current and prior relationships that each non-employee director has with our company and all other facts and circumstances our Board deemed relevant in determining their independence, including their beneficial ownership of our share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standing committees of our Board are the following: audit committee, compensation committee and nominating and corporate governance committee, and each operates pursuant to a charter. Our Board may establish other committees from time to time to assist us and our Board.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committee’s oversight responsibilities include:</w:t>
      </w:r>
    </w:p>
    <w:p>
      <w:pPr>
        <w:spacing w:after="0" w:line="67" w:lineRule="exact"/>
        <w:rPr>
          <w:sz w:val="20"/>
          <w:szCs w:val="20"/>
          <w:color w:val="auto"/>
        </w:rPr>
      </w:pPr>
    </w:p>
    <w:p>
      <w:pPr>
        <w:ind w:left="1080" w:right="1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systems of internal control over financial reporting and audits of financial statements, as well as the quality and integrity of our financial statements and reports;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registered public accountant;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including compliance with ethical standards adopted by us;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and assessment of our risk management, risk assessment and major risk exposures with respect to financial, accounting, operational, tax, privacy and cybersecurity and information technology risks.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consists of Phillip Donenberg, Terrance McGuire and Stefan Vitorovic. Phillip Donenberg serves as the chair of the audit committee and is a financial expert under the rules of the SEC. To qualify as independent to serve on our audit committee, listing standards of Nasdaq and the applicable SEC rules require that a director not accept any consulting, advisory or other compensatory fee from us, other than for service as a director, or be an affiliated person of us. We believe that the composition of the audit committee complies with the applicable requirements of the rules and regulations of Nasdaq and the SEC.</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directors. Among other matters, the compensation committee’s responsibilities include:</w:t>
      </w:r>
    </w:p>
    <w:p>
      <w:pPr>
        <w:spacing w:after="0" w:line="67"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our overall compensation philosophy in light of our specific business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or recommending to the full Board the compensation, for our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for our other executive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compensation-related disclosures required by the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and strategies relating to human capital management.</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Praveen Tipirneni and Stefan Vitorovic. Praveen Tipirneni serves as the chair of the compensation committee. Each member of the compensation committee is a “non-employee” director within the meaning of Rule 16b-3 of the rules promulgated under the Exchange Act and independent within the meaning of the independent director guidelines of Nasdaq. We believe that the composition of the compensation committee complies with the applicable requirements of the rules and regulations of Nasdaq.</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w:t>
      </w:r>
    </w:p>
    <w:p>
      <w:pPr>
        <w:spacing w:after="0" w:line="131" w:lineRule="exact"/>
        <w:rPr>
          <w:sz w:val="20"/>
          <w:szCs w:val="20"/>
          <w:color w:val="auto"/>
        </w:rPr>
      </w:pPr>
    </w:p>
    <w:p>
      <w:pPr>
        <w:ind w:left="1080" w:right="520" w:hanging="424"/>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(consistent with criteria approved by the Board), reviewing the qualifications of, and considering stockholders’ recommendations for, director candidates and recommending to the Board qualified director nominees for appointment, election or reelection to the Board at each annual stockholders’ meeting and as necessary to fill vacancies and newly created directorships;</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for adoption the corporate governance guidelines applicable to us, periodically reviewing such guidelines, recommending changes to the same from time to time as appropriate and overseeing and monitoring compliance with such guidelines;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evaluations of the Board, its committees, and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directors qualified to serve on the various committees of the Board and recommending to the Board qualified nominees for membership on each such committee;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the Board and key leadership roles on the Board and its committees.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Timothy Springer and Terrance McGuire. Timothy Springer serves as the chair of the nominating and corporate governance committee.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82"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a Code of Business Conduct and Ethics (the “Code of Conduct”) that is applicable to all of our employees, executive officers and directors. The Code of Conduct is available on our website at </w:t>
      </w:r>
      <w:r>
        <w:rPr>
          <w:rFonts w:ascii="Times New Roman" w:cs="Times New Roman" w:eastAsia="Times New Roman" w:hAnsi="Times New Roman"/>
          <w:sz w:val="18"/>
          <w:szCs w:val="18"/>
          <w:i w:val="1"/>
          <w:iCs w:val="1"/>
          <w:color w:val="auto"/>
        </w:rPr>
        <w:t>https://investors.tectonictx.com/governance-documents</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 in this prospectus is an inactive textual reference only. The Board, and audit committee of the Board, will be responsible for overseeing the Code of Conduct and must approve any waivers of the Code of Conduct for employees, executive officers and directors. We plan to disclose any amendments to the Code of Conduct, or any waivers of its requirements, on our website.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60"/>
          </w:cols>
          <w:pgMar w:left="320" w:top="482" w:right="5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any reference in this section of this prospectus to “Legacy Tectonic” refers to Tectonic Operating Company, Inc., a Delaware corporation (previously named Tectonic Therapeutic, Inc.) and its consolidated subsidiaries prior to the consummation of the Merger and any reference to “the Company,” “we,” or “us” refers to Tectonic Therapeutic, Inc. and its consolidated subsidiaries after the Merger. Unless otherwise indicated, the information presented in this “Executive and Director Compensation” section reflects information for Legacy Tectonic, is as of December 31, 2023 and does not reflect the effects of the Merger or the Reverse Stock Split. Upon the closing of the Merger, the executive officers of Legacy Tectonic became the executive officers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Overview</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Legacy Tectonic’s named executive officers (“NEOs”) for the year ended December 31, 2023 who appear in the Summary Compensation Table below are:</w:t>
      </w:r>
    </w:p>
    <w:p>
      <w:pPr>
        <w:spacing w:after="0" w:line="67"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Alise Reicin, M.D., our President, Chief Executive Officer and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Marcella K. Ruddy, M.D., our Chief Medical Officer; and</w:t>
      </w:r>
    </w:p>
    <w:p>
      <w:pPr>
        <w:spacing w:after="0" w:line="130"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Cortis, Ph.D., who served as Legacy Tectonic’s Chief Operating Officer and Chief Financial Officer through the closing of the Merger. He served as our Chief Operating Officer from the closing of the Merger until his separation from our company effective July 5, 2024.</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could vary significantly from our historical practices and currently planned programs summarized in this discussion.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Legacy Tectonic’s NEOs for services during the fiscal year ended December 31, 2023.</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gridSpan w:val="2"/>
            <w:vMerge w:val="restart"/>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0"/>
                <w:szCs w:val="10"/>
                <w:b w:val="1"/>
                <w:bCs w:val="1"/>
                <w:color w:val="auto"/>
              </w:rPr>
              <w:t>(1)</w:t>
            </w:r>
          </w:p>
        </w:tc>
        <w:tc>
          <w:tcPr>
            <w:tcW w:w="920" w:type="dxa"/>
            <w:vAlign w:val="bottom"/>
            <w:gridSpan w:val="2"/>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260" w:type="dxa"/>
            <w:vAlign w:val="bottom"/>
          </w:tcPr>
          <w:p>
            <w:pPr>
              <w:spacing w:after="0"/>
              <w:rPr>
                <w:sz w:val="15"/>
                <w:szCs w:val="15"/>
                <w:color w:val="auto"/>
              </w:rPr>
            </w:pPr>
          </w:p>
        </w:tc>
        <w:tc>
          <w:tcPr>
            <w:tcW w:w="920" w:type="dxa"/>
            <w:vAlign w:val="bottom"/>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Alise Reicin, M.D.</w:t>
            </w:r>
            <w:r>
              <w:rPr>
                <w:rFonts w:ascii="Times New Roman" w:cs="Times New Roman" w:eastAsia="Times New Roman" w:hAnsi="Times New Roman"/>
                <w:sz w:val="20"/>
                <w:szCs w:val="20"/>
                <w:b w:val="1"/>
                <w:bCs w:val="1"/>
                <w:color w:val="auto"/>
                <w:vertAlign w:val="superscript"/>
              </w:rPr>
              <w:t>(4)</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w w:val="94"/>
              </w:rPr>
              <w:t>2023</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w w:val="95"/>
              </w:rPr>
              <w:t>575,050</w:t>
            </w: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112,563</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231,600</w:t>
            </w: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12,749</w:t>
            </w:r>
          </w:p>
        </w:tc>
        <w:tc>
          <w:tcPr>
            <w:tcW w:w="440" w:type="dxa"/>
            <w:vAlign w:val="bottom"/>
            <w:tcBorders>
              <w:top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2"/>
              </w:rPr>
              <w:t>(5)</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919,213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Marcella K. Ruddy, M.D.</w:t>
            </w:r>
          </w:p>
        </w:tc>
        <w:tc>
          <w:tcPr>
            <w:tcW w:w="7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451,962</w:t>
            </w:r>
          </w:p>
        </w:tc>
        <w:tc>
          <w:tcPr>
            <w:tcW w:w="92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78,794</w:t>
            </w:r>
          </w:p>
        </w:tc>
        <w:tc>
          <w:tcPr>
            <w:tcW w:w="120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159,341</w:t>
            </w:r>
          </w:p>
        </w:tc>
        <w:tc>
          <w:tcPr>
            <w:tcW w:w="1360" w:type="dxa"/>
            <w:vAlign w:val="bottom"/>
            <w:gridSpan w:val="2"/>
          </w:tcPr>
          <w:p>
            <w:pPr>
              <w:jc w:val="right"/>
              <w:ind w:right="213"/>
              <w:spacing w:after="0" w:line="196" w:lineRule="exact"/>
              <w:rPr>
                <w:sz w:val="20"/>
                <w:szCs w:val="20"/>
                <w:color w:val="auto"/>
              </w:rPr>
            </w:pPr>
            <w:r>
              <w:rPr>
                <w:rFonts w:ascii="Times New Roman" w:cs="Times New Roman" w:eastAsia="Times New Roman" w:hAnsi="Times New Roman"/>
                <w:sz w:val="16"/>
                <w:szCs w:val="16"/>
                <w:color w:val="auto"/>
              </w:rPr>
              <w:t>9,678</w:t>
            </w:r>
            <w:r>
              <w:rPr>
                <w:rFonts w:ascii="Times New Roman" w:cs="Times New Roman" w:eastAsia="Times New Roman" w:hAnsi="Times New Roman"/>
                <w:sz w:val="22"/>
                <w:szCs w:val="22"/>
                <w:color w:val="auto"/>
                <w:vertAlign w:val="superscript"/>
              </w:rPr>
              <w:t>(6)</w:t>
            </w:r>
          </w:p>
        </w:tc>
        <w:tc>
          <w:tcPr>
            <w:tcW w:w="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690,096</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Christian Cortis, Ph.D.</w:t>
            </w:r>
            <w:r>
              <w:rPr>
                <w:rFonts w:ascii="Times New Roman" w:cs="Times New Roman" w:eastAsia="Times New Roman" w:hAnsi="Times New Roman"/>
                <w:sz w:val="23"/>
                <w:szCs w:val="23"/>
                <w:b w:val="1"/>
                <w:bCs w:val="1"/>
                <w:color w:val="auto"/>
                <w:vertAlign w:val="superscript"/>
              </w:rPr>
              <w:t>(7)</w:t>
            </w:r>
          </w:p>
        </w:tc>
        <w:tc>
          <w:tcPr>
            <w:tcW w:w="70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383,356</w:t>
            </w:r>
          </w:p>
        </w:tc>
        <w:tc>
          <w:tcPr>
            <w:tcW w:w="92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78,794</w:t>
            </w:r>
          </w:p>
        </w:tc>
        <w:tc>
          <w:tcPr>
            <w:tcW w:w="1200" w:type="dxa"/>
            <w:vAlign w:val="bottom"/>
            <w:gridSpan w:val="2"/>
            <w:shd w:val="clear" w:color="auto" w:fill="CCEEFF"/>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115,850</w:t>
            </w:r>
          </w:p>
        </w:tc>
        <w:tc>
          <w:tcPr>
            <w:tcW w:w="1360" w:type="dxa"/>
            <w:vAlign w:val="bottom"/>
            <w:gridSpan w:val="2"/>
            <w:shd w:val="clear" w:color="auto" w:fill="CCEEFF"/>
          </w:tcPr>
          <w:p>
            <w:pPr>
              <w:jc w:val="right"/>
              <w:ind w:right="213"/>
              <w:spacing w:after="0" w:line="202" w:lineRule="exact"/>
              <w:rPr>
                <w:sz w:val="20"/>
                <w:szCs w:val="20"/>
                <w:color w:val="auto"/>
              </w:rPr>
            </w:pPr>
            <w:r>
              <w:rPr>
                <w:rFonts w:ascii="Times New Roman" w:cs="Times New Roman" w:eastAsia="Times New Roman" w:hAnsi="Times New Roman"/>
                <w:sz w:val="16"/>
                <w:szCs w:val="16"/>
                <w:color w:val="auto"/>
              </w:rPr>
              <w:t>495</w:t>
            </w:r>
            <w:r>
              <w:rPr>
                <w:rFonts w:ascii="Times New Roman" w:cs="Times New Roman" w:eastAsia="Times New Roman" w:hAnsi="Times New Roman"/>
                <w:sz w:val="23"/>
                <w:szCs w:val="23"/>
                <w:color w:val="auto"/>
                <w:vertAlign w:val="superscript"/>
              </w:rPr>
              <w:t>(8)</w:t>
            </w:r>
          </w:p>
        </w:tc>
        <w:tc>
          <w:tcPr>
            <w:tcW w:w="76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578,000</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540" w:right="200" w:hanging="424"/>
        <w:spacing w:after="0" w:line="234" w:lineRule="auto"/>
        <w:tabs>
          <w:tab w:leader="none" w:pos="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Salary amounts represent actual amounts paid during 2023 and reflect increases to base salary effective April 1, 2023. See “—</w:t>
      </w:r>
      <w:r>
        <w:rPr>
          <w:rFonts w:ascii="Times New Roman" w:cs="Times New Roman" w:eastAsia="Times New Roman" w:hAnsi="Times New Roman"/>
          <w:sz w:val="14"/>
          <w:szCs w:val="14"/>
          <w:i w:val="1"/>
          <w:iCs w:val="1"/>
          <w:color w:val="auto"/>
        </w:rPr>
        <w:t>Narrative to the Summary Compensation Table—Base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Salary</w:t>
      </w:r>
      <w:r>
        <w:rPr>
          <w:rFonts w:ascii="Times New Roman" w:cs="Times New Roman" w:eastAsia="Times New Roman" w:hAnsi="Times New Roman"/>
          <w:sz w:val="14"/>
          <w:szCs w:val="14"/>
          <w:color w:val="auto"/>
        </w:rPr>
        <w:t>” below.</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stock option awards granted during the year ended December 31, 2023, calculated in accordance with FASB ASC 718 for share-based compensation transactions. The assumptions used in calculating the grant date fair value of the stock options reported in this column are set forth in Note 2 to Legacy Tectonic’s consolidated financial statements for each of the years ended December 31, 2022 and 2023 included elsewhere in this the registration statement of which this prospectus forms a part. These amounts do not correspond to the actual economic value that may be received by Legacy Tectonic’s named executive officers upon the exercise of the stock options or any sale of the underlying shares of common stock.</w:t>
      </w:r>
    </w:p>
    <w:p>
      <w:pPr>
        <w:spacing w:after="0" w:line="1" w:lineRule="exact"/>
        <w:rPr>
          <w:rFonts w:ascii="Times New Roman" w:cs="Times New Roman" w:eastAsia="Times New Roman" w:hAnsi="Times New Roman"/>
          <w:sz w:val="14"/>
          <w:szCs w:val="14"/>
          <w:color w:val="auto"/>
        </w:rPr>
      </w:pPr>
    </w:p>
    <w:p>
      <w:pPr>
        <w:ind w:left="540" w:right="100" w:hanging="424"/>
        <w:spacing w:after="0" w:line="239" w:lineRule="auto"/>
        <w:tabs>
          <w:tab w:leader="none" w:pos="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disclosed for fiscal year 2023 reflect performance-based cash bonuses earned in 2023 and paid in early 2024. See “—</w:t>
      </w:r>
      <w:r>
        <w:rPr>
          <w:rFonts w:ascii="Times New Roman" w:cs="Times New Roman" w:eastAsia="Times New Roman" w:hAnsi="Times New Roman"/>
          <w:sz w:val="14"/>
          <w:szCs w:val="14"/>
          <w:i w:val="1"/>
          <w:iCs w:val="1"/>
          <w:color w:val="auto"/>
        </w:rPr>
        <w:t>Non-Equity Incentive Plan Compensation</w:t>
      </w:r>
      <w:r>
        <w:rPr>
          <w:rFonts w:ascii="Times New Roman" w:cs="Times New Roman" w:eastAsia="Times New Roman" w:hAnsi="Times New Roman"/>
          <w:sz w:val="14"/>
          <w:szCs w:val="14"/>
          <w:color w:val="auto"/>
        </w:rPr>
        <w:t>” below for a description of the material terms of the program pursuant to which this compensation was awarded.</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82"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Reicin also served as a member of the Legacy Tectonic Board but did not receive any additional compensation for her service as a director.</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commuting expenses in the amount of $12,221, and (ii) life insurance premiums in the amount of $528 paid by Legacy Tectonic on behalf of Dr. Reicin.</w:t>
      </w:r>
    </w:p>
    <w:p>
      <w:pPr>
        <w:ind w:left="540" w:hanging="424"/>
        <w:spacing w:after="0" w:line="221" w:lineRule="auto"/>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$9,150 in matching employer contributions to a 401(k) plan, and (ii) life insurance premiums in the amount of $528 paid by Legacy Tectonic on behalf of Dr. Ruddy.</w:t>
      </w:r>
    </w:p>
    <w:p>
      <w:pPr>
        <w:ind w:left="540" w:hanging="424"/>
        <w:spacing w:after="0" w:line="221" w:lineRule="auto"/>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closing of the Merger, Dr. Cortis became our Chief Financial Officer, and he separated from our company effective July 5, 2024.</w:t>
      </w:r>
    </w:p>
    <w:p>
      <w:pPr>
        <w:ind w:left="540" w:hanging="424"/>
        <w:spacing w:after="0"/>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life insurance premiums paid by Legacy Tectonic on behalf of Dr. Cortis.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the 2023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NEO’s base salary was a fixed component of annual compensation for performing specific duties and functions, and was established by the Legacy Tectonic Board taking into account each individual’s role, responsibilities, skills, and expertise. Base salaries were reviewed annually, typically in connection with Legacy Tectonic’s annual performance review process, approved by the Legacy Tectonic Board, and adjusted from time to time to realign salaries with market levels and internal benchmarking, after taking into account individual responsibilities, performance and experience. Please see the “Salary” column in the Summary Compensation Table above for the actual base salary amount received by each named executive officer during the year ended December 31, 2023. The annual base salaries for Drs. Reicin, Ruddy and Cortis were $562,380, $442,000 and $374,920, respectively for the period from January 1, 2023 through March 31, 2023, and $579,251, $455,260 and $386,168, respectively, for the period from April 1, 2023 to December 31, 2023.</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Effective as of April 1, 2024, the annual base salaries for Drs. Reicin, Ruddy and Cortis were increased to $602,160, $473,200 and $401,440, respectively.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the Merger, the annual base salaries for Dr. Reicin and Dr. Ruddy were increased to $620,000 and $486,850,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21"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Legacy Tectonic’s annual incentive program is intended to reward its named executive officers for performance during a fiscal year. From time to time, Legacy Tectonic’s compensation committee or the Legacy Tectonic Board, as applicable, in their discretion may have approved annual incentives for Legacy Tectonic’s named executive officers based on individual performance, company performance, or as otherwise determined appropriate. Each of Legacy Tectonic’s named executive officers were eligible to receive a target bonus at the discretion of the Legacy Tectonic Board with respect to the year ended December 31, 2023 (as a percentage of base salary) based upon their performance.</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0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9"/>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Alise Reicin, M.D.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Cortis, Ph.D.</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February 2024, based on the named executive officer’s performance, the Legacy Tectonic Board determined that Drs. Reicin, Ruddy and Cortis were eligible to receive 100% of their target annual bonus for the year ended December 31, 2023, and as a result, approved annual performance bonuses for Drs. Reicin, Ruddy, and Cortis in the amounts of $231,600, $159,341 and $115,850, respectively, as reflected in the “Non-Equity Incentive Plan Compensation” column of the Summary Compensation Table above.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82"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Legacy Tectonic’s equity-based incentive awards granted to its named executive officers were designed to align the interests of Legacy Tectonic and those of Legacy Tectonic stockholders with those of Legacy Tectonic employees and consultants, including its executive officers. Legacy Tectonic executives were generally awarded an initial equity grant in the form of a stock option, or restricted stock in the case of Drs. Reicin and Cortis, in connection with their commencement of employment with Legacy Tectonic.</w:t>
      </w:r>
    </w:p>
    <w:p>
      <w:pPr>
        <w:spacing w:after="0" w:line="18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Other than as disclosed below regarding restricted stock awards granted to Dr. Reicin pursuant to the Former Reicin Employment Agreement (as defined below), Legacy Tectonic historically used stock options as an incentive for long-term compensation to its executive officers because the option awards allowed Legacy Tectonic executive officers to profit from this form of equity compensation only if Legacy Tectonic’s stock price increased relative to the option’s exercise price, which exercise price was set at the fair market value of Legacy Tectonic common stock on the date of grant. Vesting of equity awards was generally tied to each officer’s continuous service with Legacy Tectonic and served as an additional retention measure. Legacy Tectonic granted equity awards at such times as the Legacy Tectonic Board or compensation committee determined appropriate. Additional grants may have occurred periodically in order to specifically incentivize executives with respect to achieving certain corporate goals or to reward executives for exceptional performance.</w:t>
      </w:r>
    </w:p>
    <w:p>
      <w:pPr>
        <w:spacing w:after="0" w:line="192"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2023, Legacy Tectonic granted each of Drs. Reicin, Ruddy and Cortis options to purchase shares of Legacy Tectonic common stock. Dr. Reicin was granted an option covering 50,000 shares, Dr. Ruddy was granted an option covering 35,000 shares and Dr. Cortis was granted an option covering 35,000 shares. Each of these option awards have an exercise price of $2.87, and vest in 48 equal monthly installments beginning on January 1, 2024. See the section titled “—</w:t>
      </w:r>
      <w:r>
        <w:rPr>
          <w:rFonts w:ascii="Times New Roman" w:cs="Times New Roman" w:eastAsia="Times New Roman" w:hAnsi="Times New Roman"/>
          <w:sz w:val="18"/>
          <w:szCs w:val="18"/>
          <w:i w:val="1"/>
          <w:iCs w:val="1"/>
          <w:color w:val="auto"/>
        </w:rPr>
        <w:t>Outstanding Equity Awards at Fiscal 2023 Year-End</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2023 Year-End</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Legacy Tectonic’s NEOs as of December 31, 2023. All awards were granted pursuant to the Tectonic 2019 Plan. See “</w:t>
      </w:r>
      <w:r>
        <w:rPr>
          <w:rFonts w:ascii="Times New Roman" w:cs="Times New Roman" w:eastAsia="Times New Roman" w:hAnsi="Times New Roman"/>
          <w:sz w:val="18"/>
          <w:szCs w:val="18"/>
          <w:i w:val="1"/>
          <w:iCs w:val="1"/>
          <w:color w:val="auto"/>
        </w:rPr>
        <w:t>—Equity Incentive Plans—Tectonic 2019 Equity Incentive Plan</w:t>
      </w:r>
      <w:r>
        <w:rPr>
          <w:rFonts w:ascii="Times New Roman" w:cs="Times New Roman" w:eastAsia="Times New Roman" w:hAnsi="Times New Roman"/>
          <w:sz w:val="18"/>
          <w:szCs w:val="18"/>
          <w:color w:val="auto"/>
        </w:rPr>
        <w:t>” for additional information.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Option Awards(1)</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42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That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4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Commencement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0" w:type="dxa"/>
            <w:vAlign w:val="bottom"/>
          </w:tcPr>
          <w:p>
            <w:pPr>
              <w:spacing w:after="0"/>
              <w:rPr>
                <w:sz w:val="1"/>
                <w:szCs w:val="1"/>
                <w:color w:val="auto"/>
              </w:rPr>
            </w:pPr>
          </w:p>
        </w:tc>
      </w:tr>
      <w:tr>
        <w:trPr>
          <w:trHeight w:val="165"/>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240" w:type="dxa"/>
            <w:vAlign w:val="bottom"/>
          </w:tcPr>
          <w:p>
            <w:pPr>
              <w:spacing w:after="0"/>
              <w:rPr>
                <w:sz w:val="14"/>
                <w:szCs w:val="14"/>
                <w:color w:val="auto"/>
              </w:rPr>
            </w:pPr>
          </w:p>
        </w:tc>
        <w:tc>
          <w:tcPr>
            <w:tcW w:w="1220" w:type="dxa"/>
            <w:vAlign w:val="bottom"/>
            <w:gridSpan w:val="2"/>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Alise Reicin, M.D.</w:t>
            </w:r>
          </w:p>
        </w:tc>
        <w:tc>
          <w:tcPr>
            <w:tcW w:w="1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36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8/26/2020</w:t>
            </w:r>
          </w:p>
        </w:tc>
        <w:tc>
          <w:tcPr>
            <w:tcW w:w="240" w:type="dxa"/>
            <w:vAlign w:val="bottom"/>
            <w:vMerge w:val="continue"/>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33,722(4)</w:t>
            </w:r>
          </w:p>
        </w:tc>
        <w:tc>
          <w:tcPr>
            <w:tcW w:w="600" w:type="dxa"/>
            <w:vAlign w:val="bottom"/>
            <w:tcBorders>
              <w:right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96,926</w:t>
            </w:r>
          </w:p>
        </w:tc>
        <w:tc>
          <w:tcPr>
            <w:tcW w:w="0" w:type="dxa"/>
            <w:vAlign w:val="bottom"/>
          </w:tcPr>
          <w:p>
            <w:pPr>
              <w:spacing w:after="0"/>
              <w:rPr>
                <w:sz w:val="1"/>
                <w:szCs w:val="1"/>
                <w:color w:val="auto"/>
              </w:rPr>
            </w:pPr>
          </w:p>
        </w:tc>
      </w:tr>
      <w:tr>
        <w:trPr>
          <w:trHeight w:val="151"/>
        </w:trPr>
        <w:tc>
          <w:tcPr>
            <w:tcW w:w="3360" w:type="dxa"/>
            <w:vAlign w:val="bottom"/>
            <w:shd w:val="clear" w:color="auto" w:fill="CCEEFF"/>
          </w:tcPr>
          <w:p>
            <w:pPr>
              <w:ind w:left="140"/>
              <w:spacing w:after="0" w:line="151" w:lineRule="exact"/>
              <w:rPr>
                <w:sz w:val="20"/>
                <w:szCs w:val="20"/>
                <w:color w:val="auto"/>
              </w:rPr>
            </w:pPr>
            <w:r>
              <w:rPr>
                <w:rFonts w:ascii="Times New Roman" w:cs="Times New Roman" w:eastAsia="Times New Roman" w:hAnsi="Times New Roman"/>
                <w:sz w:val="14"/>
                <w:szCs w:val="14"/>
                <w:i w:val="1"/>
                <w:iCs w:val="1"/>
                <w:color w:val="auto"/>
              </w:rPr>
              <w:t>Chief Executive Officer and President</w:t>
            </w:r>
          </w:p>
        </w:tc>
        <w:tc>
          <w:tcPr>
            <w:tcW w:w="1120" w:type="dxa"/>
            <w:vAlign w:val="bottom"/>
            <w:gridSpan w:val="3"/>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6/28/2021</w:t>
            </w:r>
          </w:p>
        </w:tc>
        <w:tc>
          <w:tcPr>
            <w:tcW w:w="1180" w:type="dxa"/>
            <w:vAlign w:val="bottom"/>
            <w:gridSpan w:val="2"/>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3/31/2021</w:t>
            </w:r>
          </w:p>
        </w:tc>
        <w:tc>
          <w:tcPr>
            <w:tcW w:w="940" w:type="dxa"/>
            <w:vAlign w:val="bottom"/>
            <w:gridSpan w:val="2"/>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144,644</w:t>
            </w:r>
          </w:p>
        </w:tc>
        <w:tc>
          <w:tcPr>
            <w:tcW w:w="8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114,470</w:t>
            </w:r>
          </w:p>
        </w:tc>
        <w:tc>
          <w:tcPr>
            <w:tcW w:w="420" w:type="dxa"/>
            <w:vAlign w:val="bottom"/>
            <w:shd w:val="clear" w:color="auto" w:fill="CCEEFF"/>
          </w:tcPr>
          <w:p>
            <w:pPr>
              <w:jc w:val="right"/>
              <w:ind w:right="168"/>
              <w:spacing w:after="0" w:line="151" w:lineRule="exact"/>
              <w:rPr>
                <w:sz w:val="20"/>
                <w:szCs w:val="20"/>
                <w:color w:val="auto"/>
              </w:rPr>
            </w:pPr>
            <w:r>
              <w:rPr>
                <w:rFonts w:ascii="Times New Roman" w:cs="Times New Roman" w:eastAsia="Times New Roman" w:hAnsi="Times New Roman"/>
                <w:sz w:val="14"/>
                <w:szCs w:val="14"/>
                <w:color w:val="auto"/>
                <w:w w:val="97"/>
              </w:rPr>
              <w:t>(5)</w:t>
            </w:r>
          </w:p>
        </w:tc>
        <w:tc>
          <w:tcPr>
            <w:tcW w:w="700" w:type="dxa"/>
            <w:vAlign w:val="bottom"/>
            <w:gridSpan w:val="2"/>
            <w:shd w:val="clear" w:color="auto" w:fill="CCEEFF"/>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1.27</w:t>
            </w:r>
          </w:p>
        </w:tc>
        <w:tc>
          <w:tcPr>
            <w:tcW w:w="940" w:type="dxa"/>
            <w:vAlign w:val="bottom"/>
            <w:gridSpan w:val="2"/>
            <w:shd w:val="clear" w:color="auto" w:fill="CCEEFF"/>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6/27/2031</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12/1/2023</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12/01/2023</w:t>
            </w: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11/30/2033</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12,836(6)</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36,839</w:t>
            </w:r>
          </w:p>
        </w:tc>
        <w:tc>
          <w:tcPr>
            <w:tcW w:w="0" w:type="dxa"/>
            <w:vAlign w:val="bottom"/>
          </w:tcPr>
          <w:p>
            <w:pPr>
              <w:spacing w:after="0"/>
              <w:rPr>
                <w:sz w:val="1"/>
                <w:szCs w:val="1"/>
                <w:color w:val="auto"/>
              </w:rPr>
            </w:pPr>
          </w:p>
        </w:tc>
      </w:tr>
      <w:tr>
        <w:trPr>
          <w:trHeight w:val="124"/>
        </w:trPr>
        <w:tc>
          <w:tcPr>
            <w:tcW w:w="336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Marcella K. Ruddy, M.D.</w:t>
            </w:r>
          </w:p>
        </w:tc>
        <w:tc>
          <w:tcPr>
            <w:tcW w:w="1120" w:type="dxa"/>
            <w:vAlign w:val="bottom"/>
            <w:gridSpan w:val="3"/>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9/17/2021</w:t>
            </w:r>
          </w:p>
        </w:tc>
        <w:tc>
          <w:tcPr>
            <w:tcW w:w="1180" w:type="dxa"/>
            <w:vAlign w:val="bottom"/>
            <w:gridSpan w:val="2"/>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7/19/2021</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56,301</w:t>
            </w:r>
          </w:p>
        </w:tc>
        <w:tc>
          <w:tcPr>
            <w:tcW w:w="420" w:type="dxa"/>
            <w:vAlign w:val="bottom"/>
          </w:tcPr>
          <w:p>
            <w:pPr>
              <w:jc w:val="right"/>
              <w:ind w:right="168"/>
              <w:spacing w:after="0" w:line="124" w:lineRule="exact"/>
              <w:rPr>
                <w:sz w:val="20"/>
                <w:szCs w:val="20"/>
                <w:color w:val="auto"/>
              </w:rPr>
            </w:pPr>
            <w:r>
              <w:rPr>
                <w:rFonts w:ascii="Times New Roman" w:cs="Times New Roman" w:eastAsia="Times New Roman" w:hAnsi="Times New Roman"/>
                <w:sz w:val="14"/>
                <w:szCs w:val="14"/>
                <w:color w:val="auto"/>
                <w:w w:val="97"/>
              </w:rPr>
              <w:t>(5)</w:t>
            </w:r>
          </w:p>
        </w:tc>
        <w:tc>
          <w:tcPr>
            <w:tcW w:w="70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4"/>
                <w:szCs w:val="14"/>
                <w:color w:val="auto"/>
              </w:rPr>
              <w:t>1.27</w:t>
            </w:r>
          </w:p>
        </w:tc>
        <w:tc>
          <w:tcPr>
            <w:tcW w:w="94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4"/>
                <w:szCs w:val="14"/>
                <w:color w:val="auto"/>
              </w:rPr>
              <w:t>9/16/2031</w:t>
            </w: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12/1/2023</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12/01/2023</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85,932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2.87</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11/30/2033</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Christian Cortis, Ph.D.</w:t>
            </w:r>
          </w:p>
        </w:tc>
        <w:tc>
          <w:tcPr>
            <w:tcW w:w="1120" w:type="dxa"/>
            <w:vAlign w:val="bottom"/>
            <w:gridSpan w:val="3"/>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6/28/2021</w:t>
            </w:r>
          </w:p>
        </w:tc>
        <w:tc>
          <w:tcPr>
            <w:tcW w:w="118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3/31/2021</w:t>
            </w: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94,175</w:t>
            </w:r>
          </w:p>
        </w:tc>
        <w:tc>
          <w:tcPr>
            <w:tcW w:w="420" w:type="dxa"/>
            <w:vAlign w:val="bottom"/>
            <w:shd w:val="clear" w:color="auto" w:fill="CCEEFF"/>
          </w:tcPr>
          <w:p>
            <w:pPr>
              <w:jc w:val="right"/>
              <w:ind w:right="168"/>
              <w:spacing w:after="0" w:line="124" w:lineRule="exact"/>
              <w:rPr>
                <w:sz w:val="20"/>
                <w:szCs w:val="20"/>
                <w:color w:val="auto"/>
              </w:rPr>
            </w:pPr>
            <w:r>
              <w:rPr>
                <w:rFonts w:ascii="Times New Roman" w:cs="Times New Roman" w:eastAsia="Times New Roman" w:hAnsi="Times New Roman"/>
                <w:sz w:val="14"/>
                <w:szCs w:val="14"/>
                <w:color w:val="auto"/>
                <w:w w:val="97"/>
              </w:rPr>
              <w:t>(5)</w:t>
            </w:r>
          </w:p>
        </w:tc>
        <w:tc>
          <w:tcPr>
            <w:tcW w:w="70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4"/>
                <w:szCs w:val="14"/>
                <w:color w:val="auto"/>
              </w:rPr>
              <w:t>1.27</w:t>
            </w:r>
          </w:p>
        </w:tc>
        <w:tc>
          <w:tcPr>
            <w:tcW w:w="94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4"/>
                <w:szCs w:val="14"/>
                <w:color w:val="auto"/>
              </w:rPr>
              <w:t>6/27/2031</w:t>
            </w: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12/01/2023</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12/01/2023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207,184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4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11/30/2033</w:t>
            </w: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540" w:right="20" w:hanging="424"/>
        <w:spacing w:after="0" w:line="234"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option awards have been granted pursuant to the terms of the Legacy Tectonic 2019 Plan, the terms of which are described below in the subsection titled “ </w:t>
      </w:r>
      <w:r>
        <w:rPr>
          <w:rFonts w:ascii="Times New Roman" w:cs="Times New Roman" w:eastAsia="Times New Roman" w:hAnsi="Times New Roman"/>
          <w:sz w:val="14"/>
          <w:szCs w:val="14"/>
          <w:i w:val="1"/>
          <w:iCs w:val="1"/>
          <w:color w:val="auto"/>
        </w:rPr>
        <w:t>—Equity Incentive Plans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—Tectonic 2019 Equity Incentive Plan</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540" w:right="20" w:hanging="424"/>
        <w:spacing w:after="0" w:line="221"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 awards listed in the table were granted with an exercise price per share that is no less than the fair market value of Legacy Tectonic common stock on the date of grant of such award, as determined in good faith by the Legacy Tectonic Board.</w:t>
      </w:r>
    </w:p>
    <w:p>
      <w:pPr>
        <w:ind w:left="540" w:right="340" w:hanging="424"/>
        <w:spacing w:after="0" w:line="221"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$2.87, the fair market value of a share of Legacy Tectonic common stock as of September 30, 2023 (the determination of the fair market value by the Legacy Tectonic Board as of the most proximate date) multiplied by the amount shown in the column for the number of shares that have not vested.</w:t>
      </w:r>
    </w:p>
    <w:p>
      <w:pPr>
        <w:ind w:left="540" w:right="140" w:hanging="424"/>
        <w:spacing w:after="0" w:line="239"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restricted stock issued to Dr. Reicin that are subject to vesting and a repurchase right in favor of Legacy Tectonic, with 25% of the total shares vested on the first anniversary of August 10, 2020, with the remaining shares vesting in 36 equal monthly installments thereafter, subject to Dr. Reicin’s continued service through each vesting date.</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82"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540" w:right="580" w:hanging="424"/>
        <w:spacing w:after="0" w:line="233" w:lineRule="auto"/>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on the first anniversary of the vesting commencement date, with the remaining shares vesting in 36 equal monthly installments thereafter, subject to the officer’s continued service through each vesting date.</w:t>
      </w:r>
    </w:p>
    <w:p>
      <w:pPr>
        <w:ind w:left="540" w:right="200" w:hanging="424"/>
        <w:spacing w:after="0" w:line="221" w:lineRule="auto"/>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restricted stock issued to Dr. Reicin upon the early exercise of stock options that are subject to vesting and a repurchase right in favor of Legacy Tectonic, with 5,204 shares vesting on November 30, 2024 and the remainder vesting on December 31, 2024, subject to Dr. Reicin’s continued service through each vesting date.</w:t>
      </w:r>
    </w:p>
    <w:p>
      <w:pPr>
        <w:ind w:left="540" w:hanging="424"/>
        <w:spacing w:after="0"/>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the option vest in 48 equal monthly installments beginning on January 1, 2024.</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closing of the Merger, our Compensation Committee approved option grants to certain of our employees, including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Reicin, Mr. Lochner and Dr. Ruddy. As a result, on June 20, 2024, Dr. Reicin received an option grant to purchase 289,600 shares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Mr. Lochner received an option grant to purchase 118,000 shares of our common stock and Dr. Ruddy received an option grant to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81,700 shares of our common stock, each with an exercise price per share equal to $16.80, which was the closing price per share of our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reported on the Nasdaq Global Market on the day of closing of the Merger (as adjusted for the Reverse Stock Split). The shares subject to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grants will vest 25% on the first anniversary of the grant date, and thereafter the remaining 75% of the shares will vest in equal monthly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installments over the following three years, in each case subject to the recipient’s continuous service through the applicable vesting dates, such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options are vested in full on the four-year anniversary of the grant date. Mr. Lochner also received an option grant to purchase 15,000 shares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with an exercise price per share equal to $16.80. The shares subject to this option grant will vest 50% on June 1, 2026 if we raise</w:t>
      </w:r>
    </w:p>
    <w:p>
      <w:pPr>
        <w:spacing w:after="0" w:line="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$100 million by June 1, 2026 and have a minimum of a two year cash runway as of June 1, 2026 (i.e. until June 1, 2028), and 50% on June 1, 2028 if we have a minimum of a two year cash runway as of June 1, 2028 (i.e. until June 1, 2030), in each case, as determined by our Board (or the Compensation Committee) in its sole discretion.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Legacy Tectonic’s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descriptions of the material terms of Legacy Tectonic’s employment agreement and offer letters with the NEOs.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Alise Reicin, M.D.</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August 2020, Legacy Tectonic entered into an executive employment agreement with Dr. Reicin (the “Reicin Employment Agreement”) in connection with her appointment as Legacy Tectonic’s President and Chief Executive Officer and as a member of the Legacy Tectonic Board. In connection with the Merger, we entered into an amended and restated executive employment agreement with Dr. Reicin. The material terms of the amendment are as follows: (i) Dr. Reicin shall remain President and Chief Executive Officer and shall continue to serve as an executive director to the Board; (ii) an annual base salary of $620,000; (iii) eligibility for an annual, performance-based cash bonus with a target bonus percentage of 55% of Dr. Reicin’s base salary; (iv) following the closing of the Merger, issuance of an option award to purchase our common stock, such that when combined with Dr. Reicin’s prior securities holdings or rights to acquire securities in the combined company, Dr. Reicin will hold or have the right to acquire shares representing at least 4.34% of our post-Merger common stock; and (v) eligibility to participate in our executive severance plan and other employee benefit, welfare and other plans, as may be maintained by us from time to time.</w:t>
      </w:r>
    </w:p>
    <w:p>
      <w:pPr>
        <w:spacing w:after="0" w:line="18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 of the employment related agreement for Dr. Reicin does not purport to be complete and is subject to and qualified in its entirety by reference to the copy of the amended and restated employment agreement for Dr. Reicin included as an exhibit to the registration statement of which this prospectus forms a part.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Marcella K. Ruddy, M.D.</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Legacy Tectonic entered into an offer letter with Dr. Ruddy (the “Ruddy Offer Letter”) in June 2021, in connection with her appointment as Legacy Tectonic’s Chief Medical Officer. The Ruddy Offer Letter provides for a base salary and target bonus opportunity, which shall be reviewed and may be adjusted on an annual basis.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82"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To qualify for the annual target bonus set at a percentage of her adjusted base salary in respect of any calendar year, Dr. Ruddy must remain employed with Legacy Tectonic through the time the bonus payment was paid by Legacy Tectonic in the following year. Under the Ruddy Offer Letter, Legacy Tectonic granted Dr. Ruddy an option to purchase 142,233 shares of Tectonic common stock pursuant to the terms of Legacy Tectonic’s 2019 Equity Incentive Plan (the “Tectonic 2019 Plan”), at an exercise price of $1.27 per share. The option vests on the following schedule: 25% of the shares vested on the one-year anniversary of July 19, 2021, with the remaining shares vesting in 36 equal monthly installments thereafter such that the options will be fully vested on the four-year anniversary of July 19, 2021, subject to Dr. Ruddy’s continuous service with Legacy Tectonic through each vesting date. The option award is subject to automatic acceleration in the event of (i) a Change in Control (as defined in the Tectonic 2019 Plan) and (ii) provided that within the twelve months after such Change in Control either (x) Dr. Ruddy’s continuous service is terminated without Cause (as defined in the Ruddy Offer Letter) or (y) Dr. Ruddy resigns for Good Reason (as defined in the Ruddy Offer Letter). Dr. Ruddy is also eligible for additional equity awards under Legacy Tectonic equity compensation plans, as may be granted from time to time.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Christian Cortis, Ph.D</w:t>
      </w:r>
    </w:p>
    <w:p>
      <w:pPr>
        <w:spacing w:after="0" w:line="119"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Legacy Tectonic entered into an offer letter with Dr. Cortis (the “Cortis Offer Letter”) in July 2019. Dr. Cortis served as Tectonic’s Chief Operating Officer until July 5, 2024. The Cortis Offer Letter provided for a base salary and target bonus opportunity, which was reviewed by the Legacy Tectonic Board on an annual basis. To qualify for the annual target bonus set at a percentage of his adjusted base salary in respect of any calendar year, Dr. Cortis had to remain employed with Legacy Tectonic through the time the bonus payment was paid by Legacy Tectonic in the following year. On July 5, 2024, we entered into a separation agreement with Dr. Cortis (the “Cortis Separation Agreement”) pursuant to which Dr. Cortis’ employment with us terminated effective July 5, 2024 (the “Separation Date”). Pursuant to the Cortis Separation Agreement, Dr. Cortis will receive nine months’ base salary as severance in addition to his target annual bonus for the calendar year 2024 prorated based on the length of his employment during 2024. Under the Cortis Separation Agreement, Dr. Cortis will provide consulting services from the Separation Date until March 31, 2025 (the “Consulting Period”) during which time any equity awards held by Dr. Cortis will continue to vest and any option award that is or becomes vested and exercisable on or after the Separation Date will remain exercisable for three months after the last day of the Consulting Period, or if earlier, until the latest date on which such option award could have expired by its original terms or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grant date of such opinion, provided Dr. Cortis does not materially breach his obligations under the Cortis Separation Agreement.</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a Termination or Change in Control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the Merger, our Board adopted the Severance Plan pursuant to which certain employees are eligible to participate, including the NEOs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Participant’s employment with the Company is terminated by us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82"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Participant’s employment with the Company is terminated by us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full text of the Severance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These payments and benefits discussed above are in addition to eligibility to participate in benefits available generally to salaried employees, including medical, vision, dental, and life insurance plans, in each case on the same basis as all of our other employees. We generally do not provide perquisites or personal benefits to our named executive officers, except in limited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Beginning in 2022, Legacy Tectonic maintained a tax-qualified 401(k) retirement plan that provides eligible U.S. employees with an opportunity to save for retirement on a tax-advantaged basis. Pursuant to the terms of such 401(k) plan, depending on facts and circumstances of the employee population in any given year, Legacy Tectonic may have made a 3% mandatory contribution under and pursuant to the terms of the plan and applicable law. Legacy Tectonic did not maintain, and none of the Legacy Tectonic named executive officers was eligible to participate in, any defined benefit pension plan or nonqualified deferred compensation plan.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Employment Arrangements After the Merger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Arrangements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Alise Reicin, M.D.</w:t>
      </w:r>
    </w:p>
    <w:p>
      <w:pPr>
        <w:spacing w:after="0" w:line="119"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and effective as of the closing of the Merger, on June 20, 2024, we entered into an amended and restated executive employment agreement with Dr. Reicin. For additional information regarding the material terms of the amendment, see “</w:t>
      </w:r>
      <w:r>
        <w:rPr>
          <w:rFonts w:ascii="Times New Roman" w:cs="Times New Roman" w:eastAsia="Times New Roman" w:hAnsi="Times New Roman"/>
          <w:sz w:val="18"/>
          <w:szCs w:val="18"/>
          <w:i w:val="1"/>
          <w:iCs w:val="1"/>
          <w:color w:val="auto"/>
        </w:rPr>
        <w:t>Executive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Compensation—Employment Arrangements with Legacy Tectonic’s Executive Officers</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Daniel Lochner</w:t>
      </w:r>
    </w:p>
    <w:p>
      <w:pPr>
        <w:spacing w:after="0" w:line="119"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On May 28, 2024, we entered into an employment agreement with Daniel Lochner. The material terms of the employment agreement are as follows: (i) Mr. Lochner shall be employed as Chief Financial Officer of the Company, effective June 3, 2024; (ii) an annual base salary of $475,000;</w:t>
      </w:r>
    </w:p>
    <w:p>
      <w:pPr>
        <w:spacing w:after="0" w:line="1" w:lineRule="exact"/>
        <w:rPr>
          <w:sz w:val="20"/>
          <w:szCs w:val="20"/>
          <w:color w:val="auto"/>
        </w:rPr>
      </w:pPr>
    </w:p>
    <w:p>
      <w:pPr>
        <w:ind w:left="120" w:right="140" w:hanging="4"/>
        <w:spacing w:after="0" w:line="253" w:lineRule="auto"/>
        <w:tabs>
          <w:tab w:leader="none" w:pos="4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an annual, performance-based cash bonus with a target bonus percentage of 40% of Mr. Lochner’s base salary; (iv) an issuance of an option award to purchase shares of common stock of the Company, representing 0.80% of the combined Company’s post-merger outstanding shares of common stock; (v) a performance-based equity award to purchase a number of shares of common stock equal to 0.10% of the combined Company’s post-merger outstanding shares of common stock; and (vi) eligibility to participate in the Company’s executive severance plan and other employee benefit, welfare and other plans, as may be maintained by the Company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the 2024 Equity Incentive Plan (the “2024 Plan”) in connection with and effective as of the closing of the Merger. The following summary does not contain all of the terms and conditions of the 2024 Plan and is qualified in its entirety by reference to the 2024 Plan included as an exhibit to the registration statement of which this prospectus forms a part.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82"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2024 Plan provides for the grant of incentive stock options (“ISOs”) within the meaning of Section 422 of the Code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employees of any parent or subsidiary, and for the grant of nonstatutory stock options, or NSOs, stock appreciation rights, restricted stock awards, restricted stock unit awards, performance awards and other forms of awards to employees, directors and consultants, including employees and consultants of the combined company’s affiliates.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Initially, the maximum number of shares of Company common stock that may be issued under the 2024 Plan will not exceed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12.5% of the Company’s fully diluted shares outstanding determined as of immediately after the Effective Time (the “2024 Plan’s initial share reserve”). In addition, the number of shares of Company common stock reserved for issuance under the 2024 Plan will automatically increase on January 1 of each year, starting on January 1, 2025, through and including January 1, 2034, in an amount equal to (1) 5% of the total number of shares of Company common stock outstanding on the last day of the preceding calendar year, or (2) a lesser number of shares of Company common stock determined by the Company Board prior to the date of the increase. The maximum number of shares of Company common stock that may be issued on the exercise of ISOs under the 2024 Plan is three multiplied by the 2024 Plan’s initial share reserve.</w:t>
      </w:r>
    </w:p>
    <w:p>
      <w:pPr>
        <w:spacing w:after="0" w:line="18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Shares subject to stock awards granted under the 2024 Plan that expire or terminate without being exercised or otherwise issued in full or that are paid out in cash rather than in shares do not reduce the number of shares available for issuance under the 2024 Plan. Shares withheld under a stock award to satisfy the exercise, strike or purchase price of a stock award or to satisfy a tax withholding obligation do not reduce the number of shares available for issuance under the 2024 Plan. If any shares of Company common stock issued pursuant to a stock award are forfeited back to or repurchased or reacquired by the Company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2024 Plan.</w:t>
      </w:r>
    </w:p>
    <w:p>
      <w:pPr>
        <w:spacing w:after="0" w:line="18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Company Board, or a duly authorized committee thereof, will administer the 2024 Plan and is referred to as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herein. The Company Board may also delegate to one or more persons or bodies the authority to (1) designate recipients (other than officers) to receive specified stock awards; (2) determine the number of shares subject to such stock awards; and (3) determine the terms of such awards. Under the 2024 Plan, the Company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2024 Plan, The Company Board also generally has the authority to effect,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generally accepted accounting principles.</w:t>
      </w:r>
    </w:p>
    <w:p>
      <w:pPr>
        <w:spacing w:after="0" w:line="17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plan administrator. The plan administrator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for stock options, within the terms and conditions of the 2024 Plan, provided that the exercise price of a stock option generally cannot be less than 100% of the fair market value of a share of combined company common stock on the date of grant. Options granted under the 2024 Plan vest at the rate specified in the stock option agreement as determined by the plan administrator.</w:t>
      </w:r>
    </w:p>
    <w:p>
      <w:pPr>
        <w:spacing w:after="0" w:line="18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2024 Plan, up to a maximum of 10 years. Unless the terms of an optionholder’s stock option agreement provide otherwise,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82"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prohibited by applicable securities laws. If an optionholder’s service relationship with the Company or any of the Company’s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the Company or any of the Company’s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shares of the Company’s common stock issued upon the exercise of a stock option will be determined by the plan administrator and may include (1) cash, check, bank draft or money order, (2) a broker-assisted cashless exercise, (3) the tender of shares of combined company common stock previously owned by the optionholder, (4) a net exercise of the option if it is an NSO, or (5) other legal consideration approved by the plan administrator.</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74"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the Company common stock with respect to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under restricted stock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Restricted stock unit awards may be granted in consideration for any form of legal consideration that may be acceptable to the Company’s Board and permissible under applicable law. A restricted stock unit award may be settled by cash, delivery of shares of Company common stock, a combination of cash and shares of Company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 adopted by the plan administrator.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may be awarded in consideration for cash, check, bank draft or money order, services to the Company, or any other form of legal consideration that may be acceptable to the Company’s Board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Company common stock held by the participant under such participant’s restricted stock award that have not vested as of the date the participant terminates service with the combined company through a forfeiture condition or a repurchase right.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right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determines the strike price for a stock appreciation right, which generally cannot be less than 100% of the fair market value of Company common stock on the date of grant. A stock appreciation right granted under the 2024 Plan vests at the rate specified in the stock appreciation right agreement as determined by the plan administrator. Stock appreciation rights may be settled in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82"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cash or shares of Company common stock or in any other form of payment, as determined by the Company’s Board and specified in the stock appreciation right agreement.</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stock appreciation rights granted under the 2024 Plan, up to a maximum of 10 years. If a participant’s service relationship with the Company or any of the Company’s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the Company, or any of the Company’s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2024 Plan permits the grant of performance awards that may be settled in stock, cash or other property.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combined company common stock.</w:t>
      </w:r>
    </w:p>
    <w:p>
      <w:pPr>
        <w:spacing w:after="0" w:line="18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The performance goals may be based on any measure of performance selected by the Company’s Board.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Company’s Board when the performance award is granted, the Company’s Board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w:t>
      </w:r>
    </w:p>
    <w:p>
      <w:pPr>
        <w:spacing w:after="0" w:line="5" w:lineRule="exact"/>
        <w:rPr>
          <w:sz w:val="20"/>
          <w:szCs w:val="20"/>
          <w:color w:val="auto"/>
        </w:rPr>
      </w:pPr>
    </w:p>
    <w:p>
      <w:pPr>
        <w:ind w:left="380" w:hanging="264"/>
        <w:spacing w:after="0"/>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items that are “unusual” in nature or occur “infrequently” as determined under generally accepted accounting principles;</w:t>
      </w:r>
    </w:p>
    <w:p>
      <w:pPr>
        <w:spacing w:after="0" w:line="9" w:lineRule="exact"/>
        <w:rPr>
          <w:rFonts w:ascii="Times New Roman" w:cs="Times New Roman" w:eastAsia="Times New Roman" w:hAnsi="Times New Roman"/>
          <w:sz w:val="18"/>
          <w:szCs w:val="18"/>
          <w:color w:val="auto"/>
        </w:rPr>
      </w:pPr>
    </w:p>
    <w:p>
      <w:pPr>
        <w:ind w:left="120" w:hanging="4"/>
        <w:spacing w:after="0" w:line="251" w:lineRule="auto"/>
        <w:tabs>
          <w:tab w:leader="none" w:pos="3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dilutive effects of acquisitions or joint ventures; (7) to assume that any portion of the combined company’s business which is divested achieved performance objectives at targeted levels during the balance of a performance period following such divestiture; (8) to exclude the effect of any change in the outstanding shares of combined company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92"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may grant other awards based in whole or in part by reference to Company common stock.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set the number of shares under the stock award (or cash equivalent) and all other terms and conditions of such awards.</w:t>
      </w:r>
    </w:p>
    <w:p>
      <w:pPr>
        <w:spacing w:after="0" w:line="15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to any non-employee director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calendar year that begins on or after the effective date of the merger, including awards granted and cash fees paid by the Company to such non-employee director, will not exceed (1) $750,000 in total value or (2) if such non-employee director is first appointed or elected to the combined company’s board of directors during such calendar year, $1,000,000 in total value.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82"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the Company’s capital structure, such as a stock split,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or 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83"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2024 Plan in the event of a corporate transaction (as defined in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unless otherwise provided in a participant’s stock award agreement or other written agreement with the Company or one of the Company’s affiliates or unless otherwise expressly provided by the plan administrator at the time of grant.</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the Company with respect to the stock award may be assigned to the Company’s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common stock in connection with the corporate transaction, over (ii) any per share exercise price payable by such holder, if applicable. In addition, any escrow, holdback, earn-out or similar provisions in the definitive agreement for the corporate transaction may apply to such payment to the same extent and in the same manner as such provisions apply to the holders of Company common stock.</w:t>
      </w:r>
    </w:p>
    <w:p>
      <w:pPr>
        <w:spacing w:after="0" w:line="187"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Under the 2024 Plan, a corporate transaction is generally defined as the consummation of: (1) a sale of all or substantially all of the Company’s assets, (2) the sale or disposition of at least 50% of the Company’s outstanding securities, (3) a merger or consolidation where the Company does not survive the transaction, or (4) a merger or consolidation where the Company does survive the transaction but the shares of Company common stock outstanding immediately before such transaction are converted or exchanged into other property by virtue of the transaction.</w:t>
      </w:r>
    </w:p>
    <w:p>
      <w:pPr>
        <w:spacing w:after="0" w:line="160"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under the 2024 Plan may be subject to acceleration of vesting and exercisability upon or after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as may be provided in the applicable stock award agreement or in any other written agreement between the Company or any of the Company’s affiliates and the participant, but in the absence of such provision, no such acceleration will automatically occur.</w:t>
      </w:r>
    </w:p>
    <w:p>
      <w:pPr>
        <w:spacing w:after="0" w:line="17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2024 Plan, a change in control is generally defined as: (1) the acquisition by any person or company of more than 50% of the combined voting power of the Company’s then outstanding stock; (2) a consummated merger, consolidation or similar transaction in which Company stockholders immediately before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82"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the Company’s assets other than to an entity more than 50% of the combined voting power of which is owned by Company stockholders in substantially the same proportions as their ownership of the Company’s outstanding voting securities immediately prior to such transaction; or (4) when a majority of the Company’s Board becomes comprised of individuals who were not serving on the Company’s Board on the date the 2024 Plan was adopted, or the incumbent board, or whose nomination, appointment, or election was not approved by a majority of the incumbent board still in office.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The Company’s Board has the authority to amend, suspend, or terminate the 2024 Plan at any time,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action does not materially impair the existing rights of any participant without such participant’s written consent. Certain material amendments also require the approval of Company stockholders. No ISOs may be granted after the tenth anniversary of the date the board of directors adopts the 2024 Plan. No stock awards may be granted under the 2024 Plan while it is suspended or after it is terminated.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the 2024 Employee Stock Purchase Plan (the “2024 ESPP”) The following summary does not contain all of the terms and conditions of the 2024 ESPP and is qualified in its entirety by reference to the 2024 ESPP included as an exhibit to the registration statement of which this prospectus forms a part.</w:t>
      </w:r>
    </w:p>
    <w:p>
      <w:pPr>
        <w:spacing w:after="0" w:line="174"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2024 ESPP is to provide eligible employees with an opportunity to purchase shares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accumulated contributions. The 2024 ESPP will be designed to allow eligible U.S. employees to purchase Company common stock in a manner that may qualify for favorable tax treatment under Section 423 of the Code.</w:t>
      </w:r>
    </w:p>
    <w:p>
      <w:pPr>
        <w:spacing w:after="0" w:line="17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i w:val="1"/>
          <w:iCs w:val="1"/>
          <w:color w:val="auto"/>
        </w:rPr>
        <w:t>Share Reserve</w:t>
      </w:r>
      <w:r>
        <w:rPr>
          <w:rFonts w:ascii="Times New Roman" w:cs="Times New Roman" w:eastAsia="Times New Roman" w:hAnsi="Times New Roman"/>
          <w:sz w:val="17"/>
          <w:szCs w:val="17"/>
          <w:color w:val="auto"/>
        </w:rPr>
        <w:t>. Following the merger, the 2024 ESPP will authorize the issuance of a number of shares of Company common stock equal to 1%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total number of shares of Company common stock issued and outstanding determined as of immediately after the effective time (the “2024 ESPP’s initial share reserve”), pursuant to purchase rights granted to the Company’s employees or to employees of any of the Company’s designated affiliates. The number of shares of Company common stock reserved for issuance will automatically increase on January 1 of each year, from January 1, 2025 through and including January 1, 2034, by the lesser of (1) 1% of the total number of shares of Company common stock outstanding on the last day of the preceding calendar year, and (2) a number of shares of Company common stock equal to three times the 2024 ESPP’s initial share 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prior to the date of any such increase, the Company’s Board may determine that such increase will be less than the amount set forth in clauses</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and (2).</w:t>
      </w:r>
    </w:p>
    <w:p>
      <w:pPr>
        <w:spacing w:after="0" w:line="2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Company’s Board intends to delegate concurrent authority to administer the 2024 ESPP to the Company’s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2024 ESPP is implemented through a series of offerings under which eligible employees are granted rights to purchase shares of Company common stock on specified dates during such offerings. Under the 2024 ESPP, the Company may specify offerings with durations of not more than 27 months, and may specify shorter purchase periods within each offering. Each offering will have one or more purchase dates on which shares of Company common stock will be purchased for employees participating in the offering. An offering under the 2024 ESPP may be terminated under certain circumstances.</w:t>
      </w:r>
    </w:p>
    <w:p>
      <w:pPr>
        <w:spacing w:after="0" w:line="18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Generally, all regular employees, including executive officers, employed by the Company or by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affiliates, may participate in the 2024 ESPP and may contribute, normally through payroll deductions, up to a specified percentage of their earnings (as set forth in, and as defined in, the offering memorandum the Company’s Board or compensation committee may adopt from time to time with respect to offerings under the 2024 ESPP) for the purchase of shares of Company common stock under the 2024 ESPP. Unless otherwise determined by the Company’s Board, shares of Company common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82"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stock will be purchased for the accounts of employees participating in the 2024 ESPP at a price per share equal to the lower of (a) 85% of the fair market value of a share of Company common stock on the first trading date of an offering or (b) 85% of the fair market value of a share of Company common stock on the date of purchase.</w:t>
      </w:r>
    </w:p>
    <w:p>
      <w:pPr>
        <w:spacing w:after="0" w:line="17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Employees may have to satisfy one or more of the following service requirements before participating in the 2024 ESPP,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Company’s Board, including: (1) being customarily employed for more than 20 hours per week; (2) being customarily employed for more than 5 months per calendar year; or (3) continuous employment with the Company or one of the Company’s affiliates for a period of time (not to exceed two years). No employee may purchase shares under the 2024 ESPP at a rate in excess of $25,000 worth of Company common stock based on the fair market value per share of Company common stock at the beginning of an offering for each year such a purchase right is outstanding. Finally, no employee will be eligible for the grant of any purchase rights under the 2024 ESPP if immediately after such rights are granted, such employee has voting power over 5% or more of the Company’s outstanding capital stock measured by vote or value pursuant to Section 424(d) of the Code.</w:t>
      </w:r>
    </w:p>
    <w:p>
      <w:pPr>
        <w:spacing w:after="0" w:line="183" w:lineRule="exact"/>
        <w:rPr>
          <w:sz w:val="20"/>
          <w:szCs w:val="20"/>
          <w:color w:val="auto"/>
        </w:rPr>
      </w:pPr>
    </w:p>
    <w:p>
      <w:pPr>
        <w:ind w:left="120" w:right="2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that there occurs a change in the Company’s capital structure through such actions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Company’s Board will make appropriate adjustments to (1) the number of shares reserved under the 2024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8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a corporate transaction (as defined in the 2024 ESPP), any then-outstanding rights to purchase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under the 2024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Company common stock within 10 business days prior to such corporate transaction, and such purchase rights will terminate immediately after such purchase.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2024 ESPP, a corporate transaction is generally the consummation of: (1) a sale of all or substantially all of the Company’s assets;</w:t>
      </w:r>
    </w:p>
    <w:p>
      <w:pPr>
        <w:spacing w:after="0" w:line="27" w:lineRule="exact"/>
        <w:rPr>
          <w:sz w:val="20"/>
          <w:szCs w:val="20"/>
          <w:color w:val="auto"/>
        </w:rPr>
      </w:pPr>
    </w:p>
    <w:p>
      <w:pPr>
        <w:ind w:left="120" w:hanging="4"/>
        <w:spacing w:after="0" w:line="255" w:lineRule="auto"/>
        <w:tabs>
          <w:tab w:leader="none" w:pos="3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more than 50% of the Company’s outstanding securities; (3) a merger or consolidation where the Company does not survive the transaction; and (4) a merger or consolidation where the Company does survive the transaction but the shares of Company common stock outstanding immediately before such transaction are converted or exchanged into other property by virtue of the transaction.</w:t>
      </w:r>
    </w:p>
    <w:p>
      <w:pPr>
        <w:spacing w:after="0" w:line="184" w:lineRule="exact"/>
        <w:rPr>
          <w:sz w:val="20"/>
          <w:szCs w:val="20"/>
          <w:color w:val="auto"/>
        </w:rPr>
      </w:pPr>
    </w:p>
    <w:p>
      <w:pPr>
        <w:jc w:val="both"/>
        <w:ind w:left="120" w:right="3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2024 ESPP Amendments, Termination</w:t>
      </w:r>
      <w:r>
        <w:rPr>
          <w:rFonts w:ascii="Times New Roman" w:cs="Times New Roman" w:eastAsia="Times New Roman" w:hAnsi="Times New Roman"/>
          <w:sz w:val="18"/>
          <w:szCs w:val="18"/>
          <w:color w:val="auto"/>
        </w:rPr>
        <w:t>. The Company’s Board has the authority to amend or terminate the 2024 ESPP, provided that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such amendment or termination may not materially impair any outstanding purchase rights without the holder’s consent. The Company will obtain stockholder approval of any amendment to the 2024 ESPP, as required by applicable law or listing requirements.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Tectonic 2019 Equity Incentive Plan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Legacy Tectonic Board adopted the Tectonic 2019 Plan and Legacy Tectonic stockholders approved the Tectonic 2019 Plan in June 2019. No additional awards have been made under the Tectonic 2019 Plan after the 2024 Plan became effective, and all awards under the Tectonic 2019 Plan were assumed by the Company after application of the exchange ratio. The terms and conditions of such assumed awards are the same as they were under the Tectonic 2019 Plan.</w:t>
      </w:r>
    </w:p>
    <w:p>
      <w:pPr>
        <w:spacing w:after="0" w:line="178"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or a duly authorized committee thereof, has the authority to administer the equity awards made under the Tectonic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Plan. We may also delegate to one or more officers the authority to</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hanging="4"/>
        <w:spacing w:after="0" w:line="256" w:lineRule="auto"/>
        <w:tabs>
          <w:tab w:leader="none" w:pos="3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recipients (other than officers) of stock options or stock appreciation rights and (2) determine the number of shares of common stock to be subject to such stock awards. Subject to the terms of the Tectonic 2019 Plan, the our Board or the authorized committee, referred to herein as the plan administrator, has the authority to modify outstanding awards under the Tectonic 2019 Plan; however, the plan administrator does not have the authority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without the consent of any adversely affected participant.</w:t>
      </w:r>
    </w:p>
    <w:p>
      <w:pPr>
        <w:spacing w:after="0" w:line="185" w:lineRule="exact"/>
        <w:rPr>
          <w:sz w:val="20"/>
          <w:szCs w:val="20"/>
          <w:color w:val="auto"/>
        </w:rPr>
      </w:pPr>
    </w:p>
    <w:p>
      <w:pPr>
        <w:ind w:left="120"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The Tectonic 2019 Plan provided for the grant of ISOs, NSOs, stock appreciation rights, restricted stock awards,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awards, and other forms of equity compensation, which are referred to collectively as stock awards, to employees, non-employee directors and consultants of Legacy Tectonic and its affiliates. ISOs were granted only to employees.</w:t>
      </w:r>
    </w:p>
    <w:p>
      <w:pPr>
        <w:spacing w:after="0" w:line="17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If any portion of a stock award (i) expires or otherwise terminates without the shares covered by such portion of the stock award having been issued or (ii) is settled in cash, such expiration, termination, or settlement will not reduce the number of shares available for issuance under the 2024 Plan. Shares forfeited back to or repurchased by Legacy Tectonic because of the failure to meet a contingency or condition required to vest will revert to and again become available for issuance under the 2024 Plan. Shares reacquired by us to satisfy the exercise price or purchase price of a stock award and shares withheld to satisfy a tax withholding obligation in connection with a stock award will again become available for issuance under the 2024 Plan.</w:t>
      </w:r>
    </w:p>
    <w:p>
      <w:pPr>
        <w:spacing w:after="0" w:line="166" w:lineRule="exact"/>
        <w:rPr>
          <w:sz w:val="20"/>
          <w:szCs w:val="20"/>
          <w:color w:val="auto"/>
        </w:rPr>
      </w:pPr>
    </w:p>
    <w:p>
      <w:pPr>
        <w:jc w:val="both"/>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were granted pursuant to stock option agreements adopted by the plan administrator. The exercise price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under the Tectonic 2019 Plan was not less than 100% of the fair market value of Legacy Tectonic common stock on the date of grant. Options granted under the Tectonic 2019 Plan vest at the rate specified by the plan administrator.</w:t>
      </w:r>
    </w:p>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plan administrator determined the term of stock options granted under the Tectonic 2019 Plan, up to a maximum of 10 years. Unless the terms of an option holder’s stock option agreement provide otherwise, if an option holder’s service relationship with Legacy Tectonic or any of its affiliates, ceases for any reason other than disability, death or cause, the option holder may generally exercise any vested options for a period of three months following the cessation of service. The option term may be extended in the event that exercise of the option following such a termination of service is prohibited by applicable securities laws or any applicable insider trading policy. If an optionholder’s service relationship with Legacy Tectonic or any of its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8"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Legacy Tectonic common stock previously owned by the optionholder, (4) a net exercise of the option if it is an NSO, and (5) according to a deferred payment or similar arrangement with the optionholder; or (6) other legal consideration approved by the plan administrator.</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4"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were granted under restricted stock award agreements adopted by the plan administrator.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may be awarded in consideration for cash, check,</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82"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Legacy Tectonic or any of its affiliates ceases for any reason, Legacy Tectonic may receive any or all of the shares of Legacy Tectonic common stock held by the participant that have not vested as of the date the participant terminates service through a forfeiture condition or a repurchase right.</w:t>
      </w:r>
    </w:p>
    <w:p>
      <w:pPr>
        <w:spacing w:after="0" w:line="181"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certain specified significant corporate transactions, the plan administrator has the discretion to arrange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continuation or substitution of a stock award by a surviving or acquiring entity or parent company and to take certain other actions with respect to stock awards.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is not obligated to treat all stock awards, even those that are of the same type, in the same manner.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Non-Employee 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Table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director of Legacy Tectonic’s Board during the year ended December 31, 2023. Dr. Reicin, Legacy Tectonic’s Chief Executive Officer and President, did not receive any additional compensation for her service on Legacy Tectonic’s Board. The compensation received by Dr. Reicin as a named executive officer, is set forth in “</w:t>
      </w:r>
      <w:r>
        <w:rPr>
          <w:rFonts w:ascii="Times New Roman" w:cs="Times New Roman" w:eastAsia="Times New Roman" w:hAnsi="Times New Roman"/>
          <w:sz w:val="18"/>
          <w:szCs w:val="18"/>
          <w:i w:val="1"/>
          <w:iCs w:val="1"/>
          <w:color w:val="auto"/>
        </w:rPr>
        <w:t>2023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Compensation—2023 Summary Compensation Table.</w:t>
      </w:r>
      <w:r>
        <w:rPr>
          <w:rFonts w:ascii="Times New Roman" w:cs="Times New Roman" w:eastAsia="Times New Roman" w:hAnsi="Times New Roman"/>
          <w:sz w:val="18"/>
          <w:szCs w:val="18"/>
          <w:color w:val="auto"/>
        </w:rPr>
        <w:t>” Unless otherwise noted, the information in this section, including any equity ownership,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effect of the Merger, the conversion of Legacy Tectonic’s common stock into our common stock or the Reverse Stock Split.</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040" w:type="dxa"/>
            <w:vAlign w:val="bottom"/>
            <w:gridSpan w:val="3"/>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Pr>
          <w:p>
            <w:pPr>
              <w:spacing w:after="0"/>
              <w:rPr>
                <w:sz w:val="12"/>
                <w:szCs w:val="12"/>
                <w:color w:val="auto"/>
              </w:rPr>
            </w:pPr>
          </w:p>
        </w:tc>
        <w:tc>
          <w:tcPr>
            <w:tcW w:w="1440" w:type="dxa"/>
            <w:vAlign w:val="bottom"/>
            <w:gridSpan w:val="2"/>
          </w:tcPr>
          <w:p>
            <w:pPr>
              <w:jc w:val="center"/>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20" w:type="dxa"/>
            <w:vAlign w:val="bottom"/>
            <w:gridSpan w:val="3"/>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2540" w:type="dxa"/>
            <w:vAlign w:val="bottom"/>
            <w:gridSpan w:val="2"/>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00" w:type="dxa"/>
            <w:vAlign w:val="bottom"/>
          </w:tcPr>
          <w:p>
            <w:pPr>
              <w:spacing w:after="0"/>
              <w:rPr>
                <w:sz w:val="15"/>
                <w:szCs w:val="15"/>
                <w:color w:val="auto"/>
              </w:rPr>
            </w:pPr>
          </w:p>
        </w:tc>
        <w:tc>
          <w:tcPr>
            <w:tcW w:w="128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74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Kruse, Ph.D.</w:t>
            </w:r>
          </w:p>
        </w:tc>
        <w:tc>
          <w:tcPr>
            <w:tcW w:w="1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80,004</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(1)</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80,004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60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1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Praveen Tipirneni, M.D.</w:t>
            </w:r>
          </w:p>
        </w:tc>
        <w:tc>
          <w:tcPr>
            <w:tcW w:w="160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 Vitorovic</w:t>
            </w:r>
          </w:p>
        </w:tc>
        <w:tc>
          <w:tcPr>
            <w:tcW w:w="1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700" w:hanging="424"/>
        <w:spacing w:after="0" w:line="233" w:lineRule="auto"/>
        <w:tabs>
          <w:tab w:leader="none" w:pos="5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consulting fees for services provided to Legacy Tectonic’s Scientific Advisory Board pursuant to Dr. Kruse’s consulting agreement with Legacy Tectonic, dated September 25, 2019.</w:t>
      </w:r>
    </w:p>
    <w:p>
      <w:pPr>
        <w:ind w:left="540" w:right="200" w:hanging="424"/>
        <w:spacing w:after="0" w:line="239" w:lineRule="auto"/>
        <w:tabs>
          <w:tab w:leader="none" w:pos="5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provides information regarding the number of shares of common stock underlying options and restricted stock held by Legacy Tectonic non-employee directors that were outstanding as of December 31, 2023:</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r>
      <w:tr>
        <w:trPr>
          <w:trHeight w:val="135"/>
        </w:trPr>
        <w:tc>
          <w:tcPr>
            <w:tcW w:w="6620" w:type="dxa"/>
            <w:vAlign w:val="bottom"/>
          </w:tcPr>
          <w:p>
            <w:pPr>
              <w:spacing w:after="0"/>
              <w:rPr>
                <w:sz w:val="11"/>
                <w:szCs w:val="11"/>
                <w:color w:val="auto"/>
              </w:rPr>
            </w:pPr>
          </w:p>
        </w:tc>
        <w:tc>
          <w:tcPr>
            <w:tcW w:w="8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 at</w:t>
            </w:r>
          </w:p>
        </w:tc>
      </w:tr>
      <w:tr>
        <w:trPr>
          <w:trHeight w:val="155"/>
        </w:trPr>
        <w:tc>
          <w:tcPr>
            <w:tcW w:w="6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Year-End</w:t>
            </w:r>
          </w:p>
        </w:tc>
      </w:tr>
      <w:tr>
        <w:trPr>
          <w:trHeight w:val="142"/>
        </w:trPr>
        <w:tc>
          <w:tcPr>
            <w:tcW w:w="6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Andrew Kruse, Ph.D.</w:t>
            </w:r>
          </w:p>
        </w:tc>
        <w:tc>
          <w:tcPr>
            <w:tcW w:w="820" w:type="dxa"/>
            <w:vAlign w:val="bottom"/>
            <w:tcBorders>
              <w:top w:val="single" w:sz="8" w:color="auto"/>
            </w:tcBorders>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Terrance McGuire</w:t>
            </w:r>
          </w:p>
        </w:tc>
        <w:tc>
          <w:tcPr>
            <w:tcW w:w="8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Timothy A. Springer, Ph.D.</w:t>
            </w:r>
          </w:p>
        </w:tc>
        <w:tc>
          <w:tcPr>
            <w:tcW w:w="8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Praveen Tipirneni, M.D.</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22,765</w:t>
            </w: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Stefan Vitorovic</w:t>
            </w:r>
          </w:p>
        </w:tc>
        <w:tc>
          <w:tcPr>
            <w:tcW w:w="8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2023 Director Compensation Table</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Legacy Tectonic did not have a formal non-employee director compensation program in 2023. On September 25, 2019, Legacy Tectonic entered into a consulting agreement with Andrew Kruse, Ph.D., pursuant to which Dr. Kruse is entitled to receive $6,667 per month, along with reimbursement of reasonable travel expenses and other reasonable out-of-pocket costs, in consideration for his performance of services provided to Legacy Tectonic’s scientific advisory board. The consulting agreement was amended to reduce his monthly compensation to $5,000 in April 2024.</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After the Merger</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Prior to the Merger, Legacy Tectonic did not have a formal compensation policy with respect to service on its board of directors. Legacy Tectonic reimbursed its non-employee directors for their reasonable out-of-pocket expenses incurred in attending board and committee meetings, and occasionally granted stock options and restricted stock awards as compensation for service.</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Board intends to adopt a non-employee director compensation policy in the future that is designed to provide a total compensation package that enables us to attract and retain, on a long-term basis, high-caliber directors who are not our employees or officers or of our subsidiaries.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Merger, our Board approved certain option grants to our directors, other than Dr. Reicin. As a result, on June 20, 2024, each of Phillip B. Donenberg, Terrance McGuire, Timothy A. Springer, Ph.D., Praveen Tipirneni, M.D. and Stefan Vitorovic received an option grant to purchase 11,760 shares of our common stock, in each case, with an exercise price per share equal to $16.80, which was the closing price per share of our common stock as reported on the Nasdaq Global Market on the closing date of the Merger (as adjusted for the Reverse Stock Split). The shares subject to these option grants will vest 1/3 on the first anniversary of the grant date, and thereafter the remaining 2/3 of the shares will vest in equal monthly installments over the following two years, in each case subject to the recipient’s continuous service through the applicable vesting dates, such that the options are vested in full on the three-year anniversary of the grant date.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82"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agreements and other arrangements with the Company and the Company’s directors and executive officers in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elsewhere in this prospectus, the following is a description of each transaction involving the Company, AVROBIO or Legacy Tectonic since January 1, 2022 in which:</w:t>
      </w:r>
    </w:p>
    <w:p>
      <w:pPr>
        <w:spacing w:after="0" w:line="81" w:lineRule="exact"/>
        <w:rPr>
          <w:sz w:val="20"/>
          <w:szCs w:val="20"/>
          <w:color w:val="auto"/>
        </w:rPr>
      </w:pPr>
    </w:p>
    <w:p>
      <w:pPr>
        <w:ind w:left="1080" w:right="1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and 1% of the average of Legacy Tectonic’s or the Company’s total assets at year-end for the last two completed fiscal years, as applicable;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Legacy Tectonic’s Transactions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Financings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Preferred Stock Financing – Subsequent Milestone Closing</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June 2022, the Legacy Tectonic Board determined that Legacy Tectonic had achieved the milestone events pursuant to the terms of its Series A Preferred Stock Purchase Agreement and issued and sold to certain investors (i) an aggregate additional 2,450,163 shares of Legacy Tectonic’s Series A-1 Preferred Stock, and (ii) an additional 437,282 shares of Legacy Tectonic’s Series A-2 Preferred Stock in a subsequent closing, at a purchase price of $13.1876 per share for an aggregate purchase price of $38,028,475.61 (the “Milestone Closing”).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purchases of shares of Legacy Tectonic Series A Preferred Stock by Legacy Tectonic’s related persons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Milestone Closing:</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Series A-1</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Series A-2</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971,238</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437,282</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18,574,998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659,980</w:t>
            </w:r>
          </w:p>
        </w:tc>
        <w:tc>
          <w:tcPr>
            <w:tcW w:w="32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568,716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Founders Capital Fund I, L.P.</w:t>
            </w:r>
            <w:r>
              <w:rPr>
                <w:rFonts w:ascii="Times New Roman" w:cs="Times New Roman" w:eastAsia="Times New Roman" w:hAnsi="Times New Roman"/>
                <w:sz w:val="25"/>
                <w:szCs w:val="25"/>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32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Reicin Inc.</w:t>
            </w:r>
            <w:r>
              <w:rPr>
                <w:rFonts w:ascii="Times New Roman" w:cs="Times New Roman" w:eastAsia="Times New Roman" w:hAnsi="Times New Roman"/>
                <w:sz w:val="25"/>
                <w:szCs w:val="25"/>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80" w:hanging="424"/>
        <w:spacing w:after="0" w:line="227"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642,161 shares purchased by Vida Ventures II, LLC (“Vida II Main Fund”) and (ii) 17,819 shares purchased by Vida Ventures II-A, LLC (“Vida II Parallel Fund,” and together with the Vida II Main Fund, “Vida II”). VV Manager II, LLC (“VV Manager II”) is the manager of Vida II. Stefan Vitorovic served as a director on the Legacy Tectonic Board, serves as a director of the Board and is a member of the investment committee of VV Manager II, which is affiliated with Vida Ventures. Entities affiliated with Vida Ventures collectively owned more than five percent of Legacy Tectonic’s outstanding capital stock and hold more than five percent of the Company’s outstanding capital stock.</w:t>
      </w:r>
    </w:p>
    <w:p>
      <w:pPr>
        <w:ind w:left="540" w:hanging="424"/>
        <w:spacing w:after="0" w:line="221"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Polaris Partners IX, L.P. (“PP IX”) owned more than five percent of Legacy Tectonic’s outstanding capital stock and owns more than five percent of the Company’s outstanding capital stock. Terrance McGuire served as a director on the Legacy Tectonic Board, serves as a director on the Board and holds an interest in Polaris Partners GP IX, L.L.C., the general partner of PP IX.</w:t>
      </w:r>
    </w:p>
    <w:p>
      <w:pPr>
        <w:ind w:left="540" w:right="300" w:hanging="424"/>
        <w:spacing w:after="0" w:line="221"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Terrance McGuire served as a director on the Legacy Tectonic Board, serves as a director of the Board and is a managing member of Polaris Founders Capital Management Co. I, L.L.C., the general partner of Polaris Founders Capital Fund I, L.P.</w:t>
      </w:r>
    </w:p>
    <w:p>
      <w:pPr>
        <w:ind w:left="540" w:right="480" w:hanging="424"/>
        <w:spacing w:after="0" w:line="239"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Reicin Inc. is controlled by Cheryl Reicin. Cheryl Reicin is the sister of Dr. Reicin, who served as the Chief Executive Officer of Legacy Tectonic and a director on the Legacy Tectonic Board and serves as the Chief Executive Officer and President of the Company and a director of the Company’s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Tectonic Subscription Agreement and SAFEs</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January 30, 2024, concurrently with the execution and delivery of the Merger Agreement, Legacy Tectonic entered into the Subscription Agreement with certain investors named therein, pursuant to which such investors agreed to purchase shares of Legacy Tectonic common stock, at a purchase price of $12.39908 per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82"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share, and certain investors consummated certain additional purchases of Legacy Tectonic common stock pursuant to the terms of the SAFEs entered into by such investors and Legacy Tectonic, for an aggregate purchase price among the private financings contemplated by the Subscription Agreement and such SAFEs of approximately $130.7 million.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purchase of Legacy Tectonic common stock pursuant to the Subscription Agreement and the entry into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SAFEs by Legacy Tectonic’s related persons: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4"/>
                <w:szCs w:val="24"/>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8,999,989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7,499,987</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Founders Capital Fund II, L.P.</w:t>
            </w:r>
            <w:r>
              <w:rPr>
                <w:rFonts w:ascii="Times New Roman" w:cs="Times New Roman" w:eastAsia="Times New Roman" w:hAnsi="Times New Roman"/>
                <w:sz w:val="25"/>
                <w:szCs w:val="25"/>
                <w:color w:val="auto"/>
                <w:vertAlign w:val="superscript"/>
              </w:rPr>
              <w:t>(4)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1,499,991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Kruse, Ph.D.</w:t>
            </w:r>
            <w:r>
              <w:rPr>
                <w:rFonts w:ascii="Times New Roman" w:cs="Times New Roman" w:eastAsia="Times New Roman" w:hAnsi="Times New Roman"/>
                <w:sz w:val="25"/>
                <w:szCs w:val="25"/>
                <w:color w:val="auto"/>
                <w:vertAlign w:val="superscript"/>
              </w:rPr>
              <w:t>(5)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00" w:hanging="424"/>
        <w:spacing w:after="0" w:line="233"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entry into the SAFEs and purchase of Legacy Tectonic common stock pursuant to the Subscription Agreement. Dr. Timothy A. Springer served as a director on the Legacy Tectonic Board and serves as a director of the Board.</w:t>
      </w:r>
    </w:p>
    <w:p>
      <w:pPr>
        <w:ind w:left="540" w:hanging="424"/>
        <w:spacing w:after="0" w:line="22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entry into the SAFEs and purchase of Legacy Tectonic common stock pursuant to the Subscription Agreement. PP IX owned more than five percent of Legacy Tectonic’s outstanding capital stock and owns more than five percent of the Company’s outstanding capital stock. Terrance McGuire served as a director of the Legacy Tectonic Board, serves as a director on the Board and holds an interest in Polaris Partners GP IX, L.L.C., the general partner of PP IX.</w:t>
      </w:r>
    </w:p>
    <w:p>
      <w:pPr>
        <w:ind w:left="540" w:right="20" w:hanging="424"/>
        <w:spacing w:after="0" w:line="22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entry into the SAFEs and purchase of Legacy Tectonic common stock pursuant to the Subscription Agreement. Stefan Vitorovic served as a director on the Legacy Tectonic Board, serves as a director of the Board and is a member of the investment committee of VV Manager II, LLC, which is affiliated with Vida Ventures. Entities affiliated with Vida Ventures collectively owned more than five percent of Legacy Tectonic’s outstanding capital stock and own more than five percent of the Company’s outstanding capital stock.</w:t>
      </w:r>
    </w:p>
    <w:p>
      <w:pPr>
        <w:ind w:left="540" w:right="320" w:hanging="424"/>
        <w:spacing w:after="0" w:line="22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purchase of Legacy Tectonic common stock pursuant to the Subscription Agreement. Terrance McGuire served as a director on the Legacy Tectonic Board, serves as a director of the Company Board and is a managing member of Polaris Founders Capital Management Co. II, L.L.C., the general partner of Polaris Founders Capital Fund II, L.P.</w:t>
      </w:r>
    </w:p>
    <w:p>
      <w:pPr>
        <w:ind w:left="540" w:hanging="424"/>
        <w:spacing w:after="0"/>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entry into the SAFEs. Dr. Andrew Kruse served as a director on the Legacy Tectonic Board.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Stockholders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Legacy Tectonic’s Series A preferred stock financing, Legacy Tectonic entered into investors’ rights, voting and right of first refusal and co-sale agreements containing registration rights, information rights, voting rights and rights of first refusal, among other things, with certain holders of Legacy Tectonic’s preferred stock and certain holders of Legacy Tectonic’s common stock. These stockholder agreements terminated upon the closing of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 Under the Merger</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Certain Legacy Tectonic stockholders entered into support agreements with Legacy Tectonic pursuant to which, among other things, each such stockholder, solely in his, her or its capacity as a Legacy Tectonic stockholder, agreed to vote all of such stockholder’s shares of Legacy Tectonic capital stock in favor of (i) the adoption of the Merger Agreement, (ii) the approval of the merger and related transactions contemplated by the Merger Agreement, (iii) the approval of an amendment to Legacy Tectonic’s certificate of incorporation to increase its authorized stock, (iv) to the extent such person was entitled to vote or exercise a right to consent with respect to such matter, effecting the preferred stock conversion immediately prior to conversion of the SAFEs, which SAFEs conversion occurred immediately prior to the consummation of the private placement financings, (v) waiving any preemptive right, right of participation, right of maintenance, anti-dilution right or any similar right as may otherwise have been provided to such stockholder under Legacy Tectonic’s certificate of incorporation or bylaws in connection with the Merger and related transactions contemplated by the Merger Agreement and (vi) against any Acquisition Proposal from a third party.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82"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 we entered into indemnification agreements with each of its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the Company’s right, on account of any services undertaken by such person on the Company’s behalf or that person’s status as a member of the Board to the maximum extent allowed under Delaware law.</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the full text of the form of indemnification agreement, which is attached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executive officers, directors and stockholders of AVROBIO and Legacy Tectonic entered into lock-up agreements, pursuant to which such parties agreed not to, except in limited circumstances, sell or transfer their shares of Tectonic common stock, for the 180-day period following the closing of the Merger.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agreements does not purport to be complete and is qualified in its entirety by the full text of the form of lock-up agreement, which is attached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While Legacy Tectonic did not have a formal written policy or procedure for the review, approval or ratification of related party transactions, it was the practice of the Legacy Tectonic Board to consider the nature of and business reason for such transactions, how the terms of such transactions compared to those which might be obtained from unaffiliated third parties and whether such transactions were otherwise fair to and in the best interests of, or not contrary to, Legacy Tectonic’s best interests.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Merger, the Board approved a policy for the review and approval or ratification of related party transactions of the Company. All of the transactions described in this section were entered into prior to the application of this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AVROBIO’s Transactions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and Related Agreements with University Health Network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January 27, 2016, AVROBIO entered into an option agreement with UHN pursuant to which UHN granted AVROBIO an exclusive option to enter into an exclusive license under certain intellectual property rights related to Fabry disease. On November 4, 2016, AVROBIO executed its option and entered into an exclusive license agreement with UHN. Under this agreement (the “Fabry license agreement”), UHN granted AVROBIO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Fabry license agreement, AVROBIO paid to UHN a one-time upfront fee and was obligated to pay an annual maintenance fee until the first sale of a licensed product in certain markets. AVROBIO was also required to make payments to UHN in connection with the achievement of certain development and regulatory milestones in an aggregate amount of up to CAD$2.45 million, as well as royalties on a country-by-country basis of a low to mid-single digit percentage on annual sales of licensed products and a lower single digit royalty in certain circumstances. Additionally,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82"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AVROBIO was required to pay a low double digit percentage of all sublicensing revenue. AVROBIO also made a philanthropic commitment to donate funds to organizations for the benefit of the Canadian Fabry community in an amount equal to a low double digit percentage of AVROBIO’s royalty payments and regulatory milestone payments, up to a maximum of CAD$500,000 in any calendar year. In connection with this agreement, AVROBIO also entered into three separate letter agreements with UHN, dated November 4, 2016, June 2, 2017 and December 11, 2019, pursuant to which AVROBIO agreed to provide certain funding and costs and expenses associated with a clinical trial conducted by UHN for the treatment of Fabry disease. For the years ended December 31, 2022 and 2023, AVROBIO paid $161 and $93 thousand, respectively, to UHN in connection with these agreements, which consists of reimbursable funded study trial costs and license maintenance fees. Effective as of January 4, 2024, AVROBIO terminated the Fabry license agreement with UHN. Following the termination of the Fabry license agreement, AVROBIO does not have any remaining financial obligations to UHN pursuant to the Fabry license agreement.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Interleukin-12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27, 2016, AVROBIO entered into an exclusive license agreement (the “IL-12 Agreement”) with UHN pursuant to which UHN granted AVROBIO an exclusive license to certain intellectual property rights relating to Interleukin-12 proteins (“IL-12”). AVROBIO entered into an amendment to the IL-12 Agreement on September 28, 2017. Under the IL-12 Agreement, as amended (the “Amended IL-12 Agreement”), AVROBIO paid an upfront license fee and reimbursement of certain patent expenses, and AVROBIO was also obligated to pay an annual license fee as well as payments in connection with the achievement of certain performance and development milestones for an aggregate total of up to CAD$19.275 million in milestone payments. Additionally, the Amended IL-12 Agreement required AVROBIO to pay a low to mid-single digit royalty percentage on annual sales of licensed products, and a low double digit percentage of all sublicensing revenue. For the years ended December 31, 2022 and 2023, AVROBIO paid $39 and $37 thousand to UHN under the Amended IL-12 Agreement, respectively, which consists of license maintenance fees. Effective as of August 24, 2023, AVROBIO and UHN agreed to terminate the Amended IL-12 Agreement. Following the termination of the Amended IL-12 Agreement, AVROBIO does not have any remaining financial obligations to UHN pursuant to the Amended IL-12 Agreement.</w:t>
      </w:r>
    </w:p>
    <w:p>
      <w:pPr>
        <w:spacing w:after="0" w:line="194"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Amended IL-12 Agreement, AVROBIO has also entered into two separate sponsored research agreements with UHN, one in March 2017 and one in July 2017. The March 2017 agreement was amended and restated and subsequently amended in November 2017. Pursuant to each of these sponsored research agreements, AVROBIO agreed to fund certain research projects related to IL-12 and Fabry disease, including salaries of certain researchers of up to CAD$200,000 and CAD$164,652 under the March 2017 and July 2017 agreements, respectively.</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At the time AVROBIO entered into each of the above agreements with UHN, other than the letter agreement dated December 11, 2019, UHN was a greater than 5% beneficial owner of AVROBIO’s outstanding capital stock. Additionally, Christopher Paige is a senior scientist at UHN and is currently a member of the AVROBIO Board. As an inventor of certain of the intellectual property rights related to IL-12 that AVROBIO licenses from UHN, Dr. Paige would have been entitled to a portion of the consideration that AVROBIO would have been required to pay to UHN pursuant to the Amended IL-12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Stockholders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AVROBIO’s prior preferred stock financings, AVROBIO entered into investors’ rights, voting and right of first refusal and co-sale agreements containing registration rights, information rights, voting rights and rights of first refusal, among other things, with certain holders of AVROBIO’s preferred stock and certain holders of AVROBIO’s common stock. These stockholder agreements terminated upon the closing of AVROBIO’s IPO, except for the registration rights granted under its investors’ rights agreement, which terminated five years following AVROBIO’s IPO.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stockholders of AVROBIO holding approximately 10.8% of the outstanding shares of AVROBIO common stock as of January 30, 2024 entered into support agreements with AVROBIO. These stockholders included executive officers and directors of AVROBIO, as well as certain other stockholders owning a significant portion of the outstanding shares of AVROBIO capital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AVROBIO entered into agreements to indemnify AVROBIO’s directors and executive officers. These agreements, among other things, required AVROBIO to indemnify these individuals for certain expenses (including attorneys’ fees), judgments, fines and settlement amounts reasonably incurred by such person in any action or proceeding, including any action by or in AVROBIO’s right, on account of any services undertaken by such person on behalf of AVROBIO or that person’s status as a member of the AVROBIO Board or as an officer of AVROBIO to the maximum extent allowed under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executive officers, directors and stockholders of AVROBIO and Legacy Tectonic entered into the lock-up agreements, pursuant to which such parties agreed not to, except in limited circumstances, sell or transfer their shares of AVROBIO common stock, for the 180-day period following the closing of the Merger.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agreements does not purport to be complete and is qualified in its entirety by the full text of the form of lock-up agreement, which is attached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written related person transactions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the audit committee (or, where review by the audit committee would be inappropriate, to another independent body of the board) for review. The audit committee will approve only those transactions that it determines are fair to us and in our best interests.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82"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the Company’s common stock as of July 6, 2024, after giving effect to the Merger, by:</w:t>
      </w:r>
    </w:p>
    <w:p>
      <w:pPr>
        <w:spacing w:after="0" w:line="67"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Company’s outstanding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July 6, 2024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the Company believes, based on the information provided to them, that the persons and entities named in the table below have sole voting and investment power with respect to all common stock shown as beneficially owned by them.</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lists applicable percentage ownership based on 14,734,325 shares of common stock outstanding as of July 6, 2024.</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90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73"/>
        </w:trPr>
        <w:tc>
          <w:tcPr>
            <w:tcW w:w="5460" w:type="dxa"/>
            <w:vAlign w:val="bottom"/>
            <w:vMerge w:val="continue"/>
          </w:tcPr>
          <w:p>
            <w:pPr>
              <w:spacing w:after="0"/>
              <w:rPr>
                <w:sz w:val="15"/>
                <w:szCs w:val="15"/>
                <w:color w:val="auto"/>
              </w:rPr>
            </w:pPr>
          </w:p>
        </w:tc>
        <w:tc>
          <w:tcPr>
            <w:tcW w:w="17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5"/>
                <w:szCs w:val="25"/>
                <w:color w:val="auto"/>
                <w:vertAlign w:val="superscript"/>
              </w:rPr>
              <w:t>(1)</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4,243,121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(2)</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1,077,538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(3)</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1,073,062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(4)</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1,028,674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EcoR1</w:t>
            </w:r>
            <w:r>
              <w:rPr>
                <w:rFonts w:ascii="Times New Roman" w:cs="Times New Roman" w:eastAsia="Times New Roman" w:hAnsi="Times New Roman"/>
                <w:sz w:val="25"/>
                <w:szCs w:val="25"/>
                <w:color w:val="auto"/>
                <w:vertAlign w:val="superscript"/>
              </w:rPr>
              <w:t>(5)</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849,143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Timothy A. Springer, Ph.D.</w:t>
            </w:r>
            <w:r>
              <w:rPr>
                <w:rFonts w:ascii="Times New Roman" w:cs="Times New Roman" w:eastAsia="Times New Roman" w:hAnsi="Times New Roman"/>
                <w:sz w:val="25"/>
                <w:szCs w:val="25"/>
                <w:color w:val="auto"/>
                <w:vertAlign w:val="superscript"/>
              </w:rPr>
              <w:t>(1)</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4,243,121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Terrance McGuire</w:t>
            </w:r>
            <w:r>
              <w:rPr>
                <w:rFonts w:ascii="Times New Roman" w:cs="Times New Roman" w:eastAsia="Times New Roman" w:hAnsi="Times New Roman"/>
                <w:sz w:val="25"/>
                <w:szCs w:val="25"/>
                <w:color w:val="auto"/>
                <w:vertAlign w:val="superscript"/>
              </w:rPr>
              <w:t>(6)</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1,157,976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Stefan Vitorovic</w:t>
            </w:r>
            <w:r>
              <w:rPr>
                <w:rFonts w:ascii="Times New Roman" w:cs="Times New Roman" w:eastAsia="Times New Roman" w:hAnsi="Times New Roman"/>
                <w:sz w:val="25"/>
                <w:szCs w:val="25"/>
                <w:color w:val="auto"/>
                <w:vertAlign w:val="superscript"/>
              </w:rPr>
              <w:t>(4)</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1,028,674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Alise Reicin, M.D.</w:t>
            </w:r>
            <w:r>
              <w:rPr>
                <w:rFonts w:ascii="Times New Roman" w:cs="Times New Roman" w:eastAsia="Times New Roman" w:hAnsi="Times New Roman"/>
                <w:sz w:val="25"/>
                <w:szCs w:val="25"/>
                <w:color w:val="auto"/>
                <w:vertAlign w:val="superscript"/>
              </w:rPr>
              <w:t>(7)</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320,711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Marcella K. Ruddy, M.D.</w:t>
            </w:r>
            <w:r>
              <w:rPr>
                <w:rFonts w:ascii="Times New Roman" w:cs="Times New Roman" w:eastAsia="Times New Roman" w:hAnsi="Times New Roman"/>
                <w:sz w:val="25"/>
                <w:szCs w:val="25"/>
                <w:color w:val="auto"/>
                <w:vertAlign w:val="superscript"/>
              </w:rPr>
              <w:t>(8)</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62,099</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Praveen Tipirneni, M.D.</w:t>
            </w:r>
            <w:r>
              <w:rPr>
                <w:rFonts w:ascii="Times New Roman" w:cs="Times New Roman" w:eastAsia="Times New Roman" w:hAnsi="Times New Roman"/>
                <w:sz w:val="25"/>
                <w:szCs w:val="25"/>
                <w:color w:val="auto"/>
                <w:vertAlign w:val="superscript"/>
              </w:rPr>
              <w:t>(9)</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15,203</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Daniel Lochner</w:t>
            </w: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Phillip B. Donenberg</w:t>
            </w:r>
            <w:r>
              <w:rPr>
                <w:rFonts w:ascii="Times New Roman" w:cs="Times New Roman" w:eastAsia="Times New Roman" w:hAnsi="Times New Roman"/>
                <w:sz w:val="25"/>
                <w:szCs w:val="25"/>
                <w:color w:val="auto"/>
                <w:vertAlign w:val="superscript"/>
              </w:rPr>
              <w:t>(10)</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9,535</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(10 persons)</w:t>
            </w:r>
            <w:r>
              <w:rPr>
                <w:rFonts w:ascii="Times New Roman" w:cs="Times New Roman" w:eastAsia="Times New Roman" w:hAnsi="Times New Roman"/>
                <w:sz w:val="26"/>
                <w:szCs w:val="26"/>
                <w:b w:val="1"/>
                <w:bCs w:val="1"/>
                <w:color w:val="auto"/>
                <w:vertAlign w:val="superscript"/>
              </w:rPr>
              <w:t>(11)</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6,981,700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715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hanging="424"/>
        <w:spacing w:after="0" w:line="253"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2,692,005 shares of common stock held by Dr. Springer and (ii) 1,551,116 shares of common stock held by TAS Partners, LLC (“TAS”). Dr. Springer is the sole managing member of TAS. Dr. Springer exercises sole voting and dispositive power over the shares held by him directly and the shares held by TAS. Dr. Springer disclaims beneficial ownership of the shares held by TAS. The principal business address of each of Dr. Springer and TAS is 36 Woodman Road, Newton, MA, 02467.</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82"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80" w:hanging="424"/>
        <w:spacing w:after="0" w:line="253"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common stock are owned by funds and accounts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ind w:left="540" w:right="8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1,073,062 shares of common stock held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board of directors,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1,000,900 shares of common stock held by Vida Ventures II, LLC (“Vida II Main Fund”) and (ii) 27,774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board of directors.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55,535 shares of common stock held by EcoR1 Capital Fund, L.P. (“Capital Fund”), (ii) 783,214 shares of common stock held by EcoR1 Capital Fund Qualified, L.P. (“Qualified Fund”) and (iii) 10,394 shares of common stock held by EcoR1 Venture Opportunity Fund, L.P. (“Opportunity Fund”). EcoR1 Capital LLC (“EcoR1”) is the general partner of Capital Fund and Qualified Fund, and the investment advisor to Opportunity Fund. Biotech Opportunity GP, LLC is the general partner of Opportunity Fund. Oleg Nodelman is the control person of EcoR1 and Biotech Opportunity GP, LLC and may be deemed to share dispositive voting power over the shares held by Qualified Fund, Capital Fund and Opportunity Fund. Mr. Nodelman, EcoR1 and Biotech Opportunity GP, LLC each disclaim beneficial ownership of all shares except to the extent of their pecuniary interest. The address of the above person and entities is 357 Tehama Street #3, San Francisco, CA 94103.</w:t>
      </w:r>
    </w:p>
    <w:p>
      <w:pPr>
        <w:spacing w:after="0" w:line="2"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20,262 shares of common stock held by Polaris Founders Capital Fund I, L.P. (“PF I”), (ii) consists of 64,652 shares of common stock held by Polaris Founders Capital Fund II, L.P. (“PF II”) and (iii) 1,073,062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board of directors,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82"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II. PP GP IX is the general partner of PP IX and may be deemed to have sole voting and dispositive power with respect to the shares held by PP IX. The PP GP IX Managing Members are the managing members of PP GP IX, and Terrance McGuire, a member of the board of directors,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w:t>
      </w:r>
    </w:p>
    <w:p>
      <w:pPr>
        <w:spacing w:after="0" w:line="3" w:lineRule="exact"/>
        <w:rPr>
          <w:sz w:val="20"/>
          <w:szCs w:val="20"/>
          <w:color w:val="auto"/>
        </w:rPr>
      </w:pPr>
    </w:p>
    <w:p>
      <w:pPr>
        <w:ind w:left="540" w:right="2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166,580 shares of common stock held by Dr. Reicin, 11,372 of which are subject to repurchase as of July 6, 2024, (ii) 124,530 shares of common stock held by the 2020 Reicin-Boiarsky Family Trust (the “2020 Reicin Trust”) and (iii) 29,601 shares of common stock issuable upon exercise of options granted to Dr. Reicin that are exercisable within 60 days of July 6, 2024. Robert Boiarsky is a co-trustee of the 2020 Reicin Trust and the spouse of Dr. Reicin. Dr. Reicin may be deemed to have shared voting and dispositive power over the securities held by the 2020 Reicin Trust.</w:t>
      </w:r>
    </w:p>
    <w:p>
      <w:pPr>
        <w:spacing w:after="0" w:line="1" w:lineRule="exact"/>
        <w:rPr>
          <w:rFonts w:ascii="Times New Roman" w:cs="Times New Roman" w:eastAsia="Times New Roman" w:hAnsi="Times New Roman"/>
          <w:sz w:val="18"/>
          <w:szCs w:val="18"/>
          <w:color w:val="auto"/>
        </w:rPr>
      </w:pPr>
    </w:p>
    <w:p>
      <w:pPr>
        <w:ind w:left="540" w:right="50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32,065 shares of common stock held by Dr. Ruddy and (ii) 30,034 shares of common stock issuable upon exercise of options granted to Dr. Ruddy that are exercisable within 60 days of July 6, 2024.</w:t>
      </w:r>
    </w:p>
    <w:p>
      <w:pPr>
        <w:ind w:left="540" w:right="40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3,037 shares of common stock held by Dr. Tipirneni and (ii) 12,166 shares of common stock issuable upon exercise of options granted to Dr. Tipirneni that are exercisable within 60 days of July 6, 2024.</w:t>
      </w:r>
    </w:p>
    <w:p>
      <w:pPr>
        <w:ind w:left="540" w:right="46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 shares of common stock held by Mr. Donenberg and (ii) 9,372 shares of common stock issuable upon exercise of options granted to Mr. Donenberg that are exercisable within 60 days of July 6, 2024.</w:t>
      </w:r>
    </w:p>
    <w:p>
      <w:pPr>
        <w:ind w:left="540" w:right="120" w:hanging="424"/>
        <w:spacing w:after="0" w:line="26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6,766,837 shares of common stock and (ii) 212,906 shares of common stock issuable upon exercise of options that are exercisable within 60 days of July 6, 2024.</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82"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acquired shares of common stock from us in the Merger upon exchange of shares of Legacy Tectonic acquired from Legacy Tectonic immediately prior to the Merger pursuant to an exemption from registration under Section 4(a)(2) of the Securities Act. Under the Subscription Agreement that we assumed in the Merger, we agreed to file a registration statement with the SEC for the purposes of registering for resale from time to time the shares of common stock.</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ownership of the shares of common stock offered hereby. The second column lists the number of shares of common stock beneficially owned by the selling stockholders as of July 6, 2024 immediately following consummation of the Merger.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14,734,325 shares of common stock outstanding as of July 6, 2024.</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60"/>
        </w:trPr>
        <w:tc>
          <w:tcPr>
            <w:tcW w:w="5360" w:type="dxa"/>
            <w:vAlign w:val="bottom"/>
          </w:tcPr>
          <w:p>
            <w:pPr>
              <w:spacing w:after="0"/>
              <w:rPr>
                <w:sz w:val="13"/>
                <w:szCs w:val="13"/>
                <w:color w:val="auto"/>
              </w:rPr>
            </w:pPr>
          </w:p>
        </w:tc>
        <w:tc>
          <w:tcPr>
            <w:tcW w:w="180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140" w:type="dxa"/>
            <w:vAlign w:val="bottom"/>
            <w:gridSpan w:val="5"/>
          </w:tcPr>
          <w:p>
            <w:pPr>
              <w:ind w:left="36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162"/>
        </w:trPr>
        <w:tc>
          <w:tcPr>
            <w:tcW w:w="5360" w:type="dxa"/>
            <w:vAlign w:val="bottom"/>
          </w:tcPr>
          <w:p>
            <w:pPr>
              <w:spacing w:after="0"/>
              <w:rPr>
                <w:sz w:val="14"/>
                <w:szCs w:val="14"/>
                <w:color w:val="auto"/>
              </w:rPr>
            </w:pPr>
          </w:p>
        </w:tc>
        <w:tc>
          <w:tcPr>
            <w:tcW w:w="18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that May Be</w:t>
            </w:r>
          </w:p>
        </w:tc>
        <w:tc>
          <w:tcPr>
            <w:tcW w:w="2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After the Offering</w:t>
            </w:r>
          </w:p>
        </w:tc>
      </w:tr>
      <w:tr>
        <w:trPr>
          <w:trHeight w:val="142"/>
        </w:trPr>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800" w:type="dxa"/>
            <w:vAlign w:val="bottom"/>
            <w:gridSpan w:val="2"/>
          </w:tcPr>
          <w:p>
            <w:pPr>
              <w:jc w:val="center"/>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Before the Offering</w:t>
            </w:r>
          </w:p>
        </w:tc>
        <w:tc>
          <w:tcPr>
            <w:tcW w:w="1720" w:type="dxa"/>
            <w:vAlign w:val="bottom"/>
            <w:gridSpan w:val="2"/>
          </w:tcPr>
          <w:p>
            <w:pPr>
              <w:jc w:val="center"/>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Offered Hereby</w:t>
            </w:r>
          </w:p>
        </w:tc>
        <w:tc>
          <w:tcPr>
            <w:tcW w:w="7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20" w:type="dxa"/>
            <w:vAlign w:val="bottom"/>
          </w:tcPr>
          <w:p>
            <w:pPr>
              <w:spacing w:after="0"/>
              <w:rPr>
                <w:sz w:val="12"/>
                <w:szCs w:val="12"/>
                <w:color w:val="auto"/>
              </w:rPr>
            </w:pPr>
          </w:p>
        </w:tc>
      </w:tr>
      <w:tr>
        <w:trPr>
          <w:trHeight w:val="178"/>
        </w:trPr>
        <w:tc>
          <w:tcPr>
            <w:tcW w:w="53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Fidelity Advisor Series VII: Fidelity Advisor Biotechnology</w:t>
            </w:r>
          </w:p>
        </w:tc>
        <w:tc>
          <w:tcPr>
            <w:tcW w:w="1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53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72,841</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72,841</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Fidelity Growth Company Commingled Pool</w:t>
            </w:r>
            <w:r>
              <w:rPr>
                <w:rFonts w:ascii="Times New Roman" w:cs="Times New Roman" w:eastAsia="Times New Roman" w:hAnsi="Times New Roman"/>
                <w:sz w:val="25"/>
                <w:szCs w:val="25"/>
                <w:color w:val="auto"/>
                <w:vertAlign w:val="superscript"/>
              </w:rPr>
              <w:t>(1)</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400,394</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400,394</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Growth Company</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230,656</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230,656</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Growth Company K6</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3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94,586</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94,586</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Series Growth Company</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63,553</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63,553</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Fidelity Select Portfolios: Biotechnology Portfolio</w:t>
            </w:r>
            <w:r>
              <w:rPr>
                <w:rFonts w:ascii="Times New Roman" w:cs="Times New Roman" w:eastAsia="Times New Roman" w:hAnsi="Times New Roman"/>
                <w:sz w:val="25"/>
                <w:szCs w:val="25"/>
                <w:color w:val="auto"/>
                <w:vertAlign w:val="superscript"/>
              </w:rPr>
              <w:t>(1)</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215,508</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215,508</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5AM Opportunities II, L.P.</w:t>
            </w:r>
            <w:r>
              <w:rPr>
                <w:rFonts w:ascii="Times New Roman" w:cs="Times New Roman" w:eastAsia="Times New Roman" w:hAnsi="Times New Roman"/>
                <w:sz w:val="25"/>
                <w:szCs w:val="25"/>
                <w:color w:val="auto"/>
                <w:vertAlign w:val="superscript"/>
              </w:rPr>
              <w:t>(2)</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646,524</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646,524</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EcoR1</w:t>
            </w:r>
            <w:r>
              <w:rPr>
                <w:rFonts w:ascii="Times New Roman" w:cs="Times New Roman" w:eastAsia="Times New Roman" w:hAnsi="Times New Roman"/>
                <w:sz w:val="25"/>
                <w:szCs w:val="25"/>
                <w:color w:val="auto"/>
                <w:vertAlign w:val="superscript"/>
              </w:rPr>
              <w:t>(3)</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838,749</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573,139</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265,610</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Farallon</w:t>
            </w:r>
            <w:r>
              <w:rPr>
                <w:rFonts w:ascii="Times New Roman" w:cs="Times New Roman" w:eastAsia="Times New Roman" w:hAnsi="Times New Roman"/>
                <w:sz w:val="25"/>
                <w:szCs w:val="25"/>
                <w:color w:val="auto"/>
                <w:vertAlign w:val="superscript"/>
              </w:rPr>
              <w:t>(4)</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431,014</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431,014</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The Stuart Partners, LLC</w:t>
            </w:r>
            <w:r>
              <w:rPr>
                <w:rFonts w:ascii="Times New Roman" w:cs="Times New Roman" w:eastAsia="Times New Roman" w:hAnsi="Times New Roman"/>
                <w:sz w:val="25"/>
                <w:szCs w:val="25"/>
                <w:color w:val="auto"/>
                <w:vertAlign w:val="superscript"/>
              </w:rPr>
              <w:t>(5)</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215,508</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215,508</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GC&amp;H Investments</w:t>
            </w:r>
            <w:r>
              <w:rPr>
                <w:rFonts w:ascii="Times New Roman" w:cs="Times New Roman" w:eastAsia="Times New Roman" w:hAnsi="Times New Roman"/>
                <w:sz w:val="25"/>
                <w:szCs w:val="25"/>
                <w:color w:val="auto"/>
                <w:vertAlign w:val="superscript"/>
              </w:rPr>
              <w:t>(6)</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25,860</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25,860</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right="220" w:hanging="424"/>
        <w:spacing w:after="0" w:line="253"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82"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00"/>
        <w:spacing w:after="0" w:line="257" w:lineRule="auto"/>
        <w:rPr>
          <w:sz w:val="20"/>
          <w:szCs w:val="20"/>
          <w:color w:val="auto"/>
        </w:rPr>
      </w:pPr>
      <w:r>
        <w:rPr>
          <w:rFonts w:ascii="Times New Roman" w:cs="Times New Roman" w:eastAsia="Times New Roman" w:hAnsi="Times New Roman"/>
          <w:sz w:val="18"/>
          <w:szCs w:val="18"/>
          <w:color w:val="auto"/>
        </w:rPr>
        <w:t>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 w:lineRule="exact"/>
        <w:rPr>
          <w:sz w:val="20"/>
          <w:szCs w:val="20"/>
          <w:color w:val="auto"/>
        </w:rPr>
      </w:pPr>
    </w:p>
    <w:p>
      <w:pPr>
        <w:ind w:left="540" w:right="14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646,524 shares of common stock held by 5AM Opportunities II, L.P. (“Opportunities II”). 5AM Opportunities II (GP), LLC (“Opportunities II GP”) is the sole general partner of Opportunities II. Dr. Kush M. Parmar and Andrew J. Schwab are the managing members of Opportunities II GP and may be deemed to have shared voting and investment power over the securities beneficially owned by Opportunities II. Each of Opportunities II GP, Dr. Parmar, and Mr. Schwab disclaims beneficial ownership of such securities except to the extent of its or his respective pecuniary interest therein. The address of the above persons and entities is 4 Embarcadero Center, Suite 3110, San Francisco, CA 94111.</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55,535 shares of common stock held by EcoR1 Capital Fund, L.P. (“Capital Fund”) and (ii) 783,214 shares of common stock held by EcoR1 Capital Fund Qualified, L.P. (“Qualified Fund”). EcoR1 Capital LLC (“EcoR1”) is the general partner of Capital Fund and Qualified Fund. Oleg Nodelman is the control person of EcoR1 and may be deemed to share dispositive voting power over the shares held by Qualified Fund and Capital Fund. Mr. Nodelman and EcoR1 each disclaim beneficial ownership of all shares except to the extent of their pecuniary interest. The address of the above person and entities is 357 Tehama Street #3, San Francisco, CA 94103.</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88,961 shares of common stock held by Farallon Capital Partners, L.P. (“FCP”), (ii) 66,937 shares of common stock held by Farallon Capital Institutional Partners, L.P. (“FCIP”), (iii) 23,835 shares of common stock held by Farallon Capital Institutional Partners II, L.P. (“FCIP II”), (iv) 8,706 shares of common stock held by Farallon Capital Institutional Partners III, L.P. (“FCIP III”), (v) 14,870 shares of common stock held by Four Crossings Institutional Partners V, L.P. (“FCIP V”), (vi) 167,622 shares of common stock held by Farallon Capital Offshore Investors II, L.P. (“FCOI II”), (vii) 11,508 shares of common stock held by Farallon Capital (AM) Investors, L.P. (“FCAMI”), and (viii) 48,575 shares of common stock held by Farallon Capital F5 Master I, L.P. (“F5 MI” and, together with FCP, FCIP, FCIP II, FCIP III, FCIP V, FCOI II, and FCAMI, the “Farallon Funds”). Farallon Partners, L.L.C. (the “Farallon General Partner”), as the general partner of each of FCP, FCIP, FCIP II, FCIP III, FCOI II and FCAMI, may be deemed a beneficial owner of the shares held by FCP, FCIP, FCIP II, FCIP III, FCOI II and FCAMI. Farallon Institutional (GP) V, L.L.C. (the “FCIP V General Partner”), as the general partner of FCIP V, may be deemed a beneficial owner of the shares held by FCIP V. Farallon F5 (GP), L.L.C. (the “F5MI General Partner”), as the general partner of F5 MI, may be deemed a beneficial owner of the shares held by F5 MI. Each of Joshua J. Dapice, Philip D. Dreyfuss, Hannah E. Dunn, Richard B. Fried, Varun N. Gehani, Nicolas Giauque, David T. Kim, Michael G. Linn, Rajiv A. Patel, Thomas G. Roberts, Jr., Edric C. Saito, William Seybold, Daniel S. Short, Andrew J. M. Spokes, John R. Warren and Mark C. Wehrly (collectively, the “Farallon Managing Members”), as a senior managing member or managing member, as the case may be, of the Farallon General Partner, and a manager or senior manager, as the case may be, of the FCIP V General Partner and the F5MI General Partner, in each case with the power to exercise investment discretion, may be deemed a beneficial owner of all such shares held by the Farallon Funds. Each of the Farallon General Partner, the FCIP V General Partner, the F5MI General Partner, and the Farallon Managing Members hereby disclaims any beneficial ownership of such shares. The address of the above persons and entities is One Maritime Plaza, Suite 2100, San Francisco, CA 94111.</w:t>
      </w:r>
    </w:p>
    <w:p>
      <w:pPr>
        <w:spacing w:after="0" w:line="7" w:lineRule="exact"/>
        <w:rPr>
          <w:rFonts w:ascii="Times New Roman" w:cs="Times New Roman" w:eastAsia="Times New Roman" w:hAnsi="Times New Roman"/>
          <w:sz w:val="18"/>
          <w:szCs w:val="18"/>
          <w:color w:val="auto"/>
        </w:rPr>
      </w:pPr>
    </w:p>
    <w:p>
      <w:pPr>
        <w:ind w:left="540" w:right="360" w:hanging="424"/>
        <w:spacing w:after="0" w:line="265"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215,508 shares of common stock held by The Stuart Partners, LLC (“Stuart Partners”). Anastasios Parafestas is the sole managing member of Stuart Partners and exercises sole voting and dispositive power over the securities beneficially owned by Stuart Partners.</w:t>
      </w:r>
    </w:p>
    <w:p>
      <w:pPr>
        <w:ind w:left="540" w:right="3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Parafestas disclaims beneficial ownership of such securities except to the extent of his pecuniary interest therein. The address of the above person and entity is One Joy Street, Boston, MA 02108.</w:t>
      </w:r>
    </w:p>
    <w:p>
      <w:pPr>
        <w:ind w:left="540" w:hanging="424"/>
        <w:spacing w:after="0" w:line="253"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10,775 shares of common stock held by GC&amp;H Investments, L.P. (“GC&amp;H”) and (ii) 15,085 shares of common stock held by GC&amp;H Investments A5, L.P. (“GC&amp;H A5”). Jordan Silber, Mark Tanoury, Peter Werner, Derek Colla, Kenneth Guernsey are the control persons of GC&amp;H and GC&amp;H A5 and may be deemed to share dispositive voting power over the shares held by GC&amp;H and GC&amp;H A5. The address of the above persons and entities is 3 Embarcadero Center, 20th Floor, San Francisco, CA 94111.</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charter and bylaws are summaries and are qualified by reference to such charter and bylaws and applicable provisions of Delaware corporate law. Copies of these documents are filed as exhibits to the registration statement of which this prospectus forms a part.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$0.0001 per share, and 10,000,000 shares of preferred stock, par value $0.0001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ratably, if any, as may be declared by the our Board out of legally available funds, subject to any preferential dividend rights of any our preferred stock then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jc w:val="both"/>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of our common stock held of record for the election of directors of the Company and on all matters submitted to a vote of the stockholders. The holders of our common stock do not have any cumulative voting rights.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Company’s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subscription, redemption or conversion rights, and no sinking fund provisions are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charter provides for 10,000,000 authorized shares of preferred stock. The existence of authorized but unissued shares of preferred stock may enable the Board to discourage an attempt to obtain control of the Company by means of a merger, tender offer, proxy contest or otherwise. For example, if in the due exercise of its fiduciary obligations, the Board were to determine that a takeover proposal is not in the best interests of the Company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82"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Provisions of the Company’s Charter and Bylaws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the DGCL and of the Company’s charter and bylaws could have the effect of delaying, deferring or discouraging another party from acquiring control of the Company.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the Company to first negotiate with its board of directors. These provisions might also have the effect of preventing changes in our management. It is possible that these provisions could make it more difficult to accomplish transactions that stockholders might otherwise deem to be in their best interests. However, the Company holds that the advantages gained by protecting its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52" w:lineRule="exact"/>
        <w:rPr>
          <w:sz w:val="20"/>
          <w:szCs w:val="20"/>
          <w:color w:val="auto"/>
        </w:rPr>
      </w:pPr>
    </w:p>
    <w:p>
      <w:pPr>
        <w:ind w:left="1080" w:right="5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1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w:t>
      </w:r>
    </w:p>
    <w:p>
      <w:pPr>
        <w:spacing w:after="0" w:line="202"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by any direct or indirect majority-owned subsidiary of the corporation of any stock of the corporation or any subsidiary to the interested stockholder;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82"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 or any direct or indirect majority-owned subsidiary.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Composition and Filling Vacancies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charter provides for the division of the Board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the Board, however occurring, including a vacancy resulting from an increase in the size of the Board, may only be filled by the affirmative vote of a majority of directors then in office even if less than a quorum. The classification of directors, together with the limitations on removal of directors and treatment of vacancies, has the effect of making it more difficult for stockholders to change the composition of the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11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the Company’s bylaws or removal of directors by stockholders without holding a meeting of stockholders.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Meetings of Stockholder</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only a majority of the members of the Board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82"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380" w:firstLine="2397"/>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MATERIAL UNITED STATES FEDERAL INCOME TAX CONSIDERATIONS </w:t>
      </w:r>
      <w:r>
        <w:rPr>
          <w:rFonts w:ascii="Times New Roman" w:cs="Times New Roman" w:eastAsia="Times New Roman" w:hAnsi="Times New Roman"/>
          <w:sz w:val="18"/>
          <w:szCs w:val="18"/>
          <w:b w:val="1"/>
          <w:bCs w:val="1"/>
          <w:i w:val="1"/>
          <w:iCs w:val="1"/>
          <w:color w:val="auto"/>
        </w:rPr>
        <w:t>Material U.S. Federal Income Tax Consequences for Holders of Common Stock</w:t>
      </w:r>
    </w:p>
    <w:p>
      <w:pPr>
        <w:spacing w:after="0" w:line="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85"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our voting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or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82"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tax advisor.</w:t>
      </w:r>
    </w:p>
    <w:p>
      <w:pPr>
        <w:spacing w:after="0" w:line="176"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UNITED STATES FEDERAL NON-INCOME, STATE AND LOCAL, AND NON-U.S. TAX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for U.S. Holders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our common stock that, for U.S. federal income tax purposes, is or is treated as:</w:t>
      </w:r>
    </w:p>
    <w:p>
      <w:pPr>
        <w:spacing w:after="0" w:line="67"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4"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Taxation of Distributions</w:t>
      </w:r>
      <w:r>
        <w:rPr>
          <w:rFonts w:ascii="Times New Roman" w:cs="Times New Roman" w:eastAsia="Times New Roman" w:hAnsi="Times New Roman"/>
          <w:sz w:val="17"/>
          <w:szCs w:val="17"/>
          <w:color w:val="auto"/>
        </w:rPr>
        <w:t>. If we pay distributions in cash or other property (other than certain distributions of our stock or rights to acquire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to U.S.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common stock. Any remaining excess will be treated as gain realized on the sale or other disposition of the common stock and will be treated as described under “</w:t>
      </w:r>
      <w:r>
        <w:rPr>
          <w:rFonts w:ascii="Times New Roman" w:cs="Times New Roman" w:eastAsia="Times New Roman" w:hAnsi="Times New Roman"/>
          <w:sz w:val="17"/>
          <w:szCs w:val="17"/>
          <w:i w:val="1"/>
          <w:iCs w:val="1"/>
          <w:color w:val="auto"/>
        </w:rPr>
        <w:t>U.S. Holders-Gain or Loss on Sale, Taxable Exchange or Other Taxable Disposition of common stock</w:t>
      </w:r>
      <w:r>
        <w:rPr>
          <w:rFonts w:ascii="Times New Roman" w:cs="Times New Roman" w:eastAsia="Times New Roman" w:hAnsi="Times New Roman"/>
          <w:sz w:val="17"/>
          <w:szCs w:val="17"/>
          <w:color w:val="auto"/>
        </w:rPr>
        <w:t>” below.</w:t>
      </w:r>
    </w:p>
    <w:p>
      <w:pPr>
        <w:spacing w:after="0" w:line="17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w:t>
      </w:r>
      <w:r>
        <w:rPr>
          <w:rFonts w:ascii="Times New Roman" w:cs="Times New Roman" w:eastAsia="Times New Roman" w:hAnsi="Times New Roman"/>
          <w:sz w:val="18"/>
          <w:szCs w:val="18"/>
          <w:color w:val="auto"/>
        </w:rPr>
        <w:t>. Upon a sale or other taxable disposition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 U.S. holder generally will recognize capital gain or loss in an amount equal to the difference between the amount realized and the U.S. holder’s adjusted tax basis in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8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 general, information reporting requirements may apply to dividends paid to a U.S. 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for Non-U.S. Holders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relevant to a Non-U.S. Holder’s particular circumstances, and does not deal with non-U.S., state and local tax consequences that may be relevant to Non-U.S. Holders, nor does it address any U.S. federal tax consequences (such as gift and estate taxes) other than income taxes. Special rules different from those described below may apply to certain Non-U.S. Holders that are subject to special treatment under the U.S. Internal Revenue Code of 1986, as amended, or the Code, such as:</w:t>
      </w:r>
    </w:p>
    <w:p>
      <w:pPr>
        <w:spacing w:after="0" w:line="93"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certain electing traders in securities who mark their securities positions to market for U.S.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corporations organized outside of the United States, any state thereof or the District of Columbia that are nonetheless treated as U.S. income taxpayers for U.S. federal tax purposes,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“conversion transaction,” “synthetic security,” integrated investment or other risk reduction strategy,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6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the federal Medicare contribution tax on net investment income or the special tax accounting rules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option or otherwise as compensation,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pass-through entities or arrangements, and investors in such pass-through entities or arrangements.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Such Non-U.S. Holders are urged to consult their tax advisors to determine the U.S. federal, state, local and other tax consequences that may be relevant to them.</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perhaps retroactively, so as to result in U.S. federal income tax consequences different from those discussed below. We have not requested a ruling from the U.S. Internal Revenue Service, or the IRS, with respect to the statements made and the conclusions reached in the following summary, and there can be no assurance that the IRS will agree with such statements and conclusions.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common stock that is neither a U.S. Person, nor a partnership (or other entity or arrangement treated as a partnership for U.S. federal income tax purposes regardless of its place of organization or formation). A “U.S. Person” means any person that is, for U.S. federal income tax purposes, any of the following:</w:t>
      </w:r>
    </w:p>
    <w:p>
      <w:pPr>
        <w:spacing w:after="0" w:line="81"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(within the meaning of Code Section 7701(a)(30)) have the authority to control all substantial decisions of the trust or (2) has a valid election in effect under applicable Treasury regulations to be treated as a United States person.</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case of a beneficial owner of our common stock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his, her or its tax advisor regarding the tax consequences of the ownership and disposition of our common stock through a partnership or other pass-through entity, as applicable.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82" w:right="4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Distributions, if any, made on our common stock to a Non-U.S. Holder to the extent made out of our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under U.S. federal income tax principles) generally will constitute dividends for U.S. federal income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or the applicable withholding agent with a properly executed IRS Form W-8BEN (in the case of individuals) or IRS Form W-8BEN-E (in the case of entities), or other appropriate form, certifying the Non-U.S. Holder’s entitlement to benefits under that treaty and, in certain circumstances, providing such Non-U.S. Holder’s U.S. taxpayer identification number and/or foreign tax identifying number. This certification must be provided prior to the payment of dividends and must be updated periodically.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will be required to provide appropriate documentation to such agent, which will then be required to provide certification to the applicable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w:t>
      </w:r>
    </w:p>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and other applicable withholding agents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it maintains in the United States) if a properly executed IRS Form W-8ECI, stating that the dividends are so connected, is furnished to the applicable withholding agent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capital gain to the extent of any excess, and taxed in the same manner as gain realized from a sale or other disposition of common stock as described in the next section.</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Gain on Disposition of Our Common Stock</w:t>
      </w:r>
      <w:r>
        <w:rPr>
          <w:rFonts w:ascii="Times New Roman" w:cs="Times New Roman" w:eastAsia="Times New Roman" w:hAnsi="Times New Roman"/>
          <w:sz w:val="18"/>
          <w:szCs w:val="18"/>
          <w:color w:val="auto"/>
        </w:rPr>
        <w:t>. Subject to the discussions below regarding backup withholding and foreign accounts, a Non-U.S.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generally will not be subject to U.S. federal income tax with respect to gain realized on a sale or other disposition of our common stock unless:</w:t>
      </w:r>
    </w:p>
    <w:p>
      <w:pPr>
        <w:spacing w:after="0" w:line="99" w:lineRule="exact"/>
        <w:rPr>
          <w:sz w:val="20"/>
          <w:szCs w:val="20"/>
          <w:color w:val="auto"/>
        </w:rPr>
      </w:pPr>
    </w:p>
    <w:p>
      <w:pPr>
        <w:ind w:left="560" w:right="200" w:firstLine="419"/>
        <w:spacing w:after="0" w:line="312" w:lineRule="auto"/>
        <w:tabs>
          <w:tab w:leader="none" w:pos="122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of the Non-U.S. Holder in the United States (and, if required by an applicable income tax treaty, is attributable to a permanent establishment or fixed base that such Non-U.S. Holder maintains in the United States),</w:t>
      </w:r>
    </w:p>
    <w:p>
      <w:pPr>
        <w:spacing w:after="0" w:line="31" w:lineRule="exact"/>
        <w:rPr>
          <w:rFonts w:ascii="Times New Roman" w:cs="Times New Roman" w:eastAsia="Times New Roman" w:hAnsi="Times New Roman"/>
          <w:sz w:val="17"/>
          <w:szCs w:val="17"/>
          <w:color w:val="auto"/>
        </w:rPr>
      </w:pPr>
    </w:p>
    <w:p>
      <w:pPr>
        <w:ind w:left="560" w:right="160" w:firstLine="419"/>
        <w:spacing w:after="0" w:line="282" w:lineRule="auto"/>
        <w:tabs>
          <w:tab w:leader="none" w:pos="123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and is present in the United States for 183 or more days in the taxable year of the disposition and certain other conditions are met, or</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or USRPHC, within the meaning of Code Section 897(c)(2) at any time within the shorter of the five-year period preceding such disposition and such Non-U.S. Holder’s holding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82"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general, we would be a USRPHC if the aggregate fair market value of our “United States real property interests” (within the meaning of Code Section 897(c)(1)), or USRPIs, equaled or exceeded fifty percent (50%) of the combined fair market value of our USRPIs, our non-U.S. real property interests and our other business assets. We believe that we have not been and are not, and do not anticipate becoming, a USRPHC. Even if we are or were to become a USRPHC, gain realized by a Non-U.S. Holder on a disposition of our common stock will not be subject to U.S. federal income tax under the provisions applicable to USRPIs so long as our common stock is “regularly traded,” as defined by applicable Treasury regulations, on an established securities market. There can be no assurance that we are not or will not become a USRPHC or that our common stock will qualify as regularly traded on an established securities market.</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gain derived from the sale or other taxable disposition at regular U.S. federal income tax rates applicable to U.S. Persons, and corporate Non-U.S. Holders described in (a) above may, in addition, be subject to a branch profits tax at a 30% rate or such lower rate as may be specified by an applicable income tax treaty, as adjusted for certain items.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(even though the Non-U.S. Holder is not considered a resident of the United States), provided that the Non-U.S. Holder has timely filed U.S. federal income tax returns with respect to such losses.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Requirements and Backup Withholding. </w:t>
      </w:r>
      <w:r>
        <w:rPr>
          <w:rFonts w:ascii="Times New Roman" w:cs="Times New Roman" w:eastAsia="Times New Roman" w:hAnsi="Times New Roman"/>
          <w:sz w:val="18"/>
          <w:szCs w:val="18"/>
          <w:color w:val="auto"/>
        </w:rPr>
        <w:t>Generally, we or an applicable withholding agent will be required to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to the IRS with respect to any distributions we pay on our common stock (even if the payments are exempt from withholding), including the amount of any such distributions, the name and address of the recipient, and the amount, if any, of tax withheld. A similar report is sent to</w:t>
      </w:r>
    </w:p>
    <w:p>
      <w:pPr>
        <w:spacing w:after="0" w:line="1" w:lineRule="exact"/>
        <w:rPr>
          <w:sz w:val="20"/>
          <w:szCs w:val="20"/>
          <w:color w:val="auto"/>
        </w:rPr>
      </w:pPr>
    </w:p>
    <w:p>
      <w:pPr>
        <w:jc w:val="both"/>
        <w:ind w:left="120" w:right="640"/>
        <w:spacing w:after="0" w:line="260" w:lineRule="auto"/>
        <w:rPr>
          <w:sz w:val="20"/>
          <w:szCs w:val="20"/>
          <w:color w:val="auto"/>
        </w:rPr>
      </w:pPr>
      <w:r>
        <w:rPr>
          <w:rFonts w:ascii="Times New Roman" w:cs="Times New Roman" w:eastAsia="Times New Roman" w:hAnsi="Times New Roman"/>
          <w:sz w:val="18"/>
          <w:szCs w:val="18"/>
          <w:color w:val="auto"/>
        </w:rPr>
        <w:t>the Non-U.S. Holder to whom any such distributions are paid. Pursuant to tax treaties or certain other agreements, the IRS may make its reports available to tax authorities in the recipient’s country of residence.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Distributions to a Non-U.S. Holder that are classified as dividends paid by us may also be subject to U.S. backup withholding currently at a rate of</w:t>
      </w:r>
    </w:p>
    <w:p>
      <w:pPr>
        <w:spacing w:after="0" w:line="39" w:lineRule="exact"/>
        <w:rPr>
          <w:sz w:val="20"/>
          <w:szCs w:val="20"/>
          <w:color w:val="auto"/>
        </w:rPr>
      </w:pPr>
    </w:p>
    <w:p>
      <w:pPr>
        <w:jc w:val="both"/>
        <w:ind w:left="120" w:right="640"/>
        <w:spacing w:after="0" w:line="277" w:lineRule="auto"/>
        <w:rPr>
          <w:sz w:val="20"/>
          <w:szCs w:val="20"/>
          <w:color w:val="auto"/>
        </w:rPr>
      </w:pPr>
      <w:r>
        <w:rPr>
          <w:rFonts w:ascii="Times New Roman" w:cs="Times New Roman" w:eastAsia="Times New Roman" w:hAnsi="Times New Roman"/>
          <w:sz w:val="17"/>
          <w:szCs w:val="17"/>
          <w:color w:val="auto"/>
        </w:rPr>
        <w:t>24%. U.S. backup withholding generally will not apply to a Non-U.S. Holder who provides a properly executed IRS Form W-8BEN, IRS Form W-8BEN-E, or IRS Form W-8ECI, or otherwise establishes an exemption. Notwithstanding the foregoing, backup withholding may apply if the applicable payor has actual knowledge, or reason to know, that the Non-U.S. Holder is a U.S. Person who is not an exempt recipient.</w:t>
      </w:r>
    </w:p>
    <w:p>
      <w:pPr>
        <w:spacing w:after="0" w:line="16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sale or other taxable disposition of our common stock effected by or through a U.S. office of any broker, U.S. or foreign, except that information reporting and such requirements may be avoided if the Non-U.S. Holder provides a properly executed IRS Form W-8BEN, IRS Form W-8BEN-E or IRS Form W-8ECI,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payor has actual knowledge, or reason to know, that the Non-U.S. Holder is, in fact, a U.S. Person. For information reporting purposes, certain brokers with substantial U.S. ownership or operations will generally be treated in a manner similar to U.S. payors.</w:t>
      </w:r>
    </w:p>
    <w:p>
      <w:pPr>
        <w:spacing w:after="0" w:line="18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credit against the U.S. federal income tax liability of a Non-U.S. Holder subject to backup withholding, provided that the required information is timely furnished to the IRS.</w:t>
      </w:r>
    </w:p>
    <w:p>
      <w:pPr>
        <w:spacing w:after="0" w:line="174"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Sections 1471 through 1474 of the Code and the related Treasury regulations, together with other U.S. Treasury and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issued thereunder and intergovernmental agreements, legislation,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82"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rules and other official guidance adopted pursuant to such intergovernmental agreements (commonly referred to as FATCA) impose a U.S. federal withholding tax of 30% on certain payments to a “foreign financial institution” (as defined in the Code) which does not provide the withholding agent with sufficient documentation evidencing either (x) an exemption from FATCA or (y) its compliance (or deemed compliance) with FATCA (which may alternatively be in the form of compliance with an intergovernmental agreement with the United States) to withhold on certain payments and to collect and provide to the U.S. tax authorities certain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(as defined in the Code) which does not provide the withholding agent with sufficient documentation evidencing either (x) an exemption from FATCA or (y)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FATCA. Prospective investors are encouraged to consult with their own tax advisors regarding the possible implications of FATCA on their investment in our common stock.</w:t>
      </w:r>
    </w:p>
    <w:p>
      <w:pPr>
        <w:spacing w:after="0" w:line="19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withholding provisions described above generally apply to payments of dividends. Under proposed Treasury regulations, the preamble to which states that taxpayers may rely on them until final Treasury regulations are issued, this withholding tax does not apply to payments of gross proceeds from a sale or other disposition of common stock.</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EACH PROSPECTIVE INVESTOR SHOULD CONSULT ITS OWN TAX ADVISOR REGARDING THE TAX CONSEQUENCES OF PURCHASING, HOLDING AND DISPOSING OF OUR COMMON STOCK, INCLUDING THE CONSEQUENCES OF ANY CHANGES IN APPLICABLE LAW SUBSEQUENT TO THE DATE HEREOF.</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40"/>
          </w:cols>
          <w:pgMar w:left="320" w:top="482" w:right="5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donees, transferees or other successors-in-interest may, from time to time, sell, transfer or otherwise dispose of any or all of their securities covered hereby on the Nasdaq Global Select Market, the Nasdaq Global Market, the Nasdaq Capital Market, or the New York Stock Exchange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9"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(it being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82"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understood that the selling stockholders shall not be deemed to be underwriters solely as a result of their participation in this offering).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186</w:t>
      </w:r>
    </w:p>
    <w:p>
      <w:pPr>
        <w:sectPr>
          <w:pgSz w:w="11900" w:h="16838" w:orient="portrait"/>
          <w:cols w:equalWidth="0" w:num="1">
            <w:col w:w="11140"/>
          </w:cols>
          <w:pgMar w:left="320" w:top="482"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Cooley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AVROBIO, Inc. as of December 31, 2023 and 2022, and for each of the two years in the period ended December 31, 2023, appearing in this registration statement of which this prospectus forms a part, have been audited by Ernst &amp; Young LLP (“EY”), independent registered public accounting firm, as stated in their report thereon appearing elsewhere herein, and are included in reliance upon such report given on the authority of such firm as experts in accounting and auditing.</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Tectonic Therapeutic, Inc. (now known as Tectonic Operating Company, Inc.) as of December 31, 2023 and 2022, and for the years then ended, included in this registration statement of which this prospectus forms a part,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82"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CHANGE IN CERTIFYING ACCOUNTANT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Dismissal of Independent Registered Public Accounting Firm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Ernst &amp; Young LLP (“EY”) served as AVROBIO’s independent registered public accounting firm prior to completion of the Merger. On June 20, 2024, following the completion of the Merger, EY was dismissed as the Company’s independent registered public accounting firm. The decision to dismiss EY was approved by the Company’s board of directors.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reports of EY on AVROBIO’s consolidated financial statements for the fiscal years ended December 31, 2023 and 2022 did not contain an adverse opinion or disclaimer of opinion and were not qualified or modified as to uncertainty, audit scope or accounting principles, or other similar opinion as defined in Item 304(a)(1)(ii) of Regulation S-K (17 CFR § 229.304(a)(1)(ii)) except for an explanatory paragraph regarding existence of substantial doubt about AVROBIO’s ability to continue as a going concern in the report for the year ended December 31, 2022.</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AVROBIO’s two most recent fiscal years and the subsequent period from January 1, 2024 to June 20, 2024, there were (i) no disagreements (as defined in Item 304(a)(1)(iv) of Regulation S-K and the related instructions thereto) with EY on any matter of accounting principles or practices, financial statement disclosure, or auditing scope or procedure, which disagreement, if not resolved to the satisfaction of EY, would have caused it to make reference to the subject matter of the disagreement in connection with its report for such years and (ii) no reportable events (as described in Item 304(a)(1)(v) of Regulation S-K). The Company provided EY with a copy of the disclosures made in this Item 4.01 and requested EY to furnish us with a letter addressed to the SEC stating whether it agrees with the statements made by us and, if not, stating the respects in which it does not agree. A copy of EY’s letter to the SEC dated June 20, 2024 regarding these statements is filed as Exhibit 16.1 to the registration statement of which this prospectus forms a part.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Engagement of New Independent Registered Public Accounting Firm</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Deloitte &amp; Touche LLP (“Deloitte”) served as the independent registered public accounting firm of Legacy Tectonic prior to the completion of the Merger. On June 20, 2024, following the completion of the Merger, the Company’s Board approved the appointment of Deloitte as the Company’s independent registered public accounting firm.</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Legacy Tectonic’s two most recent fiscal years and the subsequent period from January 1, 2024 to June 20, 2024, Legacy Tectonic did not consult with Deloitte regarding any of the matters or events set forth in Item 304(a)(2)(i) and (ii) of Regulation S-K.</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80"/>
          </w:cols>
          <w:pgMar w:left="320" w:top="482" w:right="4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also make available free of charge on or through our website at www.tectonictx.com,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would like to request documents, please send a request in writing or by telephone to the following address: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490 Arsenal Way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Suit 210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Daniel Lochner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(339) 666-3320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investor@tectonictx.com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00"/>
          </w:cols>
          <w:pgMar w:left="320" w:top="482"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0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 for the Three Months ended March 31, 2024 and 2023</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10560" w:type="dxa"/>
            <w:vAlign w:val="bottom"/>
            <w:gridSpan w:val="17"/>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Unaudited Condensed Consolidated Balance Sheets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Other Comprehensive Income (Loss)</w:t>
            </w:r>
          </w:p>
        </w:tc>
        <w:tc>
          <w:tcPr>
            <w:tcW w:w="30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Stockholders’ Equity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538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5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2023 and 2022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42)</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196"/>
        </w:trPr>
        <w:tc>
          <w:tcPr>
            <w:tcW w:w="54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0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F-22</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518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02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430"/>
        </w:trPr>
        <w:tc>
          <w:tcPr>
            <w:tcW w:w="2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40" w:type="dxa"/>
            <w:vAlign w:val="bottom"/>
            <w:gridSpan w:val="11"/>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TECTONIC THERAPEUTIC, INC.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20" w:type="dxa"/>
            <w:vAlign w:val="bottom"/>
            <w:gridSpan w:val="13"/>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0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 for the Three Months ended March 31, 2024 and 2023</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gridSpan w:val="17"/>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Unaudited Condensed Consolidated Balance Sheets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F-52</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Other Comprehensive Loss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F-53</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368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Convertible Preferred Stock and Stockholders’ Deficit</w:t>
            </w:r>
          </w:p>
        </w:tc>
        <w:tc>
          <w:tcPr>
            <w:tcW w:w="2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F-54</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F-55</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2620" w:type="dxa"/>
            <w:vAlign w:val="bottom"/>
            <w:gridSpan w:val="6"/>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5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2023 and 2022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Independent Auditor’s Report</w:t>
            </w:r>
          </w:p>
        </w:tc>
        <w:tc>
          <w:tcPr>
            <w:tcW w:w="8400" w:type="dxa"/>
            <w:vAlign w:val="bottom"/>
            <w:gridSpan w:val="15"/>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F-73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Other Comprehensive Income (Loss)</w:t>
            </w:r>
          </w:p>
        </w:tc>
        <w:tc>
          <w:tcPr>
            <w:tcW w:w="47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F-76</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462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F-77</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F-78</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F-79</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80" w:type="dxa"/>
            <w:vAlign w:val="bottom"/>
            <w:gridSpan w:val="7"/>
          </w:tcPr>
          <w:p>
            <w:pPr>
              <w:jc w:val="center"/>
              <w:ind w:right="494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98,020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101,093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 no shares issued or outstanding as of</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 shares authorized; 44,882 and 44,654 shares issued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572,918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572,010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6"/>
              </w:rPr>
              <w:t>(484,083)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(477,275)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94,739</w:t>
            </w:r>
          </w:p>
        </w:tc>
        <w:tc>
          <w:tcPr>
            <w:tcW w:w="0" w:type="dxa"/>
            <w:vAlign w:val="bottom"/>
          </w:tcPr>
          <w:p>
            <w:pPr>
              <w:spacing w:after="0"/>
              <w:rPr>
                <w:sz w:val="1"/>
                <w:szCs w:val="1"/>
                <w:color w:val="auto"/>
              </w:rPr>
            </w:pP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92,348</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82"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80" w:type="dxa"/>
            <w:vAlign w:val="bottom"/>
          </w:tcPr>
          <w:p>
            <w:pPr>
              <w:spacing w:after="0"/>
              <w:rPr>
                <w:sz w:val="15"/>
                <w:szCs w:val="15"/>
                <w:color w:val="auto"/>
              </w:rPr>
            </w:pPr>
          </w:p>
        </w:tc>
        <w:tc>
          <w:tcPr>
            <w:tcW w:w="2240" w:type="dxa"/>
            <w:vAlign w:val="bottom"/>
            <w:gridSpan w:val="8"/>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17,333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7,258</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7,887</w:t>
            </w:r>
          </w:p>
        </w:tc>
      </w:tr>
      <w:tr>
        <w:trPr>
          <w:trHeight w:val="230"/>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(7,941)</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1,146</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 attributable to common stockholders—basic and diluted</w:t>
            </w: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44,791</w:t>
            </w:r>
          </w:p>
        </w:tc>
        <w:tc>
          <w:tcPr>
            <w:tcW w:w="200" w:type="dxa"/>
            <w:vAlign w:val="bottom"/>
          </w:tcPr>
          <w:p>
            <w:pPr>
              <w:spacing w:after="0"/>
              <w:rPr>
                <w:sz w:val="20"/>
                <w:szCs w:val="20"/>
                <w:color w:val="auto"/>
              </w:rPr>
            </w:pP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44,037</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2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5420" w:type="dxa"/>
            <w:vAlign w:val="bottom"/>
          </w:tcPr>
          <w:p>
            <w:pPr>
              <w:spacing w:after="0"/>
              <w:rPr>
                <w:sz w:val="8"/>
                <w:szCs w:val="8"/>
                <w:color w:val="auto"/>
              </w:rPr>
            </w:pPr>
          </w:p>
        </w:tc>
        <w:tc>
          <w:tcPr>
            <w:tcW w:w="122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8"/>
                <w:szCs w:val="8"/>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6"/>
        </w:trPr>
        <w:tc>
          <w:tcPr>
            <w:tcW w:w="5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542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43,916</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564,798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(489,432)</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75,370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2018 employee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 plan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(24,957)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567,383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(514,389)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52,998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2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5420" w:type="dxa"/>
            <w:vAlign w:val="bottom"/>
          </w:tcPr>
          <w:p>
            <w:pPr>
              <w:spacing w:after="0"/>
              <w:rPr>
                <w:sz w:val="8"/>
                <w:szCs w:val="8"/>
                <w:color w:val="auto"/>
              </w:rPr>
            </w:pPr>
          </w:p>
        </w:tc>
        <w:tc>
          <w:tcPr>
            <w:tcW w:w="122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8"/>
                <w:szCs w:val="8"/>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6"/>
        </w:trPr>
        <w:tc>
          <w:tcPr>
            <w:tcW w:w="5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542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44,654</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572,010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(477,275)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94,739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2018 employee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 plan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572,918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(484,083)</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88,839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80" w:type="dxa"/>
            <w:vAlign w:val="bottom"/>
          </w:tcPr>
          <w:p>
            <w:pPr>
              <w:spacing w:after="0"/>
              <w:rPr>
                <w:sz w:val="15"/>
                <w:szCs w:val="15"/>
                <w:color w:val="auto"/>
              </w:rPr>
            </w:pPr>
          </w:p>
        </w:tc>
        <w:tc>
          <w:tcPr>
            <w:tcW w:w="2240" w:type="dxa"/>
            <w:vAlign w:val="bottom"/>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(24,957)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and non-current operating lease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(2,407)</w:t>
            </w:r>
          </w:p>
        </w:tc>
        <w:tc>
          <w:tcPr>
            <w:tcW w:w="2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(7,569)</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(20,284)</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ESPP shares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(7,539)</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(20,237)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92,846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72,609</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arising from obtaining right-of-use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194"/>
        </w:trPr>
        <w:tc>
          <w:tcPr>
            <w:tcW w:w="8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within the condensed consolidated balance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90,481</w:t>
            </w:r>
          </w:p>
        </w:tc>
        <w:tc>
          <w:tcPr>
            <w:tcW w:w="3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72,326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AVROBIO, Inc. (the “Company” or “AVROBIO”) is a gene therapy company which has been focused on developing potentially curative hematopoietic stem cell, or HSC, gene therapies to treat rare diseases following a single dose treatment regimen.</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On January 30, 2024, the Company entered into the Agreement and Plan of Merger and Reorganization (the “Merger Agreement”), with Alpine Merger Subsidiary, Inc. (“Merger Sub”), a direct, wholly owned subsidiary of the Company, and Tectonic Therapeutic, Inc. (“Tectonic”) pursuant to which Merger Sub will merge with and into Tectonic, with Tectonic surviving as a wholly-owned subsidiary of the Company (the “Merger”).</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80" w:lineRule="exact"/>
        <w:rPr>
          <w:sz w:val="20"/>
          <w:szCs w:val="20"/>
          <w:color w:val="auto"/>
        </w:rPr>
      </w:pPr>
    </w:p>
    <w:p>
      <w:pPr>
        <w:ind w:left="120" w:right="320" w:firstLine="440"/>
        <w:spacing w:after="0" w:line="255"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March 31, 2024, the Company had an accumulated deficit of $484,083. The Company expects that its cash and cash equivalents of $90,481 as of March 31, 2024 will be sufficient to fund current planned operations and capital expenditure requirements for at least the next twelve months from the filing date of this Quarterly Report on Form 10-Q with the Securities and Exchange Commission (“SEC”).</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consisted of a cash payment of $87,500 upon closing of the transaction. The Company completed the Asset Sale on June 9, 2023 and recognized</w:t>
      </w:r>
    </w:p>
    <w:p>
      <w:pPr>
        <w:spacing w:after="0" w:line="27"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$83,736 as a gain on asset sale, net of $3,764 transaction costs, in the condensed consolidated statement of operations and comprehensive income (loss) for the three months ended March 31, 2024. See Note 3 for further discussion.</w:t>
      </w:r>
    </w:p>
    <w:p>
      <w:pPr>
        <w:spacing w:after="0" w:line="18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“December 2023 Workforce Reduction”). Affected employees in the July 2023 Workforce Reduction, October 2023 Workforce Reduction, December 2023 Workforce Reduction, and February 2024 Workforce Reduction were offered separation benefits, including severance payments. See Note 12 for further discussion.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the FASB.</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annual consolidated financial statements as of and for the year ended December 31, 2023, and, in the opinion of management, reflect all adjustments, consisting of normal recurring adjustments, necessary for the fair presentation of the Company’s financial position as of March 31, 2024, and the results of its operations for the three months ended March 31, 2024 and 2023, its statements of stockholders’ equity for the three months ended March 31, 2024 and 2023 and its statement of cash flows for the three months ended March 31, 2024 and 2023.</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results for the three months ended March 31, 2024 are not necessarily indicative of the results to be expected for the year ending December 31, 2024, any other interim periods, or any future year or period. These interim financial statements should be read in conjunction with the audited financial statements as of and for the year ended December 31, 2023, and the notes thereto, which are included in the Company’s Annual Report on Form 10-K for the year ended December 31, 2023, filed with the SEC on March 14, 2024.</w:t>
      </w:r>
    </w:p>
    <w:p>
      <w:pPr>
        <w:spacing w:after="0" w:line="180" w:lineRule="exact"/>
        <w:rPr>
          <w:sz w:val="20"/>
          <w:szCs w:val="20"/>
          <w:color w:val="auto"/>
        </w:rPr>
      </w:pPr>
    </w:p>
    <w:p>
      <w:pPr>
        <w:jc w:val="both"/>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unaudited condensed consolidated financial statements reflect the application of certain significant accounting policies as described below and elsewhere in these notes to the unaudited condensed consolidated financial statements. As of March 31, 2024, there have been no changes to the Company’s significant accounting policies as described in the Company’s Annual Report on Form 10-K for the fiscal year ended December 31, 2023.</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82"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Significant estimates relied upon in preparing the unaudited condensed consolidated financial statements include the determination of the fair value of share-based awards issued and the estimation of accrued research and development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8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Prior to the adoption of ASU No. 2018-07, </w:t>
      </w:r>
      <w:r>
        <w:rPr>
          <w:rFonts w:ascii="Times New Roman" w:cs="Times New Roman" w:eastAsia="Times New Roman" w:hAnsi="Times New Roman"/>
          <w:sz w:val="18"/>
          <w:szCs w:val="18"/>
          <w:i w:val="1"/>
          <w:iCs w:val="1"/>
          <w:color w:val="auto"/>
        </w:rPr>
        <w:t>Compensation-Stock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the measurement date for non-employee awards was generally the date the services are completed, resulting in financial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8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2"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or ASU 2016-13. ASU 2016-13 requires that credit losses be reported as an allowance using an expected losses model,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In November 2019, the FASB issued ASU 2019-11,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or ASU 2019-11. ASU 2019-11 is an accounting pronouncement that amends ASU 2016-13, “</w:t>
      </w:r>
      <w:r>
        <w:rPr>
          <w:rFonts w:ascii="Times New Roman" w:cs="Times New Roman" w:eastAsia="Times New Roman" w:hAnsi="Times New Roman"/>
          <w:sz w:val="18"/>
          <w:szCs w:val="18"/>
          <w:i w:val="1"/>
          <w:iCs w:val="1"/>
          <w:color w:val="auto"/>
        </w:rPr>
        <w:t>Financial Instruments – 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Credit Losses on Financial Instruments</w:t>
      </w:r>
      <w:r>
        <w:rPr>
          <w:rFonts w:ascii="Times New Roman" w:cs="Times New Roman" w:eastAsia="Times New Roman" w:hAnsi="Times New Roman"/>
          <w:sz w:val="18"/>
          <w:szCs w:val="18"/>
          <w:color w:val="auto"/>
        </w:rPr>
        <w:t>.” The amendments update guidance on reporting credit losses for financial assets. These amendments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Update and Simplification Initiative,</w:t>
      </w:r>
      <w:r>
        <w:rPr>
          <w:rFonts w:ascii="Times New Roman" w:cs="Times New Roman" w:eastAsia="Times New Roman" w:hAnsi="Times New Roman"/>
          <w:sz w:val="18"/>
          <w:szCs w:val="18"/>
          <w:color w:val="auto"/>
        </w:rPr>
        <w:t>” which incorporates certain SEC disclosure requirements into the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is currently evaluating this guidance to determine the impact it may have on its consolidated financial statement disclosures.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License and Purchase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The University of Manchester</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for use in the treatment of Hunter syndrome, or mucopolysaccharidosis type II (“MPSII”). As consideration for the MPSII License Agreement, the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82"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agreed to pay UoM an upfront, one-time fee of $8,000, which was recognized as research and development expense during the year ended December 31, 2020.</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part of the agreement, the Company was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Concurrently with the MPSII License Agreement, the Company entered into a collaborative research funding agreement with UoM (“CRFA”). Under the CRFA, the Company had agreed to fund the budgeted costs of an investigator-sponsored Phase 1/2 clinical trial to be sponsored by UoM in connection with the development activities under the MPSII License Agreement, which were expected to equal approximately £9,900 in the aggregate.</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incur costs related to the CRFA. For the three months ended March 31, 2023, the Company incurred $1,610 related to the CRFA.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University Health Network (“UHN”)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2"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incur research and development expense related to this agreement with UHN. For the three months ended March 31, 2023 the Company recorded research and development expense related to this agreement with UHN of $34, which consists of reimbursable funded study trial costs. No milestone or maintenance fees were incurred related to this agreement in the three months ended March 31, 2024 and 2023.</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Interleukin 12 License Agreement—</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IPO in 2018, as the criteria were met, the Company paid UHN $2,000. The Company was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w:t>
      </w:r>
    </w:p>
    <w:p>
      <w:pPr>
        <w:spacing w:after="0" w:line="19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82"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incur research and development expense related to this agreement with UHN. For the three months ended March 31, 2023 the Company recorded research and development expense related to this agreement with UHN of $37. No milestone fees were incurred related to this agreement in the three months ended March 31, 2024 and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BioMarin Pharmaceutical Inc. (“BioMarin”)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recognized no expenses related to the license for the three months ended March 31, 2024 and 2023.</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Papillon Therapeutics, Inc. (previously GenStem Therapeutics, Inc.)</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82"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within a certain period of time. The Company may terminate the agreement at will upon the specified prior written notice to GenStem. In October 2021, the Company received notice that the license agreement with GenStem had been assigned to Papillon Therapeutics, Inc. (“Papillon”). On June 9, 2023, in connection with the close of the Asset Purchase Agreement, discussed and defined above, the Company transferred this agreement to Novartis.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recognized no expenses related to this agreement for the three months ended March 31,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Lund University Rights Holders</w:t>
      </w:r>
    </w:p>
    <w:p>
      <w:pPr>
        <w:spacing w:after="0" w:line="1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w:t>
      </w:r>
    </w:p>
    <w:p>
      <w:pPr>
        <w:spacing w:after="0" w:line="5" w:lineRule="exact"/>
        <w:rPr>
          <w:sz w:val="20"/>
          <w:szCs w:val="20"/>
          <w:color w:val="auto"/>
        </w:rPr>
      </w:pPr>
    </w:p>
    <w:p>
      <w:pPr>
        <w:ind w:left="120" w:right="40" w:hanging="4"/>
        <w:spacing w:after="0" w:line="253" w:lineRule="auto"/>
        <w:tabs>
          <w:tab w:leader="none" w:pos="4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recognized no expenses related to this agreement for the three months ended March 31,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of Cystinosis Program</w:t>
      </w:r>
    </w:p>
    <w:p>
      <w:pPr>
        <w:spacing w:after="0" w:line="121" w:lineRule="exact"/>
        <w:rPr>
          <w:sz w:val="20"/>
          <w:szCs w:val="20"/>
          <w:color w:val="auto"/>
        </w:rPr>
      </w:pPr>
    </w:p>
    <w:p>
      <w:pPr>
        <w:ind w:left="120" w:firstLine="440"/>
        <w:spacing w:after="0" w:line="248" w:lineRule="auto"/>
        <w:rPr>
          <w:sz w:val="20"/>
          <w:szCs w:val="20"/>
          <w:color w:val="auto"/>
        </w:rPr>
      </w:pPr>
      <w:r>
        <w:rPr>
          <w:rFonts w:ascii="Times New Roman" w:cs="Times New Roman" w:eastAsia="Times New Roman" w:hAnsi="Times New Roman"/>
          <w:sz w:val="18"/>
          <w:szCs w:val="18"/>
          <w:color w:val="auto"/>
        </w:rPr>
        <w:t>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During the year ended December 31, 2023, the Company recognized $83,736 as a gain on asset sale, net of $3,764 in transaction costs, in the consolidated statement of operations and comprehensive income (loss).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82"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as of March 31, 2024 and December 31, 2023:</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2024</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  Level 1 </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2 </w:t>
            </w:r>
          </w:p>
        </w:tc>
        <w:tc>
          <w:tcPr>
            <w:tcW w:w="6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3 </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3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89,229</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89,229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89,229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89,229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  Level 1 </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2 </w:t>
            </w:r>
          </w:p>
        </w:tc>
        <w:tc>
          <w:tcPr>
            <w:tcW w:w="6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3 </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3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96,707</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96,707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cash equivalents was determined through quoted prices by third-party pricing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months ended March 31, 2024, there were no transfers between levels.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Supplemental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4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restricted cash as presented in the table below, which consists of cash used to secure letters of credit for the benefit of the landlord in connection with the Company’s lease agreements as well as restricted cash related to the Company’s corporate credit card program. The cash will be restricted until the termination or modification of the lease arrangement and corporate credit card program, respectively.</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140" w:type="dxa"/>
            <w:vAlign w:val="bottom"/>
            <w:gridSpan w:val="3"/>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400</w:t>
            </w:r>
          </w:p>
        </w:tc>
        <w:tc>
          <w:tcPr>
            <w:tcW w:w="4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346"/>
        </w:trPr>
        <w:tc>
          <w:tcPr>
            <w:tcW w:w="3360" w:type="dxa"/>
            <w:vAlign w:val="bottom"/>
          </w:tcPr>
          <w:p>
            <w:pPr>
              <w:spacing w:after="0"/>
              <w:rPr>
                <w:sz w:val="24"/>
                <w:szCs w:val="24"/>
                <w:color w:val="auto"/>
              </w:rPr>
            </w:pPr>
          </w:p>
        </w:tc>
        <w:tc>
          <w:tcPr>
            <w:tcW w:w="2060" w:type="dxa"/>
            <w:vAlign w:val="bottom"/>
            <w:gridSpan w:val="2"/>
          </w:tcPr>
          <w:p>
            <w:pPr>
              <w:jc w:val="right"/>
              <w:ind w:right="979"/>
              <w:spacing w:after="0"/>
              <w:rPr>
                <w:sz w:val="20"/>
                <w:szCs w:val="20"/>
                <w:color w:val="auto"/>
              </w:rPr>
            </w:pPr>
            <w:r>
              <w:rPr>
                <w:rFonts w:ascii="Times New Roman" w:cs="Times New Roman" w:eastAsia="Times New Roman" w:hAnsi="Times New Roman"/>
                <w:sz w:val="18"/>
                <w:szCs w:val="18"/>
                <w:color w:val="auto"/>
              </w:rPr>
              <w:t>F-14</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 costs</w:t>
            </w:r>
          </w:p>
        </w:tc>
        <w:tc>
          <w:tcPr>
            <w:tcW w:w="14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3,463</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5,449</w:t>
            </w:r>
          </w:p>
        </w:tc>
      </w:tr>
      <w:tr>
        <w:trPr>
          <w:trHeight w:val="20"/>
        </w:trPr>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31, 2018, the Company entered into a sublease agreement for office and lab space located in Cambridge Massachusetts, United States, which originally was set to expire in October 2020 but was subsequently amended and expired on April 30, 2024. In July 2022, the Company moved its corporate headquarters to this subleased location. Effective January 24, 2023, the Company amended the terms of the sublease, which expired on April 30, 2024. In accordance with the sublease agreement, the Company was required to maintain a security deposit of $283, which was recorded in restricted cash as of March 31, 2024 and December 31, 2023. In July 2023, the Company ceased use of the lab space. This resulted in an impairment of the right of use asset of $940, recognized in the third quarter of 2023. Effective as of April 22, 2024, the Company moved its corporate headquarters to its current location at One Broadway, 14th Floor, Cambridge, Massachusetts 02142.</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June 1, 2020, the Company entered into a lease agreement for office space located in Toronto, Ontario, Canada, which was set to expire in June 2025. On October 31, 2023, the lease agreement was terminated. In accordance with the lease agreement, the Company was required to maintain a security deposit of CAD$27. In October 2022, the Company entered into a sublease agreement to sublease this space. The term of the sublease agreement commenced on October 1, 2022 and was set to expire on June 29, 2025. The sublease was also terminated on October 31, 2023.</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 of operations and comprehensive loss: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5"/>
                <w:szCs w:val="15"/>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2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339</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2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costs</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339</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840" w:right="40"/>
        <w:spacing w:after="0" w:line="454"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made cash payments for operating leases of $672 and $687, respectively. F-15</w:t>
      </w:r>
    </w:p>
    <w:p>
      <w:pPr>
        <w:sectPr>
          <w:pgSz w:w="11900" w:h="16838" w:orient="portrait"/>
          <w:cols w:equalWidth="0" w:num="1">
            <w:col w:w="11060"/>
          </w:cols>
          <w:pgMar w:left="320" w:top="482" w:right="5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2024, future minimum payments of operating lease liabilities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224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224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224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2024, the weighted average remaining lease term was 0.1 years and the weighted average incremental borrowing rate used to determine the operating lease liability was 16.15%. As of March 31, 2023, the weighted average remaining lease term was 1.2 years and the weighted average incremental borrowing rate used to determine the operating lease liability was 15.67%.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three months ended March 31, 2024 and 2023 and to the best of the Company’s knowledge, no material legal proceedings are currently pending or threatened.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also party to various agreements, principally relating to licensed technology, that require future payments relating to milestones not met at March 31, 2024 and December 31, 2023, or royalties on future sales. No milestone or royalty payments under these agreements are expected to be payable in the immediate future, except as disclosed in Note 3 </w:t>
      </w:r>
      <w:r>
        <w:rPr>
          <w:rFonts w:ascii="Times New Roman" w:cs="Times New Roman" w:eastAsia="Times New Roman" w:hAnsi="Times New Roman"/>
          <w:sz w:val="18"/>
          <w:szCs w:val="18"/>
          <w:i w:val="1"/>
          <w:iCs w:val="1"/>
          <w:color w:val="auto"/>
        </w:rPr>
        <w:t>“License Agreements.”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March 31, 2024.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60"/>
          </w:cols>
          <w:pgMar w:left="320" w:top="482" w:right="5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i w:val="1"/>
          <w:iCs w:val="1"/>
          <w:color w:val="auto"/>
        </w:rPr>
        <w:t>ommon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authorized capital stock of the Company included 150,000,000 shares of common stock, $0.0001 par value and 10,000,000 shares of undesignated preferred stock. As of March 31, 2024 and December 31, 2023, no undesignated preferred stock was outstanding.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 March 31, 2024, no cash dividends have been declared or paid.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2024 and December 31, 2023, the Company has reserved the following shares of common stock for future issuance: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18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09"/>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exercise of outstanding 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4,812,817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6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677,785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936,358</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2018</w:t>
            </w:r>
          </w:p>
        </w:tc>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 and Grant Plan</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8,299,245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7,978,667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2018</w:t>
            </w: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1,771,748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1,771,748</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2019</w:t>
            </w:r>
          </w:p>
        </w:tc>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1,511,183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1,407,211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2020</w:t>
            </w: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1,700,000</w:t>
            </w:r>
          </w:p>
        </w:tc>
      </w:tr>
      <w:tr>
        <w:trPr>
          <w:trHeight w:val="27"/>
        </w:trPr>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18,772,778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18,936,256</w:t>
            </w:r>
          </w:p>
        </w:tc>
      </w:tr>
      <w:tr>
        <w:trPr>
          <w:trHeight w:val="20"/>
        </w:trPr>
        <w:tc>
          <w:tcPr>
            <w:tcW w:w="3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2024:</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rPr>
              <w:t>7.33</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(32,756)</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0.79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6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(296,699)</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9.71</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6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4,812,817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7.23</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2740" w:type="dxa"/>
            <w:vAlign w:val="bottom"/>
            <w:gridSpan w:val="3"/>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rPr>
              <w:t>8.45</w:t>
            </w: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line="20" w:lineRule="exact"/>
              <w:rPr>
                <w:sz w:val="1"/>
                <w:szCs w:val="1"/>
                <w:color w:val="auto"/>
              </w:rPr>
            </w:pPr>
          </w:p>
        </w:tc>
      </w:tr>
      <w:tr>
        <w:trPr>
          <w:trHeight w:val="215"/>
        </w:trPr>
        <w:tc>
          <w:tcPr>
            <w:tcW w:w="382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3,639,245</w:t>
            </w: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F-17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82" w:right="7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three months ended March 31, 2024 and 2023 was $16 and $1,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common stock units for the three months ended March 31, 2024:</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936,358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60,251</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(190,973)</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(127,851)</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as of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677,785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fair value of restricted stock units vested during the three months ended March 31, 2024 and 2023 was $326 and $194,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2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17"/>
        </w:trPr>
        <w:tc>
          <w:tcPr>
            <w:tcW w:w="6160" w:type="dxa"/>
            <w:vAlign w:val="bottom"/>
          </w:tcPr>
          <w:p>
            <w:pPr>
              <w:spacing w:after="0"/>
              <w:rPr>
                <w:sz w:val="10"/>
                <w:szCs w:val="10"/>
                <w:color w:val="auto"/>
              </w:rPr>
            </w:pPr>
          </w:p>
        </w:tc>
        <w:tc>
          <w:tcPr>
            <w:tcW w:w="24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10"/>
                <w:szCs w:val="10"/>
                <w:color w:val="auto"/>
              </w:rPr>
            </w:pPr>
          </w:p>
        </w:tc>
      </w:tr>
      <w:tr>
        <w:trPr>
          <w:trHeight w:val="173"/>
        </w:trPr>
        <w:tc>
          <w:tcPr>
            <w:tcW w:w="61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170</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708</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4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878</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cost related to the unvested stock-based awards was $2,911, which is expected to be recognized over a weighted-average period of 1.91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Net Income (Loss) Per Share</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820"/>
          </w:cols>
          <w:pgMar w:left="320" w:top="482" w:right="7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presented based on amounts outstanding at each period end, were excluded from the computation of diluted net loss per share for the periods indicated:</w:t>
      </w:r>
    </w:p>
    <w:p>
      <w:pPr>
        <w:spacing w:after="0" w:line="18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5940" w:type="dxa"/>
            <w:vAlign w:val="bottom"/>
          </w:tcPr>
          <w:p>
            <w:pPr>
              <w:spacing w:after="0"/>
              <w:rPr>
                <w:sz w:val="12"/>
                <w:szCs w:val="12"/>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2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6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60" w:type="dxa"/>
            <w:vAlign w:val="bottom"/>
          </w:tcPr>
          <w:p>
            <w:pPr>
              <w:spacing w:after="0"/>
              <w:rPr>
                <w:sz w:val="12"/>
                <w:szCs w:val="12"/>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4,812,817</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9,154,769</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677,785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2,026,338</w:t>
            </w:r>
          </w:p>
        </w:tc>
      </w:tr>
    </w:tbl>
    <w:p>
      <w:pPr>
        <w:spacing w:after="0" w:line="175" w:lineRule="exact"/>
        <w:rPr>
          <w:sz w:val="20"/>
          <w:szCs w:val="20"/>
          <w:color w:val="auto"/>
        </w:rPr>
      </w:pPr>
    </w:p>
    <w:p>
      <w:pPr>
        <w:ind w:left="380" w:hanging="264"/>
        <w:spacing w:after="0"/>
        <w:tabs>
          <w:tab w:leader="none" w:pos="3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UHN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recognize research and development expense related to the license agreements with UHN. For the three months ended March 31, 2023, the Company recognized $71 of research and development expense related to the license agreements with UHN. Refer to Note 3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for additional information regarding the UHN license agreements.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first quarter of 2023, the sublease for space that was previously provided by an entity affiliated with a member of the Company’s Board was assigned to Novartis. Therefore, for the three months ended March 31, 2024 the Company did not record expense related to a sublease to rent office and lab space provided by an entity affiliated with a member of the Company’s Board. For the three months ended March 31, 2023 the Company recorded $652 related to the sublease to rent office and lab space previously provided by an entity affiliated with a member of the Company’s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Restructuring Activities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 Company recognized total restructuring expenses of $3,015 for the year ended December 31, 2023, recognized as $1,800 and $1,215 of research and development and general and administrative expense, respectively, in the consolidated statement of operations and comprehensive income (loss). For the three months ended March 31, 2024 and 2023, no related expense was recognized. These one-time employee termination benefits are related to affected employees, who were offered separation benefits, including severance payments. Approximately $479 of these expenses were related to non-cash stock-based compensation expense, and there are no remaining accrued payments as of March 31, 2024.</w:t>
      </w:r>
    </w:p>
    <w:p>
      <w:pPr>
        <w:spacing w:after="0" w:line="19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For the three months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ended March 31, 2024 and 2023, no related expense was recognized. These one-time employee termination benefits are related to affected employees, who were offered separation benefits, including severance payments. There are no remaining accrued payments as of March 31, 2024.</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For the three months ended March 31, 2024 the Company recognized $74 and $9 of research and development and general and administrative expense, respectively, in the consolidated statement of operations and comprehensive loss. For the three months ended March 31, 2023, no related expense was recognized. These one-time employee termination benefits are related to affected employees, who were offered separation benefits, including severance payments. There are no remaining accrued payments as of March 31, 2024.</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workforce was reduced by 2 employees in the February 2024 Workforce Reduction effective as of February 29, 2024. Under the February 2024 Workforce Reduction, the Company recognized total restructuring expenses of $241 for the three months ended March 31, 2024 recognized as $146 and $96 of research and development and general and administrative expense, respectively, in the consolidated statement of operations and comprehensive loss. For the three months ended March 31, 2023, no related expense was recognized. These one-time employee termination benefits are related to affected employees, who were offered separation benefits, including severance payments. There are no remaining accrued payments as of March 31, 2024.</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354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expenses</w:t>
            </w: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r>
      <w:tr>
        <w:trPr>
          <w:trHeight w:val="205"/>
        </w:trPr>
        <w:tc>
          <w:tcPr>
            <w:tcW w:w="3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Liability included in accrued expenses and other</w:t>
            </w:r>
          </w:p>
        </w:tc>
        <w:tc>
          <w:tcPr>
            <w:tcW w:w="18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at March 31, 2024</w:t>
            </w:r>
          </w:p>
        </w:tc>
        <w:tc>
          <w:tcPr>
            <w:tcW w:w="23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2320" w:type="dxa"/>
            <w:vAlign w:val="bottom"/>
            <w:gridSpan w:val="2"/>
          </w:tcPr>
          <w:p>
            <w:pPr>
              <w:jc w:val="right"/>
              <w:ind w:right="1862"/>
              <w:spacing w:after="0"/>
              <w:rPr>
                <w:sz w:val="20"/>
                <w:szCs w:val="20"/>
                <w:color w:val="auto"/>
              </w:rPr>
            </w:pPr>
            <w:r>
              <w:rPr>
                <w:rFonts w:ascii="Times New Roman" w:cs="Times New Roman" w:eastAsia="Times New Roman" w:hAnsi="Times New Roman"/>
                <w:sz w:val="18"/>
                <w:szCs w:val="18"/>
                <w:color w:val="auto"/>
              </w:rPr>
              <w:t>F-20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320" w:top="482" w:right="5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AVROBIO,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AVROBIO, Inc. (the Company) as of December 31, 2023 and 2022, the related consolidated statements of operations and comprehensive income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14, 2024</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82"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98,020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92,563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103,949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11,732</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13,115</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100" w:type="dxa"/>
            <w:vAlign w:val="bottom"/>
          </w:tcPr>
          <w:p>
            <w:pPr>
              <w:spacing w:after="0"/>
              <w:rPr>
                <w:sz w:val="18"/>
                <w:szCs w:val="18"/>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15,276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 no shares issued or outstanding as of</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 shares authorized as of December 31, 2023 and 2022; 44,654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43,916 shares issued and outstanding as of December 31, 2023 and 2022,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572,010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564,798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(477,275)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(489,432)</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75,370</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47,700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72,186</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23,967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33,248</w:t>
            </w:r>
          </w:p>
        </w:tc>
      </w:tr>
      <w:tr>
        <w:trPr>
          <w:trHeight w:val="230"/>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71,667</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105,434</w:t>
            </w:r>
          </w:p>
        </w:tc>
        <w:tc>
          <w:tcPr>
            <w:tcW w:w="120" w:type="dxa"/>
            <w:vAlign w:val="bottom"/>
          </w:tcPr>
          <w:p>
            <w:pPr>
              <w:spacing w:after="0"/>
              <w:rPr>
                <w:sz w:val="20"/>
                <w:szCs w:val="20"/>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asset sale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83,736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impairment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10,192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(105,434)</w:t>
            </w: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(105,890)</w:t>
            </w:r>
          </w:p>
        </w:tc>
        <w:tc>
          <w:tcPr>
            <w:tcW w:w="120" w:type="dxa"/>
            <w:vAlign w:val="bottom"/>
          </w:tcPr>
          <w:p>
            <w:pPr>
              <w:spacing w:after="0"/>
              <w:rPr>
                <w:sz w:val="20"/>
                <w:szCs w:val="20"/>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 attributable to common stockholders—basic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43,739</w:t>
            </w:r>
          </w:p>
        </w:tc>
      </w:tr>
      <w:tr>
        <w:trPr>
          <w:trHeight w:val="23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44,568</w:t>
            </w:r>
          </w:p>
        </w:tc>
        <w:tc>
          <w:tcPr>
            <w:tcW w:w="12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43,739</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82"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4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5960" w:type="dxa"/>
            <w:vAlign w:val="bottom"/>
          </w:tcPr>
          <w:p>
            <w:pPr>
              <w:spacing w:after="0"/>
              <w:rPr>
                <w:sz w:val="6"/>
                <w:szCs w:val="6"/>
                <w:color w:val="auto"/>
              </w:rPr>
            </w:pPr>
          </w:p>
        </w:tc>
        <w:tc>
          <w:tcPr>
            <w:tcW w:w="1440" w:type="dxa"/>
            <w:vAlign w:val="bottom"/>
            <w:tcBorders>
              <w:bottom w:val="single" w:sz="8" w:color="auto"/>
            </w:tcBorders>
            <w:gridSpan w:val="4"/>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6"/>
                <w:szCs w:val="6"/>
                <w:color w:val="auto"/>
              </w:rPr>
            </w:pPr>
          </w:p>
        </w:tc>
        <w:tc>
          <w:tcPr>
            <w:tcW w:w="1060" w:type="dxa"/>
            <w:vAlign w:val="bottom"/>
            <w:gridSpan w:val="3"/>
            <w:vMerge w:val="restart"/>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6"/>
                <w:szCs w:val="6"/>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59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$553,014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(383,542)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restricted stock awards and units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2018 employee stock purchase plan</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(105,890)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(105,890)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(489,432)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75,370</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2018 employee stock purchase plan</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12,157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572,010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(477,275)</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94,739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82"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12,157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(105,890)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asset sale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(83,736)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income tax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on impairment of leasehold improvements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(Gain)/loss on extinguishment of operating lease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16"/>
        </w:trPr>
        <w:tc>
          <w:tcPr>
            <w:tcW w:w="8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16"/>
        </w:trPr>
        <w:tc>
          <w:tcPr>
            <w:tcW w:w="8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and non-current operating lease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(63,190)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asset sale,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83,736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85,076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 including end of term charge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(16,350)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2018 employee stock purchase plan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(16,029)</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20"/>
                <w:szCs w:val="20"/>
                <w:color w:val="auto"/>
              </w:rPr>
              <w:t>5,857</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(97,213)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92,846</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190,059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98,703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92,846</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obtained in exchange for operating lease liabilities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within the consolidated balance sheets: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92,563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98,703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92,846</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AVROBIO, Inc. (the “Company” or “AVROBIO”) is a gene therapy company which has been focused on developing potentially curative hematopoietic stem cell, or HSC, gene therapies to treat rare diseases following a single dose treatment regimen.</w:t>
      </w:r>
    </w:p>
    <w:p>
      <w:pPr>
        <w:spacing w:after="0" w:line="162"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See Note 15 for further discussion. On January 30, 2024, the Company entered into the Merger Agreement with Tectonic Therapeutic, Inc. (“Tectonic”) pursuant to which a wholly-owned subsidiary of the Company will merge with and into Tectonic, with Tectonic surviving as a wholly-owned subsidiary of the Company (the “Merger”). See Note 16 for further discussion.</w:t>
      </w:r>
    </w:p>
    <w:p>
      <w:pPr>
        <w:spacing w:after="0" w:line="17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December 31, 2023, the Company had an accumulated deficit of $477,275. The Company expects that its cash and cash equivalents of $98,020 as of December 31, 2023 will be sufficient to fund current planned operations and capital expenditure requirements for at least the next twelve months from the filing date of this Annual Report on Form 10-K with the Securities and Exchange Commission (“SEC”).</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82"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consisted of a cash payment of $87,500 upon closing of the transaction. The Company completed the Asset Sale (as defined below) on June 9, 2023 and recognized $83,736 as a gain on asset sale, net of $3,764 transaction costs, in the consolidated statement of operations and comprehensive income (loss). See Note 3 for further discussion.</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“December 2023 Workforce Reduction”). Affected employees in the July 2023 Workforce Reduction, October 2023 Workforce Reduction, and December 2023 Workforce Reduction were offered separation benefits, including severance payments. See Note 15 for further discussion.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FASB.</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82"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acquisition to be cash equivalents. As of December 31, 2023 and 2022, cash and cash equivalents were primarily held in interest-bearing money market funds.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9" w:lineRule="exact"/>
        <w:rPr>
          <w:sz w:val="20"/>
          <w:szCs w:val="20"/>
          <w:color w:val="auto"/>
        </w:rPr>
      </w:pPr>
    </w:p>
    <w:p>
      <w:pPr>
        <w:ind w:left="1080" w:right="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values are determined utilizing prices (unadjusted) in active markets for identical assets or liabilities that the Company has the ability to access.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accounts payable, and accrued expenses, approximated their fair values as of December 31, 2023 and 2022 due to the short-term nature of these instruments.</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evaluated the estimated fair value of financial instruments using available market information. The use of different market assumptions, estimation methodologies, or both, could have a significant effect on the estimated fair value amounts. See Note 4 </w:t>
      </w:r>
      <w:r>
        <w:rPr>
          <w:rFonts w:ascii="Times New Roman" w:cs="Times New Roman" w:eastAsia="Times New Roman" w:hAnsi="Times New Roman"/>
          <w:sz w:val="18"/>
          <w:szCs w:val="18"/>
          <w:i w:val="1"/>
          <w:iCs w:val="1"/>
          <w:color w:val="auto"/>
        </w:rPr>
        <w:t>“Fair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Assets and Liabilities” </w:t>
      </w:r>
      <w:r>
        <w:rPr>
          <w:rFonts w:ascii="Times New Roman" w:cs="Times New Roman" w:eastAsia="Times New Roman" w:hAnsi="Times New Roman"/>
          <w:sz w:val="18"/>
          <w:szCs w:val="18"/>
          <w:color w:val="auto"/>
        </w:rPr>
        <w:t>for further discussion.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60"/>
          </w:cols>
          <w:pgMar w:left="320" w:top="482" w:right="5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and amortization is calculated using the straight-line method over the following estimated useful lives of the assets: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3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 years</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lease term or 10 years</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During the year ended December 31, 2023, the Company recognized a $937 loss on impairment of property, plant, and equipment as a result of the reclassification of these assets to held for sale. The Company did not record any impairment loss during the year ended December 31, 2022.</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Prior to January 1, 2022, the Company accounted for leases in accordance with FASB ASC 840, Leases. At lease inception, the Company determined if an arrangement was an operating or capital lease. For operating leases, the Company recognized rent expense, inclusive of rent escalations, on a straight-line basis over the lease term.</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Effective on January 1, 2022, the Company accounts for leases in accordance with ASC Topic 842, Leases (“ASC 842”). Upon transition, the Company applied the package of practical expedients permitted under ASC 842 transition guidance to its entire lease portfolio at January 1, 2022. As a result, the Company was not required to reassess (i) whether any expired or existing contracts are or contain leases, (ii) the classification of any expired or existing leases, and (iii) initial direct costs for any existing leases. Furthermore, as a lessee the Company elected to combine lease and non-lease components together for the majority of its leases. As a result, for these applicable classes of underlying assets, the Company accounted for each separate lease component and the non-lease components associated with that lease component as a single lease component.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ASC 842, the Company determines whether an arrangement is or contains a lease at inception. A contract is or contains a lease if the contract conveys the right to control the use of an identified asset for a period of time in exchange for consideration. The Company records leases at the lease commencement date, when control of the underlying asset is transferred from the lessor to the lessee, as operating or finance leases and records a right-of-use (“ROU”) asset and a lease liability on the consolidated balance sheet for all leases with a lease term of greater than twelve months. The Company has elected to not recognize leases with a lease term of twelve months or less on the balance sheet and will recognize lease payments for such short-term leases as an expense on a straight-line basis.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items such as maintenance, utilities, or other operating costs. For leases of real estate, the Company combines the lease and associated non-lease components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based upon the available information at the lease commencement date. ROU assets are further adjusted for items such as initial direct costs, prepaid rent, or lease incentives. Operating lease payments are expensed using the straight-line method as an operating expense over the lease term.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and (ii) a portion that reduces the finance lease liability associated with the lease.</w:t>
      </w:r>
    </w:p>
    <w:p>
      <w:pPr>
        <w:spacing w:after="0" w:line="192" w:lineRule="exact"/>
        <w:rPr>
          <w:sz w:val="20"/>
          <w:szCs w:val="20"/>
          <w:color w:val="auto"/>
        </w:rPr>
      </w:pPr>
    </w:p>
    <w:p>
      <w:pPr>
        <w:jc w:val="both"/>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2023, the Company recognized a $940 loss on impairment of ROU assets as a result of the discontinued use of lab space in Cambridge, Massachusetts, United States. The Company did not record any impairment loss during the year ended December 31, 2022.</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(expense) income, net in the consolidated statements of operations and comprehensive loss. During the years ended December 31, 2023 and 2022, the Company recorded foreign exchange losses of $122 and $92, respectively, in other expense in the consolidated statements of operations and comprehensive loss.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82"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measurement date for non-employee awards is the later of the adoption date of ASU 2018-07, or the date of grant. For stock-based awards granted to nonemployees subject to graded vesting that only contain service conditions, the Company has elected to recognize stock-based compensation expense using the straight-line recognition method.</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2022,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determined on the basis of the differences between the consolidated financial statements and tax basis of assets and liabilities using enacted tax rates in effect for the year in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or ASU 2016-13. ASU 2016-13 requires that credit losses be reported as an allowance using an expected losses model, representing the 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November 2019, the FASB issued ASU 2019-11, “Codification Improvements to Topic 326, Financial Instruments – Credit Losses,” or ASU 2019-11. ASU 2019-11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Accounting Standard Update ASU 2023-09 “Income Taxes (Topic 740): Improvements to Income Tax Disclosures.” This guidance is intended to enhance the transparency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incorporates certain SEC disclosure requirements into the FASB Accounting Standards Codification (“Codification”).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is currently evaluating this guidance to determine the impact it may have on its consolidated financial statement disclosures.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License and Purchase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The University of Manchester</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part of the agreement, the Company was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w:t>
      </w:r>
    </w:p>
    <w:p>
      <w:pPr>
        <w:spacing w:after="0" w:line="183"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were estimated to equal approximately £9,900 in the aggregate.</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$1,610 and $2,346, respectively, of costs related to the CRFA, excluding the payment made in connection with the termination.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82"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University Health Network (“UHN”)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this agreement, the Company paid an option fee of CAD$20, an upfront license fee of CAD$75, plus the annual license maintenance fee for the first year. Thereafter, the Company was also required to pay UHN future annual license maintenance fees until the first sale of a licensed product in certain markets. The Company was also obligated to make future milestone payments in an aggregate amount of up to CAD$2,450 upon the achievement of specified milestones as well as royalties on a country-by-country basis of a low to mid-single-digit percentage of annual net sales of licensed products and a lower single-digit royalty percentage in certain circumstances. Additionally, the Company had agreed to pay a low double-digit royalty percentage of all sublicensing revenue.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agreement required the Company to meet certain performance milestones within specified timeframes. UHN could terminate the agreement if the Company failed to meet these performance milestones despite using commercially reasonable efforts and the Company is unable to reach agreement with UHN on revised timeframes. The Company’s royalty obligation was to expire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Unless terminated earlier, the agreement was to expire upon the expiration of the Company’s royalty obligation for all licensed products. UHN could terminate the agreement if the Company failed to make any payments within a specified period after receiving written notice of such failure, or in the event that the Company fails to obtain or maintain insurance. Either the Company or UHN could terminate the license agreement in the event of a material breach by the other party and failure to cure such breach within a certain period of time. The Company could voluntarily terminate the agreement with prior notice to UHN.</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 For the years ended December 31, 2023 and 2022, the Company recorded research and development expense related to this agreement with UHN of $93 and $161, respectively, which consists of reimbursable funded study trial costs and license maintenance fees. No milestone fees were incurred related to the Fabry license agreement in the years ended December 31, 2023 and 2022.</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Interleukin 12 License Agreement—</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January 27, 2016, the Company entered into an exclusive license agreement with UHN, pursuant to which UHN granted the Company a license to certain patent rights for the commercial development,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82"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Company’s initial public offering (the “IPO”) in 2018, as the criteria were met, the Company paid UHN $2,000. The Company was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research and development expense related to this agreement with UHN of $37 and $39, respectively, which consists of license maintenance fees. No milestone fees were incurred related to the Interleukin 12 license agreement in the years ended December 31, 2023 and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BioMarin Pharmaceutical Inc. (“BioMarin”)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2023 and 2022.</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82"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Papillon Therapeutics, Inc. (previously GenStem Therapeutics, Inc.)</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 license agreement with Papillon was assigned to Novartis on May 19, 2023 in conjunction with the Company’s Asset Purchase Agreement with Novartis which provided for the sale of the Company’s cystinosis gene therapy program and all other assets of the Company specifically related to this program (see “Sale of Cystinosis Program” below).</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expenses related to the license were recorded for the years ended December 31, 2023 and 2022.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Lund University Rights Holders</w:t>
      </w:r>
    </w:p>
    <w:p>
      <w:pPr>
        <w:spacing w:after="0" w:line="12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w:t>
      </w:r>
    </w:p>
    <w:p>
      <w:pPr>
        <w:spacing w:after="0" w:line="5" w:lineRule="exact"/>
        <w:rPr>
          <w:sz w:val="20"/>
          <w:szCs w:val="20"/>
          <w:color w:val="auto"/>
        </w:rPr>
      </w:pPr>
    </w:p>
    <w:p>
      <w:pPr>
        <w:ind w:left="120" w:right="60" w:hanging="4"/>
        <w:spacing w:after="0" w:line="253" w:lineRule="auto"/>
        <w:tabs>
          <w:tab w:leader="none" w:pos="4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2023 and 2022.</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of Cystinosis Program</w:t>
      </w:r>
    </w:p>
    <w:p>
      <w:pPr>
        <w:spacing w:after="0" w:line="121" w:lineRule="exact"/>
        <w:rPr>
          <w:sz w:val="20"/>
          <w:szCs w:val="20"/>
          <w:color w:val="auto"/>
        </w:rPr>
      </w:pPr>
    </w:p>
    <w:p>
      <w:pPr>
        <w:ind w:left="120" w:right="240" w:firstLine="440"/>
        <w:spacing w:after="0" w:line="245" w:lineRule="auto"/>
        <w:rPr>
          <w:sz w:val="20"/>
          <w:szCs w:val="20"/>
          <w:color w:val="auto"/>
        </w:rPr>
      </w:pPr>
      <w:r>
        <w:rPr>
          <w:rFonts w:ascii="Times New Roman" w:cs="Times New Roman" w:eastAsia="Times New Roman" w:hAnsi="Times New Roman"/>
          <w:sz w:val="18"/>
          <w:szCs w:val="18"/>
          <w:color w:val="auto"/>
        </w:rPr>
        <w:t>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82" w:right="4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The Company recognized $83,736 as a gain on asset sale, net of $3,764 in transaction costs, in the consolidated statement of operations and comprehensive income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of Financial Assets and Liabilities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2023 and 2022:</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6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96,707</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 — </w:t>
            </w: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 — </w:t>
            </w:r>
          </w:p>
        </w:tc>
        <w:tc>
          <w:tcPr>
            <w:tcW w:w="7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96,707</w:t>
            </w:r>
          </w:p>
        </w:tc>
      </w:tr>
      <w:tr>
        <w:trPr>
          <w:trHeight w:val="27"/>
        </w:trPr>
        <w:tc>
          <w:tcPr>
            <w:tcW w:w="6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96,707</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 </w:t>
            </w:r>
          </w:p>
        </w:tc>
        <w:tc>
          <w:tcPr>
            <w:tcW w:w="13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w:t>
            </w:r>
          </w:p>
        </w:tc>
        <w:tc>
          <w:tcPr>
            <w:tcW w:w="78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96,707</w:t>
            </w:r>
          </w:p>
        </w:tc>
      </w:tr>
      <w:tr>
        <w:trPr>
          <w:trHeight w:val="20"/>
        </w:trPr>
        <w:tc>
          <w:tcPr>
            <w:tcW w:w="6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6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6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91,095</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 — </w:t>
            </w: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 — </w:t>
            </w:r>
          </w:p>
        </w:tc>
        <w:tc>
          <w:tcPr>
            <w:tcW w:w="7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91,095</w:t>
            </w:r>
          </w:p>
        </w:tc>
      </w:tr>
      <w:tr>
        <w:trPr>
          <w:trHeight w:val="27"/>
        </w:trPr>
        <w:tc>
          <w:tcPr>
            <w:tcW w:w="6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91,095</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 </w:t>
            </w:r>
          </w:p>
        </w:tc>
        <w:tc>
          <w:tcPr>
            <w:tcW w:w="13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w:t>
            </w:r>
          </w:p>
        </w:tc>
        <w:tc>
          <w:tcPr>
            <w:tcW w:w="78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91,095</w:t>
            </w:r>
          </w:p>
        </w:tc>
      </w:tr>
      <w:tr>
        <w:trPr>
          <w:trHeight w:val="20"/>
        </w:trPr>
        <w:tc>
          <w:tcPr>
            <w:tcW w:w="6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years ended December 31, 2023 and 2022, there were no transfers between levels.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Supplemental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6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3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572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816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compensation benefits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Tax incentive refund, net of reserve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570</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1,958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7,112</w:t>
            </w:r>
          </w:p>
        </w:tc>
        <w:tc>
          <w:tcPr>
            <w:tcW w:w="4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34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F-37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82" w:right="5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$ 5,967</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629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6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(4,421)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(3,804)</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(937)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(1,348)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$ 2,894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2023 and 2022 was $617 and $1,440,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restricted cash as presented in the table below, which consists of cash used to secure a letter of credit for the benefit of the landlord in connection with the Company’s lease agreement as well as restricted cash related to the Company’s corporate credit card program. The cash will be restricted until the termination or modification of the lease arrangement and corporate credit card program, respectively.</w:t>
      </w:r>
    </w:p>
    <w:p>
      <w:pPr>
        <w:spacing w:after="0" w:line="200"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7620</wp:posOffset>
            </wp:positionV>
            <wp:extent cx="7626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ind w:left="8600"/>
        <w:spacing w:after="0"/>
        <w:tabs>
          <w:tab w:leader="none" w:pos="9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tbl>
      <w:tblPr>
        <w:tblLayout w:type="fixed"/>
        <w:tblInd w:w="120" w:type="dxa"/>
        <w:tblCellMar>
          <w:top w:w="0" w:type="dxa"/>
          <w:left w:w="0" w:type="dxa"/>
          <w:bottom w:w="0" w:type="dxa"/>
          <w:right w:w="0" w:type="dxa"/>
        </w:tblCellMar>
      </w:tblPr>
      <w:tr>
        <w:trPr>
          <w:trHeight w:val="210"/>
        </w:trPr>
        <w:tc>
          <w:tcPr>
            <w:tcW w:w="13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$283</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52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13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$ 6,122</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 costs</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3,463</w:t>
            </w:r>
          </w:p>
        </w:tc>
        <w:tc>
          <w:tcPr>
            <w:tcW w:w="2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4,175</w:t>
            </w:r>
          </w:p>
        </w:tc>
      </w:tr>
      <w:tr>
        <w:trPr>
          <w:trHeight w:val="216"/>
        </w:trPr>
        <w:tc>
          <w:tcPr>
            <w:tcW w:w="13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13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1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5,449</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11,732</w:t>
            </w:r>
          </w:p>
        </w:tc>
      </w:tr>
      <w:tr>
        <w:trPr>
          <w:trHeight w:val="20"/>
        </w:trPr>
        <w:tc>
          <w:tcPr>
            <w:tcW w:w="13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August 31, 2018, the Company entered into a sublease agreement for lab space located in Cambridge Massachusetts, United States, which was set to expire in October 2020. On June 9, 2020, the Company amended the terms of the sublease, which was set to expire in April 2022. Effective January 1, 2022,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82"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amended the terms of the sublease, to extend the term through April 2023. In July 2022, the company moved its corporate headquarters to our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December 31, 2023 and 2022.</w:t>
      </w:r>
    </w:p>
    <w:p>
      <w:pPr>
        <w:spacing w:after="0" w:line="180"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On June 1, 2020, the Company entered into a lease agreement for office space located in Toronto, Ontario, Canada, which was set to expire in June 2025. On October 31, 2023, the lease agreement was terminated. The annual lease payments were fixed for years 1 and 2, and then subject to a 6.67% increase for years 3 through 5. In accordance with the lease agreement, the Company was required to maintain a security deposit of CAD$27, which was recorded in other long-term assets as of December 31, 2022. In October 2022, the Company entered into a sublease agreement to sublease this space. The term of the sublease agreement commenced on October 1, 2022 and expires on June 29, 2025. The sublease was also terminated on October 31, 2023.</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 of operations and comprehensive loss: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w:t>
            </w:r>
          </w:p>
        </w:tc>
      </w:tr>
      <w:tr>
        <w:trPr>
          <w:trHeight w:val="20"/>
        </w:trPr>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years ended December 31, 2023 and 2022 the Company made cash payments for operating leases of $2,771 and $3,167,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future minimum payments of operating lease liabilities are as follows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896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6"/>
              </w:rPr>
              <w:t>896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6"/>
              </w:rPr>
              <w:t>878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 weighted average remaining lease term was 0.3 years and the weighted average incremental borrowing rate used to determine the operating lease liability was 16.15%. As of December 31, 2022, the weighted average remaining lease term was 0.9 years and the weighted average incremental borrowing rate used to determine the operating lease liability was 10.58%.</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82"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November 2, 2021 (the “Closing Date”), the Company entered into a Loan and Security Agreement (the “Loan Agreement”) with Silicon Valley Bank pursuant to which a term loan in an aggregate principal amount of up to $50,000 (the “Term Loan Facility”) was available to the Company in three tranches, subject to certain terms and conditions. The first tranche of $15,000 was advanced to the Company on the Closing Date. Subject to the terms and conditions of the Loan Agreement, the first tranche allowed the Company to borrow an additional $15,000 through October 31, 2023. Upon satisfaction of certain milestones, the second and third tranches were available under the Term Loan Facility which allowed the Company to borrow an additional amount up to $10,000 in each tranche through October 31, 2023. Additionally, the Company could seek to borrow up to an additional $15,000 at the sole discretion of the lender through the term of the Loan Agreement. The Loan Agreement provided for an October 1, 2026 maturity date (the “Maturity Date”). The Company was required to pay an end of term fee (“End of Term Charge”) equal to 9.00% of the aggregate principal amount of the Term Loan advances upon repayment.</w:t>
      </w:r>
    </w:p>
    <w:p>
      <w:pPr>
        <w:spacing w:after="0" w:line="188" w:lineRule="exact"/>
        <w:rPr>
          <w:sz w:val="20"/>
          <w:szCs w:val="20"/>
          <w:color w:val="auto"/>
        </w:rPr>
      </w:pPr>
    </w:p>
    <w:p>
      <w:pPr>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Advances under the Term Loan Facility bore interest at a rate equal to the greater of either (i) the Prime Rate (as reported in The Wall Street Journal) plus 4.85%, and (ii) 8.10%. The Company was obligated to make interest only payments through November 1, 2024. Following the interest only period, the Company was to repay the principal balance and interest of the advances in equal monthly installments through October 1, 2026.</w:t>
      </w:r>
    </w:p>
    <w:p>
      <w:pPr>
        <w:spacing w:after="0" w:line="15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could prepay advances under the Loan Agreement, in whole or in part, at any time subject to a prepayment charge (the “Prepayment Premium”) equal to: (a) 1.50% of amounts so prepaid, if such prepayment occurred during the first year following the Closing Date; (b) 1.00% of the amount so prepaid, if such prepayment occurred during the second year following the Closing Date, and (c) 0.00% of the amount so prepaid, if such prepayment occurred after the second year following the Closing Date.</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Upon prepayment or repayment of all or any of the term loans under the Term Loan Facility, the Company was required to pay (in addition to any Prepayment Premium) an end of term charge of 9.0% of the aggregate funded amount under the Term Loan Facility.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Term Loan Facility was secured by substantially all of the Company’s assets, other than the Company’s intellectual property. The Company agreed to not pledge or secure its intellectual property to others.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was approximately 16.29%.</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June 9, 2023, upon the closing of the Asset Sale, all outstanding amounts due and owed, including principal, interest, and other charges, under the Term Loan Facility,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the carrying value of the note payable consists of the following:</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including End of Term Charge</w:t>
            </w:r>
          </w:p>
        </w:tc>
        <w:tc>
          <w:tcPr>
            <w:tcW w:w="1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discount, long-term</w:t>
            </w:r>
          </w:p>
        </w:tc>
        <w:tc>
          <w:tcPr>
            <w:tcW w:w="18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$1,917 of interest expense related to the Loan Agreement, of which $939 is related to the loss on the extinguishment of debt due to the write off of the debt discount balance, which is reflected in other expense, net on the consolidated statements of operations and comprehensive loss. During year ended December 31, 2022, the Company recognized $1,808 of interest expense related to the Loan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authorized capital stock of the Company included 150,000,000 shares of common stock, $0.0001 par value, and 10,000,000 shares of undesignated preferred stock. As of December 31, 2023 and 2022, no undesignated shares of preferred stock were outstanding.</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 December 31, 2023, no cash dividends have been declared or paid.</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July 2019, the Company closed an underwritten public offering of 7,475,000 shares of its common stock at a public offering price of $18.50 per share (the “July 2019 Follow-on Offering”), which included 975,000 shares of the Company’s common stock resulting from the full exercise of the underwriters’ option to purchase additional shares at the public offering price, less underwriting discounts and commissions. The net proceeds to the Company from the July 2019 Follow-on Offering, after deducting underwriting discounts and commissions and other offering expenses payable by the Company, were $129,464.</w:t>
      </w:r>
    </w:p>
    <w:p>
      <w:pPr>
        <w:spacing w:after="0" w:line="183"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February 2020, the Company closed an underwritten public offering of 4,350,000 shares of its common stock at a public offering price of $23.00 per share (the “February 2020 Follow-on Offering”). The net proceeds to the Company from the February 2020 Follow-on Offering, after deducting underwriting discounts and commissions and other offering expenses payable by the Company, were $93,627.</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June 2020, the Company sold an aggregate of 384,140 shares of common stock under its 2019 “at-the-market” facility (the “2019 ATM Facility”) for net proceeds, after deducting commissions and other offering expenses payable by the Company, of $8,130.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00"/>
          </w:cols>
          <w:pgMar w:left="320" w:top="482"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November 2020, the Company closed an underwritten public offering of 5,000,000 shares of its common stock at a public offering price of $15.00 per share (the “November 2020 Follow-on Offering”). The net proceeds to the Company from the November 2020 Follow-on Offering, after deducting underwriting discounts and commissions and other offering expenses payable by the Company, were $70,221.</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May 2021, the Company sold an aggregate of 1,829,268 shares of common stock under the 2019 ATM Facility for net proceeds, after deducting commissions and other offering expenses payable by the Company, of $14,550.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public offerings during the years ended December 31, 2023 and 2022.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the Company has reserved the following shares of common stock for future issuance: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09"/>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exercise of outstanding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936,358</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940,392</w:t>
            </w:r>
          </w:p>
        </w:tc>
      </w:tr>
      <w:tr>
        <w:trPr>
          <w:trHeight w:val="198"/>
        </w:trPr>
        <w:tc>
          <w:tcPr>
            <w:tcW w:w="5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issuance under the 2018 Stock Option and Incentive</w:t>
            </w: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26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7,978,667</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5,005,295</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2018</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1,771,748</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1,467,026</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2019</w:t>
            </w:r>
          </w:p>
        </w:tc>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1,407,211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786,656</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2020</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1,637,000</w:t>
            </w:r>
          </w:p>
        </w:tc>
      </w:tr>
      <w:tr>
        <w:trPr>
          <w:trHeight w:val="27"/>
        </w:trPr>
        <w:tc>
          <w:tcPr>
            <w:tcW w:w="3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18,936,256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19,259,640</w:t>
            </w:r>
          </w:p>
        </w:tc>
      </w:tr>
      <w:tr>
        <w:trPr>
          <w:trHeight w:val="20"/>
        </w:trPr>
        <w:tc>
          <w:tcPr>
            <w:tcW w:w="3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Stock Option and Grant Plan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total number of common shares that may be issued under the 2015 Plan was 2,008,564 shares. Following the IPO, no further grants have been made under 2015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82"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2015 Plan is administered by the Board. Equity awards granted to employees and members of the Board typically vest over four years.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Incentive Plan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2018 Plan was 7,978,667 as of December 31, 2023, which does not include the shares added to the 2018 Plan reserve on January 1, 2024 as a result of the Plan Evergreen for the year ended December 31, 2023.</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granted options to purchase 123,501 and, 5,369,650 shares, respectively, of common stock to employees, nonemployees and members of the Board.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2018 Employee Stock Purchase Plan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With respect to the January 1, 2024 ESPP Evergreen, the Company’s Compensation Committee opted to allocate zero additional shares to the ESPP share reserve. The number of shares reserved under the ESPP is subject to adjustment in the event of a stock split, stock dividend or other change in the Company’s capitalization.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82"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issued 134,439 and 120,947 shares, respectively of common stock. The total number of shares of common stock available for future grant was 1,771,748 as of December 31, 2023.</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2019 Inducement Plan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initially reserved 1,800,000 shares of its common stock for the issuance of awards under the 2019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2019 Plan was 1,407,211 as of December 31, 2023.</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 reserved for persons to whom the Company may issue securities without stockholder approval as an inducement pursuant to Rule 5635(c)(4) of the Nasdaq marketplace rules.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initially reserved 1,700,000 shares of its common stock for the issuance of awards under the 2020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2020 Plan was 1,700,000 as of December 31, 2023.</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00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5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3.82%</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5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83.36%</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80.43%</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900" w:type="dxa"/>
            <w:vAlign w:val="bottom"/>
          </w:tcPr>
          <w:p>
            <w:pPr>
              <w:spacing w:after="0"/>
              <w:rPr>
                <w:sz w:val="20"/>
                <w:szCs w:val="20"/>
                <w:color w:val="auto"/>
              </w:rPr>
            </w:pP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346"/>
        </w:trPr>
        <w:tc>
          <w:tcPr>
            <w:tcW w:w="3000" w:type="dxa"/>
            <w:vAlign w:val="bottom"/>
          </w:tcPr>
          <w:p>
            <w:pPr>
              <w:spacing w:after="0"/>
              <w:rPr>
                <w:sz w:val="24"/>
                <w:szCs w:val="24"/>
                <w:color w:val="auto"/>
              </w:rPr>
            </w:pPr>
          </w:p>
        </w:tc>
        <w:tc>
          <w:tcPr>
            <w:tcW w:w="4520" w:type="dxa"/>
            <w:vAlign w:val="bottom"/>
            <w:gridSpan w:val="3"/>
          </w:tcPr>
          <w:p>
            <w:pPr>
              <w:jc w:val="right"/>
              <w:ind w:right="3160"/>
              <w:spacing w:after="0"/>
              <w:rPr>
                <w:sz w:val="20"/>
                <w:szCs w:val="20"/>
                <w:color w:val="auto"/>
              </w:rPr>
            </w:pPr>
            <w:r>
              <w:rPr>
                <w:rFonts w:ascii="Times New Roman" w:cs="Times New Roman" w:eastAsia="Times New Roman" w:hAnsi="Times New Roman"/>
                <w:sz w:val="18"/>
                <w:szCs w:val="18"/>
                <w:color w:val="auto"/>
              </w:rPr>
              <w:t>F-44</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00"/>
          </w:cols>
          <w:pgMar w:left="320" w:top="482" w:right="5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123,501</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1.09</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(297,604)</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0.79</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(4,106,896)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7.44</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7.33</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200" w:type="dxa"/>
            <w:vAlign w:val="bottom"/>
            <w:gridSpan w:val="2"/>
          </w:tcPr>
          <w:p>
            <w:pPr>
              <w:spacing w:after="0" w:line="20" w:lineRule="exact"/>
              <w:rPr>
                <w:sz w:val="1"/>
                <w:szCs w:val="1"/>
                <w:color w:val="auto"/>
              </w:rPr>
            </w:pPr>
          </w:p>
        </w:tc>
        <w:tc>
          <w:tcPr>
            <w:tcW w:w="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8.84</w:t>
            </w:r>
          </w:p>
        </w:tc>
        <w:tc>
          <w:tcPr>
            <w:tcW w:w="14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line="20" w:lineRule="exact"/>
              <w:rPr>
                <w:sz w:val="1"/>
                <w:szCs w:val="1"/>
                <w:color w:val="auto"/>
              </w:rPr>
            </w:pPr>
          </w:p>
        </w:tc>
      </w:tr>
      <w:tr>
        <w:trPr>
          <w:trHeight w:val="215"/>
        </w:trPr>
        <w:tc>
          <w:tcPr>
            <w:tcW w:w="532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3,670,053</w:t>
            </w:r>
          </w:p>
        </w:tc>
        <w:tc>
          <w:tcPr>
            <w:tcW w:w="3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2023 and 2022 was $123 and $50, respectively.</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the Company’s stock options granted during the years ended December 31, 2023 and 2022 was $0.79 and $0.99,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granted restricted common stock (or restricted stock awards) with time-based vesting conditions to certain employees of the Company. The purchase price of the restricted stock awards are determined by the Board. Unvested shares of restricted stock awards may not be sold or transferred by the holder. These restrictions lapse according to the time- 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2023.</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Restricted stock units represent an unsecured promise to grant at no cost a set number of shares of common stock upon vesting. With respect to restricted stock units, recipients are not entitled to cash dividends and have no voting rights during the vesting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and restricted stock unit activity for the year ended December 31,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as of December 31, 2022</w:t>
            </w:r>
          </w:p>
        </w:tc>
        <w:tc>
          <w:tcPr>
            <w:tcW w:w="2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940,392</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9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1,548,117</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(305,502)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2440" w:type="dxa"/>
            <w:vAlign w:val="bottom"/>
          </w:tcPr>
          <w:p>
            <w:pPr>
              <w:spacing w:after="0"/>
              <w:rPr>
                <w:sz w:val="19"/>
                <w:szCs w:val="19"/>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(1,246,649)</w:t>
            </w: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as of December 31, 2023</w:t>
            </w:r>
          </w:p>
        </w:tc>
        <w:tc>
          <w:tcPr>
            <w:tcW w:w="24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936,358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3960" w:type="dxa"/>
            <w:vAlign w:val="bottom"/>
            <w:gridSpan w:val="3"/>
          </w:tcPr>
          <w:p>
            <w:pPr>
              <w:jc w:val="right"/>
              <w:ind w:right="3260"/>
              <w:spacing w:after="0"/>
              <w:rPr>
                <w:sz w:val="20"/>
                <w:szCs w:val="20"/>
                <w:color w:val="auto"/>
              </w:rPr>
            </w:pPr>
            <w:r>
              <w:rPr>
                <w:rFonts w:ascii="Times New Roman" w:cs="Times New Roman" w:eastAsia="Times New Roman" w:hAnsi="Times New Roman"/>
                <w:sz w:val="18"/>
                <w:szCs w:val="18"/>
                <w:color w:val="auto"/>
              </w:rPr>
              <w:t>F-45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awards and restricted stock units vested during the years ended December 31, 2023 and 2022 was $1,449 and $9,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1,927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4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4,964</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4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6,891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11,522</w:t>
            </w:r>
          </w:p>
        </w:tc>
      </w:tr>
      <w:tr>
        <w:trPr>
          <w:trHeight w:val="20"/>
        </w:trPr>
        <w:tc>
          <w:tcPr>
            <w:tcW w:w="4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unvested stock-based awards was $4,221, which is expected to be recognized over a weighted-average period of 1.6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401(k) Savings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8% of employee contributions. The Company recorded $388 and $599 of expenses related to its 401(k) match for the years ended December 31, 2023 and 2022,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discussion of the commitments associated with the Company’s lease portfolio.</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Funding Commitments</w:t>
      </w:r>
    </w:p>
    <w:p>
      <w:pPr>
        <w:spacing w:after="0" w:line="11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980"/>
          </w:cols>
          <w:pgMar w:left="320" w:top="482" w:right="5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years ended December 31, 2023 and 2022, and to the best of its knowledge, no material legal proceedings are currently pending or threatened.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also party to various agreements, principally relating to licensed technology, that require future payments relating to milestones not met as of December 31, 2023 and 2022, or royalties on future sales of specified products. No milestone or royalty payments under these agreements are expected to be payable in the immediate future. See Note 3 </w:t>
      </w:r>
      <w:r>
        <w:rPr>
          <w:rFonts w:ascii="Times New Roman" w:cs="Times New Roman" w:eastAsia="Times New Roman" w:hAnsi="Times New Roman"/>
          <w:sz w:val="18"/>
          <w:szCs w:val="18"/>
          <w:i w:val="1"/>
          <w:iCs w:val="1"/>
          <w:color w:val="auto"/>
        </w:rPr>
        <w:t>“Licenses Agreements”</w:t>
      </w:r>
      <w:r>
        <w:rPr>
          <w:rFonts w:ascii="Times New Roman" w:cs="Times New Roman" w:eastAsia="Times New Roman" w:hAnsi="Times New Roman"/>
          <w:sz w:val="18"/>
          <w:szCs w:val="18"/>
          <w:color w:val="auto"/>
        </w:rPr>
        <w:t xml:space="preserve"> for discussion of these arrangements.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2023, the Company recorded $377 of current income tax expense as a result of the Asset Sale completed on June 9, 2023, and for the year ended December 31, 2022, the Company did not record a current income tax expense or (benefit) due to current and historical losses incurred by the Company. For the years ended December 31, 2023 and 2022 the Company did not record a deferred income tax expense or (benefit) due to current and historical losses incurred by the Company. The Company’s operations are predominantly based in the United States and the Company’s foreign subsidiaries generated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losses for the years ended December 31, 2023 and 2022.</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(benefit) computed at the statutory federal income tax rate to the Company’s effective tax rate as reflected in the consolidated financial statements is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2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21.0%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9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9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94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(0.4)</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94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94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(48.2)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9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37.0</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State rate changes</w:t>
            </w:r>
          </w:p>
        </w:tc>
        <w:tc>
          <w:tcPr>
            <w:tcW w:w="394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true ups</w:t>
            </w:r>
          </w:p>
        </w:tc>
        <w:tc>
          <w:tcPr>
            <w:tcW w:w="394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232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0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9"/>
                <w:szCs w:val="19"/>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4"/>
              </w:rPr>
              <w:t>—  %</w:t>
            </w:r>
          </w:p>
        </w:tc>
      </w:tr>
      <w:tr>
        <w:trPr>
          <w:trHeight w:val="20"/>
        </w:trPr>
        <w:tc>
          <w:tcPr>
            <w:tcW w:w="3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94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F-47</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Deferred taxes are recognized for temporary differences between the basis of assets and liabilities for financial statement and income tax purposes.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comprised of the following:</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U.S., foreign and state net operating loss carryforwards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80,185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91,416</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8,471</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start up and organizational costs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174 R&amp;D capitalization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16,307</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125,015</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(118,658)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(124,695)</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As of December 31, 2023 and 2022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2023 and 2022. The valuation allowance decreased by $6,037 during the year ended December 31, 2023, due primarily to net operating income, and increased by $23,802 during the year ended December 31, 2022, due primarily to net operating losses generated.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the Company had U.S. federal net operating loss carryforwards of $298,282 and $340,350, respectively, that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be available to offset future income tax liabilities. All of the U.S. federal tax operating losses can be carried forward indefinitely.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 the Company also had U.S. state net operating loss carryforwards of $277,626 and $316,668, respectively, which may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available to offset future taxable income. These losses expire at various dates beginning in 2041.</w:t>
      </w:r>
    </w:p>
    <w:p>
      <w:pPr>
        <w:spacing w:after="0" w:line="207"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As of December 31, 2023 and 2022, the Company had federal research and development tax credit carryforwards of $6,395 and $6,824, respectively. Included in the $6,395 of federal tax credit carryforwards are $2,162 of orphan drug credits. Through the year ended December 31, 2020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2023 and 2022, the Company had state research and development tax credit carryforwards of approximately $2,482 and $2,084, respectively, available to reduce future tax liabilities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82"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which expire at various dates beginning in 2035. For all years through December 31, 2023, the Company generated research credits but has not conducted a study to document the qualified activities. This study may result in an adjustment to the Company’s research and development credit carryforwards.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percentage points,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The Company performed an analysis to determine if an ownership change and subsequent limitation of its attributes had occurred.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 and may result in a limitation in future years.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Australia and Canada, and in several states. The foreign, federal and state income tax returns are generally subject to tax examinations for the tax years ended December 31, 2020 through December 31, 2023.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for the years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(in thousands, except share and per share amounts):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stockholders—basic</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diluted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12,157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(105,890)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44,327,204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43,738,739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119,677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95,010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44,567,918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43,738,739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applicable to common stockholders—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365"/>
        </w:trPr>
        <w:tc>
          <w:tcPr>
            <w:tcW w:w="52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F-49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Diluted earnings per share includes the assumed exercise of dilutive options, the assumed issuance of unvested restricted stock units, and the assumed issuance of shares under the employee stock purchase plan using the treasury stock method unless the effect is anti-dilutive. The treasury stock method assumes that proceeds, including cash received from the exercise of employee stock options and the average unrecognized compensation expense for unvested share-based compensation awards, would be used to purchase the Company’s common stock at the average market price during the period.</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for purposes of the diluted net income (loss) per share calculation, stock options, unvested restricted stock units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income (loss) per share attributable to common stockholders is the same.</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presented based on amounts outstanding at each period end, were excluded from the computation of diluted net income (loss) per share attributable to common stockholders for the periods indicated: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23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0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3,765,482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662,103</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940,392</w:t>
            </w:r>
          </w:p>
        </w:tc>
      </w:tr>
      <w:tr>
        <w:trPr>
          <w:trHeight w:val="27"/>
        </w:trPr>
        <w:tc>
          <w:tcPr>
            <w:tcW w:w="6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4,427,585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10,363,663</w:t>
            </w:r>
          </w:p>
        </w:tc>
      </w:tr>
      <w:tr>
        <w:trPr>
          <w:trHeight w:val="20"/>
        </w:trPr>
        <w:tc>
          <w:tcPr>
            <w:tcW w:w="6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380" w:hanging="264"/>
        <w:spacing w:after="0"/>
        <w:tabs>
          <w:tab w:leader="none" w:pos="3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UHN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2023 and 2022, the Company recognized $130 and $200, respectively, of research and development expense related to the license agreements with UHN. Refer to Note 3 </w:t>
      </w:r>
      <w:r>
        <w:rPr>
          <w:rFonts w:ascii="Times New Roman" w:cs="Times New Roman" w:eastAsia="Times New Roman" w:hAnsi="Times New Roman"/>
          <w:sz w:val="18"/>
          <w:szCs w:val="18"/>
          <w:i w:val="1"/>
          <w:iCs w:val="1"/>
          <w:color w:val="auto"/>
        </w:rPr>
        <w:t>“License and Purchase Agreements”</w:t>
      </w:r>
      <w:r>
        <w:rPr>
          <w:rFonts w:ascii="Times New Roman" w:cs="Times New Roman" w:eastAsia="Times New Roman" w:hAnsi="Times New Roman"/>
          <w:sz w:val="18"/>
          <w:szCs w:val="18"/>
          <w:color w:val="auto"/>
        </w:rPr>
        <w:t xml:space="preserve"> for additional information regarding the UHN license agreements.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expenses of $934 and $3,200, respectively, related to a sublease to rent lab space, provided by an entity affiliated with a member of the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Restructuring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82"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Company recognized total restructuring expenses of $3,015 for the year ended December 31, 2023, recognized as $1,800 and $1,215 of research and development and general and administrative expense, respectively, in the consolidated statement of operations and comprehensive income (loss). These one-time employee termination benefits are related to affected employees, who were offered separation benefits, including severance payments. Approximately $479 of these expenses were related to non-cash stock-based compensation expense and there are no remaining accrued payments at December 31, 2023.</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These one-time employee termination benefits are related to affected employees, who were offered separation benefits, including severance payments. There are no remaining accrued payments at December 31, 2023.</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The Company estimates an additional $86 of expense related to future one-time employee benefits. These one-time employee termination benefits are related to affected employees, who were offered separation benefits, including severance payments. As of December 31, 2023, the Company had $521 in accrued payments. The Company expects that payments of these costs will substantially be made through the end of the first quarter of 2024.</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Employee Severance</w:t>
            </w:r>
          </w:p>
        </w:tc>
      </w:tr>
      <w:tr>
        <w:trPr>
          <w:trHeight w:val="173"/>
        </w:trPr>
        <w:tc>
          <w:tcPr>
            <w:tcW w:w="6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and Other Benefits</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(4,058)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expenses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r>
      <w:tr>
        <w:trPr>
          <w:trHeight w:val="205"/>
        </w:trPr>
        <w:tc>
          <w:tcPr>
            <w:tcW w:w="6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Liability included in accrued expenses and other current</w:t>
            </w:r>
          </w:p>
        </w:tc>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at December 31, 2023</w:t>
            </w: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January 30, 2024, following a comprehensive review of strategic alternatives, the Company entered into the Merger Agreement with Tectonic pursuant to which a wholly-owned subsidiary of the Company will merge with and into Tectonic, with Tectonic surviving as a wholly-owned subsidiary of the Company. The Merger was unanimously approved by the Company’s Board, and the Company’s Board resolved to recommend approval of the Merger Agreement to the Company’s stockholders.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closing of the Merger is subject to approval by the Company’s and Tectonic’s stockholders as well as other customary closing conditions, including the effectiveness of a registration statement on Form S-4 filed with the SEC in connection with the transaction and Nasdaq’s approval of the listing of the shares of the Company’s common stock to be issued in connection with the Merger. If the Company is unable to satisfy certain closing conditions or if other mutual closing conditions are not satisfied, Tectonic will not be obligated to complete the Merger. The Merger Agreement contains certain termination rights of each of the Company and Tectonic. Under certain circumstances detailed in the Merger Agreement, the Company could be required to pay Tectonic a termination fee of approximately $2,713 or Tectonic could be required to pay the Company a termination fee of approximately $4,900. In addition, in certain circumstances upon the termination of the Merger Agreement, the Company could be required to pay the costs and expenses of Tectonic in an amount not to exceed $650. If the Merger is completed, the business of Tectonic will continue as the business of the combined company.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82"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8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28,769</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w:t>
            </w: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30,884</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8,141</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32,590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30,515</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120" w:type="dxa"/>
            <w:vAlign w:val="bottom"/>
          </w:tcPr>
          <w:p>
            <w:pPr>
              <w:spacing w:after="0"/>
              <w:rPr>
                <w:sz w:val="19"/>
                <w:szCs w:val="19"/>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43,408</w:t>
            </w: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8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A-1, A-2, A-3 and A-4), $0.0001 par value; 6,825,483 shares authorized as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6,825,483 shares issued and outstanding as of March 31, 2024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aggregate liquidation preference of $87,459 as of March 31, 2024 and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80,627</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11,947,558 shares authorized as of March 31, 2024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 2,637,120 and 2,634,246 shares issued and outstanding as of March 31, 2024 and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5,979</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6"/>
              </w:rPr>
              <w:t>(105,825)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(90,604)</w:t>
            </w: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(99,574)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(84,636)</w:t>
            </w: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82"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OTHER COMPREHENSIVE LOSS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10,818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12,985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(5.83)</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2,608,740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2,222,800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(15,271)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82"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CONVERTIBLE PREFERRED STOCK AND STOCKHOLDERS’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220" w:type="dxa"/>
            <w:vAlign w:val="bottom"/>
          </w:tcPr>
          <w:p>
            <w:pPr>
              <w:spacing w:after="0"/>
              <w:rPr>
                <w:sz w:val="3"/>
                <w:szCs w:val="3"/>
                <w:color w:val="auto"/>
              </w:rPr>
            </w:pPr>
          </w:p>
        </w:tc>
        <w:tc>
          <w:tcPr>
            <w:tcW w:w="172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15"/>
        </w:trPr>
        <w:tc>
          <w:tcPr>
            <w:tcW w:w="3220" w:type="dxa"/>
            <w:vAlign w:val="bottom"/>
          </w:tcPr>
          <w:p>
            <w:pPr>
              <w:spacing w:after="0"/>
              <w:rPr>
                <w:sz w:val="9"/>
                <w:szCs w:val="9"/>
                <w:color w:val="auto"/>
              </w:rPr>
            </w:pPr>
          </w:p>
        </w:tc>
        <w:tc>
          <w:tcPr>
            <w:tcW w:w="1720" w:type="dxa"/>
            <w:vAlign w:val="bottom"/>
            <w:gridSpan w:val="6"/>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0" w:type="dxa"/>
            <w:vAlign w:val="bottom"/>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right"/>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line="20" w:lineRule="exact"/>
              <w:rPr>
                <w:sz w:val="1"/>
                <w:szCs w:val="1"/>
                <w:color w:val="auto"/>
              </w:rPr>
            </w:pPr>
          </w:p>
        </w:tc>
        <w:tc>
          <w:tcPr>
            <w:tcW w:w="140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0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4"/>
              </w:rPr>
              <w:t>Paid-in Capital</w:t>
            </w:r>
          </w:p>
        </w:tc>
        <w:tc>
          <w:tcPr>
            <w:tcW w:w="24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as of December 31, 2023</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6,825,483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5"/>
              </w:rPr>
              <w:t>80,627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2,634,246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(11)</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(90,604)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(15,221)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(15,221)</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w:t>
            </w: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6,825,483</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80,627</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2,637,120</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720" w:type="dxa"/>
            <w:vAlign w:val="bottom"/>
            <w:gridSpan w:val="2"/>
          </w:tcPr>
          <w:p>
            <w:pPr>
              <w:jc w:val="right"/>
              <w:ind w:right="33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(53)</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w w:val="99"/>
              </w:rPr>
              <w:t>$ (105,825)</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(99,574)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220" w:type="dxa"/>
            <w:vAlign w:val="bottom"/>
          </w:tcPr>
          <w:p>
            <w:pPr>
              <w:spacing w:after="0"/>
              <w:rPr>
                <w:sz w:val="24"/>
                <w:szCs w:val="24"/>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right"/>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line="20" w:lineRule="exact"/>
              <w:rPr>
                <w:sz w:val="1"/>
                <w:szCs w:val="1"/>
                <w:color w:val="auto"/>
              </w:rPr>
            </w:pPr>
          </w:p>
        </w:tc>
        <w:tc>
          <w:tcPr>
            <w:tcW w:w="140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0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4"/>
              </w:rPr>
              <w:t>Paid-in Capital</w:t>
            </w:r>
          </w:p>
        </w:tc>
        <w:tc>
          <w:tcPr>
            <w:tcW w:w="24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as of December 31, 2022</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6,825,483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5"/>
              </w:rPr>
              <w:t>80,627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2,525,771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— </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(14,445)</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(14,445)</w:t>
            </w:r>
          </w:p>
        </w:tc>
        <w:tc>
          <w:tcPr>
            <w:tcW w:w="0" w:type="dxa"/>
            <w:vAlign w:val="bottom"/>
          </w:tcPr>
          <w:p>
            <w:pPr>
              <w:spacing w:after="0"/>
              <w:rPr>
                <w:sz w:val="1"/>
                <w:szCs w:val="1"/>
                <w:color w:val="auto"/>
              </w:rPr>
            </w:pPr>
          </w:p>
        </w:tc>
      </w:tr>
      <w:tr>
        <w:trPr>
          <w:trHeight w:val="18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as of</w:t>
            </w: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6,825,483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80,627</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2,527,056</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72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(62,226)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(59,823)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82"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75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(15,221)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(14,445)</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7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(10,815)</w:t>
            </w:r>
          </w:p>
        </w:tc>
        <w:tc>
          <w:tcPr>
            <w:tcW w:w="120" w:type="dxa"/>
            <w:vAlign w:val="bottom"/>
          </w:tcPr>
          <w:p>
            <w:pPr>
              <w:spacing w:after="0"/>
              <w:rPr>
                <w:sz w:val="20"/>
                <w:szCs w:val="20"/>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equipment and improvements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7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deferred offering costs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7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and restricted cash</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(10,021)</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(11,094)</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36,553</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24,872</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7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 and other current liabilities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82"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60" w:right="8140" w:hanging="444"/>
        <w:spacing w:after="0" w:line="377" w:lineRule="auto"/>
        <w:tabs>
          <w:tab w:leader="none" w:pos="55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ind w:left="560" w:right="100" w:firstLine="423"/>
        <w:spacing w:after="0" w:line="246" w:lineRule="auto"/>
        <w:rPr>
          <w:sz w:val="20"/>
          <w:szCs w:val="20"/>
          <w:color w:val="auto"/>
        </w:rPr>
      </w:pPr>
      <w:r>
        <w:rPr>
          <w:rFonts w:ascii="Times New Roman" w:cs="Times New Roman" w:eastAsia="Times New Roman" w:hAnsi="Times New Roman"/>
          <w:sz w:val="18"/>
          <w:szCs w:val="18"/>
          <w:color w:val="auto"/>
        </w:rPr>
        <w:t>Tectonic Therapeutic, Inc. (“Company”)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(“GPCRs Engineered for Optimal Discovery”), the Company is focused on developing biologic medicines that overcome the existing challenges of GPCR-targeted drug discovery and harness the human body to modify the course of disease. The Company focuses on areas of significant unmet medical need, often where therapeutic options are poor or nonexistent, as these are areas where new medicines have the potential to improve patient quality of life. The Company was incorporated on June 5, 2019 under the laws of the State of Delaware and has its principal headquarters in Watertown, Massachusetts.</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7"/>
          <w:szCs w:val="17"/>
          <w:color w:val="auto"/>
        </w:rPr>
        <w:t>The Company’s proprietary GEODe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As of March 31, 2024, the Company had an accumulated deficit of $105.8 million and has incurred losses and negative cash flows from operations since inception, including a net loss of $15.2 million for the three months ended March 31, 2024. To date, the Company has financed its operations primarily through the issuance of common stock,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w:t>
      </w:r>
    </w:p>
    <w:p>
      <w:pPr>
        <w:spacing w:after="0" w:line="79"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On June 20, 2024, the Company completed a merger with AVROBIO, Inc. (“AVROBIO”) pursuant to which the Company received $77.3 million of cash from AVROBIO and completed the sale of $96.6 million of common stock (see Note 14). Management believes that its current cash on hand along with the cash received from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82"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closing of the merger agreement are sufficient to fund the Company’s planned operations for at least one year from the date of issuance of these unaudited condensed consolidated financial statements.</w:t>
      </w:r>
    </w:p>
    <w:p>
      <w:pPr>
        <w:spacing w:after="0" w:line="306" w:lineRule="exact"/>
        <w:rPr>
          <w:sz w:val="20"/>
          <w:szCs w:val="20"/>
          <w:color w:val="auto"/>
        </w:rPr>
      </w:pPr>
    </w:p>
    <w:p>
      <w:pPr>
        <w:ind w:left="560" w:right="5800" w:hanging="444"/>
        <w:spacing w:after="0" w:line="377" w:lineRule="auto"/>
        <w:tabs>
          <w:tab w:leader="none" w:pos="55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conformity with generally accepted accounting principles in the United States of America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In the opinion of the Company,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deficit and cash flows. The information as of December 31, 2023 included in the unaudited interim condensed consolidated balance sheets was derived from audited annual consolidated financial statements but does not contain all of the footnote disclosures from the audited annual consolidated financial statements.</w:t>
      </w:r>
    </w:p>
    <w:p>
      <w:pPr>
        <w:spacing w:after="0" w:line="80"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annual consolidated financial statements as of and for the years ended December 31, 2023 and 2022.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60" w:right="80" w:firstLine="423"/>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balances and transactions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40"/>
          </w:cols>
          <w:pgMar w:left="320" w:top="482" w:right="5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an Entity’s Own Equity (Subtopic 815-40): Accounting for Convertible Instruments and Contracts in an Entity’s Own Equity (“ASU 2020-06”). ASU 2020-06 simplifies the accounting for convertible instruments by reducing the number of accounting models for 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not carried at fair value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adopted this guidance on January 1, 2024 with no material impact on the condensed consolidated financial statements and disclosures.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(“ASU 2023-07”), which enhances the segment disclosure requirements for public entities on an annual and interim basis. Under ASU 2023-07, public entities will be required to disclose significant segment expenses that are regularly provided to the chief operating decision maker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condensed consolidated financial statements.</w:t>
      </w:r>
    </w:p>
    <w:p>
      <w:pPr>
        <w:spacing w:after="0" w:line="77" w:lineRule="exact"/>
        <w:rPr>
          <w:sz w:val="20"/>
          <w:szCs w:val="20"/>
          <w:color w:val="auto"/>
        </w:rPr>
      </w:pPr>
    </w:p>
    <w:p>
      <w:pPr>
        <w:ind w:left="560" w:right="100" w:firstLine="423"/>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condensed consolidated financial statements.</w:t>
      </w:r>
    </w:p>
    <w:p>
      <w:pPr>
        <w:spacing w:after="0" w:line="1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82"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106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17,213</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17,213</w:t>
            </w:r>
          </w:p>
        </w:tc>
      </w:tr>
      <w:tr>
        <w:trPr>
          <w:trHeight w:val="223"/>
        </w:trPr>
        <w:tc>
          <w:tcPr>
            <w:tcW w:w="6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17,213</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17,213</w:t>
            </w:r>
          </w:p>
        </w:tc>
        <w:tc>
          <w:tcPr>
            <w:tcW w:w="4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32,590</w:t>
            </w:r>
          </w:p>
        </w:tc>
        <w:tc>
          <w:tcPr>
            <w:tcW w:w="220" w:type="dxa"/>
            <w:vAlign w:val="bottom"/>
          </w:tcPr>
          <w:p>
            <w:pPr>
              <w:spacing w:after="0"/>
              <w:rPr>
                <w:sz w:val="18"/>
                <w:szCs w:val="18"/>
                <w:color w:val="auto"/>
              </w:rPr>
            </w:pP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32,590</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32,590</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32,590</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6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460" w:type="dxa"/>
            <w:vAlign w:val="bottom"/>
          </w:tcPr>
          <w:p>
            <w:pPr>
              <w:spacing w:after="0"/>
              <w:rPr>
                <w:sz w:val="12"/>
                <w:szCs w:val="12"/>
                <w:color w:val="auto"/>
              </w:rPr>
            </w:pPr>
          </w:p>
        </w:tc>
        <w:tc>
          <w:tcPr>
            <w:tcW w:w="106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27,278</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r>
      <w:tr>
        <w:trPr>
          <w:trHeight w:val="223"/>
        </w:trPr>
        <w:tc>
          <w:tcPr>
            <w:tcW w:w="6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27,278</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c>
          <w:tcPr>
            <w:tcW w:w="4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30,515</w:t>
            </w:r>
          </w:p>
        </w:tc>
        <w:tc>
          <w:tcPr>
            <w:tcW w:w="220" w:type="dxa"/>
            <w:vAlign w:val="bottom"/>
          </w:tcPr>
          <w:p>
            <w:pPr>
              <w:spacing w:after="0"/>
              <w:rPr>
                <w:sz w:val="18"/>
                <w:szCs w:val="18"/>
                <w:color w:val="auto"/>
              </w:rPr>
            </w:pP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30,515</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Company’s cash equivalents, which were invested in money market funds, were valued based on Level 1 inputs.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(see Note 13). The SAFE liabilities are included within the Level 3 fair value hierarchy. The SAFE liabilities were valued using a probability weighted scenario analysis and discount rates derived by application of the build-up method to reflect the cost of equity. The valuation model requires a variety of inputs, including the probability of occurrence of events that would trigger conversion or redemption of the SAFEs, the expected timing of such events, and a discount rate.</w:t>
      </w:r>
    </w:p>
    <w:p>
      <w:pPr>
        <w:spacing w:after="0" w:line="75" w:lineRule="exact"/>
        <w:rPr>
          <w:sz w:val="20"/>
          <w:szCs w:val="20"/>
          <w:color w:val="auto"/>
        </w:rPr>
      </w:pPr>
    </w:p>
    <w:p>
      <w:pPr>
        <w:ind w:left="560" w:right="260" w:firstLine="423"/>
        <w:spacing w:after="0" w:line="276" w:lineRule="auto"/>
        <w:rPr>
          <w:sz w:val="20"/>
          <w:szCs w:val="20"/>
          <w:color w:val="auto"/>
        </w:rPr>
      </w:pPr>
      <w:r>
        <w:rPr>
          <w:rFonts w:ascii="Times New Roman" w:cs="Times New Roman" w:eastAsia="Times New Roman" w:hAnsi="Times New Roman"/>
          <w:sz w:val="17"/>
          <w:szCs w:val="17"/>
          <w:color w:val="auto"/>
        </w:rPr>
        <w:t>The valuations of the SAFE liabilities as of March 31, 2024 and December 31, 2023, were determined based on a probability-weighted scenario analysis that assumed the probabilities of the occurrence of an equity financing, public listing transaction and dissolution to be 10.0%,</w:t>
      </w:r>
    </w:p>
    <w:p>
      <w:pPr>
        <w:spacing w:after="0" w:line="1"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87.5% and 2.5% respectively. The estimated time to redemption used in the March 31, 2024 valuation was two months for an equity financing and dissolution and one month for a public listing transaction. The estimated time to redemption used in the December 31, 2023 valuation was five months for an equity financing and dissolution and four months for a public listing transaction. The valuations used a discount rate of 30.2% to approximate the cost of equity, which was derived from application of a build-up method that incorporated the risk-free rate at the valuation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82"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date, and adjustments to reflect market risk, a small stock premium, and a selected company-specific risk premium. The valuation of the SAFE liabilities at the October issuance date was determined using the same methodology; however, the discount rate was 30.9% due to the higher risk-free rate at the valuation date. In October 2023, the probabilities of the occurrence of an equity financing, public listing transaction and dissolution used were 87.5%, 10.0%, and 2.5%, respectively. The estimated time to redemption used was 1.5 months for an equity financing and 5.5 months for a public listing transaction and dissolution.</w:t>
      </w:r>
    </w:p>
    <w:p>
      <w:pPr>
        <w:spacing w:after="0" w:line="75"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for the SAFE liabilities that were measured at fair value using significant unobservable Level 3 inputs during the three months ended March 31, 2024 and the year ended December 31, 2023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SAFE Liabilities</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31,515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7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EQUIPMENT AND IMPROVEMENTS, NET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70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70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Property, equipment and improvements, net is comprised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460" w:firstLine="423"/>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$0.2 million during the three months ended March 31, 2024 and 2023 and was recorded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w w:val="78"/>
              </w:rPr>
              <w:t>2024</w:t>
            </w:r>
          </w:p>
        </w:tc>
        <w:tc>
          <w:tcPr>
            <w:tcW w:w="9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9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w:t>
            </w:r>
          </w:p>
        </w:tc>
        <w:tc>
          <w:tcPr>
            <w:tcW w:w="4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262</w:t>
            </w: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230</w:t>
            </w:r>
          </w:p>
        </w:tc>
      </w:tr>
      <w:tr>
        <w:trPr>
          <w:trHeight w:val="20"/>
        </w:trPr>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These amounts are exclusive of amortization related to finance lease assets of $0.1 million during the three months ended March 31, 2024 and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00"/>
          </w:cols>
          <w:pgMar w:left="320" w:top="482"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related costs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office and laboratory costs</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research organization fees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3,207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development and manufacturing organization fees</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6"/>
              </w:rPr>
              <w:t>11,048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8,141</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560" w:right="7140" w:hanging="444"/>
        <w:spacing w:after="0" w:line="378" w:lineRule="auto"/>
        <w:tabs>
          <w:tab w:leader="none" w:pos="55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commitments under its operating and finance leases are described in Note 7.</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agreement with the President and Fellows of Harvard College (“Harvard”), for an option fee in the low five digits, whereby Harvard granted the Company an exclusive option to negotiate a worldwide, exclusive, royalty-bearing license under Harvard’s interest in the patent rights covering certain technology that was developed by Harvard. In October 2021, the Company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was expensed.</w:t>
      </w:r>
    </w:p>
    <w:p>
      <w:pPr>
        <w:spacing w:after="0" w:line="80"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As consideration for the License Agreement, the Company agreed to pay Harvard a non-refundable 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 The remaining installment amount of $56,668 is due in July 2024.</w:t>
      </w:r>
    </w:p>
    <w:p>
      <w:pPr>
        <w:spacing w:after="0" w:line="79"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40"/>
          </w:cols>
          <w:pgMar w:left="320" w:top="482"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w:t>
      </w:r>
    </w:p>
    <w:p>
      <w:pPr>
        <w:spacing w:after="0" w:line="5" w:lineRule="exact"/>
        <w:rPr>
          <w:sz w:val="20"/>
          <w:szCs w:val="20"/>
          <w:color w:val="auto"/>
        </w:rPr>
      </w:pPr>
    </w:p>
    <w:p>
      <w:pPr>
        <w:ind w:left="560" w:right="60" w:hanging="4"/>
        <w:spacing w:after="0" w:line="255" w:lineRule="auto"/>
        <w:tabs>
          <w:tab w:leader="none" w:pos="7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years after the first commercial sale of the first Know-How Enabled Product and (ii) twelve years after the first commercial sale of the first Licensed Product. There was less than $0.1 million due to Harvard as of March 31, 2024. During the three months ended March 31, 2024 and 2023, the Company paid $0.1 million to Harvard.</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12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On November 29, 2021, the Company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the Company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will be responsible to pay ATX commercial payments in the low seven digits per year during the first six years of commercial sales, amounting to an amount in the high eight digits in total commercial payments under the license agreement.</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paid $0.1 million and $0 to ATX, respectively.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left="560" w:right="340" w:firstLine="423"/>
        <w:spacing w:after="0" w:line="266" w:lineRule="auto"/>
        <w:rPr>
          <w:sz w:val="20"/>
          <w:szCs w:val="20"/>
          <w:color w:val="auto"/>
        </w:rPr>
      </w:pPr>
      <w:r>
        <w:rPr>
          <w:rFonts w:ascii="Times New Roman" w:cs="Times New Roman" w:eastAsia="Times New Roman" w:hAnsi="Times New Roman"/>
          <w:sz w:val="18"/>
          <w:szCs w:val="18"/>
          <w:color w:val="auto"/>
        </w:rPr>
        <w:t>On May 1, 2023, the Company entered into a discovery agreement with Adimab, LLC (“Adimab”), an antibody discovery company, whereby the Company and Adimab are collaborating on human antibody discovery in accordance with an agreed upon research program. The Company paid an upfront technology access fee totaling $20,000 upon execution of the agreement.</w:t>
      </w:r>
    </w:p>
    <w:p>
      <w:pPr>
        <w:spacing w:after="0" w:line="68" w:lineRule="exact"/>
        <w:rPr>
          <w:sz w:val="20"/>
          <w:szCs w:val="20"/>
          <w:color w:val="auto"/>
        </w:rPr>
      </w:pPr>
    </w:p>
    <w:p>
      <w:pPr>
        <w:ind w:left="560" w:right="100" w:firstLine="423"/>
        <w:spacing w:after="0" w:line="256" w:lineRule="auto"/>
        <w:rPr>
          <w:sz w:val="20"/>
          <w:szCs w:val="20"/>
          <w:color w:val="auto"/>
        </w:rPr>
      </w:pPr>
      <w:r>
        <w:rPr>
          <w:rFonts w:ascii="Times New Roman" w:cs="Times New Roman" w:eastAsia="Times New Roman" w:hAnsi="Times New Roman"/>
          <w:sz w:val="18"/>
          <w:szCs w:val="18"/>
          <w:color w:val="auto"/>
        </w:rPr>
        <w:t>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82"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As of March 31, 2024, the Company recorded $0.1 million of costs associated with the FTEs in accrued expenses and other current liabilities and $0.1 million of discovery delivery fees in accounts payable.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60" w:right="220" w:firstLine="423"/>
        <w:spacing w:after="0" w:line="266" w:lineRule="auto"/>
        <w:rPr>
          <w:sz w:val="20"/>
          <w:szCs w:val="20"/>
          <w:color w:val="auto"/>
        </w:rPr>
      </w:pPr>
      <w:r>
        <w:rPr>
          <w:rFonts w:ascii="Times New Roman" w:cs="Times New Roman" w:eastAsia="Times New Roman" w:hAnsi="Times New Roman"/>
          <w:sz w:val="18"/>
          <w:szCs w:val="18"/>
          <w:color w:val="auto"/>
        </w:rPr>
        <w:t>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w:t>
      </w:r>
    </w:p>
    <w:p>
      <w:pPr>
        <w:spacing w:after="0" w:line="68" w:lineRule="exact"/>
        <w:rPr>
          <w:sz w:val="20"/>
          <w:szCs w:val="20"/>
          <w:color w:val="auto"/>
        </w:rPr>
      </w:pPr>
    </w:p>
    <w:p>
      <w:pPr>
        <w:ind w:left="560" w:right="120" w:firstLine="423"/>
        <w:spacing w:after="0" w:line="255" w:lineRule="auto"/>
        <w:rPr>
          <w:sz w:val="20"/>
          <w:szCs w:val="20"/>
          <w:color w:val="auto"/>
        </w:rPr>
      </w:pPr>
      <w:r>
        <w:rPr>
          <w:rFonts w:ascii="Times New Roman" w:cs="Times New Roman" w:eastAsia="Times New Roman" w:hAnsi="Times New Roman"/>
          <w:sz w:val="18"/>
          <w:szCs w:val="18"/>
          <w:color w:val="auto"/>
        </w:rPr>
        <w:t>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w:t>
      </w:r>
    </w:p>
    <w:p>
      <w:pPr>
        <w:spacing w:after="0" w:line="81"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w:t>
      </w:r>
    </w:p>
    <w:p>
      <w:pPr>
        <w:spacing w:after="0" w:line="75"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did not have any liabilities or other commitments related to indemnification claims.</w:t>
      </w:r>
    </w:p>
    <w:p>
      <w:pPr>
        <w:spacing w:after="0" w:line="306"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The Company has entered into operating leases for office and laboratory facilities and financing leases for laboratory equipment used in research and development activities. The remaining lease terms for its leases range from two years to four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w:t>
      </w:r>
    </w:p>
    <w:p>
      <w:pPr>
        <w:spacing w:after="0" w:line="81"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In November 2020, the Company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00"/>
          </w:cols>
          <w:pgMar w:left="320" w:top="482"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measurement of the lease. The lease expires on January 31, 2026, and contains a five-year renewal option exercisable by the Company which is not included in the measurement of the lease.</w:t>
      </w:r>
    </w:p>
    <w:p>
      <w:pPr>
        <w:spacing w:after="0" w:line="54"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an agreement to sublease a portion of its facility lease to a related party (see Note 13) in exchange for $28,333 per month. The sublease agreement was an operating lease with a term of 18 months and was set to expire on September 30, 2022. In July 2022, the Company granted the sublessee permission to terminate the agreement on July 31, 2022. An immaterial adjustment to straight-line rental income and accrued rent receivable was recorded as part of the early termination. The proceeds from the sublease agreement are recorded as an offset to facilities costs in the periods in which they are earned.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lease costs for the three months ended March 31, 2024 and 2023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leases for the three months ended March 31, 2024 and 2023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0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w:t>
            </w:r>
          </w:p>
        </w:tc>
        <w:tc>
          <w:tcPr>
            <w:tcW w:w="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2260" w:type="dxa"/>
            <w:vAlign w:val="bottom"/>
            <w:gridSpan w:val="3"/>
          </w:tcPr>
          <w:p>
            <w:pPr>
              <w:jc w:val="right"/>
              <w:ind w:right="668"/>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2260" w:type="dxa"/>
            <w:vAlign w:val="bottom"/>
            <w:gridSpan w:val="3"/>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381</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gridSpan w:val="3"/>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2.99</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3"/>
          </w:tcPr>
          <w:p>
            <w:pPr>
              <w:jc w:val="right"/>
              <w:ind w:right="668"/>
              <w:spacing w:after="0"/>
              <w:rPr>
                <w:sz w:val="20"/>
                <w:szCs w:val="20"/>
                <w:color w:val="auto"/>
              </w:rPr>
            </w:pPr>
            <w:r>
              <w:rPr>
                <w:rFonts w:ascii="Times New Roman" w:cs="Times New Roman" w:eastAsia="Times New Roman" w:hAnsi="Times New Roman"/>
                <w:sz w:val="18"/>
                <w:szCs w:val="18"/>
                <w:color w:val="auto"/>
              </w:rPr>
              <w:t>1.84</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9.65%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8.25%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365"/>
        </w:trPr>
        <w:tc>
          <w:tcPr>
            <w:tcW w:w="53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F-64</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38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maturity of the Company’s finance and operating lease liabilities for the three months ended March 31, 2024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40" w:type="dxa"/>
            <w:vAlign w:val="bottom"/>
          </w:tcPr>
          <w:p>
            <w:pPr>
              <w:spacing w:after="0"/>
              <w:rPr>
                <w:sz w:val="16"/>
                <w:szCs w:val="16"/>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 (remaining)</w:t>
            </w:r>
          </w:p>
        </w:tc>
        <w:tc>
          <w:tcPr>
            <w:tcW w:w="3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88"/>
              </w:rPr>
              <w:t>434</w:t>
            </w:r>
          </w:p>
        </w:tc>
        <w:tc>
          <w:tcPr>
            <w:tcW w:w="1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363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1,393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1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1,233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r>
      <w:tr>
        <w:trPr>
          <w:trHeight w:val="20"/>
        </w:trPr>
        <w:tc>
          <w:tcPr>
            <w:tcW w:w="15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21" w:lineRule="exact"/>
        <w:rPr>
          <w:sz w:val="20"/>
          <w:szCs w:val="20"/>
          <w:color w:val="auto"/>
        </w:rPr>
      </w:pPr>
    </w:p>
    <w:p>
      <w:pPr>
        <w:ind w:left="560" w:right="160" w:firstLine="423"/>
        <w:spacing w:after="0" w:line="261" w:lineRule="auto"/>
        <w:rPr>
          <w:sz w:val="20"/>
          <w:szCs w:val="20"/>
          <w:color w:val="auto"/>
        </w:rPr>
      </w:pPr>
      <w:r>
        <w:rPr>
          <w:rFonts w:ascii="Times New Roman" w:cs="Times New Roman" w:eastAsia="Times New Roman" w:hAnsi="Times New Roman"/>
          <w:sz w:val="18"/>
          <w:szCs w:val="18"/>
          <w:color w:val="auto"/>
        </w:rPr>
        <w:t>The Company issued Series A-1 convertible preferred stock (the “Series A-1 Preferred Stock”), Series A-2 convertible preferred stock (the “Series A-2 Preferred Stock”), Series A-3 convertible preferred stock (the “Series A-3 Preferred Stock”), and Series A-4 convertible preferred stock (the “Series A-4 Preferred Stock” and collectively with the Series A-1 Preferred Stock, the Series A-2 Preferred Stock, and the Series A-3 Preferred Stock, the “Preferred Stock”).</w:t>
      </w:r>
    </w:p>
    <w:p>
      <w:pPr>
        <w:spacing w:after="0" w:line="72" w:lineRule="exact"/>
        <w:rPr>
          <w:sz w:val="20"/>
          <w:szCs w:val="20"/>
          <w:color w:val="auto"/>
        </w:rPr>
      </w:pPr>
    </w:p>
    <w:p>
      <w:pPr>
        <w:ind w:left="560" w:right="460" w:firstLine="423"/>
        <w:spacing w:after="0" w:line="282" w:lineRule="auto"/>
        <w:rPr>
          <w:sz w:val="20"/>
          <w:szCs w:val="20"/>
          <w:color w:val="auto"/>
        </w:rPr>
      </w:pPr>
      <w:r>
        <w:rPr>
          <w:rFonts w:ascii="Times New Roman" w:cs="Times New Roman" w:eastAsia="Times New Roman" w:hAnsi="Times New Roman"/>
          <w:sz w:val="18"/>
          <w:szCs w:val="18"/>
          <w:color w:val="auto"/>
        </w:rPr>
        <w:t>The Preferred Stock as of March 31, 2024 and December 31, 2023 consisted of the following (in thousands, expect share and per share amounts):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 2024 and December 31, 2023</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0"/>
                <w:szCs w:val="10"/>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$ 0.0001</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21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$ 0.0001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1,649,188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1,649,188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21,749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1,649,188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210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$ 0.0001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696,516</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696,516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A-4 Preferred Stock</w:t>
            </w:r>
          </w:p>
        </w:tc>
        <w:tc>
          <w:tcPr>
            <w:tcW w:w="21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$ 0.0001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361,659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361,659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6,825,483</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6,825,483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80,627</w:t>
            </w:r>
          </w:p>
        </w:tc>
        <w:tc>
          <w:tcPr>
            <w:tcW w:w="3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87,459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6,825,483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Upon the issuance of each series of the Preferred Stock, the Company assessed the embedded conversion and liquidation features of the issued Preferred Stock and determined that such features did not require the Company to separately account for these features.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Preferred Stock have the following rights and privileges: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560" w:right="160" w:firstLine="423"/>
        <w:spacing w:after="0" w:line="281" w:lineRule="auto"/>
        <w:rPr>
          <w:sz w:val="20"/>
          <w:szCs w:val="20"/>
          <w:color w:val="auto"/>
        </w:rPr>
      </w:pPr>
      <w:r>
        <w:rPr>
          <w:rFonts w:ascii="Times New Roman" w:cs="Times New Roman" w:eastAsia="Times New Roman" w:hAnsi="Times New Roman"/>
          <w:sz w:val="17"/>
          <w:szCs w:val="17"/>
          <w:color w:val="auto"/>
        </w:rPr>
        <w:t>The holders of the Preferred Stock are entitled to receive noncumulative dividends if and when declared by the Board at a rate of 8% per annum. The Company may not declare, pay or set aside any dividends on shares of any other series of capital stock of the Company, other than dividends on common stock payable in common stock, unless the holders of the Preferred Stock first receive, or simultaneously receive, a dividend on each outstanding share of the Preferred Stock. No dividends were declared or paid during through the period ended March 31, 2024.</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82"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In the event of any involuntary liquidation, dissolution or winding up of the Company or Deemed Liquidation Event, holders of the Preferred Stock shall be paid out of the assets of the Company available for distribution an amount per share equal to the greater of (i) the applicable original issue price, plus any dividends declared but unpaid, or (ii) such amount per share as would have been payable had all shares of the Preferred Stock been converted into shares of common stock.</w:t>
      </w:r>
    </w:p>
    <w:p>
      <w:pPr>
        <w:spacing w:after="0" w:line="72"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If the assets available for distribution to its stockholders are insufficient to pay the holders of shares of the Preferred Stock the full amount which they shall be entitled, the holders of shares of Preferred Stock shall share ratably in any distribution in proportion to the respective amounts which would otherwise be payable if all amounts payable were paid in full.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On any matter presented to the stockholders of the Company for their actions or consideration at any meeting of the Company, each holder of outstanding shares of Series A-1, Series A-3 and Series A-4 (the “Voting Preferred Stock”) shall be entitled to the number of votes equal to the number of whole shares of common stock into which the shares of the Voting Preferred Stock are convertible. Holders of outstanding shares of Series A-2 Preferred Stock are not entitled to voting rights.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Preferred Stock is conditionally redeemable upon the occurrence of a Deemed Liquidation Event. A Deemed Liquidation Event is defined as (a) a merger or consolidation (an “event”) in which the Company is a constituent party (or a subsidiary of the Company is a constituent party and the Company issues shares of its capital stock pursuant to the event), except those in which the shares Company’s stock outstanding immediately before the event continue to represent, or are converted into or exchanged for shares of capital stock that represent, immediately following the event, at least a majority, by voting power, of the capital stock of (1) the surviving or resulting corporation; or (2) if the surviving or resulting corporation is a wholly owned subsidiary of another corporation immediately following such event, the parent corporation of the surviving or resulting corporation and (b) the sale or disposition of the Company or one or more subsidiaries of the Company.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outstanding shares of the Preferred Stock shall automatically convert into shares of common stock, at the conversion price upon either</w:t>
      </w:r>
    </w:p>
    <w:p>
      <w:pPr>
        <w:spacing w:after="0" w:line="27" w:lineRule="exact"/>
        <w:rPr>
          <w:sz w:val="20"/>
          <w:szCs w:val="20"/>
          <w:color w:val="auto"/>
        </w:rPr>
      </w:pPr>
    </w:p>
    <w:p>
      <w:pPr>
        <w:ind w:left="560" w:right="120" w:hanging="4"/>
        <w:spacing w:after="0" w:line="252" w:lineRule="auto"/>
        <w:tabs>
          <w:tab w:leader="none" w:pos="80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of shares of common stock to the public at a price of at least $39.56280 per share (subject to appropriate adjustment in the event of any stock dividend, stock split, combination or other similar recapitalization with respect to the common stock), in a firm-commitment underwritten initial public offering, resulting in at least $75.0 million of gross proceeds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or (b) the date and time, or the occurrence of an event, specified by vote or written consent of the holders of a majority of the voting preferred stock (the “Requisite Holders”).</w:t>
      </w:r>
    </w:p>
    <w:p>
      <w:pPr>
        <w:spacing w:after="0" w:line="8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As discussed in Note 14, all of the Company’s outstanding preferred stock converted into common stock immediately prior to the closing of the Merger.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60"/>
          </w:cols>
          <w:pgMar w:left="320" w:top="482" w:right="5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w:t>
      </w:r>
    </w:p>
    <w:p>
      <w:pPr>
        <w:spacing w:after="0" w:line="121" w:lineRule="exact"/>
        <w:rPr>
          <w:sz w:val="20"/>
          <w:szCs w:val="20"/>
          <w:color w:val="auto"/>
        </w:rPr>
      </w:pPr>
    </w:p>
    <w:p>
      <w:pPr>
        <w:jc w:val="both"/>
        <w:ind w:left="560" w:firstLine="423"/>
        <w:spacing w:after="0" w:line="266" w:lineRule="auto"/>
        <w:rPr>
          <w:sz w:val="20"/>
          <w:szCs w:val="20"/>
          <w:color w:val="auto"/>
        </w:rPr>
      </w:pPr>
      <w:r>
        <w:rPr>
          <w:rFonts w:ascii="Times New Roman" w:cs="Times New Roman" w:eastAsia="Times New Roman" w:hAnsi="Times New Roman"/>
          <w:sz w:val="18"/>
          <w:szCs w:val="18"/>
          <w:color w:val="auto"/>
        </w:rPr>
        <w:t>Each share of the Preferred Stock shall be convertible at any time and from time to time and without the payment of additional consideration by the holder into such number of fully paid and non-assessable shares of common stock as determined by dividing the original issue price by the conversion price. Each share of Series A-2 Preferred Stock shall be convertible into one share of Series A-1 Preferred Stock.</w:t>
      </w:r>
    </w:p>
    <w:p>
      <w:pPr>
        <w:spacing w:after="0" w:line="68"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The conversion price for the Series A-1 Preferred Stock and the Series A-2 Preferred Stock initially is equal to $13.18760, and the initial conversion price for the Series A-3 Preferred Stock and the Series A-4 Preferred Stock is $10.55008 and $11.20946, respectively. The conversion price is subject to adjustment for any stock-splits, stock dividends, combinations or other similar recapitalizations and other adjustments as set forth in the Company’s ARCOI.</w:t>
      </w:r>
    </w:p>
    <w:p>
      <w:pPr>
        <w:spacing w:after="0" w:line="324"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ARCOI authorized the Company to issue up to 11,947,558 shares of $0.0001 par value common stock, of which, 2,637,120 shares were issued and outstanding.</w:t>
      </w:r>
    </w:p>
    <w:p>
      <w:pPr>
        <w:spacing w:after="0" w:line="54"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Voting, dividend and liquidation rights of the holders of common stock are subject to and qualified by the rights, powers and preferences of the holders of the Preferred Stock. Holders of common stock are entitled to one vote for each share of common stock; however, the holders of the common stock shall not be entitled to vote on any amendment to the ARCOI that relates solely to the terms of one or more outstanding series of preferred stock.</w:t>
      </w:r>
    </w:p>
    <w:p>
      <w:pPr>
        <w:spacing w:after="0" w:line="72" w:lineRule="exact"/>
        <w:rPr>
          <w:sz w:val="20"/>
          <w:szCs w:val="20"/>
          <w:color w:val="auto"/>
        </w:rPr>
      </w:pPr>
    </w:p>
    <w:p>
      <w:pPr>
        <w:ind w:left="560" w:right="80" w:firstLine="423"/>
        <w:spacing w:after="0" w:line="282" w:lineRule="auto"/>
        <w:rPr>
          <w:sz w:val="20"/>
          <w:szCs w:val="20"/>
          <w:color w:val="auto"/>
        </w:rPr>
      </w:pPr>
      <w:r>
        <w:rPr>
          <w:rFonts w:ascii="Times New Roman" w:cs="Times New Roman" w:eastAsia="Times New Roman" w:hAnsi="Times New Roman"/>
          <w:sz w:val="18"/>
          <w:szCs w:val="18"/>
          <w:color w:val="auto"/>
        </w:rPr>
        <w:t>The Company has included in issued and outstanding common stock shares of restricted common stock granted by the Company. As of March 31, 2024, there were 2,637,120 common shares issued and outstanding, of which 2,615,555 relate to shares of unrestricted common stock.</w:t>
      </w:r>
    </w:p>
    <w:p>
      <w:pPr>
        <w:spacing w:after="0" w:line="306"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June 2019, the Company adopted the 2019 Equity Incentive Plan (the “2019 Plan”), which provides employees, consultants and advisors and non-employee members of the Board of Directors and its affiliates with the opportunity to receive grants of stock options, stock awards and equity awards. Since inception, the Company has only issued stock options. Under the 2019 Plan, the Company may grant equity awards that could require the issuance of up to 1,991,264 shares of the Company’s common stock.</w:t>
      </w:r>
    </w:p>
    <w:p>
      <w:pPr>
        <w:spacing w:after="0" w:line="72"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For incentive stock options and non-statutory stock options, the option exercise price may not be less than 100% of the estimated fair value on the date of grant. Options granted typically vest over a four-year period but may be granted with different vesting terms. The options expire ten years from the grant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00"/>
          </w:cols>
          <w:pgMar w:left="320" w:top="482" w:right="4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 summary of the activity in the 2019 Plan for the three months ended March 31, 2024 is as follows (in thousands except share and per share amounts):</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60" w:type="dxa"/>
            <w:vAlign w:val="bottom"/>
            <w:gridSpan w:val="2"/>
          </w:tcPr>
          <w:p>
            <w:pPr>
              <w:jc w:val="center"/>
              <w:ind w:left="354"/>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1.54</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and expired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(19,558)</w:t>
            </w:r>
          </w:p>
        </w:tc>
        <w:tc>
          <w:tcPr>
            <w:tcW w:w="160" w:type="dxa"/>
            <w:vAlign w:val="bottom"/>
          </w:tcPr>
          <w:p>
            <w:pPr>
              <w:spacing w:after="0"/>
              <w:rPr>
                <w:sz w:val="19"/>
                <w:szCs w:val="19"/>
                <w:color w:val="auto"/>
              </w:rPr>
            </w:pPr>
          </w:p>
        </w:tc>
        <w:tc>
          <w:tcPr>
            <w:tcW w:w="106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March 31, 2024</w:t>
            </w:r>
          </w:p>
        </w:tc>
        <w:tc>
          <w:tcPr>
            <w:tcW w:w="980" w:type="dxa"/>
            <w:vAlign w:val="bottom"/>
            <w:gridSpan w:val="2"/>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center"/>
              <w:ind w:left="334"/>
              <w:spacing w:after="0"/>
              <w:rPr>
                <w:sz w:val="20"/>
                <w:szCs w:val="20"/>
                <w:color w:val="auto"/>
              </w:rPr>
            </w:pPr>
            <w:r>
              <w:rPr>
                <w:rFonts w:ascii="Times New Roman" w:cs="Times New Roman" w:eastAsia="Times New Roman" w:hAnsi="Times New Roman"/>
                <w:sz w:val="18"/>
                <w:szCs w:val="18"/>
                <w:color w:val="auto"/>
              </w:rPr>
              <w:t>1.34</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1,068,487</w:t>
            </w:r>
          </w:p>
        </w:tc>
        <w:tc>
          <w:tcPr>
            <w:tcW w:w="2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March 31, 2024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1,853,500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2024. The weighted-average grant-date fair value of options granted during the three months ended March 31, 2023 was $1.34 per share. The total intrinsic value of options exercised during the three months ended March 31, 2024 and 2023 was $3,828 and $411, respectively. Forfeitures of options are recorded as incurred.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received from option exercises for the three months ended March 31, 2024 and 2023 was $4,420 and $0, respectively.</w:t>
      </w:r>
    </w:p>
    <w:p>
      <w:pPr>
        <w:spacing w:after="0" w:line="117" w:lineRule="exact"/>
        <w:rPr>
          <w:sz w:val="20"/>
          <w:szCs w:val="20"/>
          <w:color w:val="auto"/>
        </w:rPr>
      </w:pPr>
    </w:p>
    <w:p>
      <w:pPr>
        <w:ind w:left="560" w:right="180" w:firstLine="423"/>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in the three months ended March 31, 2023 were estimated based on the BSM option pricing model, using the following assumptions: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73"/>
        </w:trPr>
        <w:tc>
          <w:tcPr>
            <w:tcW w:w="59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59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111.05% -111.21%</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Since 2019, the Company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March 31, 2024, there were 21,565 shares of unvested restricted common stock, with a repurchase liability of less than $0.1 million, that is classified in accrued expenses and other current liabilities in the accompanying condensed consolidated balance sheet.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040"/>
          </w:cols>
          <w:pgMar w:left="320" w:top="482" w:right="5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January 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(13,929)</w:t>
            </w:r>
          </w:p>
        </w:tc>
      </w:tr>
      <w:tr>
        <w:trPr>
          <w:trHeight w:val="223"/>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March 31, 2024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21,565</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unvested restricted common stock and restricted common stock vested and forfeited for the three months ended March 31, 2024 and 2023 was immaterial.</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regarding its employees and nonemployees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w:t>
            </w:r>
          </w:p>
        </w:tc>
        <w:tc>
          <w:tcPr>
            <w:tcW w:w="40" w:type="dxa"/>
            <w:vAlign w:val="bottom"/>
            <w:shd w:val="clear" w:color="auto" w:fill="CCEEFF"/>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9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275</w:t>
            </w:r>
          </w:p>
        </w:tc>
      </w:tr>
      <w:tr>
        <w:trPr>
          <w:trHeight w:val="20"/>
        </w:trPr>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The Company records compensation expense on a straight-line basis over the vesting period. As of March 31, 2024, total compensation cost not yet recognized related to unvested stock options was $2.0 million, which is expected to be recognized over a weighted-average period of 2.4 years.</w:t>
      </w:r>
    </w:p>
    <w:p>
      <w:pPr>
        <w:spacing w:after="0" w:line="320"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no income tax provision or benefit.</w:t>
      </w:r>
    </w:p>
    <w:p>
      <w:pPr>
        <w:spacing w:after="0" w:line="117" w:lineRule="exact"/>
        <w:rPr>
          <w:sz w:val="20"/>
          <w:szCs w:val="20"/>
          <w:color w:val="auto"/>
        </w:rPr>
      </w:pPr>
    </w:p>
    <w:p>
      <w:pPr>
        <w:ind w:left="560" w:firstLine="423"/>
        <w:spacing w:after="0" w:line="281"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March 31, 2024, the Company has maintained a full valuation allowance against its net deferred tax assets.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080"/>
          </w:cols>
          <w:pgMar w:left="320" w:top="482"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(15,221)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2,608,740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2,222,800</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74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(5.83)</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three months ended March 31, 2024 and 2023, the Company excluded the following potential common shares from the computation of diluted net loss per share attributable to common stockholders for the period because including them would have had an anti-dilutive effect:</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23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1,853,500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1,597,259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21,565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294,733</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SAFEs (as converted to common 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2,752,216</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11,452,764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8,717,475</w:t>
            </w:r>
          </w:p>
        </w:tc>
      </w:tr>
      <w:tr>
        <w:trPr>
          <w:trHeight w:val="20"/>
        </w:trPr>
        <w:tc>
          <w:tcPr>
            <w:tcW w:w="6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Member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of the Company’s co-founders is a member of the Company’s Scientific Advisory Board (“SAB”) and meets the criteria of a related</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party. For each of the three months ended March 31, 2024 and 2023, the Company paid the SAB member fees in the amount of less than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$0.1 million for advisory services provided. There were no amounts due to or from this related party as of March 31, 2024 and December 31,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2023.</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Harvard College (“Harvard”) meets the criteria of a related party resulting from the Company’s co-founders’ employment as professors in the Harvard Department of Molecular Pharmacology. Additionally, both co-founders were members of the Board during the three months ended March 31, 2024 and one co-founder is a major shareholder in the Company. Core intellectual property utilized by the Company is licensed from Harvard in exchange for license fees, future milestones and royalties, and equity in the Company in the form of common stock.</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80"/>
          </w:cols>
          <w:pgMar w:left="320" w:top="482"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paid Harvard $0.1 and $0.1 million in cash considerations, respectively (see Note 6). Accounts payable to Harvard amounted to less than $0.1 million and $0.1 million as of March 31, 2024 and December 31, 2023,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121"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representing the purchase amount. All investors are considered related parties of the Company.</w:t>
      </w:r>
    </w:p>
    <w:p>
      <w:pPr>
        <w:spacing w:after="0" w:line="54"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The SAFE agreements have no maturity date, bear no interest, and will be redeemed by the Company upon the occurrence of a triggering event, including an equity financing, public listing transaction, change of control or dissolution. Equity financing is defined as a sale of the Company’s preferred stock at a fixed valuation. In the event of an equity financing, the SAFEs will automatically be redeemed through delivery of a variable number of shares of Company preferred stock equal to the SAFE purchase amount divided by the preferred stock per share issuance price in the equity financing. In the case of the SAFE agreements issued in October 2023, a 10% discount will be applied to the per share issuance price in the equity financing in determining the number of shares of Company preferred stock issued to the investors upon redemption.</w:t>
      </w:r>
    </w:p>
    <w:p>
      <w:pPr>
        <w:spacing w:after="0" w:line="79"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Public listing transaction is defined as a direct listing, initial public offering (“IPO”) of the Company’s common stock, a reverse merger or a SPAC transaction. In any of these instances, the SAFEs will automatically be redeemed through delivery of a variable number of shares of the Company’s common stock determined by dividing the SAFE purchase amount by the offering or conversion price in the respective transaction. In the event of a change in control transaction, the SAFE investors will be entitled to receive a portion of the transaction proceeds equal to the greater of the SAFE purchase amount, payable in cash or other consideration, or the amount payable on the number of shares of the Company’s common stock equal to the SAFE purchase amount divided by the change in control conversion price, as defined in the agreement. In a dissolution event, the investor will automatically be entitled to receive a portion of the dissolution purchase amount equal to the SAFE proceeds.</w:t>
      </w:r>
    </w:p>
    <w:p>
      <w:pPr>
        <w:spacing w:after="0" w:line="7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SAFEs are not in the legal form of an outstanding share or debt and therefore were evaluated under ASC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Equity </w:t>
      </w:r>
      <w:r>
        <w:rPr>
          <w:rFonts w:ascii="Times New Roman" w:cs="Times New Roman" w:eastAsia="Times New Roman" w:hAnsi="Times New Roman"/>
          <w:sz w:val="18"/>
          <w:szCs w:val="18"/>
          <w:color w:val="auto"/>
        </w:rPr>
        <w:t>(“ASC 480”). Because the SAFEs allow for redemption based upon certain triggering events that are outside the Company’s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SAFEs were classified as liabilities pursuant to ASC 480 and initially measured at their fair value upon issuance. In addition, until redemption, the SAFEs are measured at fair value on a recurring basis with subsequent changes in fair value recoded in the Company’s statement of operations and comprehensive loss.</w:t>
      </w:r>
    </w:p>
    <w:p>
      <w:pPr>
        <w:spacing w:after="0" w:line="77"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The SAFEs issued in October 2023 were recognized at their fair value of $10.4 million on the issuance date. The issuance date fair value exceeded the proceeds received by approximately $0.3 million and this difference was recognized as loss at issuance in the consolidated statement of operations and comprehensive loss. The SAFEs issued in December 2023 were recognized at their fair value of approximately $21.4 million on the issuance date. The proceeds received exceeded the issuance date fair value by approximately $2.6 million and this difference was recognized as a capital contribution from the related party investors in additional paid-in capital in the consolidated statement of stockholders’ deficit. The subsequent measurement to the total SAFE liabilities fair value of $32.6 million is recorded in the condensed consolidated statement of operations and comprehensive loss.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82"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160" w:firstLine="423"/>
        <w:spacing w:after="0" w:line="289" w:lineRule="auto"/>
        <w:rPr>
          <w:sz w:val="20"/>
          <w:szCs w:val="20"/>
          <w:color w:val="auto"/>
        </w:rPr>
      </w:pPr>
      <w:r>
        <w:rPr>
          <w:rFonts w:ascii="Times New Roman" w:cs="Times New Roman" w:eastAsia="Times New Roman" w:hAnsi="Times New Roman"/>
          <w:sz w:val="17"/>
          <w:szCs w:val="17"/>
          <w:color w:val="auto"/>
        </w:rPr>
        <w:t>Management has evaluated subsequent events through June 20, 2024, which is the date the unaudited condensed consolidated financial statements were available to be issued, to ensure that these consolidated financial statements include appropriate disclosure of events both recognized in the consolidated financial statements and events which occurred but were not recognized in the consolidated financial statements.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As discussed in Note 1, on January 30, 2024, the Company entered into an Agreement and Plan of Merger and Reorganization (the “Merger Agreement”) with AVROBIO, pursuant to which the subsidiaries of AVROBIO merged with and into the Company on June 20, 2024, with the Company continuing as a wholly owned subsidiary of the surviving corporation of the merger (the “Merger”). The Merger is being accounted for as a reverse recapitalization in accordance with GAAP, with AVROBIO treated as the acquired company for financial reporting purposes, and the Company treated as the accounting acquirer.</w:t>
      </w:r>
    </w:p>
    <w:p>
      <w:pPr>
        <w:spacing w:after="0" w:line="75"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Upon the closing of the Merger, each outstanding share of the Company’s common stock, including outstanding and unvested restricted stock, was converted into the right to receive a number of shares of AVROBIO’s common stock based on the Exchange Ratio, as defined in the Merger Agreement. Each outstanding and unexercised option to purchase shares of the Company’s common stock immediately prior to closing was assumed by AVROBIO and was converted into an option to purchase shares of AVROBIO common stock, with necessary adjustments to the number of shares and exercise price to reflect the Exchange Ratio. All of the Company’s restricted common stock outstanding and unvested immediately prior to the closing that was assumed by AVROBIO in the Merger remains unvested to the same extent and is subject to the same repurchase option, risk of forfeiture or other condition under any applicable restricted stock purchase agreement. </w:t>
      </w:r>
    </w:p>
    <w:p>
      <w:pPr>
        <w:spacing w:after="0" w:line="81" w:lineRule="exact"/>
        <w:rPr>
          <w:sz w:val="20"/>
          <w:szCs w:val="20"/>
          <w:color w:val="auto"/>
        </w:rPr>
      </w:pPr>
    </w:p>
    <w:p>
      <w:pPr>
        <w:ind w:left="560" w:firstLine="423"/>
        <w:spacing w:after="0" w:line="277" w:lineRule="auto"/>
        <w:rPr>
          <w:sz w:val="20"/>
          <w:szCs w:val="20"/>
          <w:color w:val="auto"/>
        </w:rPr>
      </w:pPr>
      <w:r>
        <w:rPr>
          <w:rFonts w:ascii="Times New Roman" w:cs="Times New Roman" w:eastAsia="Times New Roman" w:hAnsi="Times New Roman"/>
          <w:sz w:val="17"/>
          <w:szCs w:val="17"/>
          <w:color w:val="auto"/>
        </w:rPr>
        <w:t>The Company’s stockholders received approximately 10,956,614 shares of AVROBIO common stock in connection with the Merger, including 11,448 shares of AVROBIO common stock subject to vesting terms, based on the number of shares of the Company’s common stock outstanding immediately prior to the Merger, including restricted stock, the number of shares of common stock issued to investors participating in the Subscription Agreements (as defined below) and SAFEs, and the Company’s convertible preferred stock outstanding immediately prior to the Merger, which was converted into shares of the Company’s common stock on a one-for-one basis immediately prior to the closing of the Merger.</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121"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Merger, certain investors of the Company completed the purchase of 7,790,889 shares of the Company’s common stock pursuant to that certain subscription agreement dated January 30, 2024 (the “Subscription Agreement”) at a purchase price of approximately $12.40 per share for an aggregate purchase price of approximately $96.6 million. Shares of the Company’s common stock issued pursuant to the Subscription Agreements were converted into 4,163,606 shares of AVROBIO common stock at the closing of the Merger based on the exchange ratio, pursuant to the Merger Agreement.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60"/>
          </w:cols>
          <w:pgMar w:left="320" w:top="482" w:right="51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 Tectonic Therapeutic,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Tectonic Therapeutic, Inc. and subsidiaries (the “Company”) as of December 31, 2023 and 2022, the related consolidated statements of operations and other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experienced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00"/>
          </w:cols>
          <w:pgMar w:left="320" w:top="482" w:right="4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 — Refer to Notes 2, 3, and 13 to the financial statements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October and December 2023, the Company entered into Simple Agreements for Future Equity (“SAFEs”) with certain existing investors. The SAFEs allow for redemption based upon certain triggering events that are outside of the control of the Company. As disclosed in Note 2 to the financial statements, the Company accounts for the SAFEs as liabilities at fair value on a recurring basis. Triggering events include an equity financing, public listing transaction, change of control or dissolution. On December 31, 2023, the probabilities of an equity financing, public listing transaction, and dissolution were estimated to be 10%, 87.5%, and 2.5%, respectively. The estimated time to redemption was five months for an equity financing or dissolution and four months for a public listing transaction. Changes in fair value are recognized in the Company’s statements of operations and other comprehensive loss. As of December 31, 2023, the Company has recorded SAFE liabilities of $30.5 million.</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identified the valuation of the SAFE liabilities as a critical audit matter due to the level of judgment required by management. This requires a high degree of auditor judgment, subjectivity, and an increased extent of effort in performing procedures to evaluate the reasonableness of management’s estimate, including the need to involve our fair value specialists.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audit procedures related to the valuation of the SAFE liabilities included the following, among others:</w:t>
      </w:r>
    </w:p>
    <w:p>
      <w:pPr>
        <w:spacing w:after="0" w:line="131" w:lineRule="exact"/>
        <w:rPr>
          <w:sz w:val="20"/>
          <w:szCs w:val="20"/>
          <w:color w:val="auto"/>
        </w:rPr>
      </w:pPr>
    </w:p>
    <w:p>
      <w:pPr>
        <w:ind w:left="540" w:hanging="316"/>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and obtained an understanding of the key terms of the SAFE agreements, including the triggering events.</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valuation assumptions, including triggering event probabilities and the estimated time to triggering events, by comparing the assumptions to known and knowable information at the valuation date.</w:t>
      </w:r>
    </w:p>
    <w:p>
      <w:pPr>
        <w:spacing w:after="0" w:line="67" w:lineRule="exact"/>
        <w:rPr>
          <w:rFonts w:ascii="Times New Roman" w:cs="Times New Roman" w:eastAsia="Times New Roman" w:hAnsi="Times New Roman"/>
          <w:sz w:val="18"/>
          <w:szCs w:val="18"/>
          <w:color w:val="auto"/>
        </w:rPr>
      </w:pPr>
    </w:p>
    <w:p>
      <w:pPr>
        <w:ind w:left="540" w:right="460" w:hanging="316"/>
        <w:spacing w:after="0" w:line="282"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(i) the valuation methodology, and (ii) the discount rate, including testing the source information underlying the determination of the discount rate.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12,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080"/>
          </w:cols>
          <w:pgMar w:left="320" w:top="482"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35,966</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37,042</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3,787</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47,209</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5,814</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2,992</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A-1, A-2, A-3 and A-4), $0.0001 par value; 6,825,483 shares authorized as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and 2022; 6,825,483 shares issued and outstanding as of December 31, 2023 and 2022; aggregate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of $87,459 as of December 31, 2023 and 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80,627</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11,947,558 shares authorized as of December 31, 2023 and 2022; 2,634,246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2,525,771 shares issued and outstanding as of December 31, 2023 and 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2,127</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(90,604)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(47,781)</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(84,636)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(45,654)</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39,399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47,209</w:t>
            </w: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40"/>
          </w:cols>
          <w:pgMar w:left="320" w:top="482"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gridSpan w:val="7"/>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36,966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25,654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issuance of SAFEs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2,373,674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1,969,418</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(42,834</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40"/>
          </w:cols>
          <w:pgMar w:left="320" w:top="482"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8"/>
        </w:trPr>
        <w:tc>
          <w:tcPr>
            <w:tcW w:w="3380" w:type="dxa"/>
            <w:vAlign w:val="bottom"/>
          </w:tcPr>
          <w:p>
            <w:pPr>
              <w:spacing w:after="0"/>
              <w:rPr>
                <w:sz w:val="2"/>
                <w:szCs w:val="2"/>
                <w:color w:val="auto"/>
              </w:rPr>
            </w:pPr>
          </w:p>
        </w:tc>
        <w:tc>
          <w:tcPr>
            <w:tcW w:w="1700" w:type="dxa"/>
            <w:vAlign w:val="bottom"/>
            <w:gridSpan w:val="6"/>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22"/>
        </w:trPr>
        <w:tc>
          <w:tcPr>
            <w:tcW w:w="3380" w:type="dxa"/>
            <w:vAlign w:val="bottom"/>
          </w:tcPr>
          <w:p>
            <w:pPr>
              <w:spacing w:after="0"/>
              <w:rPr>
                <w:sz w:val="10"/>
                <w:szCs w:val="10"/>
                <w:color w:val="auto"/>
              </w:rPr>
            </w:pPr>
          </w:p>
        </w:tc>
        <w:tc>
          <w:tcPr>
            <w:tcW w:w="170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80" w:type="dxa"/>
            <w:vAlign w:val="bottom"/>
            <w:gridSpan w:val="3"/>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2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1"/>
                <w:szCs w:val="11"/>
                <w:color w:val="auto"/>
              </w:rPr>
            </w:pPr>
          </w:p>
        </w:tc>
        <w:tc>
          <w:tcPr>
            <w:tcW w:w="700" w:type="dxa"/>
            <w:vAlign w:val="bottom"/>
            <w:gridSpan w:val="2"/>
          </w:tcPr>
          <w:p>
            <w:pPr>
              <w:jc w:val="right"/>
              <w:ind w:right="21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as of January 1, 2022</w:t>
            </w:r>
          </w:p>
        </w:tc>
        <w:tc>
          <w:tcPr>
            <w:tcW w:w="7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3,941,829</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$42,610</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2,297,901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(15,601)</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 preferred stock—net of</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costs of $12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2,883,654</w:t>
            </w:r>
          </w:p>
        </w:tc>
        <w:tc>
          <w:tcPr>
            <w:tcW w:w="16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38,017</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227,486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(32,180)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(32,180)</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December 31, 2022</w:t>
            </w: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6,825,483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80,627</w:t>
            </w:r>
          </w:p>
        </w:tc>
        <w:tc>
          <w:tcPr>
            <w:tcW w:w="2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2,525,771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(47,781)</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108,475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related party investors related</w:t>
            </w: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 SAFEs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(42,823)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(42,823)</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December 31, 2023</w:t>
            </w:r>
          </w:p>
        </w:tc>
        <w:tc>
          <w:tcPr>
            <w:tcW w:w="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6,825,483</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80,627</w:t>
            </w:r>
          </w:p>
        </w:tc>
        <w:tc>
          <w:tcPr>
            <w:tcW w:w="2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2,634,246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5"/>
                <w:szCs w:val="15"/>
                <w:color w:val="auto"/>
                <w:w w:val="71"/>
              </w:rPr>
              <w:t>(11)</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7"/>
              </w:rPr>
              <w:t>(90,604</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40"/>
          </w:cols>
          <w:pgMar w:left="320" w:top="482"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5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(42,823)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(32,180)</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fixed asset disposal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issuance of SAFEs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issuance of common stock for the exchange of license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4,509</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(40,681)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(27,637)</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equipment and improvements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(2,088)</w:t>
            </w:r>
          </w:p>
        </w:tc>
      </w:tr>
      <w:tr>
        <w:trPr>
          <w:trHeight w:val="230"/>
        </w:trPr>
        <w:tc>
          <w:tcPr>
            <w:tcW w:w="7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SAFEs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34,125</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preferred stock - net of issuance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38,017</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7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120" w:type="dxa"/>
            <w:vAlign w:val="bottom"/>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7,903</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28,650</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35,966</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7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equipment through finance leases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 and other current liabilities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40"/>
          </w:cols>
          <w:pgMar w:left="320" w:top="482"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right="5360" w:hanging="444"/>
        <w:spacing w:after="0" w:line="378" w:lineRule="auto"/>
        <w:tabs>
          <w:tab w:leader="none" w:pos="55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Business</w:t>
      </w:r>
    </w:p>
    <w:p>
      <w:pPr>
        <w:ind w:left="560" w:right="60" w:firstLine="423"/>
        <w:spacing w:after="0" w:line="246" w:lineRule="auto"/>
        <w:rPr>
          <w:sz w:val="20"/>
          <w:szCs w:val="20"/>
          <w:color w:val="auto"/>
        </w:rPr>
      </w:pPr>
      <w:r>
        <w:rPr>
          <w:rFonts w:ascii="Times New Roman" w:cs="Times New Roman" w:eastAsia="Times New Roman" w:hAnsi="Times New Roman"/>
          <w:sz w:val="18"/>
          <w:szCs w:val="18"/>
          <w:color w:val="auto"/>
        </w:rPr>
        <w:t>Tectonic Therapeutic, Inc. (“Company”)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(“GPCRs Engineered for Optimal Discovery”), the Company is focused on developing biologic medicines that overcome the existing challenges of GPCR-targeted drug discovery and harness the human body to modify the course of disease. The Company focuses on areas of significant unmet medical need, often where therapeutic options are poor or nonexistent, as these are areas where new medicines have the potential to improve patient quality of life. The Company was incorporated on June 5, 2019 under the laws of the State of Delaware and has its principal headquarters in Watertown, Massachusetts.</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7"/>
          <w:szCs w:val="17"/>
          <w:color w:val="auto"/>
        </w:rPr>
        <w:t>The Company’s proprietary GEODe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560" w:right="140" w:firstLine="423"/>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$90.6 million and has incurred losses and negative cash flows from operations since inception, including a net loss of $42.8 million for the year ended December 31, 2023. To date, the Company has financed its operations primarily through the issuance of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w:t>
      </w:r>
    </w:p>
    <w:p>
      <w:pPr>
        <w:spacing w:after="0" w:line="79"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is seeking to complete a planned reverse merger with AVROBIO, Inc. (“AVROBIO”) (see Note 14). In the event the Company does not complete the reverse merger, the Company plans to seek additional funding through private equity financings, debt financings or other capital sources, including collaboration agreements, strategic alliances and licensing arrangements. The Company may not be able to obtain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00"/>
          </w:cols>
          <w:pgMar w:left="320" w:top="482"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financing on acceptable terms, or at all. Although management continues to pursue these plans, there is no assurance that the Company will be successful in obtaining sufficient funding on terms acceptable to the Company to fund continuing operations, if at all. Management believes that the Company’s cash and cash equivalents of $28.8 million as of December 31, 2023 is not sufficient to maintain its current and planned operations for at least the next twelve months following the issuance date of these consolidated financial statements. Management has concluded that these conditions, in aggregate, raise substantial doubt about the Company’s ability to continue as a going concern.</w:t>
      </w:r>
    </w:p>
    <w:p>
      <w:pPr>
        <w:spacing w:after="0" w:line="75" w:lineRule="exact"/>
        <w:rPr>
          <w:sz w:val="20"/>
          <w:szCs w:val="20"/>
          <w:color w:val="auto"/>
        </w:rPr>
      </w:pPr>
    </w:p>
    <w:p>
      <w:pPr>
        <w:ind w:left="560" w:right="180" w:firstLine="423"/>
        <w:spacing w:after="0" w:line="256" w:lineRule="auto"/>
        <w:rPr>
          <w:sz w:val="20"/>
          <w:szCs w:val="20"/>
          <w:color w:val="auto"/>
        </w:rPr>
      </w:pPr>
      <w:r>
        <w:rPr>
          <w:rFonts w:ascii="Times New Roman" w:cs="Times New Roman" w:eastAsia="Times New Roman" w:hAnsi="Times New Roman"/>
          <w:sz w:val="18"/>
          <w:szCs w:val="18"/>
          <w:color w:val="auto"/>
        </w:rPr>
        <w:t>The Company intends to fund future operations through private and potentially public equity financings, debt financings, collaboration agreements, strategic alliances and licensing arrangements. The availability of sufficient funding to alleviate the conditions that raise substantial doubt are not within management’s control and cannot be assessed as being probable of occurring. If the Company is unable to obtain adequate financing, management will evaluate alternatives, which may include a delay, reduction or elimination of research and development programs, product portfolio expansion or commercialization efforts, which could adversely affect future business prospects, and the ability to continue operations.</w:t>
      </w:r>
    </w:p>
    <w:p>
      <w:pPr>
        <w:spacing w:after="0" w:line="332" w:lineRule="exact"/>
        <w:rPr>
          <w:sz w:val="20"/>
          <w:szCs w:val="20"/>
          <w:color w:val="auto"/>
        </w:rPr>
      </w:pPr>
    </w:p>
    <w:p>
      <w:pPr>
        <w:ind w:left="560" w:right="5860" w:hanging="444"/>
        <w:spacing w:after="0" w:line="378" w:lineRule="auto"/>
        <w:tabs>
          <w:tab w:leader="none" w:pos="55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560" w:right="40" w:firstLine="423"/>
        <w:spacing w:after="0" w:line="289"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GAAP, as found in the Accounting Standards Codification (“ASC”) and Accounting Standards Updates (“ASU”) of the Financial Accounting Standards Board (“FASB”).</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balances and transactions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the fair value determination of the SAFEs and the preferred stock tranche liability settled in 2022.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functional currency of the Company’s wholly-owned foreign subsidiary in Australia is Australian Dollars.</w:t>
      </w:r>
    </w:p>
    <w:p>
      <w:pPr>
        <w:spacing w:after="0" w:line="117"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Accounts and transactions denominated in currencies other than an entity’s functional currency are remeasured into the functional currency using the appropriate foreign exchange rate in accordance with FASB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All foreign currency transaction gains and losses arising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00"/>
          </w:cols>
          <w:pgMar w:left="320" w:top="482" w:right="4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560" w:right="400"/>
        <w:spacing w:after="0" w:line="289" w:lineRule="auto"/>
        <w:rPr>
          <w:sz w:val="20"/>
          <w:szCs w:val="20"/>
          <w:color w:val="auto"/>
        </w:rPr>
      </w:pPr>
      <w:r>
        <w:rPr>
          <w:rFonts w:ascii="Times New Roman" w:cs="Times New Roman" w:eastAsia="Times New Roman" w:hAnsi="Times New Roman"/>
          <w:sz w:val="17"/>
          <w:szCs w:val="17"/>
          <w:color w:val="auto"/>
        </w:rPr>
        <w:t>from transactions denominated in foreign currencies are recorded in the statements of operations and comprehensive loss as other income or expenses. The financial statements of the Australian subsidiary will be translated into the Company’s U.S. dollar reporting currency at each reporting date, and the translation adjustments will be recognized as an unrealized gain or loss within the cumulative translation adjustment.</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Company considered the Company’s organizational structure and the information regularly reviewed and evaluated by the Company’s chief operating decision maker (“CODM”) when deciding how to allocate resources and assess performance. The Company has determined that its CODM is its Chief Executive Officer. The CODM reviews the financial information on a consolidated basis for purposes of evaluating financial performance and allocating resources. On the basis of this factor, the Company determined that it operates and manages its business as a single operating segment.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60" w:right="720" w:firstLine="423"/>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As of December 31, 2023, cash equivalents were comprised primarily of money market funds.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60" w:right="200" w:firstLine="423"/>
        <w:spacing w:after="0" w:line="258" w:lineRule="auto"/>
        <w:rPr>
          <w:sz w:val="20"/>
          <w:szCs w:val="20"/>
          <w:color w:val="auto"/>
        </w:rPr>
      </w:pPr>
      <w:r>
        <w:rPr>
          <w:rFonts w:ascii="Times New Roman" w:cs="Times New Roman" w:eastAsia="Times New Roman" w:hAnsi="Times New Roman"/>
          <w:sz w:val="18"/>
          <w:szCs w:val="18"/>
          <w:color w:val="auto"/>
        </w:rPr>
        <w:t>The Company classifies all cash whose use is limited by contractual provisions as restricted cash. Restricted cash arises from the requirement for the Company to maintain cash of $0.6 million as collateral in connection with a letter of credit issued with the corporate headquarters and lab space lease agreement entered into on November 19, 2020 and may not access these funds until after the expiration of the initial lease term on December 31, 2025. The Company has classified the certificate of deposits collateralizing the letter of credits issued as a security deposit as restricted cash in the noncurrent asset section of the balance sheets.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left="560" w:right="100" w:firstLine="423"/>
        <w:spacing w:after="0" w:line="289" w:lineRule="auto"/>
        <w:rPr>
          <w:sz w:val="20"/>
          <w:szCs w:val="20"/>
          <w:color w:val="auto"/>
        </w:rPr>
      </w:pPr>
      <w:r>
        <w:rPr>
          <w:rFonts w:ascii="Times New Roman" w:cs="Times New Roman" w:eastAsia="Times New Roman" w:hAnsi="Times New Roman"/>
          <w:sz w:val="17"/>
          <w:szCs w:val="17"/>
          <w:color w:val="auto"/>
        </w:rPr>
        <w:t>Deferred offering costs consist of direct legal, accounting and other fees and costs directly attributable to the Company’s proposed Merger (see Note 14). The Company capitalized deferred offering costs incurred prior to the close of the Merger which are included in deferred offering costs within the consolidated balance sheet as of December 31, 2023. The deferred offering costs were $0.7 million as of December 31, 2023.</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Periodically, the Company maintains deposits in accredited financial institutions in excess of governmental insured limits. The Company deposits its cash and cash equivalents in financial institutions that it believes have a high credit quality and have not experienced any losses on such accounts and does not believe it is exposed to any unusual credit risk beyond the normal credit risk associated with commercial banking relationships.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Improvements</w:t>
      </w:r>
    </w:p>
    <w:p>
      <w:pPr>
        <w:spacing w:after="0" w:line="121" w:lineRule="exact"/>
        <w:rPr>
          <w:sz w:val="20"/>
          <w:szCs w:val="20"/>
          <w:color w:val="auto"/>
        </w:rPr>
      </w:pPr>
    </w:p>
    <w:p>
      <w:pPr>
        <w:ind w:left="560" w:right="200" w:firstLine="423"/>
        <w:spacing w:after="0" w:line="266" w:lineRule="auto"/>
        <w:rPr>
          <w:sz w:val="20"/>
          <w:szCs w:val="20"/>
          <w:color w:val="auto"/>
        </w:rPr>
      </w:pPr>
      <w:r>
        <w:rPr>
          <w:rFonts w:ascii="Times New Roman" w:cs="Times New Roman" w:eastAsia="Times New Roman" w:hAnsi="Times New Roman"/>
          <w:sz w:val="18"/>
          <w:szCs w:val="18"/>
          <w:color w:val="auto"/>
        </w:rPr>
        <w:t>Property, equipment and improvements are stated at cost less accumulated depreciation. Depreciation is calculated using the straight-line method over the estimated useful life of each asset. Construction in process is capitalized and once the asset is operational, the Company will commence depreciation of the asset.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40"/>
          </w:cols>
          <w:pgMar w:left="320" w:top="482" w:right="5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recognized. Expenditures for major renewals and improvements that extend the useful life of the asset are capitalized as part of the asset. Expenditures for repairs and maintenance are expensed as incurred.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estimated useful lives for property and equipment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3820" w:type="dxa"/>
            <w:vAlign w:val="bottom"/>
            <w:vMerge w:val="continue"/>
          </w:tcPr>
          <w:p>
            <w:pPr>
              <w:spacing w:after="0"/>
              <w:rPr>
                <w:sz w:val="16"/>
                <w:szCs w:val="16"/>
                <w:color w:val="auto"/>
              </w:rPr>
            </w:pPr>
          </w:p>
        </w:tc>
        <w:tc>
          <w:tcPr>
            <w:tcW w:w="3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the lease term or 10 years</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right="160" w:firstLine="423"/>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equipment and improvements, for impairment whenever events or changes in circumstances indicate that the carrying amount of such assets may not be recoverable. The carrying amount of a long-lived asset is not recoverable if it exceeds the sum of the undiscounted cash flows expected to result from the use and eventual disposition of the asset. If the carrying amount of the asset is not recoverable, an impairment will be recognized and measured as the amount by which the carrying amount of the asset exceeds its fair value. No impairments were identified during the years ended December 31, 2023 and 2022.</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Market participants are independent buyers or sellers in the principal (or most advantageous) market for the asset or liability. Fair value measurements are categorized into a three-tier hierarchy on the basis of the inputs to valuation techniques used to measure fair value. The hierarchy gives the highest priority to unadjusted quoted prices in active markets for identical assets or liabilities (Level 1) and the lowest priority to unobservable inputs (Level 3).</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27" w:lineRule="exact"/>
        <w:rPr>
          <w:sz w:val="20"/>
          <w:szCs w:val="20"/>
          <w:color w:val="auto"/>
        </w:rPr>
      </w:pPr>
    </w:p>
    <w:p>
      <w:pPr>
        <w:ind w:left="1080" w:right="200" w:hanging="424"/>
        <w:spacing w:after="0" w:line="28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—Unadjusted quoted prices in active markets for identical, unrestricted assets or liabilities that are accessible at the measurement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w:t>
      </w:r>
    </w:p>
    <w:p>
      <w:pPr>
        <w:spacing w:after="0" w:line="6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—Quoted prices for similar assets or liabilities in active markets, quoted prices for identical or similar asset or liabilities in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not active or valuations with significant inputs other than quoted prices that are observable, either directly or indirectly; and,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—Prices or valuations that require inputs that are both significant to the fair value measurement and unobservable.</w:t>
      </w:r>
    </w:p>
    <w:p>
      <w:pPr>
        <w:spacing w:after="0" w:line="121" w:lineRule="exact"/>
        <w:rPr>
          <w:sz w:val="20"/>
          <w:szCs w:val="20"/>
          <w:color w:val="auto"/>
        </w:rPr>
      </w:pPr>
    </w:p>
    <w:p>
      <w:pPr>
        <w:ind w:left="560" w:right="80" w:firstLine="423"/>
        <w:spacing w:after="0" w:line="282" w:lineRule="auto"/>
        <w:rPr>
          <w:sz w:val="20"/>
          <w:szCs w:val="20"/>
          <w:color w:val="auto"/>
        </w:rPr>
      </w:pPr>
      <w:r>
        <w:rPr>
          <w:rFonts w:ascii="Times New Roman" w:cs="Times New Roman" w:eastAsia="Times New Roman" w:hAnsi="Times New Roman"/>
          <w:sz w:val="18"/>
          <w:szCs w:val="18"/>
          <w:color w:val="auto"/>
        </w:rPr>
        <w:t>Financial instruments are categorized in their entirety in the same level of the fair value hierarchy as the lowest level input that is significant to the entire fair value measurement.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60" w:right="260" w:firstLine="423"/>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costs incurred for the development of the proprietary platform and product candidates and include (1) expenses incurred under agreements with third parties and contract research organizations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82"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(“CROs”), (2) costs to acquire and develop supplies for research, (3) salaries and related costs, including stock-based compensation,</w:t>
      </w:r>
    </w:p>
    <w:p>
      <w:pPr>
        <w:spacing w:after="0" w:line="27" w:lineRule="exact"/>
        <w:rPr>
          <w:sz w:val="20"/>
          <w:szCs w:val="20"/>
          <w:color w:val="auto"/>
        </w:rPr>
      </w:pPr>
    </w:p>
    <w:p>
      <w:pPr>
        <w:ind w:left="560" w:right="300" w:hanging="4"/>
        <w:spacing w:after="0" w:line="253" w:lineRule="auto"/>
        <w:tabs>
          <w:tab w:leader="none" w:pos="8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facility-related and overhead expenses, (5) licensing and license maintenance fees incurred under license option and license agreements where no alternative future use exists, and (6) costs related to compliance with regulatory requirements. The Company recognizes external research and development costs based on an evaluation of the progress to completion of specific tasks using information provided from the Company’s contracted service providers.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Costs</w:t>
      </w:r>
    </w:p>
    <w:p>
      <w:pPr>
        <w:spacing w:after="0" w:line="121"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Substantial portions of the Company’s research are performed by third-party laboratories, CROs and other vendors. These vendors generally bill monthly for services performed, or bill based upon milestone achievement. The Company accrues expenses based upon estimates of percentage of work completed and the contract milestones remaining. On occasion, the Company is obligated to make upfront payments upon execution of research and development agreements. Advance payments, including nonrefundable amounts, for goods or services that will be used or rendered for future research and development activities are capitalized as prepaid expenses until such goods are delivered or the related services are performed. The Company estimates the period over which such services will be performed based on the terms of the agreements as well as the level of effort to be expended in each period. Since inception, the Company has not experienced any material differences between the actual and estimated timing of performance or level of effort.</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560" w:firstLine="423"/>
        <w:spacing w:after="0" w:line="269" w:lineRule="auto"/>
        <w:rPr>
          <w:sz w:val="20"/>
          <w:szCs w:val="20"/>
          <w:color w:val="auto"/>
        </w:rPr>
      </w:pPr>
      <w:r>
        <w:rPr>
          <w:rFonts w:ascii="Times New Roman" w:cs="Times New Roman" w:eastAsia="Times New Roman" w:hAnsi="Times New Roman"/>
          <w:sz w:val="17"/>
          <w:szCs w:val="17"/>
          <w:color w:val="auto"/>
        </w:rPr>
        <w:t xml:space="preserve">Effective January 1, 2022, the Company adopted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and elected to apply the modified retrospective transition approach using the effective date as the initial date of application. ASC 842 requires that lessees recognize leases with a term greater than twelve months on the balance sheet. The Company’s existing capital leases will now be referred to as finance leases. The Company’s existing operating sublease arrangement in which it is the sublessor will remain off balance sheet and lease income will continue to be recognized on a straight-lined basis. ASC 842 provided a number of optional practical expedients in transition. The Company applied the package of three practical expedients to leases that commenced prior to the January 1, 2022. Use of these practical expedients allowed the Company not to reassess:</w:t>
      </w:r>
    </w:p>
    <w:p>
      <w:pPr>
        <w:spacing w:after="0" w:line="2" w:lineRule="exact"/>
        <w:rPr>
          <w:sz w:val="20"/>
          <w:szCs w:val="20"/>
          <w:color w:val="auto"/>
        </w:rPr>
      </w:pPr>
    </w:p>
    <w:p>
      <w:pPr>
        <w:ind w:left="560" w:right="220" w:hanging="4"/>
        <w:spacing w:after="0" w:line="260" w:lineRule="auto"/>
        <w:tabs>
          <w:tab w:leader="none" w:pos="7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expired or existing contracts were or contained leases; (ii) the lease classification for any expired or existing leases; and (iii) the treatment of initial direct costs for existing leases.</w:t>
      </w:r>
    </w:p>
    <w:p>
      <w:pPr>
        <w:spacing w:after="0" w:line="73"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On January 1, 2022, the Company recorded operating lease liabilities and their corresponding right-of-use (“ROU”) assets based on the present value of lease payments over the remaining lease term. The Company used its incremental borrowing rate (“IBR”) on January 1, 2022, to calculate the present value of the Company’s leases. The IBR approximates the rate of interest the Company would have to pay to borrow on a collateralized basis over a similar term. The determination of the appropriate IBR was dependent on several factors, including the economic environment, the amount of the borrowing, the Company’s estimated credit rating and the lease term at the time of measurement. The Company’s unsecured credit rating was estimated via a synthetic credit rating model which included fundamental analysis. The Company’s unsecured credit rating was then adjusted upward using a notching technique to reflect collateralization.</w:t>
      </w:r>
    </w:p>
    <w:p>
      <w:pPr>
        <w:spacing w:after="0" w:line="81"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For leases entered into after January 1, 2022, the Company applies the guidance in ASC 842, and determines whether an arrangement is or contains a lease at inception. A contract is or contains a lease if the contract conveys the right to control the use of an identified asset for a period of time in exchange for consideration. The Company classifies a lease at the lease commencement date, when control of the underlying asset is transferred from the lessor to the lessee, as an operating or finance lease and records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82"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560" w:right="260"/>
        <w:spacing w:after="0" w:line="266" w:lineRule="auto"/>
        <w:rPr>
          <w:sz w:val="20"/>
          <w:szCs w:val="20"/>
          <w:color w:val="auto"/>
        </w:rPr>
      </w:pPr>
      <w:r>
        <w:rPr>
          <w:rFonts w:ascii="Times New Roman" w:cs="Times New Roman" w:eastAsia="Times New Roman" w:hAnsi="Times New Roman"/>
          <w:sz w:val="18"/>
          <w:szCs w:val="18"/>
          <w:color w:val="auto"/>
        </w:rPr>
        <w:t>ROU asset and a lease liability on the consolidated balance sheet for any lease with a lease term greater than twelve months. The Company has elected the practical expedient to not recognize leases with a lease term of twelve months or less on the balance sheet (“short-term leases”) and will recognize lease payments for such short-term leases as an expense on a straight-line basis.</w:t>
      </w:r>
    </w:p>
    <w:p>
      <w:pPr>
        <w:spacing w:after="0" w:line="68" w:lineRule="exact"/>
        <w:rPr>
          <w:sz w:val="20"/>
          <w:szCs w:val="20"/>
          <w:color w:val="auto"/>
        </w:rPr>
      </w:pPr>
    </w:p>
    <w:p>
      <w:pPr>
        <w:ind w:left="560" w:right="160" w:firstLine="423"/>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items such as maintenance, utilities, or other operating costs. The Company has elected to combine the lease and associated non-lease components in its lease arrangements as a single lease component for all real estate and equipment leases. Variable lease costs, such as utilities or maintenance costs, are not included in the measurement of ROU assets and lease liabilities, but rather are expensed when the events determining the amount of variable lease consideration to be paid occurs.</w:t>
      </w:r>
    </w:p>
    <w:p>
      <w:pPr>
        <w:spacing w:after="0" w:line="75"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For lease arrangements in which the Company is a lessee, finance and operating ROU assets and liabilities are recognized at the lease commencement date based on the present value of the lease payments over the lease term determined using the discount rate implicit in the lease if readily determinable. When the rate implicit in the lease is not readily determinable, the Company utilizes its IBR, which is determined on the basis of information that is available at the lease commencement date. ROU assets are further adjusted for items such as initial direct costs, prepaid rent, or lease incentives. Operating lease costs are expensed using the straight-line method as an operating expense over the lease term unless the operating lease ROU asset has been impaired.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between (i) a portion that is recorded as interest expense and (ii) a portion that reduces the finance lease liability associated with the lease.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21"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SAFE instruments do not represent legal form debt (i.e., no creditor rights), but allow for redemption based upon certain triggering events that are outside of the control of the Company. The Company accounts for a SAFE as a liability at fair value on a recurring basis. Triggering events include an equity financing, public listing transaction, change of control or dissolution. Changes in the liability’s fair value are recognized in the Company’s statements of operations and comprehensive loss.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Company classifies convertible preferred stock outside of stockholders’ deficit on the consolidated balance sheets as it is redeemable upon the occurrence of a Deemed Liquidation Event, as defined below, that is not strictly within the Company’s control. The issuance of convertible preferred stock is recorded at the issuance price less any amounts allocated to freestanding liabilities associated with the issuance and related allocable issuance costs. The carrying values of the convertible preferred stock have not been adjusted to their liquidation preferences because it is not considered probable that a Deemed Liquidation Event will occur and make such stock redeemable.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which is generally equal to the vesting period, using the straight-line method. For stock options with performance conditions, the Company records stock-based compensation expense when it is deemed probable that the performance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82"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140"/>
        <w:spacing w:after="0" w:line="273" w:lineRule="auto"/>
        <w:rPr>
          <w:sz w:val="20"/>
          <w:szCs w:val="20"/>
          <w:color w:val="auto"/>
        </w:rPr>
      </w:pPr>
      <w:r>
        <w:rPr>
          <w:rFonts w:ascii="Times New Roman" w:cs="Times New Roman" w:eastAsia="Times New Roman" w:hAnsi="Times New Roman"/>
          <w:sz w:val="17"/>
          <w:szCs w:val="17"/>
          <w:color w:val="auto"/>
        </w:rPr>
        <w:t>condition will be met. The Company uses the Black-Scholes-Merton (“BSM”) option-pricing model to determine the fair value of stock options. The BSM option-pricing model requires the use of assumptions to determine the fair value of the stock options. The fair value of the shares of common stock underlying stock options has historically been determined by the Board of Directors (“Board”), with input from management and contemporaneous third-party valuations, as there was no public market for the common stock. Given the absence of a public market for the Company’s common stock, and in accordance with the American Institute of Certified Public Accountants Practice Aid, Valuation of Privately Held Company Equity Securities Issued as Compensation, the Board exercised reasonable judgment and considered numerous objective and subjective factors to determine the best estimate of the fair value of the Company’s common stock at each stock option grant date.</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calculates the fair value of stock options granted by using the BSM option-pricing model with the following assumptions:</w:t>
      </w:r>
    </w:p>
    <w:p>
      <w:pPr>
        <w:spacing w:after="0" w:line="115" w:lineRule="exact"/>
        <w:rPr>
          <w:sz w:val="20"/>
          <w:szCs w:val="20"/>
          <w:color w:val="auto"/>
        </w:rPr>
      </w:pPr>
    </w:p>
    <w:p>
      <w:pPr>
        <w:ind w:left="1100"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estimated volatility is determined by evaluating the average historical volatility of a peer group of companies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preceding the stock option grant for a term that is approximately equal to the stock options’ expected term.</w:t>
      </w:r>
    </w:p>
    <w:p>
      <w:pPr>
        <w:spacing w:after="0" w:line="50" w:lineRule="exact"/>
        <w:rPr>
          <w:sz w:val="20"/>
          <w:szCs w:val="20"/>
          <w:color w:val="auto"/>
        </w:rPr>
      </w:pPr>
    </w:p>
    <w:p>
      <w:pPr>
        <w:ind w:left="1100" w:right="20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life represents the period of time that the stock options are expected to be outstanding. Because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have substantial historical exercise behavior, it determines the expected life assumption using the simplified method, for employees and nonemployees, which is an average of the contractual term of the stock option and its vesting period.</w:t>
      </w:r>
    </w:p>
    <w:p>
      <w:pPr>
        <w:spacing w:after="0" w:line="65" w:lineRule="exact"/>
        <w:rPr>
          <w:sz w:val="20"/>
          <w:szCs w:val="20"/>
          <w:color w:val="auto"/>
        </w:rPr>
      </w:pPr>
    </w:p>
    <w:p>
      <w:pPr>
        <w:ind w:left="1100" w:right="14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implied yield currently available on U.S. Treasury zero-coupon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term that is equal to the stock options’ expected term at the grant date.</w:t>
      </w:r>
    </w:p>
    <w:p>
      <w:pPr>
        <w:spacing w:after="0" w:line="50" w:lineRule="exact"/>
        <w:rPr>
          <w:sz w:val="20"/>
          <w:szCs w:val="20"/>
          <w:color w:val="auto"/>
        </w:rPr>
      </w:pPr>
    </w:p>
    <w:p>
      <w:pPr>
        <w:ind w:left="1100" w:right="140"/>
        <w:spacing w:after="0" w:line="284"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has not declared or paid dividends to date and does not anticipate declaring dividends for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As such, the dividend yield is estimated to be zero.</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Forfeitures</w:t>
      </w:r>
      <w:r>
        <w:rPr>
          <w:rFonts w:ascii="Times New Roman" w:cs="Times New Roman" w:eastAsia="Times New Roman" w:hAnsi="Times New Roman"/>
          <w:sz w:val="18"/>
          <w:szCs w:val="18"/>
          <w:color w:val="auto"/>
        </w:rPr>
        <w:t>—The Company records forfeitures as they occur.</w:t>
      </w:r>
    </w:p>
    <w:p>
      <w:pPr>
        <w:spacing w:after="0" w:line="11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purchase price of restricted common stock granted to founders, employees and consultants is the estimated fair value on the grant date and is subject to various vesting schedules. Unvested restricted common stock are subject to repurchase rights held by the Company at the original issuance price in the event the restricted common stockholders’ service to the Company is terminated either voluntarily or involuntarily. The associated liability is classified in accrued expenses and other current liabilities in the consolidated balance sheets. The balance of this liability as of December 31, 2023 and 2022 is immaterial.</w:t>
      </w:r>
    </w:p>
    <w:p>
      <w:pPr>
        <w:spacing w:after="0" w:line="75" w:lineRule="exact"/>
        <w:rPr>
          <w:sz w:val="20"/>
          <w:szCs w:val="20"/>
          <w:color w:val="auto"/>
        </w:rPr>
      </w:pPr>
    </w:p>
    <w:p>
      <w:pPr>
        <w:jc w:val="both"/>
        <w:ind w:left="560" w:right="540" w:firstLine="423"/>
        <w:spacing w:after="0" w:line="266" w:lineRule="auto"/>
        <w:rPr>
          <w:sz w:val="20"/>
          <w:szCs w:val="20"/>
          <w:color w:val="auto"/>
        </w:rPr>
      </w:pPr>
      <w:r>
        <w:rPr>
          <w:rFonts w:ascii="Times New Roman" w:cs="Times New Roman" w:eastAsia="Times New Roman" w:hAnsi="Times New Roman"/>
          <w:sz w:val="18"/>
          <w:szCs w:val="18"/>
          <w:color w:val="auto"/>
        </w:rPr>
        <w:t>All stock-based compensation expense is recorded in research and development expense or general and administrative expense in the consolidated statements of operations and comprehensive loss, on the basis of the respective employee and nonemployee’s role within the Company.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560" w:right="160" w:firstLine="423"/>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the recognition of deferred tax assets and liabilities for the expected future tax consequences of events that have been included in the financial statements. Under this method, the Company determined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00"/>
          </w:cols>
          <w:pgMar w:left="320" w:top="482" w:right="4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75"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Related parties are directly or indirectly related to the Company, through one or more intermediaries and are in control, controlled by, or under common control with the Company. Related parties also include principal owners of the Company, its management, members of the immediate families of principal owners of the Company and its management, and other parties with which the Company may transact with if one party controls or can significantly influence the management or operating policies of the other to an extent that one of the transacting parties might be prevented from fully pursuing its own separate interests. The Board reviews and approves transactions with directors, officers and holders of 5% or more of the Company’s voting securities and their affiliates or their family members. The material facts as to the related party’s relationship or interest in the transaction are disclosed to the Board prior to its consideration of such transaction, and the transaction is not considered approved by the Board unless a majority of the directors who are not interested in the transaction approve the transaction.</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when computing earnings per share attributable to common stockholders as the Company has issued securities that meet the definition of participating securities. The two-class method determines earnings per share for each class of common and participating securities according to dividends declared or accumulated in the current period and participation rights in undistributed earnings. The Company considers its convertible preferred stock and SAFEs to be participating securities as, in the event a dividend is paid on common stock, the holders of convertible preferred stock and SAFEs would be entitled to receive dividends on a basis consistent with the common stockholders. There is no allocation required under the two-class method during periods of loss since the participating securities do not have a contractual obligation to share in the losses of the Company.</w:t>
      </w:r>
    </w:p>
    <w:p>
      <w:pPr>
        <w:spacing w:after="0" w:line="8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excluding potentially dilutive common shares. Diluted net loss per share attributable to common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40"/>
          </w:cols>
          <w:pgMar w:left="320" w:top="482"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stockholders is computed by adjusting net loss attributable to common stockholders to reallocate earnings based on the potential impact of dilutive securities. Diluted net loss per share attributable to common stockholders is computed by dividing the diluted net loss attributable to common stockholders by the weighted-average number of common shares outstanding for the period, including potential dilutive common shares. For purposes of this calculation, the Company’s outstanding convertible preferred stock, stock options, unvested restricted common stock and the SAFEs are considered potential dilutive common shares.</w:t>
      </w:r>
    </w:p>
    <w:p>
      <w:pPr>
        <w:spacing w:after="0" w:line="75"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Company generated a net loss for each of the years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consolidated financial statements upon adoption.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 Not Yet Adopted</w:t>
      </w:r>
    </w:p>
    <w:p>
      <w:pPr>
        <w:spacing w:after="0" w:line="119"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470-20) and 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Contracts in an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ASU 2020-06 simplifies the accounting for convertible instruments by reducing the number of accounting models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not carried at fair value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is in the process of evaluating the impact of the adoption of ASU 2020-06 will have on the consolidated financial statements and disclosures.</w:t>
      </w:r>
    </w:p>
    <w:p>
      <w:pPr>
        <w:spacing w:after="0" w:line="82" w:lineRule="exact"/>
        <w:rPr>
          <w:sz w:val="20"/>
          <w:szCs w:val="20"/>
          <w:color w:val="auto"/>
        </w:rPr>
      </w:pPr>
    </w:p>
    <w:p>
      <w:pPr>
        <w:ind w:left="560" w:right="140" w:firstLine="423"/>
        <w:spacing w:after="0" w:line="271"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(Topic 280) (“ASU 2023-07”), which enhances the segment disclosure requirements for public entities on an annual and interim basis. Under ASU 2023-07, public entities will be required to disclose significant segment expenses that are regularly provided to the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consolidated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82"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2" w:lineRule="exact"/>
        <w:rPr>
          <w:sz w:val="20"/>
          <w:szCs w:val="20"/>
          <w:color w:val="auto"/>
        </w:rPr>
      </w:pPr>
    </w:p>
    <w:p>
      <w:pPr>
        <w:ind w:left="560" w:right="30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consolidated financial statements.</w:t>
      </w:r>
    </w:p>
    <w:p>
      <w:pPr>
        <w:spacing w:after="0" w:line="330"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27,278</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$ 27,278</w:t>
            </w:r>
          </w:p>
        </w:tc>
      </w:tr>
      <w:tr>
        <w:trPr>
          <w:trHeight w:val="223"/>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$ 27,278</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30,515</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$ 30,515</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30,515</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$ 30,515</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33,640</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$ 33,640</w:t>
            </w:r>
          </w:p>
        </w:tc>
      </w:tr>
      <w:tr>
        <w:trPr>
          <w:trHeight w:val="223"/>
        </w:trPr>
        <w:tc>
          <w:tcPr>
            <w:tcW w:w="6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$ 33,640</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60" w:firstLine="423"/>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Company’s cash equivalents, which were invested in money market funds, were valued based on Level 1 inputs.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(see Note 13). The SAFE liabilities are included within the Level 3 fair value hierarchy. The SAFE liabilities were valued using a probability weighted scenario analysis and discount rates derived by application of the build-up method to reflect the cost of equity. The valuation model requires a variety of inputs, including the probability of occurrence of events that would trigger conversion or redemption of the SAFEs, the expected timing of such events, and a discount rate.</w:t>
      </w:r>
    </w:p>
    <w:p>
      <w:pPr>
        <w:spacing w:after="0" w:line="75" w:lineRule="exact"/>
        <w:rPr>
          <w:sz w:val="20"/>
          <w:szCs w:val="20"/>
          <w:color w:val="auto"/>
        </w:rPr>
      </w:pPr>
    </w:p>
    <w:p>
      <w:pPr>
        <w:ind w:left="560" w:right="160" w:firstLine="423"/>
        <w:spacing w:after="0" w:line="258" w:lineRule="auto"/>
        <w:rPr>
          <w:sz w:val="20"/>
          <w:szCs w:val="20"/>
          <w:color w:val="auto"/>
        </w:rPr>
      </w:pPr>
      <w:r>
        <w:rPr>
          <w:rFonts w:ascii="Times New Roman" w:cs="Times New Roman" w:eastAsia="Times New Roman" w:hAnsi="Times New Roman"/>
          <w:sz w:val="18"/>
          <w:szCs w:val="18"/>
          <w:color w:val="auto"/>
        </w:rPr>
        <w:t>The valuation of the SAFE liabilities as of December 31, 2023, was determined based on a probability-weighted scenario analysis that assumed the probabilities of the occurrence of an equity financing, public listing transaction and dissolution to be 10.0%, 87.5% and 2.5% respectively. The estimated time to redemption used was five months for an equity financing and dissolution and four months for a public listing transaction. The valuation used a discount rate of 30.2% to approximate the cost of equity, which was derived from application of a build-up method that incorporated the risk-free rate at the valuation date,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82"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560" w:right="20"/>
        <w:spacing w:after="0" w:line="272" w:lineRule="auto"/>
        <w:rPr>
          <w:sz w:val="20"/>
          <w:szCs w:val="20"/>
          <w:color w:val="auto"/>
        </w:rPr>
      </w:pPr>
      <w:r>
        <w:rPr>
          <w:rFonts w:ascii="Times New Roman" w:cs="Times New Roman" w:eastAsia="Times New Roman" w:hAnsi="Times New Roman"/>
          <w:sz w:val="17"/>
          <w:szCs w:val="17"/>
          <w:color w:val="auto"/>
        </w:rPr>
        <w:t>adjustments to reflect market risk, a small stock premium, and a selected company-specific risk premium. The valuation of the SAFE liabilities at the October issuance date was determined using the same methodology; however, the discount rate was 30.9% due the higher risk-free rate at the valuation date. In October 2023, the probabilities of the occurrence of an equity financing, public listing transaction and dissolution used were</w:t>
      </w:r>
    </w:p>
    <w:p>
      <w:pPr>
        <w:spacing w:after="0" w:line="2" w:lineRule="exact"/>
        <w:rPr>
          <w:sz w:val="20"/>
          <w:szCs w:val="20"/>
          <w:color w:val="auto"/>
        </w:rPr>
      </w:pPr>
    </w:p>
    <w:p>
      <w:pPr>
        <w:ind w:left="560"/>
        <w:spacing w:after="0" w:line="260" w:lineRule="auto"/>
        <w:rPr>
          <w:sz w:val="20"/>
          <w:szCs w:val="20"/>
          <w:color w:val="auto"/>
        </w:rPr>
      </w:pPr>
      <w:r>
        <w:rPr>
          <w:rFonts w:ascii="Times New Roman" w:cs="Times New Roman" w:eastAsia="Times New Roman" w:hAnsi="Times New Roman"/>
          <w:sz w:val="18"/>
          <w:szCs w:val="18"/>
          <w:color w:val="auto"/>
        </w:rPr>
        <w:t>87.5%, 10.0%, and 2.5%, respectively. The estimated time to redemption used was 1.5 months for an equity financing and 5.5 months for a public listing transaction and dissolution.</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Liability</w:t>
      </w:r>
    </w:p>
    <w:p>
      <w:pPr>
        <w:spacing w:after="0" w:line="121"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The fair value of the preferred stock tranche liability was based on significant inputs not observable in the market and is a Level 3 measurement within the fair value hierarchy. The valuations were made using Black-Scholes-Merton pricing model with inputs based on certain subjective assumptions, including (a) estimated conversion dates, (b) expected stock price volatility, (c) a risk-free interest rates and (d) implied debt yields.</w:t>
      </w:r>
    </w:p>
    <w:p>
      <w:pPr>
        <w:spacing w:after="0" w:line="72"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The fair value of the preferred stock tranche liability was determined at the issuance of the Preferred Stock, as defined below, in 2021 and re-measured at each balance sheet date until its settlement in September 2022. Accordingly, there was no outstanding preferred stock tranche liability as of December 31, 2022.</w:t>
      </w:r>
    </w:p>
    <w:p>
      <w:pPr>
        <w:spacing w:after="0" w:line="68"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for the preferred stock tranche liability and the SAFE liabilities that were measured at fair value using significant unobservable Level 3 inputs during the years ended December 31, 2023 and 2022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SAFE Liabilities</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Tranche Liability</w:t>
            </w: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643</w:t>
            </w:r>
          </w:p>
        </w:tc>
        <w:tc>
          <w:tcPr>
            <w:tcW w:w="1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420" w:type="dxa"/>
            <w:vAlign w:val="bottom"/>
          </w:tcPr>
          <w:p>
            <w:pPr>
              <w:spacing w:after="0"/>
              <w:rPr>
                <w:sz w:val="19"/>
                <w:szCs w:val="19"/>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(643)</w:t>
            </w:r>
          </w:p>
        </w:tc>
        <w:tc>
          <w:tcPr>
            <w:tcW w:w="3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420" w:type="dxa"/>
            <w:vAlign w:val="bottom"/>
          </w:tcPr>
          <w:p>
            <w:pPr>
              <w:spacing w:after="0"/>
              <w:rPr>
                <w:sz w:val="18"/>
                <w:szCs w:val="18"/>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31,515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w:t>
            </w:r>
          </w:p>
        </w:tc>
        <w:tc>
          <w:tcPr>
            <w:tcW w:w="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4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no transfers between the Level 1, Level 2 or Level 3 categories during the years ended December 31, 2023 and 2022.</w:t>
      </w:r>
    </w:p>
    <w:p>
      <w:pPr>
        <w:spacing w:after="0" w:line="370"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IMPROVEMENTS, NET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equipment and improvements, net is comprised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7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$ 4,510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244</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3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9"/>
                <w:szCs w:val="19"/>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(1,856)</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3,608</w:t>
            </w: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4380" w:type="dxa"/>
            <w:vAlign w:val="bottom"/>
            <w:gridSpan w:val="3"/>
          </w:tcPr>
          <w:p>
            <w:pPr>
              <w:jc w:val="right"/>
              <w:ind w:right="3160"/>
              <w:spacing w:after="0"/>
              <w:rPr>
                <w:sz w:val="20"/>
                <w:szCs w:val="20"/>
                <w:color w:val="auto"/>
              </w:rPr>
            </w:pPr>
            <w:r>
              <w:rPr>
                <w:rFonts w:ascii="Times New Roman" w:cs="Times New Roman" w:eastAsia="Times New Roman" w:hAnsi="Times New Roman"/>
                <w:sz w:val="18"/>
                <w:szCs w:val="18"/>
                <w:color w:val="auto"/>
              </w:rPr>
              <w:t>F-89</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Depreciation expense was $1.0 million and $0.6 million and was recorded as follows (in thousands):</w:t>
      </w:r>
    </w:p>
    <w:p>
      <w:pPr>
        <w:spacing w:after="0" w:line="367"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23"/>
        </w:trPr>
        <w:tc>
          <w:tcPr>
            <w:tcW w:w="6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These amounts are exclusive of amortization related to finance lease and capital lease assets of $0.5 million and $0.3 million in 2023 and 2022, respectively.</w:t>
      </w:r>
    </w:p>
    <w:p>
      <w:pPr>
        <w:spacing w:after="0" w:line="306"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36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related costs</w:t>
            </w:r>
          </w:p>
        </w:tc>
        <w:tc>
          <w:tcPr>
            <w:tcW w:w="9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$ 2,840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office and laboratory costs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research organization fees</w:t>
            </w:r>
          </w:p>
        </w:tc>
        <w:tc>
          <w:tcPr>
            <w:tcW w:w="1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development and manufacturing organization fees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660</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5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$ 8,141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$ 5,814</w:t>
            </w:r>
          </w:p>
        </w:tc>
        <w:tc>
          <w:tcPr>
            <w:tcW w:w="4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7000" w:hanging="444"/>
        <w:spacing w:after="0" w:line="378" w:lineRule="auto"/>
        <w:tabs>
          <w:tab w:leader="none" w:pos="55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commitments under its operating and finance leases are described in Note 7.</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University of Texas Research Agreement</w:t>
      </w:r>
    </w:p>
    <w:p>
      <w:pPr>
        <w:spacing w:after="0" w:line="121" w:lineRule="exact"/>
        <w:rPr>
          <w:sz w:val="20"/>
          <w:szCs w:val="20"/>
          <w:color w:val="auto"/>
        </w:rPr>
      </w:pPr>
    </w:p>
    <w:p>
      <w:pPr>
        <w:ind w:left="560" w:right="80" w:firstLine="423"/>
        <w:spacing w:after="0" w:line="258" w:lineRule="auto"/>
        <w:rPr>
          <w:sz w:val="20"/>
          <w:szCs w:val="20"/>
          <w:color w:val="auto"/>
        </w:rPr>
      </w:pPr>
      <w:r>
        <w:rPr>
          <w:rFonts w:ascii="Times New Roman" w:cs="Times New Roman" w:eastAsia="Times New Roman" w:hAnsi="Times New Roman"/>
          <w:sz w:val="18"/>
          <w:szCs w:val="18"/>
          <w:color w:val="auto"/>
        </w:rPr>
        <w:t>The Company executed a research agreement with the University of Texas, whereby the Company and the University of Texas are conducting joint research activities in accordance with an agreed upon research program. An upfront fee of $25,000 was paid upon execution of the agreement in 2020, with the remaining balance due in two payments of $37,500 each. The first payment was due upon the completion of the joint research activities and the second due upon the receipt of the final research report by the Company. The agreement was terminated on June 30, 2022.</w:t>
      </w:r>
    </w:p>
    <w:p>
      <w:pPr>
        <w:spacing w:after="0" w:line="75"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did not pay any amounts to the University of Texas under this agreement because the joint research activities were not completed before the research agreement terminated.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560" w:right="80" w:firstLine="423"/>
        <w:spacing w:after="0" w:line="282" w:lineRule="auto"/>
        <w:rPr>
          <w:sz w:val="20"/>
          <w:szCs w:val="20"/>
          <w:color w:val="auto"/>
        </w:rPr>
      </w:pPr>
      <w:r>
        <w:rPr>
          <w:rFonts w:ascii="Times New Roman" w:cs="Times New Roman" w:eastAsia="Times New Roman" w:hAnsi="Times New Roman"/>
          <w:sz w:val="18"/>
          <w:szCs w:val="18"/>
          <w:color w:val="auto"/>
        </w:rPr>
        <w:t>In July 2020, the Company entered into an agreement with the President and Fellows of Harvard College (“Harvard”), for an option fee in the low five digits, whereby Harvard granted the Company an</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00"/>
          </w:cols>
          <w:pgMar w:left="320" w:top="482" w:right="5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160"/>
        <w:spacing w:after="0" w:line="254" w:lineRule="auto"/>
        <w:rPr>
          <w:sz w:val="20"/>
          <w:szCs w:val="20"/>
          <w:color w:val="auto"/>
        </w:rPr>
      </w:pPr>
      <w:r>
        <w:rPr>
          <w:rFonts w:ascii="Times New Roman" w:cs="Times New Roman" w:eastAsia="Times New Roman" w:hAnsi="Times New Roman"/>
          <w:sz w:val="18"/>
          <w:szCs w:val="18"/>
          <w:color w:val="auto"/>
        </w:rPr>
        <w:t>exclusive option to negotiate a worldwide, exclusive, royalty-bearing license under Harvard’s interest in the patent rights covering certain technology that was developed by Harvard. In October 2021, the Company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were expensed.</w:t>
      </w:r>
    </w:p>
    <w:p>
      <w:pPr>
        <w:spacing w:after="0" w:line="84" w:lineRule="exact"/>
        <w:rPr>
          <w:sz w:val="20"/>
          <w:szCs w:val="20"/>
          <w:color w:val="auto"/>
        </w:rPr>
      </w:pPr>
    </w:p>
    <w:p>
      <w:pPr>
        <w:ind w:left="560" w:firstLine="423"/>
        <w:spacing w:after="0" w:line="277" w:lineRule="auto"/>
        <w:rPr>
          <w:sz w:val="20"/>
          <w:szCs w:val="20"/>
          <w:color w:val="auto"/>
        </w:rPr>
      </w:pPr>
      <w:r>
        <w:rPr>
          <w:rFonts w:ascii="Times New Roman" w:cs="Times New Roman" w:eastAsia="Times New Roman" w:hAnsi="Times New Roman"/>
          <w:sz w:val="17"/>
          <w:szCs w:val="17"/>
          <w:color w:val="auto"/>
        </w:rPr>
        <w:t>As consideration for the License Agreement, the Company agreed to pay Harvard a non-refundable 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w:t>
      </w:r>
    </w:p>
    <w:p>
      <w:pPr>
        <w:spacing w:after="0" w:line="60"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There was less than $0.1 million due to Harvard as of December 31, 2023.</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On November 29, 2021, the Company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the Company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82"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will be responsible to pay ATX commercial payments in the low seven digits per year during the first six years of commercial sales, amounting to an amount in the high eight digits in total commercial payments under the license agreement.</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years ended December 31, 2023 and 2022, the Company paid $0.1 million and zero to ATX, respectively.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left="560" w:right="300" w:firstLine="423"/>
        <w:spacing w:after="0" w:line="266" w:lineRule="auto"/>
        <w:rPr>
          <w:sz w:val="20"/>
          <w:szCs w:val="20"/>
          <w:color w:val="auto"/>
        </w:rPr>
      </w:pPr>
      <w:r>
        <w:rPr>
          <w:rFonts w:ascii="Times New Roman" w:cs="Times New Roman" w:eastAsia="Times New Roman" w:hAnsi="Times New Roman"/>
          <w:sz w:val="18"/>
          <w:szCs w:val="18"/>
          <w:color w:val="auto"/>
        </w:rPr>
        <w:t>On May 1, 2023, the Company entered into a discovery agreement with Adimab, LLC (“Adimab”), an antibody discovery company, whereby the Company and Adimab are collaborating on human antibody discovery in accordance with an agreed upon research program. The Company paid an upfront technology access fee totaling $20,000 upon execution of the agreement.</w:t>
      </w:r>
    </w:p>
    <w:p>
      <w:pPr>
        <w:spacing w:after="0" w:line="68" w:lineRule="exact"/>
        <w:rPr>
          <w:sz w:val="20"/>
          <w:szCs w:val="20"/>
          <w:color w:val="auto"/>
        </w:rPr>
      </w:pPr>
    </w:p>
    <w:p>
      <w:pPr>
        <w:ind w:left="560" w:right="60" w:firstLine="423"/>
        <w:spacing w:after="0" w:line="271" w:lineRule="auto"/>
        <w:rPr>
          <w:sz w:val="20"/>
          <w:szCs w:val="20"/>
          <w:color w:val="auto"/>
        </w:rPr>
      </w:pPr>
      <w:r>
        <w:rPr>
          <w:rFonts w:ascii="Times New Roman" w:cs="Times New Roman" w:eastAsia="Times New Roman" w:hAnsi="Times New Roman"/>
          <w:sz w:val="17"/>
          <w:szCs w:val="17"/>
          <w:color w:val="auto"/>
        </w:rPr>
        <w:t>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During the year ended December 31, 2023, the Company incurred $0.1 million of costs associated with the FTEs.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w:t>
      </w:r>
    </w:p>
    <w:p>
      <w:pPr>
        <w:spacing w:after="0" w:line="68" w:lineRule="exact"/>
        <w:rPr>
          <w:sz w:val="20"/>
          <w:szCs w:val="20"/>
          <w:color w:val="auto"/>
        </w:rPr>
      </w:pPr>
    </w:p>
    <w:p>
      <w:pPr>
        <w:ind w:left="560" w:right="80" w:firstLine="423"/>
        <w:spacing w:after="0" w:line="255" w:lineRule="auto"/>
        <w:rPr>
          <w:sz w:val="20"/>
          <w:szCs w:val="20"/>
          <w:color w:val="auto"/>
        </w:rPr>
      </w:pPr>
      <w:r>
        <w:rPr>
          <w:rFonts w:ascii="Times New Roman" w:cs="Times New Roman" w:eastAsia="Times New Roman" w:hAnsi="Times New Roman"/>
          <w:sz w:val="18"/>
          <w:szCs w:val="18"/>
          <w:color w:val="auto"/>
        </w:rPr>
        <w:t>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w:t>
      </w:r>
    </w:p>
    <w:p>
      <w:pPr>
        <w:spacing w:after="0" w:line="8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060"/>
          </w:cols>
          <w:pgMar w:left="320" w:top="482"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2023 and 2022, the Company did not have any liabilities or other commitments related to indemnification claims.</w:t>
      </w:r>
    </w:p>
    <w:p>
      <w:pPr>
        <w:spacing w:after="0" w:line="370"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The Company has entered into operating leases for office and laboratory facilities and financing leases for laboratory equipment used in research and development activities. The remaining lease terms for its leases range from two years to four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w:t>
      </w:r>
    </w:p>
    <w:p>
      <w:pPr>
        <w:spacing w:after="0" w:line="81"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In November 2020, the Company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w:t>
      </w:r>
    </w:p>
    <w:p>
      <w:pPr>
        <w:spacing w:after="0" w:line="75"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an agreement to sublease a portion of its facility lease to a related party (see Note 13) in exchange for $28,333 per month. The sublease agreement was an operating lease with a term of 18 months and was set to expire on September 30, 2022. In July 2022, the Company granted the sublessee permission to terminate the agreement on July 31, 2022. An immaterial adjustment to straight-line rental income and accrued rent receivable was recorded as part of the early termination. The proceeds from the sublease agreement are recorded as an offset to facilities costs in the periods in which they are earned.</w:t>
      </w:r>
    </w:p>
    <w:p>
      <w:pPr>
        <w:spacing w:after="0" w:line="75" w:lineRule="exact"/>
        <w:rPr>
          <w:sz w:val="20"/>
          <w:szCs w:val="20"/>
          <w:color w:val="auto"/>
        </w:rPr>
      </w:pPr>
    </w:p>
    <w:p>
      <w:pPr>
        <w:ind w:left="560" w:right="20" w:firstLine="423"/>
        <w:spacing w:after="0" w:line="282" w:lineRule="auto"/>
        <w:rPr>
          <w:sz w:val="20"/>
          <w:szCs w:val="20"/>
          <w:color w:val="auto"/>
        </w:rPr>
      </w:pPr>
      <w:r>
        <w:rPr>
          <w:rFonts w:ascii="Times New Roman" w:cs="Times New Roman" w:eastAsia="Times New Roman" w:hAnsi="Times New Roman"/>
          <w:sz w:val="18"/>
          <w:szCs w:val="18"/>
          <w:color w:val="auto"/>
        </w:rPr>
        <w:t>During 2022, the Company entered into four additional finance leases that resulted in an increase of $1.3 million in ROU assets, inclusive of lease payments made prior to commencement, and $1.3 million in related lease liabilities.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lease costs for the years ended December 31, 2023 and 2022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vMerge w:val="continue"/>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1,404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2,912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00" w:type="dxa"/>
            <w:vAlign w:val="bottom"/>
          </w:tcPr>
          <w:p>
            <w:pPr>
              <w:spacing w:after="0"/>
              <w:rPr>
                <w:sz w:val="24"/>
                <w:szCs w:val="24"/>
                <w:color w:val="auto"/>
              </w:rPr>
            </w:pPr>
          </w:p>
        </w:tc>
        <w:tc>
          <w:tcPr>
            <w:tcW w:w="3600" w:type="dxa"/>
            <w:vAlign w:val="bottom"/>
            <w:gridSpan w:val="2"/>
          </w:tcPr>
          <w:p>
            <w:pPr>
              <w:jc w:val="right"/>
              <w:ind w:right="2350"/>
              <w:spacing w:after="0"/>
              <w:rPr>
                <w:sz w:val="20"/>
                <w:szCs w:val="20"/>
                <w:color w:val="auto"/>
              </w:rPr>
            </w:pPr>
            <w:r>
              <w:rPr>
                <w:rFonts w:ascii="Times New Roman" w:cs="Times New Roman" w:eastAsia="Times New Roman" w:hAnsi="Times New Roman"/>
                <w:sz w:val="18"/>
                <w:szCs w:val="18"/>
                <w:color w:val="auto"/>
              </w:rPr>
              <w:t>F-93</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leases for the years ended December 31, 2023 and 2022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7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CEEFF"/>
            </w:tcBorders>
            <w:vMerge w:val="continue"/>
          </w:tcPr>
          <w:p>
            <w:pPr>
              <w:spacing w:after="0"/>
              <w:rPr>
                <w:sz w:val="15"/>
                <w:szCs w:val="15"/>
                <w:color w:val="auto"/>
              </w:rPr>
            </w:pP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1,470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1,340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maturity of the Company’s finance and operating lease liabilities for the year ended December 31,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80" w:type="dxa"/>
            <w:vAlign w:val="bottom"/>
          </w:tcPr>
          <w:p>
            <w:pPr>
              <w:spacing w:after="0"/>
              <w:rPr>
                <w:sz w:val="16"/>
                <w:szCs w:val="16"/>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3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88"/>
              </w:rPr>
              <w:t>583</w:t>
            </w:r>
          </w:p>
        </w:tc>
        <w:tc>
          <w:tcPr>
            <w:tcW w:w="10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363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1,542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1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80" w:type="dxa"/>
            <w:vAlign w:val="bottom"/>
            <w:gridSpan w:val="2"/>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1,351</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w:t>
            </w:r>
          </w:p>
        </w:tc>
      </w:tr>
      <w:tr>
        <w:trPr>
          <w:trHeight w:val="20"/>
        </w:trPr>
        <w:tc>
          <w:tcPr>
            <w:tcW w:w="1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21"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The Company issued Series A-1 convertible preferred stock (the “Series A-1 Preferred Stock”), Series A-2 convertible preferred stock (the “Series A-2 Preferred Stock”), Series A-3 convertible preferred stock (the “Series A-3 Preferred Stock”), and Series A-4 convertible preferred stock (the “Series A-4 Preferred Stock”); collectively the “Preferred Stock.”</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060"/>
          </w:cols>
          <w:pgMar w:left="320" w:top="482" w:right="51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Preferred Stock consisted of the following (in thousands, expect share and per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0"/>
                <w:szCs w:val="10"/>
                <w:color w:val="auto"/>
              </w:rPr>
            </w:pPr>
          </w:p>
        </w:tc>
        <w:tc>
          <w:tcPr>
            <w:tcW w:w="11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$ 45,016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1,649,188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1,649,188</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21,654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21,749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1,649,188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696,516</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696,516</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7,348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696,516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A-4 Preferred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361,659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361,659</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361,659</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$ 80,627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$ 87,459</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0"/>
                <w:szCs w:val="10"/>
                <w:color w:val="auto"/>
              </w:rPr>
            </w:pPr>
          </w:p>
        </w:tc>
        <w:tc>
          <w:tcPr>
            <w:tcW w:w="11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$ 45,016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1,649,188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1,649,188</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21,654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21,749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1,649,188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696,516</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696,516</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7,348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696,516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A-4 Preferred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361,659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361,659</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361,659</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$ 80,627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$ 87,459</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Upon the issuance of each series of the Preferred Stock, the Company assessed the embedded conversion and liquidation features of the issued Preferred Stock and determined that such features did not require the Company to separately account for these features.</w:t>
      </w:r>
    </w:p>
    <w:p>
      <w:pPr>
        <w:spacing w:after="0" w:line="54" w:lineRule="exact"/>
        <w:rPr>
          <w:sz w:val="20"/>
          <w:szCs w:val="20"/>
          <w:color w:val="auto"/>
        </w:rPr>
      </w:pPr>
    </w:p>
    <w:p>
      <w:pPr>
        <w:ind w:left="560" w:right="420" w:firstLine="423"/>
        <w:spacing w:after="0" w:line="282" w:lineRule="auto"/>
        <w:rPr>
          <w:sz w:val="20"/>
          <w:szCs w:val="20"/>
          <w:color w:val="auto"/>
        </w:rPr>
      </w:pPr>
      <w:r>
        <w:rPr>
          <w:rFonts w:ascii="Times New Roman" w:cs="Times New Roman" w:eastAsia="Times New Roman" w:hAnsi="Times New Roman"/>
          <w:sz w:val="18"/>
          <w:szCs w:val="18"/>
          <w:color w:val="auto"/>
        </w:rPr>
        <w:t>On September 7, 2022, the Company issued 2,446,372 shares of Series A-1 Preferred Stock and 437,282 shares of Series A-2 Preferred Stock at a price of $13.1876 per share, for aggregate gross proceeds of $38.0 million and incurred $11,966 of issuance costs.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Preferred Stock have the following rights and privileges: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560" w:right="60" w:firstLine="423"/>
        <w:spacing w:after="0" w:line="281" w:lineRule="auto"/>
        <w:rPr>
          <w:sz w:val="20"/>
          <w:szCs w:val="20"/>
          <w:color w:val="auto"/>
        </w:rPr>
      </w:pPr>
      <w:r>
        <w:rPr>
          <w:rFonts w:ascii="Times New Roman" w:cs="Times New Roman" w:eastAsia="Times New Roman" w:hAnsi="Times New Roman"/>
          <w:sz w:val="17"/>
          <w:szCs w:val="17"/>
          <w:color w:val="auto"/>
        </w:rPr>
        <w:t>The holders of the Preferred Stock are entitled to receive noncumulative dividends if and when declared by the Board at a rate of 8% per annum. The Company may not declare, pay or set aside any dividends on shares of any other series of capital stock of the Company, other than dividends on common stock payable in common stock, unless the holders of the Preferred Stock first receive, or simultaneously receive, a dividend on each outstanding share of the Preferred Stock. No dividends were declared or paid during the year ended December 31, 2023 or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the event of any involuntary liquidation, dissolution or winding up of the Company or Deemed Liquidation Event, holders of the Preferred Stock shall be paid out of the assets of the Company available for distribution an amount per share equal to the greater of (i) the applicable original issue price, plus any dividends declared but unpaid, or (ii) such amount per share as would have been payable had all shares of the Preferred Stock been converted into shares of common stock.</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40"/>
          </w:cols>
          <w:pgMar w:left="320" w:top="482"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If the assets available for distribution to its stockholders are insufficient to pay the holders of shares of the Preferred Stock the full amount which they shall be entitled, the holders of shares of Preferred Stock shall share ratably in any distribution in proportion to the respective amounts which would otherwise be payable if all amounts payable were paid in full.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On any matter presented to the stockholders of the Company for their actions or consideration at any meeting of the Company, each holder of outstanding shares of Series A-1, Series A-3 and Series A-4 (the “Voting Preferred Stock”) shall be entitled to the number of votes equal to the number of whole shares of common stock into which the shares of the Voting Preferred Stock are convertible. Holders of outstanding shares of Series A-2 Preferred Stock are not entitled to voting rights.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The Preferred Stock is conditionally redeemable upon the occurrence of a Deemed Liquidation Event. A Deemed Liquidation Event is defined as (a) a merger or consolidation (an “event”) in which the Company is a constituent party (or a subsidiary of the Company is a constituent party and the Company issues shares of its capital stock pursuant to the event), except those in which the shares Company’s stock outstanding immediately before the event continue to represent, or are converted into or exchanged for shares of capital stock that represent, immediately following the event, at least a majority, by voting power, of the capital stock of (1) the surviving or resulting corporation; or (2) if the surviving or resulting corporation is a wholly owned subsidiary of another corporation immediately following such event, the parent corporation of the surviving or resulting corporation and (b) the sale or disposition of the Company or one or more subsidiaries of the Company.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outstanding shares of the Preferred Stock shall automatically convert into shares of common stock, at the conversion price upon either</w:t>
      </w:r>
    </w:p>
    <w:p>
      <w:pPr>
        <w:spacing w:after="0" w:line="27" w:lineRule="exact"/>
        <w:rPr>
          <w:sz w:val="20"/>
          <w:szCs w:val="20"/>
          <w:color w:val="auto"/>
        </w:rPr>
      </w:pPr>
    </w:p>
    <w:p>
      <w:pPr>
        <w:ind w:left="560" w:right="160" w:hanging="4"/>
        <w:spacing w:after="0" w:line="252" w:lineRule="auto"/>
        <w:tabs>
          <w:tab w:leader="none" w:pos="8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of shares of common stock to the public at a price of at least $39.56280 per share (subject to appropriate adjustment in the event of any stock dividend, stock split, combination or other similar recapitalization with respect to the common stock), in a firm-commitment underwritten initial public offering, resulting in at least $75.0 million of gross proceeds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or (b) the date and time, or the occurrence of an event, specified by vote or written consent of the holders of a majority of the voting preferred stock (the “Requisite Holders”).</w:t>
      </w:r>
    </w:p>
    <w:p>
      <w:pPr>
        <w:spacing w:after="0" w:line="82"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Additionally, shares of Series A-1 Preferred Stock and A-2 Preferred Stock held by stockholders that did not exercise their tranche rights as part of the September 7, 2022 second tranche closing of the Preferred Stock financing were automatically converted into shares of common stock at the conversion price in effect immediately prior to this closing.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w:t>
      </w:r>
    </w:p>
    <w:p>
      <w:pPr>
        <w:spacing w:after="0" w:line="121" w:lineRule="exact"/>
        <w:rPr>
          <w:sz w:val="20"/>
          <w:szCs w:val="20"/>
          <w:color w:val="auto"/>
        </w:rPr>
      </w:pPr>
    </w:p>
    <w:p>
      <w:pPr>
        <w:jc w:val="both"/>
        <w:ind w:left="560" w:firstLine="423"/>
        <w:spacing w:after="0" w:line="266" w:lineRule="auto"/>
        <w:rPr>
          <w:sz w:val="20"/>
          <w:szCs w:val="20"/>
          <w:color w:val="auto"/>
        </w:rPr>
      </w:pPr>
      <w:r>
        <w:rPr>
          <w:rFonts w:ascii="Times New Roman" w:cs="Times New Roman" w:eastAsia="Times New Roman" w:hAnsi="Times New Roman"/>
          <w:sz w:val="18"/>
          <w:szCs w:val="18"/>
          <w:color w:val="auto"/>
        </w:rPr>
        <w:t>Each share of the Preferred Stock shall be convertible at any time and from time to time and without the payment of additional consideration by the holder into such number of fully paid and non-assessable shares of common stock as determined by dividing the original issue price by the conversion price. Each share of Series A-2 Preferred Stock shall be convertible into one share of Series A-1 Preferred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00"/>
          </w:cols>
          <w:pgMar w:left="320" w:top="482"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The conversion price for the Series A-1 Preferred Stock and the Series A-2 Preferred Stock initially is equal to $13.18760, and the initial conversion price for the Series A-3 Preferred Stock and the Series A-4 Preferred Stock is $10.55008 and $11.20946, respectively. The conversion price is subject to adjustment for any stock-splits, stock dividends, combinations or other similar recapitalizations and other adjustments as set forth in the Company’s ARCOI.</w:t>
      </w:r>
    </w:p>
    <w:p>
      <w:pPr>
        <w:spacing w:after="0" w:line="324"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ARCOI authorized the Company to issue up to 11,947,558 shares of $0.0001 par value common stock, of which, 2,634,246 shares were issued and outstanding.</w:t>
      </w:r>
    </w:p>
    <w:p>
      <w:pPr>
        <w:spacing w:after="0" w:line="54"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Voting, dividend and liquidation rights of the holders of common stock are subject to and qualified by the rights, powers and preferences of the holders of the Preferred Stock. Holders of common stock are entitled to one vote for each share of common stock; however, the holders of the common stock shall not be entitled to vote on any amendment to the ARCOI that relates solely to the terms of one or more outstanding series of preferred stock.</w:t>
      </w:r>
    </w:p>
    <w:p>
      <w:pPr>
        <w:spacing w:after="0" w:line="72" w:lineRule="exact"/>
        <w:rPr>
          <w:sz w:val="20"/>
          <w:szCs w:val="20"/>
          <w:color w:val="auto"/>
        </w:rPr>
      </w:pPr>
    </w:p>
    <w:p>
      <w:pPr>
        <w:jc w:val="both"/>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The Company has included in issued and outstanding common stock shares of restricted common stock granted by the Company. As of December 31, 2023, there were 2,634,246 common shares issued and outstanding, of which 2,598,752 relate to shares of unrestricted common stock.</w:t>
      </w:r>
    </w:p>
    <w:p>
      <w:pPr>
        <w:spacing w:after="0" w:line="320" w:lineRule="exact"/>
        <w:rPr>
          <w:sz w:val="20"/>
          <w:szCs w:val="20"/>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In June 2019, the Company adopted the 2019 Equity Incentive Plan (the “2019 Plan”), which provides employees, consultants and advisors and non-employee members of the Board of Directors and its affiliates with the opportunity to receive grants of stock options, stock awards and equity awards. Since inception, the Company has only issued stock options. Under the 2019 Plan, the Company may grant equity awards that could require the issuance of up to 1,991,264 shares of the Company’s common stock.</w:t>
      </w:r>
    </w:p>
    <w:p>
      <w:pPr>
        <w:spacing w:after="0" w:line="72" w:lineRule="exact"/>
        <w:rPr>
          <w:sz w:val="20"/>
          <w:szCs w:val="20"/>
          <w:color w:val="auto"/>
        </w:rPr>
      </w:pPr>
    </w:p>
    <w:p>
      <w:pPr>
        <w:jc w:val="both"/>
        <w:ind w:left="560" w:firstLine="423"/>
        <w:spacing w:after="0" w:line="266" w:lineRule="auto"/>
        <w:rPr>
          <w:sz w:val="20"/>
          <w:szCs w:val="20"/>
          <w:color w:val="auto"/>
        </w:rPr>
      </w:pPr>
      <w:r>
        <w:rPr>
          <w:rFonts w:ascii="Times New Roman" w:cs="Times New Roman" w:eastAsia="Times New Roman" w:hAnsi="Times New Roman"/>
          <w:sz w:val="18"/>
          <w:szCs w:val="18"/>
          <w:color w:val="auto"/>
        </w:rPr>
        <w:t>For incentive stock options and non-statutory stock options, the option exercise price may not be less than 100% of the estimated fair value on the date of grant. Options granted typically vest over a four-year period but may be granted with different vesting terms. The options expire ten years from the grant date.</w:t>
      </w:r>
    </w:p>
    <w:p>
      <w:pPr>
        <w:spacing w:after="0" w:line="68"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A summary of the activity in the 2019 Plan for the year ended December 31, 2023 is as follows (in thousands except share and per share amounts):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4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1,556,819</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8.7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441,615</w:t>
            </w:r>
          </w:p>
        </w:tc>
        <w:tc>
          <w:tcPr>
            <w:tcW w:w="16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2.74</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(108,475)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1.27</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and expired</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(14,027)</w:t>
            </w:r>
          </w:p>
        </w:tc>
        <w:tc>
          <w:tcPr>
            <w:tcW w:w="16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1.53</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1,875,932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1.66</w:t>
            </w: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w:t>
            </w: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972,054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1.30</w:t>
            </w:r>
          </w:p>
        </w:tc>
        <w:tc>
          <w:tcPr>
            <w:tcW w:w="1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1,875,932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1.66</w:t>
            </w: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F-97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2023 and 2022 was $2.16 and $1.57 per share, respectively. The total intrinsic value of options exercised during the years ended December 31, 2023 and 2022 was $171,915 and $1,458, respectively.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received from option exercises for the years ended December 31, 2023 and 2022 was $111,770 and $4,105, respectively.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values of the options granted were estimated based on the BSM option pricing model, using the following assumptions: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520" w:type="dxa"/>
            <w:vAlign w:val="bottom"/>
          </w:tcPr>
          <w:p>
            <w:pPr>
              <w:spacing w:after="0"/>
              <w:rPr>
                <w:sz w:val="15"/>
                <w:szCs w:val="15"/>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5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6.01</w:t>
            </w:r>
          </w:p>
        </w:tc>
        <w:tc>
          <w:tcPr>
            <w:tcW w:w="4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93.44 - 111.21%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87.02 - 91.24%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4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60" w:right="60" w:firstLine="423"/>
        <w:spacing w:after="0" w:line="256" w:lineRule="auto"/>
        <w:rPr>
          <w:sz w:val="20"/>
          <w:szCs w:val="20"/>
          <w:color w:val="auto"/>
        </w:rPr>
      </w:pPr>
      <w:r>
        <w:rPr>
          <w:rFonts w:ascii="Times New Roman" w:cs="Times New Roman" w:eastAsia="Times New Roman" w:hAnsi="Times New Roman"/>
          <w:sz w:val="18"/>
          <w:szCs w:val="18"/>
          <w:color w:val="auto"/>
        </w:rPr>
        <w:t>Since 2019, the Company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December 31, 2023, there were 35,494 unvested restricted common stock, with a repurchase liability of less than $0.1 million, that is classified in accrued expenses and other current liabilities in the accompanying consolidated balance sheet.</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78"/>
        </w:trPr>
        <w:tc>
          <w:tcPr>
            <w:tcW w:w="20" w:type="dxa"/>
            <w:vAlign w:val="bottom"/>
          </w:tcPr>
          <w:p>
            <w:pPr>
              <w:spacing w:after="0"/>
              <w:rPr>
                <w:sz w:val="15"/>
                <w:szCs w:val="15"/>
                <w:color w:val="auto"/>
              </w:rPr>
            </w:pPr>
          </w:p>
        </w:tc>
        <w:tc>
          <w:tcPr>
            <w:tcW w:w="6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Unvested restricted common stock as of</w:t>
            </w: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January 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312,826</w:t>
            </w: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(277,332)</w:t>
            </w: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20" w:type="dxa"/>
            <w:vAlign w:val="bottom"/>
          </w:tcPr>
          <w:p>
            <w:pPr>
              <w:spacing w:after="0"/>
              <w:rPr>
                <w:sz w:val="17"/>
                <w:szCs w:val="17"/>
                <w:color w:val="auto"/>
              </w:rPr>
            </w:pPr>
          </w:p>
        </w:tc>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Unvested restricted common stock as of</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35,494</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unvested restricted common stock and restricted common stock vested and forfeited for the years ended December 31, 2023 and 2022 was immaterial.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00"/>
          </w:cols>
          <w:pgMar w:left="320" w:top="482"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regarding its employees and nonemployees as follows (in thousands):</w:t>
      </w:r>
    </w:p>
    <w:p>
      <w:pPr>
        <w:spacing w:after="0" w:line="24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4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4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1,121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1,119</w:t>
            </w: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firstLine="423"/>
        <w:spacing w:after="0" w:line="266" w:lineRule="auto"/>
        <w:rPr>
          <w:sz w:val="20"/>
          <w:szCs w:val="20"/>
          <w:color w:val="auto"/>
        </w:rPr>
      </w:pPr>
      <w:r>
        <w:rPr>
          <w:rFonts w:ascii="Times New Roman" w:cs="Times New Roman" w:eastAsia="Times New Roman" w:hAnsi="Times New Roman"/>
          <w:sz w:val="18"/>
          <w:szCs w:val="18"/>
          <w:color w:val="auto"/>
        </w:rPr>
        <w:t>The Company records compensation expense on a straight-line basis over the vesting period. As of December 31, 2023, total compensation cost not yet recognized related to unvested stock options was $2.4 million, which is expected to be recognized over a weighted-average period of 2.6 years.</w:t>
      </w:r>
    </w:p>
    <w:p>
      <w:pPr>
        <w:spacing w:after="0" w:line="320"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Income tax expense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 (benefit):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expense (benefit):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11,207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7,407</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2,189</w:t>
            </w:r>
          </w:p>
        </w:tc>
      </w:tr>
      <w:tr>
        <w:trPr>
          <w:trHeight w:val="22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benefit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change in valuation allowance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7"/>
              </w:rPr>
              <w:t>(14,568)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(9,596)</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the Company’s loss before income tax expense are compromised solely of domestic sources. The reconciliation of the federal statutory income tax rate to the Company’s effective income tax rate is as follows:</w:t>
      </w:r>
    </w:p>
    <w:p>
      <w:pPr>
        <w:spacing w:after="0" w:line="18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6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4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4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liability fair value adjustment</w:t>
            </w:r>
          </w:p>
        </w:tc>
        <w:tc>
          <w:tcPr>
            <w:tcW w:w="4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36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36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4100" w:type="dxa"/>
            <w:vAlign w:val="bottom"/>
            <w:gridSpan w:val="3"/>
          </w:tcPr>
          <w:p>
            <w:pPr>
              <w:jc w:val="right"/>
              <w:ind w:right="3380"/>
              <w:spacing w:after="0"/>
              <w:rPr>
                <w:sz w:val="20"/>
                <w:szCs w:val="20"/>
                <w:color w:val="auto"/>
              </w:rPr>
            </w:pPr>
            <w:r>
              <w:rPr>
                <w:rFonts w:ascii="Times New Roman" w:cs="Times New Roman" w:eastAsia="Times New Roman" w:hAnsi="Times New Roman"/>
                <w:sz w:val="18"/>
                <w:szCs w:val="18"/>
                <w:color w:val="auto"/>
              </w:rPr>
              <w:t>F-99</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20"/>
          </w:cols>
          <w:pgMar w:left="320" w:top="482" w:right="5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consist of the following (in thousands):</w:t>
      </w:r>
    </w:p>
    <w:p>
      <w:pPr>
        <w:spacing w:after="0" w:line="24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7,027</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&amp; other</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32,167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18,805</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(30,228)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(15,658)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60" w:right="100" w:firstLine="423"/>
        <w:spacing w:after="0" w:line="256"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net operating loss (“NOL”) carryforwards ultimately depends on the existence of sufficient taxable income within the carryforward period. As of December 31, 2023 and 2022,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2023 and 2022.</w:t>
      </w:r>
    </w:p>
    <w:p>
      <w:pPr>
        <w:spacing w:after="0" w:line="79"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utilization of NOLs and tax credit carryforwards to offset future taxable income may be subject to an annual limitation as a result of ownership changes that have occurred previously or may occur in the future. Under Sections 382 and 383 of the Internal Revenue Code (“IRC”) of 1986, as amended, a corporation that undergoes an ownership change may be subject to limitations on its ability to utilize its pre-change NOLs and other tax attributes otherwise available to offset future taxable income and/or tax liability. An ownership change is defined as a cumulative change of 50% or more in the ownership positions of certain stockholders during a rolling three-year period. The Company has not completed a formal study to determine if any ownership changes within the meaning of the IRC Section 382 and 383 have occurred as of December 31, 2023 and 2022. An ownership change would restrict its ability to use its NOLs or tax credit carryforwards and could require the Company to pay federal or state income taxes earlier than would be required if such limitations were not in effect.</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valuation allowance increased for the year ended December 31, 2023 by $14.6 million due primarily to the generation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NOLs. As of December 31, 2023, the Company has NOL carryforwards for federal and state tax reporting purposes of $43.6 million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$35.3 million, respectively. NOL carryforwards generated after December 31, 2017 for federal tax reporting purposes of $43.6 million have 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indefinite life. NOL carryforwards for state purposes of $35.3 million begin to expire in 2039. As of December 31, 2023, the Company also has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federal and state research and development tax credits 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82"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$2.9 million and $1.9 million, which being to expire in 2039 and 2034, respectively. The Tax Cuts and Jobs Act resulted in significant changes to the treatment of research and developmental expenses under Section 174. For tax years beginning after December 31, 2021, taxpayers are required to capitalize and amortize all research and development expenses that are paid or incurred in connection with their trade or business. Specifically, costs for U.S. based research and development activities must be amortized over five years and costs for foreign research and development activities must be amortized over 15 years using a midyear convention. During the year ended December 31, 2023, the Company capitalized $36.2 million of research and development expenses.</w:t>
      </w:r>
    </w:p>
    <w:p>
      <w:pPr>
        <w:spacing w:after="0" w:line="79"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The Company evaluates its uncertain tax positions under ASC 740-10, which requires that realization of an uncertain income tax position be recognized. The benefit to be recorded is the amount most likely to be realized assuming a review by tax authorities having all relevant information and applying current conventions. The Company concluded that there are no uncertain tax positions in any of the periods presented. Accrued interest and penalties are included on the related tax liability line in the consolidated balance sheet.</w:t>
      </w:r>
    </w:p>
    <w:p>
      <w:pPr>
        <w:spacing w:after="0" w:line="72" w:lineRule="exact"/>
        <w:rPr>
          <w:sz w:val="20"/>
          <w:szCs w:val="20"/>
          <w:color w:val="auto"/>
        </w:rPr>
      </w:pPr>
    </w:p>
    <w:p>
      <w:pPr>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the year ended December 31, 2020 for both federal and state. However, to the extent the Company utilizes NOLs from years ending prior to 2020, the statute remains open to the extent of the NOLs or other credits are utilized.</w:t>
      </w:r>
    </w:p>
    <w:p>
      <w:pPr>
        <w:spacing w:after="0" w:line="324"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(42,823)</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(32,180)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2,373,674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1,969,418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8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(18.04)</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F-101</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80" w:firstLine="423"/>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years ended December 31, 2023 and 2022, the Company excluded the following potential common shares from the computation of diluted net loss per share attributable to common stockholders for the period because including them would have had an anti-dilutive effect:</w:t>
      </w:r>
    </w:p>
    <w:p>
      <w:pPr>
        <w:spacing w:after="0" w:line="204"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1,875,932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1,556,819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35,494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312,826</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SAFEs (as converted to common 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2,842,954</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11,579,863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8,695,128</w:t>
            </w:r>
          </w:p>
        </w:tc>
      </w:tr>
      <w:tr>
        <w:trPr>
          <w:trHeight w:val="20"/>
        </w:trPr>
        <w:tc>
          <w:tcPr>
            <w:tcW w:w="6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7600" w:hanging="444"/>
        <w:spacing w:after="0" w:line="400" w:lineRule="auto"/>
        <w:tabs>
          <w:tab w:leader="none" w:pos="552"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Scientific Advisory Board Member</w:t>
      </w:r>
    </w:p>
    <w:p>
      <w:pPr>
        <w:ind w:left="560" w:right="320" w:firstLine="423"/>
        <w:spacing w:after="0" w:line="266" w:lineRule="auto"/>
        <w:rPr>
          <w:sz w:val="20"/>
          <w:szCs w:val="20"/>
          <w:color w:val="auto"/>
        </w:rPr>
      </w:pPr>
      <w:r>
        <w:rPr>
          <w:rFonts w:ascii="Times New Roman" w:cs="Times New Roman" w:eastAsia="Times New Roman" w:hAnsi="Times New Roman"/>
          <w:sz w:val="18"/>
          <w:szCs w:val="18"/>
          <w:color w:val="auto"/>
        </w:rPr>
        <w:t>One of the Company’s co-founders is a member of the Company’s Scientific Advisory Board (“SAB”) and meets the criteria of a related party. For each of the years ended December 31, 2023 and 2022, the Company paid the SAB member fees in the amount of $0.1 million for advisory services provided. There were no amounts due to or from this related party as of December 31, 2023 or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left="560" w:right="200" w:firstLine="423"/>
        <w:spacing w:after="0" w:line="261" w:lineRule="auto"/>
        <w:rPr>
          <w:sz w:val="20"/>
          <w:szCs w:val="20"/>
          <w:color w:val="auto"/>
        </w:rPr>
      </w:pPr>
      <w:r>
        <w:rPr>
          <w:rFonts w:ascii="Times New Roman" w:cs="Times New Roman" w:eastAsia="Times New Roman" w:hAnsi="Times New Roman"/>
          <w:sz w:val="18"/>
          <w:szCs w:val="18"/>
          <w:color w:val="auto"/>
        </w:rPr>
        <w:t>Harvard College (“Harvard”) meets the criteria of a related party resulting from the Company’s co-founders’ employment as professors in the Harvard Department of Molecular Pharmacology. Additionally, both co-founders are members of the Board and one co-founder is a major shareholder in the Company. Core intellectual property utilized by the Company is licensed from Harvard in exchange for license fees, future milestones and royalties, and equity in the Company in the form of common stock.</w:t>
      </w:r>
    </w:p>
    <w:p>
      <w:pPr>
        <w:spacing w:after="0" w:line="7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paid Harvard $0.2 and $0.1 million in cash considerations, respectively (see Note 6). Accounts payable to Harvard amounted to less than $0.1 million and zero as of December 31, 2023 and 2022.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w:t>
      </w:r>
    </w:p>
    <w:p>
      <w:pPr>
        <w:spacing w:after="0" w:line="121" w:lineRule="exact"/>
        <w:rPr>
          <w:sz w:val="20"/>
          <w:szCs w:val="20"/>
          <w:color w:val="auto"/>
        </w:rPr>
      </w:pPr>
    </w:p>
    <w:p>
      <w:pPr>
        <w:ind w:left="560" w:right="280" w:firstLine="423"/>
        <w:spacing w:after="0" w:line="261" w:lineRule="auto"/>
        <w:rPr>
          <w:sz w:val="20"/>
          <w:szCs w:val="20"/>
          <w:color w:val="auto"/>
        </w:rPr>
      </w:pPr>
      <w:r>
        <w:rPr>
          <w:rFonts w:ascii="Times New Roman" w:cs="Times New Roman" w:eastAsia="Times New Roman" w:hAnsi="Times New Roman"/>
          <w:sz w:val="18"/>
          <w:szCs w:val="18"/>
          <w:color w:val="auto"/>
        </w:rPr>
        <w:t>The Company entered into a sublease agreement with a company controlled by the Company’s co-founders. The sublease agreement was terminated in July 2022. For the years ended December 31, 2023 and 2022, the Company received cash considerations and recorded sublease income in the amount of zero and $0.3 million, respectively (see Note 7). There were no amounts due to or from this related party as of December 31, 2023 or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Issuance of Preferred Stock</w:t>
      </w:r>
    </w:p>
    <w:p>
      <w:pPr>
        <w:spacing w:after="0" w:line="121"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On September 7, 2022, the Company issued 2,237,846 shares of Series A-1 Preferred Stock and 437,282 shares of Series A-2 Preferred Stock to related parties (see Note 8). These related parties include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20"/>
          </w:cols>
          <w:pgMar w:left="320" w:top="482"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members of management, members of the Board, and certain of the Chief Executive Officer’s family members.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121"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representing the purchase amount. All investors are considered related parties of the Company.</w:t>
      </w:r>
    </w:p>
    <w:p>
      <w:pPr>
        <w:spacing w:after="0" w:line="54"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The SAFE agreements have no maturity date, bear no interest, and will be redeemed by the Company upon the occurrence of a triggering event, including an equity financing, public listing transaction, change of control or dissolution. Equity financing is defined as a sale of the Company’s preferred stock at a fixed valuation. In the event of an equity financing, the SAFEs will automatically be redeemed through delivery of a variable number of shares of Company preferred stock equal to the SAFE purchase amount divided by the preferred stock per share issuance price in the equity financing. In the case of SAFE agreements issued in October 2023, a 10% discount will be applied to the per share issuance price in the equity financing in determining the number of shares of Company preferred stock issued to the investors upon redemption.</w:t>
      </w:r>
    </w:p>
    <w:p>
      <w:pPr>
        <w:spacing w:after="0" w:line="79"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Public listing transaction is defined as a direct listing, initial public offering (“IPO”) of the Company’s common stock, a reverse merger or a SPAC transaction. In any of these instances, the SAFEs will automatically be redeemed through delivery of a variable number of shares of the Company’s common stock determined by dividing the SAFE purchase amount by the offering or conversion price in the respective transaction. In the event of a change in control transaction, the SAFE investors will be entitled to receive a portion of the transaction proceeds equal to the greater of the SAFE purchase amount, payable in cash or other consideration, or the amount payable on the number of shares of the Company’s common stock equal to the SAFE purchase amount divided by the change in control conversion price, as defined in the agreement. In a dissolution event, the investor will automatically be entitled to receive a portion of the dissolution purchase amount equal to the SAFE proceeds.</w:t>
      </w:r>
    </w:p>
    <w:p>
      <w:pPr>
        <w:spacing w:after="0" w:line="7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SAFEs are not in the legal form of an outstanding share or debt and therefore were evaluated under ASC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Equity </w:t>
      </w:r>
      <w:r>
        <w:rPr>
          <w:rFonts w:ascii="Times New Roman" w:cs="Times New Roman" w:eastAsia="Times New Roman" w:hAnsi="Times New Roman"/>
          <w:sz w:val="18"/>
          <w:szCs w:val="18"/>
          <w:color w:val="auto"/>
        </w:rPr>
        <w:t>(“ASC 480”). Because the SAFEs allow for redemption based upon certain triggering events that are outside the Company’s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SAFEs were classified as liabilities pursuant to ASC 480 and initially measured at their fair value upon issuance. In addition, until redemption, the SAFEs are measured at fair value on a recurring basis with subsequent changes in fair value recoded in the Company’s statement of operations and comprehensive loss.</w:t>
      </w:r>
    </w:p>
    <w:p>
      <w:pPr>
        <w:spacing w:after="0" w:line="77"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The SAFEs issued in October 2023 were recognized at their fair value of $10.4 million on the issuance date. The issuance date fair value exceeded the proceeds received by approximately $0.3 million and this difference was recognized as loss at issuance in the consolidated statement of operations and comprehensive loss. The SAFEs issued in December 2023 were recognized at their fair value of approximately $21.4 million on the issuance date. The proceeds received exceeded the issuance date fair value by approximately $2.6 million and this difference was recognized as a capital contribution from the related party investors in additional paid-in capital in the consolidated statement of stockholders’ deficit. The subsequent measurement to the total SAFE liabilities fair value of $30.5 million is recorded in the consolidated statement of operations and comprehensive loss.</w:t>
      </w:r>
    </w:p>
    <w:p>
      <w:pPr>
        <w:spacing w:after="0" w:line="333"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380" w:firstLine="423"/>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through March 25, 2024, which is the date the consolidated financial statements were available to be issued and April 12, 2024, which is the date the consolidated financial statements were available to be re-issued, to ensure that these consolidated financial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20"/>
          </w:cols>
          <w:pgMar w:left="320" w:top="482"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statements include appropriate disclosure of events both recognized in the consolidated financial statements and events which occurred but were not recognized in the consolidated financial statements.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Proposed Merger with AVROBIO</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As discussed in Note 1, on January 30, 2024, the Company entered into an Agreement and Plan of Merger and Reorganization (the “Merger Agreement”) with AVROBIO, pursuant to which the subsidiaries of AVROBIO will merge with and into the Company, with the Company continuing as a wholly owned subsidiary of the surviving corporation of the merger (the “Merger”). The Merger is expected to be accounted for as a reverse recapitalization in accordance with GAAP, with AVROBIO treated as the acquired company for financial reporting purposes, and the Company treated as the accounting acquirer.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Concurrently with the Merger Agreement, certain parties will enter into certain subscription agreements (the “Subscription Agreements”) with the Company to purchase, prior to the consummation of the merger, approximately 7,790,903 shares of the Company’s common stock for an aggregate purchase price of approximately $96.6 million. Shares of the Company’s common stock issued pursuant to the Subscription Agreements will be converted into shares of AVROBIO common stock at the closing of the merger based on an exchange ratio, pursuant to the Merger Agreement.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82"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2324735</wp:posOffset>
            </wp:positionV>
            <wp:extent cx="1285875" cy="3689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85875" cy="36893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1687195</wp:posOffset>
            </wp:positionV>
            <wp:extent cx="1474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type w:val="continuous"/>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332,350.47</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 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82"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w:t>
      </w:r>
    </w:p>
    <w:p>
      <w:pPr>
        <w:spacing w:after="0" w:line="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that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Merger Agreement, from the effective time of the Merger through the sixth anniversary of the date of the effective time, we agreed to indemnify and hold harmless each person who was, as of January 30, 2024, the signing date of the Merger Agreement, or had been at any time prior, or who becomes prior to the effective time of the Merger, a director or officer of our company or Legacy Tectonic, against all claims, losses, liabilities, damages, judgments, fines and reasonable fees, costs and expenses, including attorneys’ fees and disbursements, pertaining to claims arising out of the fact that such person was a director or officer of our company or Legacy Tectonic, at or prior to the effective time of the merger, to the fullest extent permitted under the DGCL.</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Under the Merger Agreement, we agreed not to amend, modify or repeal provisions in the Fourth Amended and Restated Certificate of Incorporation and the Amended and Restated Bylaws that were in effect as of January 30, 2024,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w:t>
      </w:r>
    </w:p>
    <w:p>
      <w:pPr>
        <w:spacing w:after="0" w:line="183"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sold the securities described below within the past three years which were not registered under the Securities Act. All of the sales listed below were made pursuant to an exemption from registration afforded by Section 4(a)(2) of the Securities Act (and Regulation D thereunder) or Rule 701 promulgated under Section 3(b) of the Securities Act.</w:t>
      </w:r>
    </w:p>
    <w:p>
      <w:pPr>
        <w:spacing w:after="0" w:line="282" w:lineRule="exact"/>
        <w:rPr>
          <w:sz w:val="20"/>
          <w:szCs w:val="20"/>
          <w:color w:val="auto"/>
        </w:rPr>
      </w:pPr>
    </w:p>
    <w:p>
      <w:pPr>
        <w:jc w:val="both"/>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Shares of Legacy Tectonic stock have not been adjusted to reflect the exchange for our common stock in the Merger and reflect actual shares issued by Legacy Tectonic.</w:t>
      </w:r>
    </w:p>
    <w:p>
      <w:pPr>
        <w:spacing w:after="0" w:line="5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March 2021, Legacy Tectonic (i) issued and sold to certain investors 2,883,654 shares of its Series A-1 Preferred Stock and Series A-2 Preferred Stock at a purchase price of $13.1876 per share for an aggregate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40"/>
          </w:cols>
          <w:pgMar w:left="320" w:top="482" w:right="5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70" w:lineRule="auto"/>
        <w:rPr>
          <w:sz w:val="20"/>
          <w:szCs w:val="20"/>
          <w:color w:val="auto"/>
        </w:rPr>
      </w:pPr>
      <w:r>
        <w:rPr>
          <w:rFonts w:ascii="Times New Roman" w:cs="Times New Roman" w:eastAsia="Times New Roman" w:hAnsi="Times New Roman"/>
          <w:sz w:val="17"/>
          <w:szCs w:val="17"/>
          <w:color w:val="auto"/>
        </w:rPr>
        <w:t>purchase price of $38,028,475.61, (ii) issued 696,516 shares of its Series A-3 Preferred Stock upon the conversion of certain outstanding convertible notes at a conversion price of $10.55008 per share and (iii) issued 361,659 shares of its Series A-4 Preferred Stock upon the conversion of certain outstanding convertible notes at a conversion price of $11.20946 per share. In June 2022, the Legacy Tectonic Board determined that Legacy Tectonic had achieved the milestone events pursuant to the terms of its Series A Preferred Stock Purchase Agreement and issued and sold to certain investors</w:t>
      </w:r>
    </w:p>
    <w:p>
      <w:pPr>
        <w:spacing w:after="0" w:line="3" w:lineRule="exact"/>
        <w:rPr>
          <w:sz w:val="20"/>
          <w:szCs w:val="20"/>
          <w:color w:val="auto"/>
        </w:rPr>
      </w:pPr>
    </w:p>
    <w:p>
      <w:pPr>
        <w:ind w:left="120" w:right="20" w:hanging="4"/>
        <w:spacing w:after="0" w:line="290" w:lineRule="auto"/>
        <w:tabs>
          <w:tab w:leader="none" w:pos="33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aggregate additional 2,450,163 shares of Legacy Tectonic’s Series A-1 Preferred Stock, and (ii) an additional 437,282 shares of Legacy Tectonic’s Series A-2 Preferred Stock in a subsequent closing, at a purchase price of $13.1876 per share for an aggregate purchase price of $38,028,475.61.</w:t>
      </w:r>
    </w:p>
    <w:p>
      <w:pPr>
        <w:spacing w:after="0" w:line="15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the Merger, Legacy Tectonic entered into a Subscription Agreement on January 30, 2024 with certain investors to consummate the Pre-Closing Financing. Pursuant to the Subscription Agreement, the investors agreed to purchase an aggregate of 7,790,889 shares of Legacy Tectonic common stock, at a price of $12.39908 per share, for aggregate gross proceeds of approximately $96.6 million. In addition, in connection with the closing of the Merger, Legacy Tectonic’s outstanding SAFEs converted into 2,752,216 shares of Legacy Tectonic common stock at a conversion price of $12.39908 per share. The aggregate purchase price between the Pre-Closing Financing and the SAFEs was approximately $130.7 million.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570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96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5700" w:type="dxa"/>
            <w:vAlign w:val="bottom"/>
            <w:gridSpan w:val="15"/>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jc w:val="center"/>
              <w:ind w:left="82"/>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  2.1</w:t>
            </w:r>
          </w:p>
        </w:tc>
        <w:tc>
          <w:tcPr>
            <w:tcW w:w="542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367">
              <w:r>
                <w:rPr>
                  <w:rFonts w:ascii="Times New Roman" w:cs="Times New Roman" w:eastAsia="Times New Roman" w:hAnsi="Times New Roman"/>
                  <w:sz w:val="18"/>
                  <w:szCs w:val="18"/>
                  <w:color w:val="0000EE"/>
                  <w:w w:val="99"/>
                </w:rPr>
                <w:t>Agreement and Plan of Merger and Reorganization, dated as of January 30,</w:t>
              </w:r>
            </w:hyperlink>
          </w:p>
        </w:tc>
        <w:tc>
          <w:tcPr>
            <w:tcW w:w="280" w:type="dxa"/>
            <w:vAlign w:val="bottom"/>
            <w:gridSpan w:val="3"/>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3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367">
              <w:r>
                <w:rPr>
                  <w:rFonts w:ascii="Times New Roman" w:cs="Times New Roman" w:eastAsia="Times New Roman" w:hAnsi="Times New Roman"/>
                  <w:sz w:val="18"/>
                  <w:szCs w:val="18"/>
                  <w:color w:val="0000EE"/>
                  <w:w w:val="98"/>
                </w:rPr>
                <w:t>2024, by and among AVROBIO, Inc., Alpine Merger Subsidiary, Inc. and</w:t>
              </w:r>
            </w:hyperlink>
          </w:p>
        </w:tc>
        <w:tc>
          <w:tcPr>
            <w:tcW w:w="40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700" w:type="dxa"/>
            <w:vAlign w:val="bottom"/>
            <w:gridSpan w:val="15"/>
          </w:tcPr>
          <w:p>
            <w:pPr>
              <w:spacing w:after="0" w:line="196" w:lineRule="exact"/>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Tectonic Therapeutic, Inc.</w:t>
              </w:r>
            </w:hyperlink>
          </w:p>
        </w:tc>
        <w:tc>
          <w:tcPr>
            <w:tcW w:w="740" w:type="dxa"/>
            <w:vAlign w:val="bottom"/>
          </w:tcPr>
          <w:p>
            <w:pPr>
              <w:jc w:val="center"/>
              <w:ind w:left="92"/>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001-38537</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1/30/2024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5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68">
              <w:r>
                <w:rPr>
                  <w:rFonts w:ascii="Times New Roman" w:cs="Times New Roman" w:eastAsia="Times New Roman" w:hAnsi="Times New Roman"/>
                  <w:sz w:val="18"/>
                  <w:szCs w:val="18"/>
                  <w:color w:val="0000EE"/>
                  <w:w w:val="99"/>
                </w:rPr>
                <w:t>Certificate of Amendment to the Amended and Restated Certificate of</w:t>
              </w:r>
            </w:hyperlink>
          </w:p>
        </w:tc>
        <w:tc>
          <w:tcPr>
            <w:tcW w:w="64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68">
              <w:r>
                <w:rPr>
                  <w:rFonts w:ascii="Times New Roman" w:cs="Times New Roman" w:eastAsia="Times New Roman" w:hAnsi="Times New Roman"/>
                  <w:sz w:val="18"/>
                  <w:szCs w:val="18"/>
                  <w:color w:val="0000EE"/>
                  <w:w w:val="99"/>
                </w:rPr>
                <w:t>Incorporation of the Company, dated June 20, 2024 (Stock Split Amendment).</w:t>
              </w:r>
            </w:hyperlink>
          </w:p>
        </w:tc>
        <w:tc>
          <w:tcPr>
            <w:tcW w:w="60" w:type="dxa"/>
            <w:vAlign w:val="bottom"/>
          </w:tcPr>
          <w:p>
            <w:pPr>
              <w:spacing w:after="0"/>
              <w:rPr>
                <w:sz w:val="17"/>
                <w:szCs w:val="17"/>
                <w:color w:val="auto"/>
              </w:rPr>
            </w:pPr>
          </w:p>
        </w:tc>
        <w:tc>
          <w:tcPr>
            <w:tcW w:w="740" w:type="dxa"/>
            <w:vAlign w:val="bottom"/>
          </w:tcPr>
          <w:p>
            <w:pPr>
              <w:jc w:val="center"/>
              <w:ind w:left="92"/>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001-38537</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6/20/2024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5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69">
              <w:r>
                <w:rPr>
                  <w:rFonts w:ascii="Times New Roman" w:cs="Times New Roman" w:eastAsia="Times New Roman" w:hAnsi="Times New Roman"/>
                  <w:sz w:val="18"/>
                  <w:szCs w:val="18"/>
                  <w:color w:val="0000EE"/>
                  <w:w w:val="99"/>
                </w:rPr>
                <w:t>Certificate of Amendment to the Amended and Restated Certificate of</w:t>
              </w:r>
            </w:hyperlink>
          </w:p>
        </w:tc>
        <w:tc>
          <w:tcPr>
            <w:tcW w:w="64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69">
              <w:r>
                <w:rPr>
                  <w:rFonts w:ascii="Times New Roman" w:cs="Times New Roman" w:eastAsia="Times New Roman" w:hAnsi="Times New Roman"/>
                  <w:sz w:val="18"/>
                  <w:szCs w:val="18"/>
                  <w:color w:val="0000EE"/>
                  <w:w w:val="99"/>
                </w:rPr>
                <w:t>Incorporation of the Company, dated June 20, 2024 (Exculpation Amendment).</w:t>
              </w:r>
            </w:hyperlink>
          </w:p>
        </w:tc>
        <w:tc>
          <w:tcPr>
            <w:tcW w:w="740" w:type="dxa"/>
            <w:vAlign w:val="bottom"/>
          </w:tcPr>
          <w:p>
            <w:pPr>
              <w:jc w:val="center"/>
              <w:ind w:left="92"/>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001-38537</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6/20/2024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5700" w:type="dxa"/>
            <w:vAlign w:val="bottom"/>
            <w:gridSpan w:val="15"/>
          </w:tcPr>
          <w:p>
            <w:pPr>
              <w:spacing w:after="0"/>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Certificate of Amendment to the Amended and Restated Certificate of</w:t>
              </w:r>
            </w:hyperlink>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0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Incorporation of the Company, dated June 20, 2024 (Name Change</w:t>
              </w:r>
            </w:hyperlink>
          </w:p>
        </w:tc>
        <w:tc>
          <w:tcPr>
            <w:tcW w:w="66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8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Amendment).</w:t>
              </w:r>
            </w:hyperlink>
          </w:p>
        </w:tc>
        <w:tc>
          <w:tcPr>
            <w:tcW w:w="880" w:type="dxa"/>
            <w:vAlign w:val="bottom"/>
            <w:gridSpan w:val="9"/>
          </w:tcPr>
          <w:p>
            <w:pPr>
              <w:spacing w:after="0"/>
              <w:rPr>
                <w:sz w:val="17"/>
                <w:szCs w:val="17"/>
                <w:color w:val="auto"/>
              </w:rPr>
            </w:pPr>
          </w:p>
        </w:tc>
        <w:tc>
          <w:tcPr>
            <w:tcW w:w="740" w:type="dxa"/>
            <w:vAlign w:val="bottom"/>
          </w:tcPr>
          <w:p>
            <w:pPr>
              <w:jc w:val="center"/>
              <w:ind w:left="92"/>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001-38537</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6/20/2024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3.5</w:t>
            </w:r>
          </w:p>
        </w:tc>
        <w:tc>
          <w:tcPr>
            <w:tcW w:w="5700" w:type="dxa"/>
            <w:vAlign w:val="bottom"/>
            <w:gridSpan w:val="15"/>
          </w:tcPr>
          <w:p>
            <w:pPr>
              <w:spacing w:after="0"/>
              <w:rPr>
                <w:rFonts w:ascii="Times New Roman" w:cs="Times New Roman" w:eastAsia="Times New Roman" w:hAnsi="Times New Roman"/>
                <w:sz w:val="18"/>
                <w:szCs w:val="18"/>
                <w:color w:val="0000EE"/>
              </w:rPr>
            </w:pPr>
            <w:hyperlink r:id="rId371">
              <w:r>
                <w:rPr>
                  <w:rFonts w:ascii="Times New Roman" w:cs="Times New Roman" w:eastAsia="Times New Roman" w:hAnsi="Times New Roman"/>
                  <w:sz w:val="18"/>
                  <w:szCs w:val="18"/>
                  <w:color w:val="0000EE"/>
                </w:rPr>
                <w:t>Amended and Restated Bylaws, as currently in effect.</w:t>
              </w:r>
            </w:hyperlink>
          </w:p>
        </w:tc>
        <w:tc>
          <w:tcPr>
            <w:tcW w:w="7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001-38537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6/25/2018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7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2120" w:type="dxa"/>
            <w:vAlign w:val="bottom"/>
            <w:tcBorders>
              <w:top w:val="single" w:sz="8" w:color="0000EE"/>
            </w:tcBorders>
            <w:gridSpan w:val="3"/>
          </w:tcPr>
          <w:p>
            <w:pPr>
              <w:spacing w:after="0"/>
              <w:rPr>
                <w:sz w:val="24"/>
                <w:szCs w:val="24"/>
                <w:color w:val="auto"/>
              </w:rPr>
            </w:pPr>
          </w:p>
        </w:tc>
        <w:tc>
          <w:tcPr>
            <w:tcW w:w="184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jc w:val="center"/>
              <w:ind w:left="8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72">
              <w:r>
                <w:rPr>
                  <w:rFonts w:ascii="Times New Roman" w:cs="Times New Roman" w:eastAsia="Times New Roman" w:hAnsi="Times New Roman"/>
                  <w:sz w:val="18"/>
                  <w:szCs w:val="18"/>
                  <w:color w:val="0000EE"/>
                  <w:w w:val="99"/>
                </w:rPr>
                <w:t>Contingent Value Rights Agreement dated June 20, 2024, by and between</w:t>
              </w:r>
            </w:hyperlink>
          </w:p>
        </w:tc>
        <w:tc>
          <w:tcPr>
            <w:tcW w:w="38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372">
              <w:r>
                <w:rPr>
                  <w:rFonts w:ascii="Times New Roman" w:cs="Times New Roman" w:eastAsia="Times New Roman" w:hAnsi="Times New Roman"/>
                  <w:sz w:val="18"/>
                  <w:szCs w:val="18"/>
                  <w:color w:val="0000EE"/>
                  <w:w w:val="98"/>
                </w:rPr>
                <w:t>Tectonic Therapeutic, Inc. and Computershare Trust Company, LLC.</w:t>
              </w:r>
            </w:hyperlink>
          </w:p>
        </w:tc>
        <w:tc>
          <w:tcPr>
            <w:tcW w:w="740" w:type="dxa"/>
            <w:vAlign w:val="bottom"/>
            <w:gridSpan w:val="8"/>
          </w:tcPr>
          <w:p>
            <w:pPr>
              <w:spacing w:after="0"/>
              <w:rPr>
                <w:sz w:val="17"/>
                <w:szCs w:val="17"/>
                <w:color w:val="auto"/>
              </w:rPr>
            </w:pPr>
          </w:p>
        </w:tc>
        <w:tc>
          <w:tcPr>
            <w:tcW w:w="740" w:type="dxa"/>
            <w:vAlign w:val="bottom"/>
          </w:tcPr>
          <w:p>
            <w:pPr>
              <w:jc w:val="center"/>
              <w:ind w:left="92"/>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001-38537</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6/20/2024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73">
              <w:r>
                <w:rPr>
                  <w:rFonts w:ascii="Times New Roman" w:cs="Times New Roman" w:eastAsia="Times New Roman" w:hAnsi="Times New Roman"/>
                  <w:sz w:val="18"/>
                  <w:szCs w:val="18"/>
                  <w:color w:val="0000EE"/>
                  <w:w w:val="99"/>
                </w:rPr>
                <w:t>Form of Indemnification Agreement between Tectonic Therapeutic, Inc. and</w:t>
              </w:r>
            </w:hyperlink>
          </w:p>
        </w:tc>
        <w:tc>
          <w:tcPr>
            <w:tcW w:w="2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700" w:type="dxa"/>
            <w:vAlign w:val="bottom"/>
            <w:gridSpan w:val="15"/>
          </w:tcPr>
          <w:p>
            <w:pPr>
              <w:spacing w:after="0" w:line="196" w:lineRule="exact"/>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each of its directors and executive officers.</w:t>
              </w:r>
            </w:hyperlink>
          </w:p>
        </w:tc>
        <w:tc>
          <w:tcPr>
            <w:tcW w:w="740" w:type="dxa"/>
            <w:vAlign w:val="bottom"/>
          </w:tcPr>
          <w:p>
            <w:pPr>
              <w:jc w:val="center"/>
              <w:ind w:left="92"/>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001-38537</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6/20/2024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82"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40" w:type="dxa"/>
            <w:vAlign w:val="bottom"/>
            <w:gridSpan w:val="2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40" w:type="dxa"/>
            <w:vAlign w:val="bottom"/>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40" w:type="dxa"/>
            <w:vAlign w:val="bottom"/>
            <w:gridSpan w:val="27"/>
          </w:tcPr>
          <w:p>
            <w:pPr>
              <w:spacing w:after="0"/>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Subscription Agreement, dated as of January 29, 2024, by and among</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0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Tectonic and the purchasers thereunder.</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0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2019 Equity Incentive Plan of Tectonic Therapeutic, Inc., and form of</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40" w:type="dxa"/>
            <w:vAlign w:val="bottom"/>
            <w:gridSpan w:val="27"/>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award agreements thereunder.</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77">
              <w:r>
                <w:rPr>
                  <w:rFonts w:ascii="Times New Roman" w:cs="Times New Roman" w:eastAsia="Times New Roman" w:hAnsi="Times New Roman"/>
                  <w:sz w:val="18"/>
                  <w:szCs w:val="18"/>
                  <w:color w:val="0000EE"/>
                  <w:w w:val="99"/>
                </w:rPr>
                <w:t>Tectonic Therapeutic, Inc. 2024 Equity Incentive Plan.</w:t>
              </w:r>
            </w:hyperlink>
          </w:p>
        </w:tc>
        <w:tc>
          <w:tcPr>
            <w:tcW w:w="15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3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Forms of Option Grant Notice, Option Agreement and Notice of Exercise</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under Tectonic Therapeutic, Inc. 2024 Equity Incentive Plan.</w:t>
              </w:r>
            </w:hyperlink>
          </w:p>
        </w:tc>
        <w:tc>
          <w:tcPr>
            <w:tcW w:w="10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79">
              <w:r>
                <w:rPr>
                  <w:rFonts w:ascii="Times New Roman" w:cs="Times New Roman" w:eastAsia="Times New Roman" w:hAnsi="Times New Roman"/>
                  <w:sz w:val="18"/>
                  <w:szCs w:val="18"/>
                  <w:color w:val="0000EE"/>
                  <w:w w:val="99"/>
                </w:rPr>
                <w:t>Tectonic Therapeutic, Inc. 2024 Employee Stock Purchase Plan.</w:t>
              </w:r>
            </w:hyperlink>
          </w:p>
        </w:tc>
        <w:tc>
          <w:tcPr>
            <w:tcW w:w="8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440" w:type="dxa"/>
            <w:vAlign w:val="bottom"/>
            <w:gridSpan w:val="27"/>
          </w:tcPr>
          <w:p>
            <w:pPr>
              <w:spacing w:after="0"/>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Form of Tectonic Support Agreement.</w:t>
              </w:r>
            </w:hyperlink>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1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Form of Lock-Up Agreement.</w:t>
              </w:r>
            </w:hyperlink>
          </w:p>
        </w:tc>
        <w:tc>
          <w:tcPr>
            <w:tcW w:w="560" w:type="dxa"/>
            <w:vAlign w:val="bottom"/>
            <w:tcBorders>
              <w:top w:val="single" w:sz="8" w:color="0000EE"/>
            </w:tcBorders>
          </w:tcPr>
          <w:p>
            <w:pPr>
              <w:spacing w:after="0"/>
              <w:rPr>
                <w:sz w:val="24"/>
                <w:szCs w:val="24"/>
                <w:color w:val="auto"/>
              </w:rPr>
            </w:pPr>
          </w:p>
        </w:tc>
        <w:tc>
          <w:tcPr>
            <w:tcW w:w="27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440" w:type="dxa"/>
            <w:vAlign w:val="bottom"/>
            <w:gridSpan w:val="27"/>
          </w:tcPr>
          <w:p>
            <w:pPr>
              <w:spacing w:after="0"/>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License Agreement, dated February 10, 2022, by and between Tectonic</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82">
              <w:r>
                <w:rPr>
                  <w:rFonts w:ascii="Times New Roman" w:cs="Times New Roman" w:eastAsia="Times New Roman" w:hAnsi="Times New Roman"/>
                  <w:sz w:val="18"/>
                  <w:szCs w:val="18"/>
                  <w:color w:val="0000EE"/>
                  <w:w w:val="99"/>
                </w:rPr>
                <w:t>Therapeutic, Inc. and President and Fellows of Harvard College.</w:t>
              </w:r>
            </w:hyperlink>
          </w:p>
        </w:tc>
        <w:tc>
          <w:tcPr>
            <w:tcW w:w="460" w:type="dxa"/>
            <w:vAlign w:val="bottom"/>
            <w:tcBorders>
              <w:top w:val="single" w:sz="8" w:color="0000EE"/>
            </w:tcBorders>
            <w:gridSpan w:val="7"/>
          </w:tcPr>
          <w:p>
            <w:pPr>
              <w:spacing w:after="0"/>
              <w:rPr>
                <w:sz w:val="17"/>
                <w:szCs w:val="17"/>
                <w:color w:val="auto"/>
              </w:rPr>
            </w:pPr>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1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Master Agreement for Early Phase Clinical Services, dated October 23,</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2023, by and between Tectonic Therapeutic, Inc. and ARENSIA</w:t>
              </w:r>
            </w:hyperlink>
          </w:p>
        </w:tc>
        <w:tc>
          <w:tcPr>
            <w:tcW w:w="8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83">
              <w:r>
                <w:rPr>
                  <w:rFonts w:ascii="Times New Roman" w:cs="Times New Roman" w:eastAsia="Times New Roman" w:hAnsi="Times New Roman"/>
                  <w:sz w:val="18"/>
                  <w:szCs w:val="18"/>
                  <w:color w:val="0000EE"/>
                  <w:w w:val="98"/>
                </w:rPr>
                <w:t>Exploratory Medicine GmbH.</w:t>
              </w:r>
            </w:hyperlink>
          </w:p>
        </w:tc>
        <w:tc>
          <w:tcPr>
            <w:tcW w:w="32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84">
              <w:r>
                <w:rPr>
                  <w:rFonts w:ascii="Times New Roman" w:cs="Times New Roman" w:eastAsia="Times New Roman" w:hAnsi="Times New Roman"/>
                  <w:sz w:val="18"/>
                  <w:szCs w:val="18"/>
                  <w:color w:val="0000EE"/>
                  <w:w w:val="99"/>
                </w:rPr>
                <w:t>Master Contract Services Agreement, dated October 17, 2023, by and</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40" w:type="dxa"/>
            <w:vAlign w:val="bottom"/>
            <w:gridSpan w:val="27"/>
          </w:tcPr>
          <w:p>
            <w:pPr>
              <w:spacing w:after="0" w:line="196"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between Tectonic Therapeutic, Inc. and QPS Holdings, LLC.</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60" w:type="dxa"/>
            <w:vAlign w:val="bottom"/>
            <w:gridSpan w:val="7"/>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1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385">
              <w:r>
                <w:rPr>
                  <w:rFonts w:ascii="Times New Roman" w:cs="Times New Roman" w:eastAsia="Times New Roman" w:hAnsi="Times New Roman"/>
                  <w:sz w:val="18"/>
                  <w:szCs w:val="18"/>
                  <w:color w:val="0000EE"/>
                  <w:w w:val="99"/>
                </w:rPr>
                <w:t>Master Contract Services Agreement, dated February 16, 2022, by and</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3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385">
              <w:r>
                <w:rPr>
                  <w:rFonts w:ascii="Times New Roman" w:cs="Times New Roman" w:eastAsia="Times New Roman" w:hAnsi="Times New Roman"/>
                  <w:sz w:val="18"/>
                  <w:szCs w:val="18"/>
                  <w:color w:val="0000EE"/>
                  <w:w w:val="98"/>
                </w:rPr>
                <w:t>between Tectonic Therapeutic, Inc. and ITR LABORATORIES CANADA</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40" w:type="dxa"/>
            <w:vAlign w:val="bottom"/>
            <w:gridSpan w:val="27"/>
          </w:tcPr>
          <w:p>
            <w:pPr>
              <w:spacing w:after="0" w:line="196" w:lineRule="exact"/>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INC.</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gridSpan w:val="1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440" w:type="dxa"/>
            <w:vAlign w:val="bottom"/>
            <w:gridSpan w:val="27"/>
          </w:tcPr>
          <w:p>
            <w:pPr>
              <w:spacing w:after="0"/>
              <w:rPr>
                <w:rFonts w:ascii="Times New Roman" w:cs="Times New Roman" w:eastAsia="Times New Roman" w:hAnsi="Times New Roman"/>
                <w:sz w:val="18"/>
                <w:szCs w:val="18"/>
                <w:color w:val="0000EE"/>
              </w:rPr>
            </w:pPr>
            <w:hyperlink r:id="rId386">
              <w:r>
                <w:rPr>
                  <w:rFonts w:ascii="Times New Roman" w:cs="Times New Roman" w:eastAsia="Times New Roman" w:hAnsi="Times New Roman"/>
                  <w:sz w:val="18"/>
                  <w:szCs w:val="18"/>
                  <w:color w:val="0000EE"/>
                </w:rPr>
                <w:t>Development and Manufacturing Services Agreement, dated May 6, 2022,</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by and between Tectonic Therapeutic, Inc. and WuXi Biologics (Hong</w:t>
              </w:r>
            </w:hyperlink>
          </w:p>
        </w:tc>
        <w:tc>
          <w:tcPr>
            <w:tcW w:w="280" w:type="dxa"/>
            <w:vAlign w:val="bottom"/>
            <w:tcBorders>
              <w:top w:val="single" w:sz="8" w:color="0000EE"/>
            </w:tcBorders>
            <w:gridSpan w:val="5"/>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86">
              <w:r>
                <w:rPr>
                  <w:rFonts w:ascii="Times New Roman" w:cs="Times New Roman" w:eastAsia="Times New Roman" w:hAnsi="Times New Roman"/>
                  <w:sz w:val="18"/>
                  <w:szCs w:val="18"/>
                  <w:color w:val="0000EE"/>
                  <w:w w:val="98"/>
                </w:rPr>
                <w:t>Kong) Limited.</w:t>
              </w:r>
            </w:hyperlink>
          </w:p>
        </w:tc>
        <w:tc>
          <w:tcPr>
            <w:tcW w:w="43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440" w:type="dxa"/>
            <w:vAlign w:val="bottom"/>
            <w:gridSpan w:val="27"/>
          </w:tcPr>
          <w:p>
            <w:pPr>
              <w:spacing w:after="0"/>
              <w:rPr>
                <w:rFonts w:ascii="Times New Roman" w:cs="Times New Roman" w:eastAsia="Times New Roman" w:hAnsi="Times New Roman"/>
                <w:sz w:val="18"/>
                <w:szCs w:val="18"/>
                <w:color w:val="0000EE"/>
                <w:w w:val="99"/>
              </w:rPr>
            </w:pPr>
            <w:hyperlink r:id="rId387">
              <w:r>
                <w:rPr>
                  <w:rFonts w:ascii="Times New Roman" w:cs="Times New Roman" w:eastAsia="Times New Roman" w:hAnsi="Times New Roman"/>
                  <w:sz w:val="18"/>
                  <w:szCs w:val="18"/>
                  <w:color w:val="0000EE"/>
                  <w:w w:val="99"/>
                </w:rPr>
                <w:t>Master Clinical Contract Services Agreement, dated March 6, 2023,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87">
              <w:r>
                <w:rPr>
                  <w:rFonts w:ascii="Times New Roman" w:cs="Times New Roman" w:eastAsia="Times New Roman" w:hAnsi="Times New Roman"/>
                  <w:sz w:val="18"/>
                  <w:szCs w:val="18"/>
                  <w:color w:val="0000EE"/>
                  <w:w w:val="99"/>
                </w:rPr>
                <w:t>between Tectonic Therapeutic, Inc. and Novotech (Australia) Pty Limited</w:t>
              </w:r>
            </w:hyperlink>
          </w:p>
        </w:tc>
        <w:tc>
          <w:tcPr>
            <w:tcW w:w="1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387">
              <w:r>
                <w:rPr>
                  <w:rFonts w:ascii="Times New Roman" w:cs="Times New Roman" w:eastAsia="Times New Roman" w:hAnsi="Times New Roman"/>
                  <w:sz w:val="18"/>
                  <w:szCs w:val="18"/>
                  <w:color w:val="0000EE"/>
                  <w:w w:val="93"/>
                </w:rPr>
                <w:t>CAN.</w:t>
              </w:r>
            </w:hyperlink>
          </w:p>
        </w:tc>
        <w:tc>
          <w:tcPr>
            <w:tcW w:w="50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4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388">
              <w:r>
                <w:rPr>
                  <w:rFonts w:ascii="Times New Roman" w:cs="Times New Roman" w:eastAsia="Times New Roman" w:hAnsi="Times New Roman"/>
                  <w:sz w:val="18"/>
                  <w:szCs w:val="18"/>
                  <w:color w:val="0000EE"/>
                  <w:w w:val="99"/>
                </w:rPr>
                <w:t>Amended and Restated Employment Agreement, dated as of June 20, 2024,</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40" w:type="dxa"/>
            <w:vAlign w:val="bottom"/>
            <w:gridSpan w:val="27"/>
          </w:tcPr>
          <w:p>
            <w:pPr>
              <w:spacing w:after="0" w:line="196" w:lineRule="exact"/>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by and between Tectonic Therapeutic, Inc. and Alise Reicin, M.D.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04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20"/>
        </w:trPr>
        <w:tc>
          <w:tcPr>
            <w:tcW w:w="48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7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523"/>
        </w:trPr>
        <w:tc>
          <w:tcPr>
            <w:tcW w:w="4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001-38537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001-38537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001-38537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001-38537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333-277048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001-38537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60" w:space="220"/>
            <w:col w:w="4260"/>
          </w:cols>
          <w:pgMar w:left="320" w:top="482" w:right="5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60" w:type="dxa"/>
            <w:vAlign w:val="bottom"/>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530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00" w:type="dxa"/>
            <w:vAlign w:val="bottom"/>
            <w:gridSpan w:val="17"/>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76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90">
              <w:r>
                <w:rPr>
                  <w:rFonts w:ascii="Times New Roman" w:cs="Times New Roman" w:eastAsia="Times New Roman" w:hAnsi="Times New Roman"/>
                  <w:sz w:val="18"/>
                  <w:szCs w:val="18"/>
                  <w:color w:val="0000EE"/>
                  <w:w w:val="99"/>
                </w:rPr>
                <w:t>Consulting Agreement, dated September 25, 2019, by and between</w:t>
              </w:r>
            </w:hyperlink>
          </w:p>
        </w:tc>
        <w:tc>
          <w:tcPr>
            <w:tcW w:w="480" w:type="dxa"/>
            <w:vAlign w:val="bottom"/>
            <w:gridSpan w:val="3"/>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300" w:type="dxa"/>
            <w:vAlign w:val="bottom"/>
            <w:gridSpan w:val="17"/>
          </w:tcPr>
          <w:p>
            <w:pPr>
              <w:spacing w:after="0" w:line="196" w:lineRule="exact"/>
              <w:rPr>
                <w:rFonts w:ascii="Times New Roman" w:cs="Times New Roman" w:eastAsia="Times New Roman" w:hAnsi="Times New Roman"/>
                <w:sz w:val="18"/>
                <w:szCs w:val="18"/>
                <w:color w:val="0000EE"/>
              </w:rPr>
            </w:pPr>
            <w:hyperlink r:id="rId390">
              <w:r>
                <w:rPr>
                  <w:rFonts w:ascii="Times New Roman" w:cs="Times New Roman" w:eastAsia="Times New Roman" w:hAnsi="Times New Roman"/>
                  <w:sz w:val="18"/>
                  <w:szCs w:val="18"/>
                  <w:color w:val="0000EE"/>
                </w:rPr>
                <w:t>Tectonic Therapeutic, Inc. and Andrew Kruse.</w:t>
              </w:r>
            </w:hyperlink>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333-277048</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10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3/26/2024</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300" w:type="dxa"/>
            <w:vAlign w:val="bottom"/>
            <w:gridSpan w:val="17"/>
          </w:tcPr>
          <w:p>
            <w:pPr>
              <w:spacing w:after="0"/>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Offer Letter dated June 16, 2021, by and between Tectonic Therapeutic,</w:t>
              </w:r>
            </w:hyperlink>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391">
              <w:r>
                <w:rPr>
                  <w:rFonts w:ascii="Times New Roman" w:cs="Times New Roman" w:eastAsia="Times New Roman" w:hAnsi="Times New Roman"/>
                  <w:sz w:val="18"/>
                  <w:szCs w:val="18"/>
                  <w:color w:val="0000EE"/>
                  <w:w w:val="98"/>
                </w:rPr>
                <w:t>Inc. and Marcella Ruddy.</w:t>
              </w:r>
            </w:hyperlink>
          </w:p>
        </w:tc>
        <w:tc>
          <w:tcPr>
            <w:tcW w:w="3340" w:type="dxa"/>
            <w:vAlign w:val="bottom"/>
            <w:tcBorders>
              <w:top w:val="single" w:sz="8" w:color="0000EE"/>
            </w:tcBorders>
            <w:gridSpan w:val="12"/>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333-277048</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10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4/15/2024</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92">
              <w:r>
                <w:rPr>
                  <w:rFonts w:ascii="Times New Roman" w:cs="Times New Roman" w:eastAsia="Times New Roman" w:hAnsi="Times New Roman"/>
                  <w:sz w:val="18"/>
                  <w:szCs w:val="18"/>
                  <w:color w:val="0000EE"/>
                  <w:w w:val="99"/>
                </w:rPr>
                <w:t>Offer Letter dated July 29, 2019, by and between Tectonic Therapeutic,</w:t>
              </w:r>
            </w:hyperlink>
          </w:p>
        </w:tc>
        <w:tc>
          <w:tcPr>
            <w:tcW w:w="1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300" w:type="dxa"/>
            <w:vAlign w:val="bottom"/>
            <w:gridSpan w:val="17"/>
          </w:tcPr>
          <w:p>
            <w:pPr>
              <w:spacing w:after="0" w:line="196" w:lineRule="exact"/>
              <w:rPr>
                <w:rFonts w:ascii="Times New Roman" w:cs="Times New Roman" w:eastAsia="Times New Roman" w:hAnsi="Times New Roman"/>
                <w:sz w:val="18"/>
                <w:szCs w:val="18"/>
                <w:color w:val="0000EE"/>
              </w:rPr>
            </w:pPr>
            <w:hyperlink r:id="rId392">
              <w:r>
                <w:rPr>
                  <w:rFonts w:ascii="Times New Roman" w:cs="Times New Roman" w:eastAsia="Times New Roman" w:hAnsi="Times New Roman"/>
                  <w:sz w:val="18"/>
                  <w:szCs w:val="18"/>
                  <w:color w:val="0000EE"/>
                </w:rPr>
                <w:t>Inc. and Christian Cortis.</w:t>
              </w:r>
            </w:hyperlink>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333-277048</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10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4/15/2024</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300" w:type="dxa"/>
            <w:vAlign w:val="bottom"/>
            <w:gridSpan w:val="17"/>
          </w:tcPr>
          <w:p>
            <w:pPr>
              <w:spacing w:after="0"/>
              <w:rPr>
                <w:rFonts w:ascii="Times New Roman" w:cs="Times New Roman" w:eastAsia="Times New Roman" w:hAnsi="Times New Roman"/>
                <w:sz w:val="18"/>
                <w:szCs w:val="18"/>
                <w:color w:val="0000EE"/>
              </w:rPr>
            </w:pPr>
            <w:hyperlink r:id="rId393">
              <w:r>
                <w:rPr>
                  <w:rFonts w:ascii="Times New Roman" w:cs="Times New Roman" w:eastAsia="Times New Roman" w:hAnsi="Times New Roman"/>
                  <w:sz w:val="18"/>
                  <w:szCs w:val="18"/>
                  <w:color w:val="0000EE"/>
                </w:rPr>
                <w:t>Form of Severance Plan and Form of Participation Agreement of</w:t>
              </w:r>
            </w:hyperlink>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393">
              <w:r>
                <w:rPr>
                  <w:rFonts w:ascii="Times New Roman" w:cs="Times New Roman" w:eastAsia="Times New Roman" w:hAnsi="Times New Roman"/>
                  <w:sz w:val="18"/>
                  <w:szCs w:val="18"/>
                  <w:color w:val="0000EE"/>
                  <w:w w:val="97"/>
                </w:rPr>
                <w:t>Tectonic Therapeutic, Inc.</w:t>
              </w:r>
            </w:hyperlink>
          </w:p>
        </w:tc>
        <w:tc>
          <w:tcPr>
            <w:tcW w:w="2780" w:type="dxa"/>
            <w:vAlign w:val="bottom"/>
            <w:tcBorders>
              <w:top w:val="single" w:sz="8" w:color="0000EE"/>
            </w:tcBorders>
            <w:gridSpan w:val="7"/>
          </w:tcPr>
          <w:p>
            <w:pPr>
              <w:spacing w:after="0"/>
              <w:rPr>
                <w:sz w:val="17"/>
                <w:szCs w:val="17"/>
                <w:color w:val="auto"/>
              </w:rPr>
            </w:pPr>
          </w:p>
        </w:tc>
        <w:tc>
          <w:tcPr>
            <w:tcW w:w="640" w:type="dxa"/>
            <w:vAlign w:val="bottom"/>
            <w:gridSpan w:val="5"/>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333-277048</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10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4/15/2024</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38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394">
              <w:r>
                <w:rPr>
                  <w:rFonts w:ascii="Times New Roman" w:cs="Times New Roman" w:eastAsia="Times New Roman" w:hAnsi="Times New Roman"/>
                  <w:sz w:val="18"/>
                  <w:szCs w:val="18"/>
                  <w:color w:val="0000EE"/>
                  <w:w w:val="98"/>
                </w:rPr>
                <w:t>Letter from Ernst &amp; Young LLP dated June 20, 2024.</w:t>
              </w:r>
            </w:hyperlink>
          </w:p>
        </w:tc>
        <w:tc>
          <w:tcPr>
            <w:tcW w:w="1460" w:type="dxa"/>
            <w:vAlign w:val="bottom"/>
            <w:gridSpan w:val="8"/>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001-38537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16.1</w:t>
            </w: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6/20/2024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3900" w:type="dxa"/>
            <w:vAlign w:val="bottom"/>
            <w:gridSpan w:val="15"/>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Deloitte &amp; Touche LLP, independent registered public</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7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accounting firm of Tectonic Therapeutic, Inc.</w:t>
            </w:r>
          </w:p>
        </w:tc>
        <w:tc>
          <w:tcPr>
            <w:tcW w:w="5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center"/>
              <w:ind w:left="95"/>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firm of AVROBIO, Inc.</w:t>
            </w:r>
          </w:p>
        </w:tc>
        <w:tc>
          <w:tcPr>
            <w:tcW w:w="1920" w:type="dxa"/>
            <w:vAlign w:val="bottom"/>
            <w:tcBorders>
              <w:top w:val="single" w:sz="8" w:color="0000EE"/>
            </w:tcBorders>
            <w:gridSpan w:val="5"/>
          </w:tcPr>
          <w:p>
            <w:pPr>
              <w:spacing w:after="0"/>
              <w:rPr>
                <w:sz w:val="17"/>
                <w:szCs w:val="17"/>
                <w:color w:val="auto"/>
              </w:rPr>
            </w:pPr>
          </w:p>
        </w:tc>
        <w:tc>
          <w:tcPr>
            <w:tcW w:w="84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center"/>
              <w:ind w:left="95"/>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Cooley LLP (included in Exhibit 5.1 hereto).</w:t>
            </w:r>
          </w:p>
        </w:tc>
        <w:tc>
          <w:tcPr>
            <w:tcW w:w="124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182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440" w:hanging="424"/>
        <w:spacing w:after="0" w:line="261"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registrant treats as private or confidential.</w:t>
      </w: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 w:lineRule="exact"/>
        <w:rPr>
          <w:sz w:val="20"/>
          <w:szCs w:val="20"/>
          <w:color w:val="auto"/>
        </w:rPr>
      </w:pPr>
    </w:p>
    <w:p>
      <w:pPr>
        <w:ind w:left="540" w:right="400" w:hanging="424"/>
        <w:spacing w:after="0" w:line="260"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have been omitted pursuant to Item 601(b)(2) or 601(a)(5), as applicable, of Regulation S-K. The registrant agrees to furnish supplementally a copy of any omitted attachment to the SEC on a confidential basis upon request.</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40"/>
          </w:cols>
          <w:pgMar w:left="320" w:top="482" w:right="5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1080" w:hanging="532"/>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2080" w:hanging="533"/>
        <w:spacing w:after="0" w:line="254" w:lineRule="auto"/>
        <w:tabs>
          <w:tab w:leader="none" w:pos="208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2080" w:right="580" w:hanging="533"/>
        <w:spacing w:after="0" w:line="282" w:lineRule="auto"/>
        <w:tabs>
          <w:tab w:leader="none" w:pos="208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rFonts w:ascii="Times New Roman" w:cs="Times New Roman" w:eastAsia="Times New Roman" w:hAnsi="Times New Roman"/>
          <w:sz w:val="18"/>
          <w:szCs w:val="18"/>
          <w:color w:val="auto"/>
        </w:rPr>
      </w:pPr>
    </w:p>
    <w:p>
      <w:pPr>
        <w:ind w:left="2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90" w:lineRule="exact"/>
        <w:rPr>
          <w:rFonts w:ascii="Times New Roman" w:cs="Times New Roman" w:eastAsia="Times New Roman" w:hAnsi="Times New Roman"/>
          <w:sz w:val="18"/>
          <w:szCs w:val="18"/>
          <w:color w:val="auto"/>
        </w:rPr>
      </w:pPr>
    </w:p>
    <w:p>
      <w:pPr>
        <w:ind w:left="1540" w:right="180" w:hanging="439"/>
        <w:spacing w:after="0" w:line="266"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2080" w:right="120" w:hanging="533"/>
        <w:spacing w:after="0" w:line="282" w:lineRule="auto"/>
        <w:tabs>
          <w:tab w:leader="none" w:pos="208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2080" w:right="60" w:hanging="533"/>
        <w:spacing w:after="0" w:line="254" w:lineRule="auto"/>
        <w:tabs>
          <w:tab w:leader="none" w:pos="208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2080" w:right="40"/>
        <w:spacing w:after="0" w:line="277" w:lineRule="auto"/>
        <w:rPr>
          <w:sz w:val="20"/>
          <w:szCs w:val="20"/>
          <w:color w:val="auto"/>
        </w:rPr>
      </w:pPr>
      <w:r>
        <w:rPr>
          <w:rFonts w:ascii="Times New Roman" w:cs="Times New Roman" w:eastAsia="Times New Roman" w:hAnsi="Times New Roman"/>
          <w:sz w:val="17"/>
          <w:szCs w:val="17"/>
          <w:color w:val="auto"/>
        </w:rPr>
        <w:t>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sz w:val="20"/>
          <w:szCs w:val="20"/>
          <w:color w:val="auto"/>
        </w:rPr>
      </w:pPr>
    </w:p>
    <w:p>
      <w:pPr>
        <w:ind w:left="1540" w:right="40" w:hanging="439"/>
        <w:spacing w:after="0" w:line="258" w:lineRule="auto"/>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2080" w:right="140" w:hanging="533"/>
        <w:spacing w:after="0" w:line="282" w:lineRule="auto"/>
        <w:tabs>
          <w:tab w:leader="none" w:pos="20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2080" w:right="840" w:hanging="533"/>
        <w:spacing w:after="0" w:line="282" w:lineRule="auto"/>
        <w:tabs>
          <w:tab w:leader="none" w:pos="20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4"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540" w:right="40" w:hanging="439"/>
        <w:spacing w:after="0" w:line="266"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00"/>
          </w:cols>
          <w:pgMar w:left="320" w:top="482" w:right="47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Watertown, Commonwealth of Massachusetts, on July 19,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Alise Reicin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 President and Director</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Alise Reicin and Daniel Lochner,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12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96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20" w:type="dxa"/>
            <w:vAlign w:val="bottom"/>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7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Alise Reicin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4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July 19, 2024</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Alise Reicin</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2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Lochner</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July 19, 2024</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Daniel Lochner</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42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Terrance McGuire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July 19, 2024</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4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Vitorovic</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July 19, 2024</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Stefan Vitorovic</w:t>
            </w:r>
          </w:p>
        </w:tc>
        <w:tc>
          <w:tcPr>
            <w:tcW w:w="4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July 19, 2024</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Timothy A. Springer</w:t>
            </w:r>
          </w:p>
        </w:tc>
        <w:tc>
          <w:tcPr>
            <w:tcW w:w="4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Praveen Tipirneni</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July 19, 2024</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Praveen Tipirneni</w:t>
            </w:r>
          </w:p>
        </w:tc>
        <w:tc>
          <w:tcPr>
            <w:tcW w:w="4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Phillip B. Donenberg</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July 19, 2024</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4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60"/>
        </w:trPr>
        <w:tc>
          <w:tcPr>
            <w:tcW w:w="4120" w:type="dxa"/>
            <w:vAlign w:val="bottom"/>
          </w:tcPr>
          <w:p>
            <w:pPr>
              <w:spacing w:after="0"/>
              <w:rPr>
                <w:sz w:val="24"/>
                <w:szCs w:val="24"/>
                <w:color w:val="auto"/>
              </w:rPr>
            </w:pPr>
          </w:p>
        </w:tc>
        <w:tc>
          <w:tcPr>
            <w:tcW w:w="49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II-8</w:t>
            </w:r>
          </w:p>
        </w:tc>
        <w:tc>
          <w:tcPr>
            <w:tcW w:w="142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306" w:name="page307"/>
    <w:bookmarkEnd w:id="30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165860" cy="3771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Marc A. Recht</w:t>
      </w:r>
    </w:p>
    <w:p>
      <w:pPr>
        <w:spacing w:after="0" w:line="27" w:lineRule="exact"/>
        <w:rPr>
          <w:sz w:val="20"/>
          <w:szCs w:val="20"/>
          <w:color w:val="auto"/>
        </w:rPr>
      </w:pPr>
    </w:p>
    <w:p>
      <w:pPr>
        <w:ind w:left="4" w:right="9500" w:hanging="4"/>
        <w:spacing w:after="0" w:line="290" w:lineRule="auto"/>
        <w:tabs>
          <w:tab w:leader="none" w:pos="2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+1 617 937 2316 mrecht@cooley.com</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19,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Tectonic Therapeutic, Inc.</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acted as counsel to Tectonic Therapeutic, Inc., (f/k/a AVROBIO,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the Company of a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including the prospectus included 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covering the registration for resale of up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2,969,583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issued pursuant to that certain Agreement and Plan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Merger and Reorganization by and among AVROBIO, Inc., Alpine Merger Subsidiary, Inc. and Tectonic Therapeutic, Inc. (currently known as Tectonic</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Operating Company, Inc.) (“</w:t>
      </w:r>
      <w:r>
        <w:rPr>
          <w:rFonts w:ascii="Times New Roman" w:cs="Times New Roman" w:eastAsia="Times New Roman" w:hAnsi="Times New Roman"/>
          <w:sz w:val="18"/>
          <w:szCs w:val="18"/>
          <w:b w:val="1"/>
          <w:bCs w:val="1"/>
          <w:i w:val="1"/>
          <w:iCs w:val="1"/>
          <w:color w:val="auto"/>
        </w:rPr>
        <w:t>Legacy Tectonic</w:t>
      </w:r>
      <w:r>
        <w:rPr>
          <w:rFonts w:ascii="Times New Roman" w:cs="Times New Roman" w:eastAsia="Times New Roman" w:hAnsi="Times New Roman"/>
          <w:sz w:val="18"/>
          <w:szCs w:val="18"/>
          <w:color w:val="auto"/>
        </w:rPr>
        <w:t>”) dated January 30, 2024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The Shares were received in exchange for shares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Legacy Tectonic issued to investors in a private placement pursuant to a subscription agreement dated January 30, 2024 (the “</w:t>
      </w:r>
      <w:r>
        <w:rPr>
          <w:rFonts w:ascii="Times New Roman" w:cs="Times New Roman" w:eastAsia="Times New Roman" w:hAnsi="Times New Roman"/>
          <w:sz w:val="18"/>
          <w:szCs w:val="18"/>
          <w:b w:val="1"/>
          <w:bCs w:val="1"/>
          <w:i w:val="1"/>
          <w:iCs w:val="1"/>
          <w:color w:val="auto"/>
        </w:rPr>
        <w:t>Subscription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Legacy Tectonic and the investors named therein.</w:t>
      </w:r>
    </w:p>
    <w:p>
      <w:pPr>
        <w:spacing w:after="0" w:line="20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Prospectus, (b) the Company’s certificate of incorporation and bylaws, each as currently in effect, (c) the Merger Agreement, (d) the Subscription Agreement and (e) such other records, documents,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4"/>
          <w:szCs w:val="14"/>
          <w:color w:val="auto"/>
        </w:rPr>
        <w:t>Cooley LLP   500 Boylston Street, Boston, MA   02116</w:t>
      </w:r>
    </w:p>
    <w:p>
      <w:pPr>
        <w:spacing w:after="0" w:line="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4"/>
          <w:szCs w:val="14"/>
          <w:color w:val="auto"/>
        </w:rPr>
        <w:t>t: (617) 937 2300 f: (617) 937 2400 cooley.com</w:t>
      </w:r>
    </w:p>
    <w:p>
      <w:pPr>
        <w:sectPr>
          <w:pgSz w:w="11900" w:h="16838" w:orient="portrait"/>
          <w:cols w:equalWidth="0" w:num="1">
            <w:col w:w="10984"/>
          </w:cols>
          <w:pgMar w:left="436" w:top="958" w:right="4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Tectonic Therapeutic,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are validly issued, fully paid and nonassessable.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A. 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Marc A. Recht</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Cooley LLP   500 Boylston Street, Boston, MA   02116</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 (617) 937 2300 f: (617) 937 2400 cooley.com</w:t>
      </w:r>
    </w:p>
    <w:p>
      <w:pPr>
        <w:sectPr>
          <w:pgSz w:w="11900" w:h="16838" w:orient="portrait"/>
          <w:cols w:equalWidth="0" w:num="1">
            <w:col w:w="10980"/>
          </w:cols>
          <w:pgMar w:left="440" w:top="1107" w:right="47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20"/>
        </w:trPr>
        <w:tc>
          <w:tcPr>
            <w:tcW w:w="3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20" w:type="dxa"/>
            <w:vAlign w:val="bottom"/>
          </w:tcPr>
          <w:p>
            <w:pPr>
              <w:spacing w:after="0"/>
              <w:rPr>
                <w:sz w:val="24"/>
                <w:szCs w:val="24"/>
                <w:color w:val="auto"/>
              </w:rPr>
            </w:pPr>
          </w:p>
        </w:tc>
        <w:tc>
          <w:tcPr>
            <w:tcW w:w="374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191"/>
        </w:trPr>
        <w:tc>
          <w:tcPr>
            <w:tcW w:w="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0"/>
              </w:rPr>
              <w:t>AVROBIO</w:t>
            </w:r>
          </w:p>
        </w:tc>
        <w:tc>
          <w:tcPr>
            <w:tcW w:w="30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Inc.</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AVROBIO Australia Pty Ltd</w:t>
            </w:r>
          </w:p>
        </w:tc>
        <w:tc>
          <w:tcPr>
            <w:tcW w:w="1020" w:type="dxa"/>
            <w:vAlign w:val="bottom"/>
          </w:tcPr>
          <w:p>
            <w:pPr>
              <w:spacing w:after="0"/>
              <w:rPr>
                <w:sz w:val="18"/>
                <w:szCs w:val="18"/>
                <w:color w:val="auto"/>
              </w:rPr>
            </w:pPr>
          </w:p>
        </w:tc>
        <w:tc>
          <w:tcPr>
            <w:tcW w:w="37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AVROBIO Securities Corporation</w:t>
            </w:r>
          </w:p>
        </w:tc>
        <w:tc>
          <w:tcPr>
            <w:tcW w:w="1020" w:type="dxa"/>
            <w:vAlign w:val="bottom"/>
          </w:tcPr>
          <w:p>
            <w:pPr>
              <w:spacing w:after="0"/>
              <w:rPr>
                <w:sz w:val="18"/>
                <w:szCs w:val="18"/>
                <w:color w:val="auto"/>
              </w:rPr>
            </w:pPr>
          </w:p>
        </w:tc>
        <w:tc>
          <w:tcPr>
            <w:tcW w:w="37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Tectonic Therapeutic Pty Ltd.</w:t>
            </w:r>
          </w:p>
        </w:tc>
        <w:tc>
          <w:tcPr>
            <w:tcW w:w="1020" w:type="dxa"/>
            <w:vAlign w:val="bottom"/>
          </w:tcPr>
          <w:p>
            <w:pPr>
              <w:spacing w:after="0"/>
              <w:rPr>
                <w:sz w:val="18"/>
                <w:szCs w:val="18"/>
                <w:color w:val="auto"/>
              </w:rPr>
            </w:pPr>
          </w:p>
        </w:tc>
        <w:tc>
          <w:tcPr>
            <w:tcW w:w="37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Tectonic Therapeutic Securities Corp.</w:t>
            </w:r>
          </w:p>
        </w:tc>
        <w:tc>
          <w:tcPr>
            <w:tcW w:w="1020" w:type="dxa"/>
            <w:vAlign w:val="bottom"/>
          </w:tcPr>
          <w:p>
            <w:pPr>
              <w:spacing w:after="0"/>
              <w:rPr>
                <w:sz w:val="18"/>
                <w:szCs w:val="18"/>
                <w:color w:val="auto"/>
              </w:rPr>
            </w:pPr>
          </w:p>
        </w:tc>
        <w:tc>
          <w:tcPr>
            <w:tcW w:w="37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Tectonic Operating Company, Inc.</w:t>
            </w:r>
          </w:p>
        </w:tc>
        <w:tc>
          <w:tcPr>
            <w:tcW w:w="1020" w:type="dxa"/>
            <w:vAlign w:val="bottom"/>
          </w:tcPr>
          <w:p>
            <w:pPr>
              <w:spacing w:after="0"/>
              <w:rPr>
                <w:sz w:val="20"/>
                <w:szCs w:val="20"/>
                <w:color w:val="auto"/>
              </w:rPr>
            </w:pPr>
          </w:p>
        </w:tc>
        <w:tc>
          <w:tcPr>
            <w:tcW w:w="37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20"/>
          </w:cols>
          <w:pgMar w:left="440" w:top="117" w:right="4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our report dated April 12, 2024, relating to the financial statements of Tectonic Therapeutic, Inc. We also consent to the reference to us under the heading “Experts” in such Registration Statement.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19, 2024</w:t>
      </w:r>
    </w:p>
    <w:p>
      <w:pPr>
        <w:sectPr>
          <w:pgSz w:w="11900" w:h="16838" w:orient="portrait"/>
          <w:cols w:equalWidth="0" w:num="1">
            <w:col w:w="11020"/>
          </w:cols>
          <w:pgMar w:left="440" w:top="117" w:right="4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March 14, 2024, with respect to the consolidated financial statements of AVROBIO, Inc. included in the Registration Statement (Form S-1) and related Prospectus of Tectonic Therapeutic, Inc. for the registration of up to 2,969,583 shares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19, 2024</w:t>
      </w:r>
    </w:p>
    <w:p>
      <w:pPr>
        <w:sectPr>
          <w:pgSz w:w="11900" w:h="16838" w:orient="portrait"/>
          <w:cols w:equalWidth="0" w:num="1">
            <w:col w:w="11020"/>
          </w:cols>
          <w:pgMar w:left="440" w:top="117" w:right="4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07"/>
        </w:trPr>
        <w:tc>
          <w:tcPr>
            <w:tcW w:w="1340" w:type="dxa"/>
            <w:vAlign w:val="bottom"/>
            <w:tcBorders>
              <w:top w:val="single" w:sz="8" w:color="auto"/>
              <w:left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0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6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08"/>
        </w:trPr>
        <w:tc>
          <w:tcPr>
            <w:tcW w:w="134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1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Offering</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108"/>
        </w:trPr>
        <w:tc>
          <w:tcPr>
            <w:tcW w:w="134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3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9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vMerge w:val="continue"/>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00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6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7"/>
                <w:szCs w:val="17"/>
                <w:b w:val="1"/>
                <w:bCs w:val="1"/>
                <w:color w:val="auto"/>
                <w:w w:val="97"/>
              </w:rPr>
              <w:t>Price</w:t>
            </w:r>
            <w:r>
              <w:rPr>
                <w:rFonts w:ascii="Times New Roman" w:cs="Times New Roman" w:eastAsia="Times New Roman" w:hAnsi="Times New Roman"/>
                <w:sz w:val="25"/>
                <w:szCs w:val="25"/>
                <w:b w:val="1"/>
                <w:bCs w:val="1"/>
                <w:color w:val="auto"/>
                <w:w w:val="97"/>
                <w:vertAlign w:val="superscript"/>
              </w:rPr>
              <w:t>(2)</w:t>
            </w: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38"/>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91"/>
              </w:rPr>
              <w:t>Share</w:t>
            </w:r>
            <w:r>
              <w:rPr>
                <w:rFonts w:ascii="Times New Roman" w:cs="Times New Roman" w:eastAsia="Times New Roman" w:hAnsi="Times New Roman"/>
                <w:sz w:val="26"/>
                <w:szCs w:val="26"/>
                <w:b w:val="1"/>
                <w:bCs w:val="1"/>
                <w:color w:val="auto"/>
                <w:w w:val="91"/>
                <w:vertAlign w:val="superscript"/>
              </w:rPr>
              <w:t>(2)</w:t>
            </w:r>
          </w:p>
        </w:tc>
        <w:tc>
          <w:tcPr>
            <w:tcW w:w="16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4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11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 to</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$0.0001</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2,969,583</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18"/>
                <w:szCs w:val="18"/>
                <w:color w:val="auto"/>
                <w:w w:val="99"/>
              </w:rPr>
              <w:t xml:space="preserve"> </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$16.77</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$49,799,906.61</w:t>
            </w:r>
          </w:p>
        </w:tc>
        <w:tc>
          <w:tcPr>
            <w:tcW w:w="1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$0.00014760</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$7,350.47</w:t>
            </w:r>
          </w:p>
        </w:tc>
        <w:tc>
          <w:tcPr>
            <w:tcW w:w="0" w:type="dxa"/>
            <w:vAlign w:val="bottom"/>
          </w:tcPr>
          <w:p>
            <w:pPr>
              <w:spacing w:after="0"/>
              <w:rPr>
                <w:sz w:val="1"/>
                <w:szCs w:val="1"/>
                <w:color w:val="auto"/>
              </w:rPr>
            </w:pPr>
          </w:p>
        </w:tc>
      </w:tr>
      <w:tr>
        <w:trPr>
          <w:trHeight w:val="180"/>
        </w:trPr>
        <w:tc>
          <w:tcPr>
            <w:tcW w:w="134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 Paid</w:t>
            </w:r>
          </w:p>
        </w:tc>
        <w:tc>
          <w:tcPr>
            <w:tcW w:w="1320" w:type="dxa"/>
            <w:vAlign w:val="bottom"/>
            <w:tcBorders>
              <w:right w:val="single" w:sz="8" w:color="auto"/>
            </w:tcBorders>
            <w:vMerge w:val="continue"/>
          </w:tcPr>
          <w:p>
            <w:pPr>
              <w:spacing w:after="0"/>
              <w:rPr>
                <w:sz w:val="15"/>
                <w:szCs w:val="15"/>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par value per</w:t>
            </w:r>
          </w:p>
        </w:tc>
        <w:tc>
          <w:tcPr>
            <w:tcW w:w="114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40" w:type="dxa"/>
            <w:vAlign w:val="bottom"/>
            <w:tcBorders>
              <w:left w:val="single" w:sz="8" w:color="auto"/>
              <w:right w:val="single" w:sz="8" w:color="auto"/>
            </w:tcBorders>
            <w:vMerge w:val="continue"/>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vMerge w:val="continue"/>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60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10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$49,799,906.61</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$7,350.47</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0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 Fees Due</w:t>
            </w:r>
          </w:p>
        </w:tc>
        <w:tc>
          <w:tcPr>
            <w:tcW w:w="10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$7,350.47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58" w:lineRule="auto"/>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par value $0.0001 per share (“Common Stock”) of Tectonic Therapeutic, Inc. that will be offered for resale by the selling stockholders named in this registration statement (the “Registration Statement”). Pursuant to Rule 416(a) of the Securities Act of 1933, as amended (the “Securities Act”), the Registration Statement shall also cover any additional shares of Common Stock that become issuable by reason of any stock dividend, stock split, recapitalization or other similar transaction effected without receipt of consideration that increases the number of outstanding shares of Common Stock.</w:t>
      </w:r>
    </w:p>
    <w:p>
      <w:pPr>
        <w:spacing w:after="0" w:line="210" w:lineRule="exact"/>
        <w:rPr>
          <w:rFonts w:ascii="Times New Roman" w:cs="Times New Roman" w:eastAsia="Times New Roman" w:hAnsi="Times New Roman"/>
          <w:sz w:val="18"/>
          <w:szCs w:val="18"/>
          <w:color w:val="auto"/>
        </w:rPr>
      </w:pPr>
    </w:p>
    <w:p>
      <w:pPr>
        <w:ind w:left="424" w:right="300" w:hanging="424"/>
        <w:spacing w:after="0" w:line="266" w:lineRule="auto"/>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computing the amount of the registration fee pursuant to Rule 457(c) under the Securities Act, based on the average of the high and low sales price of the Common Stock as reported on the Nasdaq Global Market on July 12, 2024, a date within five business days prior to the filing of the Registration Statement.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1)"/>
      <w:numFmt w:val="lowerLetter"/>
      <w:start w:val="1"/>
    </w:lvl>
  </w:abstractNum>
  <w:abstractNum w:abstractNumId="36">
    <w:nsid w:val="74DE0EE3"/>
    <w:multiLevelType w:val="hybridMultilevel"/>
    <w:lvl w:ilvl="0">
      <w:lvlJc w:val="left"/>
      <w:lvlText w:val="(%1)"/>
      <w:numFmt w:val="decimal"/>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1)"/>
      <w:numFmt w:val="decimal"/>
      <w:start w:val="3"/>
    </w:lvl>
  </w:abstractNum>
  <w:abstractNum w:abstractNumId="40">
    <w:nsid w:val="4A2AC315"/>
    <w:multiLevelType w:val="hybridMultilevel"/>
    <w:lvl w:ilvl="0">
      <w:lvlJc w:val="left"/>
      <w:lvlText w:val="(%1)"/>
      <w:numFmt w:val="decimal"/>
      <w:start w:val="1"/>
    </w:lvl>
  </w:abstractNum>
  <w:abstractNum w:abstractNumId="41">
    <w:nsid w:val="39EE015C"/>
    <w:multiLevelType w:val="hybridMultilevel"/>
    <w:lvl w:ilvl="0">
      <w:lvlJc w:val="left"/>
      <w:lvlText w:val="(%1)"/>
      <w:numFmt w:val="decimal"/>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1)"/>
      <w:numFmt w:val="decimal"/>
      <w:start w:val="4"/>
    </w:lvl>
  </w:abstractNum>
  <w:abstractNum w:abstractNumId="48">
    <w:nsid w:val="49DA307D"/>
    <w:multiLevelType w:val="hybridMultilevel"/>
    <w:lvl w:ilvl="0">
      <w:lvlJc w:val="left"/>
      <w:lvlText w:val="%1."/>
      <w:numFmt w:val="decimal"/>
      <w:start w:val="1"/>
    </w:lvl>
  </w:abstractNum>
  <w:abstractNum w:abstractNumId="49">
    <w:nsid w:val="7055A5F5"/>
    <w:multiLevelType w:val="hybridMultilevel"/>
    <w:lvl w:ilvl="0">
      <w:lvlJc w:val="left"/>
      <w:lvlText w:val="(%1)"/>
      <w:numFmt w:val="lowerRoman"/>
      <w:start w:val="2"/>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1"/>
      <w:numFmt w:val="upperLetter"/>
      <w:start w:val="35"/>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1)"/>
      <w:numFmt w:val="decimal"/>
      <w:start w:val="1"/>
    </w:lvl>
  </w:abstractNum>
  <w:abstractNum w:abstractNumId="65">
    <w:nsid w:val="6A3DD3E8"/>
    <w:multiLevelType w:val="hybridMultilevel"/>
    <w:lvl w:ilvl="0">
      <w:lvlJc w:val="left"/>
      <w:lvlText w:val="(%1)"/>
      <w:numFmt w:val="decimal"/>
      <w:start w:val="4"/>
    </w:lvl>
  </w:abstractNum>
  <w:abstractNum w:abstractNumId="66">
    <w:nsid w:val="71C91298"/>
    <w:multiLevelType w:val="hybridMultilevel"/>
    <w:lvl w:ilvl="0">
      <w:lvlJc w:val="left"/>
      <w:lvlText w:val="(%1)"/>
      <w:numFmt w:val="decimal"/>
      <w:start w:val="1"/>
    </w:lvl>
  </w:abstractNum>
  <w:abstractNum w:abstractNumId="67">
    <w:nsid w:val="9DAF632"/>
    <w:multiLevelType w:val="hybridMultilevel"/>
    <w:lvl w:ilvl="0">
      <w:lvlJc w:val="left"/>
      <w:lvlText w:val="(%1)"/>
      <w:numFmt w:val="decimal"/>
      <w:start w:val="5"/>
    </w:lvl>
  </w:abstractNum>
  <w:abstractNum w:abstractNumId="68">
    <w:nsid w:val="53299938"/>
    <w:multiLevelType w:val="hybridMultilevel"/>
    <w:lvl w:ilvl="0">
      <w:lvlJc w:val="left"/>
      <w:lvlText w:val="(%1)"/>
      <w:numFmt w:val="lowerRoman"/>
      <w:start w:val="3"/>
    </w:lvl>
  </w:abstractNum>
  <w:abstractNum w:abstractNumId="69">
    <w:nsid w:val="1FBFE8E0"/>
    <w:multiLevelType w:val="hybridMultilevel"/>
    <w:lvl w:ilvl="0">
      <w:lvlJc w:val="left"/>
      <w:lvlText w:val="(%1)"/>
      <w:numFmt w:val="decimal"/>
      <w:start w:val="5"/>
    </w:lvl>
  </w:abstractNum>
  <w:abstractNum w:abstractNumId="70">
    <w:nsid w:val="5092CA79"/>
    <w:multiLevelType w:val="hybridMultilevel"/>
    <w:lvl w:ilvl="0">
      <w:lvlJc w:val="left"/>
      <w:lvlText w:val="(%1)"/>
      <w:numFmt w:val="decimal"/>
      <w:start w:val="2"/>
    </w:lvl>
  </w:abstractNum>
  <w:abstractNum w:abstractNumId="71">
    <w:nsid w:val="1D545C4D"/>
    <w:multiLevelType w:val="hybridMultilevel"/>
    <w:lvl w:ilvl="0">
      <w:lvlJc w:val="left"/>
      <w:lvlText w:val="(%1)"/>
      <w:numFmt w:val="decimal"/>
      <w:start w:val="1"/>
    </w:lvl>
  </w:abstractNum>
  <w:abstractNum w:abstractNumId="72">
    <w:nsid w:val="59ADEA3D"/>
    <w:multiLevelType w:val="hybridMultilevel"/>
    <w:lvl w:ilvl="0">
      <w:lvlJc w:val="left"/>
      <w:lvlText w:val="(%1)"/>
      <w:numFmt w:val="decimal"/>
      <w:start w:val="1"/>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1)"/>
      <w:numFmt w:val="decimal"/>
      <w:start w:val="1"/>
    </w:lvl>
  </w:abstractNum>
  <w:abstractNum w:abstractNumId="75">
    <w:nsid w:val="1D9F6E5F"/>
    <w:multiLevelType w:val="hybridMultilevel"/>
    <w:lvl w:ilvl="0">
      <w:lvlJc w:val="left"/>
      <w:lvlText w:val="(%1)"/>
      <w:numFmt w:val="decimal"/>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1)"/>
      <w:numFmt w:val="decimal"/>
      <w:start w:val="1"/>
    </w:lvl>
  </w:abstractNum>
  <w:abstractNum w:abstractNumId="79">
    <w:nsid w:val="53584BCB"/>
    <w:multiLevelType w:val="hybridMultilevel"/>
    <w:lvl w:ilvl="0">
      <w:lvlJc w:val="left"/>
      <w:lvlText w:val="(%1)"/>
      <w:numFmt w:val="decimal"/>
      <w:start w:val="2"/>
    </w:lvl>
  </w:abstractNum>
  <w:abstractNum w:abstractNumId="80">
    <w:nsid w:val="415E286C"/>
    <w:multiLevelType w:val="hybridMultilevel"/>
    <w:lvl w:ilvl="0">
      <w:lvlJc w:val="left"/>
      <w:lvlText w:val="(%1)"/>
      <w:numFmt w:val="decimal"/>
      <w:start w:val="7"/>
    </w:lvl>
  </w:abstractNum>
  <w:abstractNum w:abstractNumId="81">
    <w:nsid w:val="7C58FD05"/>
    <w:multiLevelType w:val="hybridMultilevel"/>
    <w:lvl w:ilvl="0">
      <w:lvlJc w:val="left"/>
      <w:lvlText w:val="*"/>
      <w:numFmt w:val="bullet"/>
      <w:start w:val="1"/>
    </w:lvl>
  </w:abstractNum>
  <w:abstractNum w:abstractNumId="82">
    <w:nsid w:val="23D86AAC"/>
    <w:multiLevelType w:val="hybridMultilevel"/>
    <w:lvl w:ilvl="0">
      <w:lvlJc w:val="left"/>
      <w:lvlText w:val="(%1)"/>
      <w:numFmt w:val="decimal"/>
      <w:start w:val="1"/>
    </w:lvl>
  </w:abstractNum>
  <w:abstractNum w:abstractNumId="83">
    <w:nsid w:val="45E6D486"/>
    <w:multiLevelType w:val="hybridMultilevel"/>
    <w:lvl w:ilvl="0">
      <w:lvlJc w:val="left"/>
      <w:lvlText w:val="(%1)"/>
      <w:numFmt w:val="decimal"/>
      <w:start w:val="2"/>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
      <w:numFmt w:val="bullet"/>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
      <w:numFmt w:val="bullet"/>
      <w:start w:val="1"/>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
      <w:numFmt w:val="bullet"/>
      <w:start w:val="1"/>
    </w:lvl>
  </w:abstractNum>
  <w:abstractNum w:abstractNumId="94">
    <w:nsid w:val="2C27173B"/>
    <w:multiLevelType w:val="hybridMultilevel"/>
    <w:lvl w:ilvl="0">
      <w:lvlJc w:val="left"/>
      <w:lvlText w:val="(%1)"/>
      <w:numFmt w:val="lowerRoman"/>
      <w:start w:val="3"/>
    </w:lvl>
  </w:abstractNum>
  <w:abstractNum w:abstractNumId="95">
    <w:nsid w:val="4C9B0904"/>
    <w:multiLevelType w:val="hybridMultilevel"/>
    <w:lvl w:ilvl="0">
      <w:lvlJc w:val="left"/>
      <w:lvlText w:val="%1."/>
      <w:numFmt w:val="decimal"/>
      <w:start w:val="11"/>
    </w:lvl>
  </w:abstractNum>
  <w:abstractNum w:abstractNumId="96">
    <w:nsid w:val="6AA7B75C"/>
    <w:multiLevelType w:val="hybridMultilevel"/>
    <w:lvl w:ilvl="0">
      <w:lvlJc w:val="left"/>
      <w:lvlText w:val="•"/>
      <w:numFmt w:val="bullet"/>
      <w:start w:val="1"/>
    </w:lvl>
  </w:abstractNum>
  <w:abstractNum w:abstractNumId="97">
    <w:nsid w:val="1DF029D3"/>
    <w:multiLevelType w:val="hybridMultilevel"/>
    <w:lvl w:ilvl="0">
      <w:lvlJc w:val="left"/>
      <w:lvlText w:val="(%1)"/>
      <w:numFmt w:val="lowerRoman"/>
      <w:start w:val="3"/>
    </w:lvl>
  </w:abstractNum>
  <w:abstractNum w:abstractNumId="98">
    <w:nsid w:val="5675FF36"/>
    <w:multiLevelType w:val="hybridMultilevel"/>
    <w:lvl w:ilvl="0">
      <w:lvlJc w:val="left"/>
      <w:lvlText w:val="%1."/>
      <w:numFmt w:val="decimal"/>
      <w:start w:val="14"/>
    </w:lvl>
  </w:abstractNum>
  <w:abstractNum w:abstractNumId="99">
    <w:nsid w:val="3DD15094"/>
    <w:multiLevelType w:val="hybridMultilevel"/>
    <w:lvl w:ilvl="0">
      <w:lvlJc w:val="left"/>
      <w:lvlText w:val="%1."/>
      <w:numFmt w:val="decimal"/>
      <w:start w:val="1"/>
    </w:lvl>
  </w:abstractNum>
  <w:abstractNum w:abstractNumId="100">
    <w:nsid w:val="3DB012B3"/>
    <w:multiLevelType w:val="hybridMultilevel"/>
    <w:lvl w:ilvl="0">
      <w:lvlJc w:val="left"/>
      <w:lvlText w:val="%1."/>
      <w:numFmt w:val="decimal"/>
      <w:start w:val="2"/>
    </w:lvl>
  </w:abstractNum>
  <w:abstractNum w:abstractNumId="101">
    <w:nsid w:val="2708C9AF"/>
    <w:multiLevelType w:val="hybridMultilevel"/>
    <w:lvl w:ilvl="0">
      <w:lvlJc w:val="left"/>
      <w:lvlText w:val="%1."/>
      <w:numFmt w:val="decimal"/>
      <w:start w:val="3"/>
    </w:lvl>
  </w:abstractNum>
  <w:abstractNum w:abstractNumId="102">
    <w:nsid w:val="5B25ACE2"/>
    <w:multiLevelType w:val="hybridMultilevel"/>
    <w:lvl w:ilvl="0">
      <w:lvlJc w:val="left"/>
      <w:lvlText w:val="%1."/>
      <w:numFmt w:val="decimal"/>
      <w:start w:val="5"/>
    </w:lvl>
  </w:abstractNum>
  <w:abstractNum w:abstractNumId="103">
    <w:nsid w:val="175DFCF0"/>
    <w:multiLevelType w:val="hybridMultilevel"/>
    <w:lvl w:ilvl="0">
      <w:lvlJc w:val="left"/>
      <w:lvlText w:val="%1."/>
      <w:numFmt w:val="decimal"/>
      <w:start w:val="6"/>
    </w:lvl>
  </w:abstractNum>
  <w:abstractNum w:abstractNumId="104">
    <w:nsid w:val="4F97E3E4"/>
    <w:multiLevelType w:val="hybridMultilevel"/>
    <w:lvl w:ilvl="0">
      <w:lvlJc w:val="left"/>
      <w:lvlText w:val="(%1)"/>
      <w:numFmt w:val="lowerRoman"/>
      <w:start w:val="1"/>
    </w:lvl>
  </w:abstractNum>
  <w:abstractNum w:abstractNumId="105">
    <w:nsid w:val="53B0A9E"/>
    <w:multiLevelType w:val="hybridMultilevel"/>
    <w:lvl w:ilvl="0">
      <w:lvlJc w:val="left"/>
      <w:lvlText w:val="%1."/>
      <w:numFmt w:val="decimal"/>
      <w:start w:val="7"/>
    </w:lvl>
  </w:abstractNum>
  <w:abstractNum w:abstractNumId="106">
    <w:nsid w:val="34FD6B4F"/>
    <w:multiLevelType w:val="hybridMultilevel"/>
    <w:lvl w:ilvl="0">
      <w:lvlJc w:val="left"/>
      <w:lvlText w:val="%1."/>
      <w:numFmt w:val="decimal"/>
      <w:start w:val="8"/>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decimal"/>
      <w:start w:val="9"/>
    </w:lvl>
  </w:abstractNum>
  <w:abstractNum w:abstractNumId="109">
    <w:nsid w:val="519E3149"/>
    <w:multiLevelType w:val="hybridMultilevel"/>
    <w:lvl w:ilvl="0">
      <w:lvlJc w:val="left"/>
      <w:lvlText w:val="%1."/>
      <w:numFmt w:val="decimal"/>
      <w:start w:val="10"/>
    </w:lvl>
  </w:abstractNum>
  <w:abstractNum w:abstractNumId="110">
    <w:nsid w:val="2C6E4AFD"/>
    <w:multiLevelType w:val="hybridMultilevel"/>
    <w:lvl w:ilvl="0">
      <w:lvlJc w:val="left"/>
      <w:lvlText w:val="%1."/>
      <w:numFmt w:val="decimal"/>
      <w:start w:val="11"/>
    </w:lvl>
  </w:abstractNum>
  <w:abstractNum w:abstractNumId="111">
    <w:nsid w:val="17A1B582"/>
    <w:multiLevelType w:val="hybridMultilevel"/>
    <w:lvl w:ilvl="0">
      <w:lvlJc w:val="left"/>
      <w:lvlText w:val="%1."/>
      <w:numFmt w:val="decimal"/>
      <w:start w:val="12"/>
    </w:lvl>
  </w:abstractNum>
  <w:abstractNum w:abstractNumId="112">
    <w:nsid w:val="4DF72E4E"/>
    <w:multiLevelType w:val="hybridMultilevel"/>
    <w:lvl w:ilvl="0">
      <w:lvlJc w:val="left"/>
      <w:lvlText w:val="%1."/>
      <w:numFmt w:val="decimal"/>
      <w:start w:val="13"/>
    </w:lvl>
  </w:abstractNum>
  <w:abstractNum w:abstractNumId="113">
    <w:nsid w:val="5046B5A9"/>
    <w:multiLevelType w:val="hybridMultilevel"/>
    <w:lvl w:ilvl="0">
      <w:lvlJc w:val="left"/>
      <w:lvlText w:val="%1."/>
      <w:numFmt w:val="decimal"/>
      <w:start w:val="14"/>
    </w:lvl>
  </w:abstractNum>
  <w:abstractNum w:abstractNumId="114">
    <w:nsid w:val="5D888A08"/>
    <w:multiLevelType w:val="hybridMultilevel"/>
    <w:lvl w:ilvl="0">
      <w:lvlJc w:val="left"/>
      <w:lvlText w:val="•"/>
      <w:numFmt w:val="bullet"/>
      <w:start w:val="1"/>
    </w:lvl>
  </w:abstractNum>
  <w:abstractNum w:abstractNumId="115">
    <w:nsid w:val="2A082C70"/>
    <w:multiLevelType w:val="hybridMultilevel"/>
    <w:lvl w:ilvl="0">
      <w:lvlJc w:val="left"/>
      <w:lvlText w:val="%1."/>
      <w:numFmt w:val="decimal"/>
      <w:start w:val="1"/>
    </w:lvl>
  </w:abstractNum>
  <w:abstractNum w:abstractNumId="116">
    <w:nsid w:val="5EC6AFD4"/>
    <w:multiLevelType w:val="hybridMultilevel"/>
    <w:lvl w:ilvl="0">
      <w:lvlJc w:val="left"/>
      <w:lvlText w:val="%1."/>
      <w:numFmt w:val="decimal"/>
      <w:start w:val="2"/>
    </w:lvl>
  </w:abstractNum>
  <w:abstractNum w:abstractNumId="117">
    <w:nsid w:val="19E21BB2"/>
    <w:multiLevelType w:val="hybridMultilevel"/>
    <w:lvl w:ilvl="0">
      <w:lvlJc w:val="left"/>
      <w:lvlText w:val="•"/>
      <w:numFmt w:val="bullet"/>
      <w:start w:val="1"/>
    </w:lvl>
  </w:abstractNum>
  <w:abstractNum w:abstractNumId="118">
    <w:nsid w:val="75E0858A"/>
    <w:multiLevelType w:val="hybridMultilevel"/>
    <w:lvl w:ilvl="0">
      <w:lvlJc w:val="left"/>
      <w:lvlText w:val="(%1)"/>
      <w:numFmt w:val="decimal"/>
      <w:start w:val="4"/>
    </w:lvl>
  </w:abstractNum>
  <w:abstractNum w:abstractNumId="119">
    <w:nsid w:val="57A61A29"/>
    <w:multiLevelType w:val="hybridMultilevel"/>
    <w:lvl w:ilvl="0">
      <w:lvlJc w:val="left"/>
      <w:lvlText w:val="(%1)"/>
      <w:numFmt w:val="lowerRoman"/>
      <w:start w:val="1"/>
    </w:lvl>
  </w:abstractNum>
  <w:abstractNum w:abstractNumId="120">
    <w:nsid w:val="5399C654"/>
    <w:multiLevelType w:val="hybridMultilevel"/>
    <w:lvl w:ilvl="0">
      <w:lvlJc w:val="left"/>
      <w:lvlText w:val="%1."/>
      <w:numFmt w:val="decimal"/>
      <w:start w:val="3"/>
    </w:lvl>
  </w:abstractNum>
  <w:abstractNum w:abstractNumId="121">
    <w:nsid w:val="20EE1348"/>
    <w:multiLevelType w:val="hybridMultilevel"/>
    <w:lvl w:ilvl="0">
      <w:lvlJc w:val="left"/>
      <w:lvlText w:val="%1."/>
      <w:numFmt w:val="decimal"/>
      <w:start w:val="4"/>
    </w:lvl>
  </w:abstractNum>
  <w:abstractNum w:abstractNumId="122">
    <w:nsid w:val="4427069A"/>
    <w:multiLevelType w:val="hybridMultilevel"/>
    <w:lvl w:ilvl="0">
      <w:lvlJc w:val="left"/>
      <w:lvlText w:val="%1."/>
      <w:numFmt w:val="decimal"/>
      <w:start w:val="5"/>
    </w:lvl>
  </w:abstractNum>
  <w:abstractNum w:abstractNumId="123">
    <w:nsid w:val="B37E80A"/>
    <w:multiLevelType w:val="hybridMultilevel"/>
    <w:lvl w:ilvl="0">
      <w:lvlJc w:val="left"/>
      <w:lvlText w:val="%1."/>
      <w:numFmt w:val="decimal"/>
      <w:start w:val="6"/>
    </w:lvl>
  </w:abstractNum>
  <w:abstractNum w:abstractNumId="124">
    <w:nsid w:val="2157F6BC"/>
    <w:multiLevelType w:val="hybridMultilevel"/>
    <w:lvl w:ilvl="0">
      <w:lvlJc w:val="left"/>
      <w:lvlText w:val="%1."/>
      <w:numFmt w:val="decimal"/>
      <w:start w:val="7"/>
    </w:lvl>
  </w:abstractNum>
  <w:abstractNum w:abstractNumId="125">
    <w:nsid w:val="704E1DD5"/>
    <w:multiLevelType w:val="hybridMultilevel"/>
    <w:lvl w:ilvl="0">
      <w:lvlJc w:val="left"/>
      <w:lvlText w:val="%1."/>
      <w:numFmt w:val="decimal"/>
      <w:start w:val="8"/>
    </w:lvl>
  </w:abstractNum>
  <w:abstractNum w:abstractNumId="126">
    <w:nsid w:val="57D2F10E"/>
    <w:multiLevelType w:val="hybridMultilevel"/>
    <w:lvl w:ilvl="0">
      <w:lvlJc w:val="left"/>
      <w:lvlText w:val="(%1)"/>
      <w:numFmt w:val="lowerLetter"/>
      <w:start w:val="1"/>
    </w:lvl>
  </w:abstractNum>
  <w:abstractNum w:abstractNumId="127">
    <w:nsid w:val="BFFAE18"/>
    <w:multiLevelType w:val="hybridMultilevel"/>
    <w:lvl w:ilvl="0">
      <w:lvlJc w:val="left"/>
      <w:lvlText w:val="%1."/>
      <w:numFmt w:val="decimal"/>
      <w:start w:val="9"/>
    </w:lvl>
  </w:abstractNum>
  <w:abstractNum w:abstractNumId="128">
    <w:nsid w:val="E3E47A8"/>
    <w:multiLevelType w:val="hybridMultilevel"/>
    <w:lvl w:ilvl="0">
      <w:lvlJc w:val="left"/>
      <w:lvlText w:val="%1."/>
      <w:numFmt w:val="decimal"/>
      <w:start w:val="10"/>
    </w:lvl>
  </w:abstractNum>
  <w:abstractNum w:abstractNumId="129">
    <w:nsid w:val="2E48F044"/>
    <w:multiLevelType w:val="hybridMultilevel"/>
    <w:lvl w:ilvl="0">
      <w:lvlJc w:val="left"/>
      <w:lvlText w:val="%1."/>
      <w:numFmt w:val="decimal"/>
      <w:start w:val="11"/>
    </w:lvl>
  </w:abstractNum>
  <w:abstractNum w:abstractNumId="130">
    <w:nsid w:val="49D0FEAC"/>
    <w:multiLevelType w:val="hybridMultilevel"/>
    <w:lvl w:ilvl="0">
      <w:lvlJc w:val="left"/>
      <w:lvlText w:val="%1."/>
      <w:numFmt w:val="decimal"/>
      <w:start w:val="12"/>
    </w:lvl>
  </w:abstractNum>
  <w:abstractNum w:abstractNumId="131">
    <w:nsid w:val="4BEE5A5B"/>
    <w:multiLevelType w:val="hybridMultilevel"/>
    <w:lvl w:ilvl="0">
      <w:lvlJc w:val="left"/>
      <w:lvlText w:val="%1."/>
      <w:numFmt w:val="decimal"/>
      <w:start w:val="13"/>
    </w:lvl>
  </w:abstractNum>
  <w:abstractNum w:abstractNumId="132">
    <w:nsid w:val="5551B9F3"/>
    <w:multiLevelType w:val="hybridMultilevel"/>
    <w:lvl w:ilvl="0">
      <w:lvlJc w:val="left"/>
      <w:lvlText w:val="%1."/>
      <w:numFmt w:val="decimal"/>
      <w:start w:val="14"/>
    </w:lvl>
  </w:abstractNum>
  <w:abstractNum w:abstractNumId="133">
    <w:nsid w:val="24F6AB8E"/>
    <w:multiLevelType w:val="hybridMultilevel"/>
    <w:lvl w:ilvl="0">
      <w:lvlJc w:val="left"/>
      <w:lvlText w:val="(%1)"/>
      <w:numFmt w:val="lowerRoman"/>
      <w:start w:val="1"/>
    </w:lvl>
  </w:abstractNum>
  <w:abstractNum w:abstractNumId="134">
    <w:nsid w:val="634C574C"/>
    <w:multiLevelType w:val="hybridMultilevel"/>
    <w:lvl w:ilvl="0">
      <w:lvlJc w:val="left"/>
      <w:lvlText w:val="†"/>
      <w:numFmt w:val="bullet"/>
      <w:start w:val="1"/>
    </w:lvl>
  </w:abstractNum>
  <w:abstractNum w:abstractNumId="135">
    <w:nsid w:val="24E99DD7"/>
    <w:multiLevelType w:val="hybridMultilevel"/>
    <w:lvl w:ilvl="0">
      <w:lvlJc w:val="left"/>
      <w:lvlText w:val="#"/>
      <w:numFmt w:val="bullet"/>
      <w:start w:val="1"/>
    </w:lvl>
  </w:abstractNum>
  <w:abstractNum w:abstractNumId="136">
    <w:nsid w:val="2A31B62D"/>
    <w:multiLevelType w:val="hybridMultilevel"/>
    <w:lvl w:ilvl="0">
      <w:lvlJc w:val="left"/>
      <w:lvlText w:val="*"/>
      <w:numFmt w:val="bullet"/>
      <w:start w:val="1"/>
    </w:lvl>
  </w:abstractNum>
  <w:abstractNum w:abstractNumId="137">
    <w:nsid w:val="1849C2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8">
    <w:nsid w:val="7DFF9D0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39">
    <w:nsid w:val="75434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0">
    <w:nsid w:val="69E7F3E5"/>
    <w:multiLevelType w:val="hybridMultilevel"/>
    <w:lvl w:ilvl="0">
      <w:lvlJc w:val="left"/>
      <w:lvlText w:val="%1:"/>
      <w:numFmt w:val="upperLetter"/>
      <w:start w:val="20"/>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74" Type="http://schemas.openxmlformats.org/officeDocument/2006/relationships/image" Target="media/image360.png"/><Relationship Id="rId389"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jpeg"/><Relationship Id="rId401" Type="http://schemas.openxmlformats.org/officeDocument/2006/relationships/image" Target="media/image368.png"/><Relationship Id="rId402" Type="http://schemas.openxmlformats.org/officeDocument/2006/relationships/image" Target="media/image369.jpeg"/><Relationship Id="rId403" Type="http://schemas.openxmlformats.org/officeDocument/2006/relationships/image" Target="media/image370.png"/><Relationship Id="rId367" Type="http://schemas.openxmlformats.org/officeDocument/2006/relationships/hyperlink" Target="http://www.sec.gov/Archives/edgar/data/1681087/000119312524018812/d221662dex21.htm" TargetMode="External"/><Relationship Id="rId368" Type="http://schemas.openxmlformats.org/officeDocument/2006/relationships/hyperlink" Target="http://www.sec.gov/Archives/edgar/data/1681087/000119312524164480/d852858dex31.htm" TargetMode="External"/><Relationship Id="rId369" Type="http://schemas.openxmlformats.org/officeDocument/2006/relationships/hyperlink" Target="http://www.sec.gov/Archives/edgar/data/1681087/000119312524164480/d852858dex32.htm" TargetMode="External"/><Relationship Id="rId370" Type="http://schemas.openxmlformats.org/officeDocument/2006/relationships/hyperlink" Target="http://www.sec.gov/Archives/edgar/data/1681087/000119312524164480/d852858dex33.htm" TargetMode="External"/><Relationship Id="rId371" Type="http://schemas.openxmlformats.org/officeDocument/2006/relationships/hyperlink" Target="http://www.sec.gov/Archives/edgar/data/1681087/000119312518202460/d153924dex32.htm" TargetMode="External"/><Relationship Id="rId372" Type="http://schemas.openxmlformats.org/officeDocument/2006/relationships/hyperlink" Target="http://www.sec.gov/Archives/edgar/data/1681087/000119312524164480/d852858dex101.htm" TargetMode="External"/><Relationship Id="rId373" Type="http://schemas.openxmlformats.org/officeDocument/2006/relationships/hyperlink" Target="http://www.sec.gov/Archives/edgar/data/1681087/000119312524164480/d852858dex102.htm" TargetMode="External"/><Relationship Id="rId375" Type="http://schemas.openxmlformats.org/officeDocument/2006/relationships/hyperlink" Target="http://www.sec.gov/Archives/edgar/data/1681087/000119312524164480/d852858dex103.htm" TargetMode="External"/><Relationship Id="rId376" Type="http://schemas.openxmlformats.org/officeDocument/2006/relationships/hyperlink" Target="http://www.sec.gov/Archives/edgar/data/1681087/000119312524034461/d770053dex1042.htm" TargetMode="External"/><Relationship Id="rId377" Type="http://schemas.openxmlformats.org/officeDocument/2006/relationships/hyperlink" Target="http://www.sec.gov/Archives/edgar/data/1681087/000119312524164480/d852858dex106.htm" TargetMode="External"/><Relationship Id="rId378" Type="http://schemas.openxmlformats.org/officeDocument/2006/relationships/hyperlink" Target="http://www.sec.gov/Archives/edgar/data/1681087/000119312524164480/d852858dex107.htm" TargetMode="External"/><Relationship Id="rId379" Type="http://schemas.openxmlformats.org/officeDocument/2006/relationships/hyperlink" Target="http://www.sec.gov/Archives/edgar/data/1681087/000119312524164480/d852858dex108.htm" TargetMode="External"/><Relationship Id="rId380" Type="http://schemas.openxmlformats.org/officeDocument/2006/relationships/hyperlink" Target="http://www.sec.gov/Archives/edgar/data/1681087/000119312524122672/d770053ds4a.htm#toc770053_204" TargetMode="External"/><Relationship Id="rId381" Type="http://schemas.openxmlformats.org/officeDocument/2006/relationships/hyperlink" Target="http://www.sec.gov/Archives/edgar/data/1681087/000119312524122672/d770053ds4a.htm#toc770053_205" TargetMode="External"/><Relationship Id="rId382" Type="http://schemas.openxmlformats.org/officeDocument/2006/relationships/hyperlink" Target="http://www.sec.gov/Archives/edgar/data/1681087/000119312524076669/d770053dex1035.htm" TargetMode="External"/><Relationship Id="rId383" Type="http://schemas.openxmlformats.org/officeDocument/2006/relationships/hyperlink" Target="http://www.sec.gov/Archives/edgar/data/1681087/000119312524076669/d770053dex1036.htm" TargetMode="External"/><Relationship Id="rId384" Type="http://schemas.openxmlformats.org/officeDocument/2006/relationships/hyperlink" Target="http://www.sec.gov/Archives/edgar/data/1681087/000119312524076669/d770053dex1037.htm" TargetMode="External"/><Relationship Id="rId385" Type="http://schemas.openxmlformats.org/officeDocument/2006/relationships/hyperlink" Target="http://www.sec.gov/Archives/edgar/data/1681087/000119312524076669/d770053dex1038.htm" TargetMode="External"/><Relationship Id="rId386" Type="http://schemas.openxmlformats.org/officeDocument/2006/relationships/hyperlink" Target="http://www.sec.gov/Archives/edgar/data/1681087/000119312524076669/d770053dex1039.htm" TargetMode="External"/><Relationship Id="rId387" Type="http://schemas.openxmlformats.org/officeDocument/2006/relationships/hyperlink" Target="http://www.sec.gov/Archives/edgar/data/1681087/000119312524076669/d770053dex1040.htm" TargetMode="External"/><Relationship Id="rId388" Type="http://schemas.openxmlformats.org/officeDocument/2006/relationships/hyperlink" Target="http://www.sec.gov/Archives/edgar/data/1681087/000119312524164480/d852858dex104.htm" TargetMode="External"/><Relationship Id="rId390" Type="http://schemas.openxmlformats.org/officeDocument/2006/relationships/hyperlink" Target="http://www.sec.gov/Archives/edgar/data/0001681087/000119312524034461/d770053dex1041.htm" TargetMode="External"/><Relationship Id="rId391" Type="http://schemas.openxmlformats.org/officeDocument/2006/relationships/hyperlink" Target="http://www.sec.gov/Archives/edgar/data/1681087/000119312524095517/d770053dex1043.htm" TargetMode="External"/><Relationship Id="rId392" Type="http://schemas.openxmlformats.org/officeDocument/2006/relationships/hyperlink" Target="http://www.sec.gov/Archives/edgar/data/1681087/000119312524095517/d770053dex1044.htm" TargetMode="External"/><Relationship Id="rId393" Type="http://schemas.openxmlformats.org/officeDocument/2006/relationships/hyperlink" Target="http://www.sec.gov/Archives/edgar/data/1681087/000119312524095517/d770053dex1047.htm" TargetMode="External"/><Relationship Id="rId394" Type="http://schemas.openxmlformats.org/officeDocument/2006/relationships/hyperlink" Target="http://www.sec.gov/Archives/edgar/data/1681087/000119312524164480/d852858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2024-07-19T15:21:36Z</dcterms:created>
  <dcterms:modified xsi:type="dcterms:W3CDTF">2024-07-19T15:21:36Z</dcterms:modified>
</cp:coreProperties>
</file>