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3285ds1.htm"/>
        <w:bookmarkStart w:id="1" w:name="ksd863285ds1"/>
        <w:bookmarkEnd w:id="0"/>
        <w:bookmarkEnd w:id="1"/>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As filed with the Securities and Exchange Commission on March 26, 2025 </w:t>
      </w:r>
    </w:p>
    <w:p>
      <w:pPr>
        <w:pStyle w:val="TextBody"/>
        <w:bidi w:val="0"/>
        <w:spacing w:before="0" w:after="0"/>
        <w:ind w:left="0" w:right="0" w:hanging="0"/>
        <w:jc w:val="right"/>
        <w:rPr>
          <w:rFonts w:ascii="Times New Roman" w:hAnsi="Times New Roman"/>
          <w:b/>
          <w:spacing w:val="0"/>
          <w:sz w:val="18"/>
        </w:rPr>
      </w:pPr>
      <w:r>
        <w:rPr>
          <w:rFonts w:ascii="Times New Roman" w:hAnsi="Times New Roman"/>
          <w:b/>
          <w:spacing w:val="0"/>
          <w:sz w:val="18"/>
        </w:rPr>
        <w:t xml:space="preserve">Registration No. 333-     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spacing w:val="0"/>
        </w:rPr>
      </w:pPr>
      <w:r>
        <w:rPr>
          <w:spacing w:val="0"/>
        </w:rPr>
        <w:t> </w:t>
      </w:r>
    </w:p>
    <w:p>
      <w:pPr>
        <w:pStyle w:val="TextBody"/>
        <w:bidi w:val="0"/>
        <w:spacing w:lineRule="atLeast" w:line="142" w:before="0" w:after="40"/>
        <w:ind w:left="0" w:right="0" w:hanging="0"/>
        <w:jc w:val="left"/>
        <w:rPr>
          <w:spacing w:val="0"/>
        </w:rPr>
      </w:pPr>
      <w:r>
        <w:rPr>
          <w:spacing w:val="0"/>
        </w:rPr>
        <w:t> </w:t>
      </w:r>
    </w:p>
    <w:p>
      <w:pPr>
        <w:pStyle w:val="TextBody"/>
        <w:bidi w:val="0"/>
        <w:spacing w:before="4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120" w:after="0"/>
        <w:ind w:left="0" w:right="0" w:hanging="0"/>
        <w:jc w:val="center"/>
        <w:rPr>
          <w:rFonts w:ascii="Times New Roman" w:hAnsi="Times New Roman"/>
          <w:b/>
          <w:sz w:val="36"/>
        </w:rPr>
      </w:pPr>
      <w:r>
        <w:rPr>
          <w:rFonts w:ascii="Times New Roman" w:hAnsi="Times New Roman"/>
          <w:b/>
          <w:sz w:val="36"/>
        </w:rPr>
        <w:t xml:space="preserve">FORM </w:t>
      </w:r>
    </w:p>
    <w:p>
      <w:pPr>
        <w:pStyle w:val="TextBody"/>
        <w:bidi w:val="0"/>
        <w:spacing w:before="120" w:after="0"/>
        <w:jc w:val="center"/>
        <w:rPr>
          <w:rFonts w:ascii="Times New Roman" w:hAnsi="Times New Roman"/>
          <w:b/>
          <w:spacing w:val="0"/>
          <w:sz w:val="36"/>
        </w:rPr>
      </w:pPr>
      <w:r>
        <w:rPr>
          <w:rFonts w:ascii="Times New Roman" w:hAnsi="Times New Roman"/>
          <w:b/>
          <w:spacing w:val="0"/>
          <w:sz w:val="36"/>
        </w:rPr>
        <w:t>S-1</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REGISTRATION STATEMENT </w:t>
      </w:r>
    </w:p>
    <w:p>
      <w:pPr>
        <w:pStyle w:val="TextBody"/>
        <w:bidi w:val="0"/>
        <w:spacing w:before="0" w:after="0"/>
        <w:ind w:left="0" w:right="0" w:hanging="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UNDER </w:t>
      </w:r>
    </w:p>
    <w:p>
      <w:pPr>
        <w:pStyle w:val="TextBody"/>
        <w:bidi w:val="0"/>
        <w:spacing w:before="0" w:after="0"/>
        <w:ind w:left="0" w:right="0" w:hanging="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THE SECURITIES ACT OF 1933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120" w:after="0"/>
        <w:ind w:left="0" w:right="0" w:hanging="0"/>
        <w:jc w:val="center"/>
        <w:rPr>
          <w:rFonts w:ascii="Times New Roman" w:hAnsi="Times New Roman"/>
          <w:b/>
          <w:spacing w:val="0"/>
          <w:sz w:val="48"/>
        </w:rPr>
      </w:pPr>
      <w:r>
        <w:rPr>
          <w:rFonts w:ascii="Times New Roman" w:hAnsi="Times New Roman"/>
          <w:b/>
          <w:spacing w:val="0"/>
          <w:sz w:val="48"/>
        </w:rPr>
        <w:t xml:space="preserve">Tectonic Therapeutic, Inc.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(Exact name of registrant as specified in its charter)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ind w:left="0" w:right="0" w:hanging="0"/>
        <w:jc w:val="left"/>
        <w:rPr>
          <w:spacing w:val="0"/>
        </w:rPr>
      </w:pPr>
      <w:r>
        <w:rPr>
          <w:spacing w:val="0"/>
        </w:rPr>
        <w:t> </w:t>
      </w:r>
    </w:p>
    <w:tbl>
      <w:tblPr>
        <w:tblW w:w="6270" w:type="dxa"/>
        <w:jc w:val="left"/>
        <w:tblInd w:w="0" w:type="dxa"/>
        <w:tblLayout w:type="fixed"/>
        <w:tblCellMar>
          <w:top w:w="0" w:type="dxa"/>
          <w:left w:w="0" w:type="dxa"/>
          <w:bottom w:w="0" w:type="dxa"/>
          <w:right w:w="0" w:type="dxa"/>
        </w:tblCellMar>
      </w:tblPr>
      <w:tblGrid>
        <w:gridCol w:w="2285"/>
        <w:gridCol w:w="60"/>
        <w:gridCol w:w="216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b/>
                <w:spacing w:val="0"/>
              </w:rPr>
            </w:pPr>
            <w:r>
              <w:rPr>
                <w:b/>
                <w:spacing w:val="0"/>
              </w:rPr>
              <w:t>2836</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b/>
                <w:spacing w:val="0"/>
              </w:rPr>
            </w:pPr>
            <w:r>
              <w:rPr>
                <w:b/>
                <w:spacing w:val="0"/>
              </w:rPr>
              <w:t>81-0710585</w:t>
            </w:r>
          </w:p>
        </w:tc>
      </w:tr>
      <w:tr>
        <w:trPr/>
        <w:tc>
          <w:tcPr>
            <w:tcW w:w="228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(Primary Standard Industrial</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Classification Code No.)</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Identification Number)</w:t>
            </w:r>
          </w:p>
        </w:tc>
      </w:tr>
    </w:tbl>
    <w:p>
      <w:pPr>
        <w:pStyle w:val="TextBody"/>
        <w:bidi w:val="0"/>
        <w:spacing w:before="120" w:after="0"/>
        <w:ind w:left="0" w:right="0" w:hanging="0"/>
        <w:jc w:val="center"/>
        <w:rPr>
          <w:rFonts w:ascii="Times New Roman" w:hAnsi="Times New Roman"/>
          <w:b/>
          <w:spacing w:val="0"/>
          <w:sz w:val="18"/>
        </w:rPr>
      </w:pPr>
      <w:r>
        <w:rPr>
          <w:rFonts w:ascii="Times New Roman" w:hAnsi="Times New Roman"/>
          <w:b/>
          <w:spacing w:val="0"/>
          <w:sz w:val="18"/>
        </w:rPr>
        <w:t xml:space="preserve">490 Arsenal Way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Suite 210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 xml:space="preserve">Watertown, </w:t>
      </w:r>
    </w:p>
    <w:p>
      <w:pPr>
        <w:pStyle w:val="TextBody"/>
        <w:bidi w:val="0"/>
        <w:spacing w:before="0" w:after="0"/>
        <w:jc w:val="center"/>
        <w:rPr>
          <w:rFonts w:ascii="Times New Roman" w:hAnsi="Times New Roman"/>
          <w:b/>
          <w:sz w:val="18"/>
        </w:rPr>
      </w:pPr>
      <w:r>
        <w:rPr>
          <w:rFonts w:ascii="Times New Roman" w:hAnsi="Times New Roman"/>
          <w:b/>
          <w:sz w:val="18"/>
        </w:rPr>
        <w:t>MA</w:t>
      </w:r>
    </w:p>
    <w:p>
      <w:pPr>
        <w:pStyle w:val="TextBody"/>
        <w:bidi w:val="0"/>
        <w:spacing w:before="0" w:after="0"/>
        <w:jc w:val="center"/>
        <w:rPr>
          <w:rFonts w:ascii="Times New Roman" w:hAnsi="Times New Roman"/>
          <w:b/>
          <w:sz w:val="18"/>
        </w:rPr>
      </w:pPr>
      <w:r>
        <w:rPr>
          <w:rFonts w:ascii="Times New Roman" w:hAnsi="Times New Roman"/>
          <w:b/>
          <w:sz w:val="18"/>
        </w:rPr>
        <w:t xml:space="preserve">02472 (339)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666-3320</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(I.R.S. Employer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Identification Number) </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(Address, including zip code, and telephone number, including area code, of registrant’s principal executive offices)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120" w:after="0"/>
        <w:ind w:left="0" w:right="0" w:hanging="0"/>
        <w:jc w:val="center"/>
        <w:rPr>
          <w:rFonts w:ascii="Times New Roman" w:hAnsi="Times New Roman"/>
          <w:b/>
          <w:spacing w:val="0"/>
          <w:sz w:val="18"/>
        </w:rPr>
      </w:pPr>
      <w:r>
        <w:rPr>
          <w:rFonts w:ascii="Times New Roman" w:hAnsi="Times New Roman"/>
          <w:b/>
          <w:spacing w:val="0"/>
          <w:sz w:val="18"/>
        </w:rPr>
        <w:t xml:space="preserve">Daniel Lochner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Chief Financial Officer</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490 Arsenal Way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Suite 210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 xml:space="preserve">Watertown, </w:t>
      </w:r>
    </w:p>
    <w:p>
      <w:pPr>
        <w:pStyle w:val="TextBody"/>
        <w:bidi w:val="0"/>
        <w:spacing w:before="0" w:after="0"/>
        <w:jc w:val="center"/>
        <w:rPr>
          <w:rFonts w:ascii="Times New Roman" w:hAnsi="Times New Roman"/>
          <w:b/>
          <w:sz w:val="18"/>
        </w:rPr>
      </w:pPr>
      <w:r>
        <w:rPr>
          <w:rFonts w:ascii="Times New Roman" w:hAnsi="Times New Roman"/>
          <w:b/>
          <w:sz w:val="18"/>
        </w:rPr>
        <w:t>MA</w:t>
      </w:r>
    </w:p>
    <w:p>
      <w:pPr>
        <w:pStyle w:val="TextBody"/>
        <w:bidi w:val="0"/>
        <w:spacing w:before="0" w:after="0"/>
        <w:jc w:val="center"/>
        <w:rPr>
          <w:rFonts w:ascii="Times New Roman" w:hAnsi="Times New Roman"/>
          <w:b/>
          <w:sz w:val="18"/>
        </w:rPr>
      </w:pPr>
      <w:r>
        <w:rPr>
          <w:rFonts w:ascii="Times New Roman" w:hAnsi="Times New Roman"/>
          <w:b/>
          <w:sz w:val="18"/>
        </w:rPr>
        <w:t xml:space="preserve">02472 (339)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666-3320</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(Name, address, including zip code, and telephone number, including area code, of agent for service)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12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Copies to: </w:t>
      </w:r>
    </w:p>
    <w:p>
      <w:pPr>
        <w:pStyle w:val="TextBody"/>
        <w:bidi w:val="0"/>
        <w:spacing w:before="120" w:after="0"/>
        <w:ind w:left="0" w:right="0" w:hanging="0"/>
        <w:jc w:val="center"/>
        <w:rPr>
          <w:rFonts w:ascii="Times New Roman" w:hAnsi="Times New Roman"/>
          <w:b/>
          <w:spacing w:val="0"/>
          <w:sz w:val="18"/>
        </w:rPr>
      </w:pPr>
      <w:r>
        <w:rPr>
          <w:rFonts w:ascii="Times New Roman" w:hAnsi="Times New Roman"/>
          <w:b/>
          <w:spacing w:val="0"/>
          <w:sz w:val="18"/>
        </w:rPr>
        <w:t xml:space="preserve">Divakar S. Gupta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Brandon Fenn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Minkyu Park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Cooley LLP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55 Hudson Yards</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New York, New York 10001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 xml:space="preserve">(212)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479-6000</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120" w:after="0"/>
        <w:ind w:left="0" w:right="0" w:hanging="0"/>
        <w:jc w:val="left"/>
        <w:rPr>
          <w:rFonts w:ascii="Times New Roman" w:hAnsi="Times New Roman"/>
          <w:b/>
          <w:spacing w:val="0"/>
          <w:sz w:val="18"/>
        </w:rPr>
      </w:pPr>
      <w:r>
        <w:rPr>
          <w:rFonts w:ascii="Times New Roman" w:hAnsi="Times New Roman"/>
          <w:b/>
          <w:spacing w:val="0"/>
          <w:sz w:val="18"/>
        </w:rPr>
        <w:t xml:space="preserve">Approximate Date of Commencement of Proposed Sale to the Public: </w:t>
      </w:r>
    </w:p>
    <w:p>
      <w:pPr>
        <w:pStyle w:val="TextBody"/>
        <w:bidi w:val="0"/>
        <w:spacing w:before="120" w:after="0"/>
        <w:jc w:val="left"/>
        <w:rPr>
          <w:rFonts w:ascii="Times New Roman" w:hAnsi="Times New Roman"/>
          <w:sz w:val="18"/>
        </w:rPr>
      </w:pPr>
      <w:r>
        <w:rPr>
          <w:rFonts w:ascii="Times New Roman" w:hAnsi="Times New Roman"/>
          <w:sz w:val="18"/>
        </w:rPr>
        <w:t xml:space="preserve">From time to time after the effective date of this registration statement. </w:t>
      </w:r>
    </w:p>
    <w:p>
      <w:pPr>
        <w:pStyle w:val="TextBody"/>
        <w:bidi w:val="0"/>
        <w:spacing w:before="120" w:after="0"/>
        <w:ind w:left="0" w:right="0" w:hanging="0"/>
        <w:jc w:val="left"/>
        <w:rPr>
          <w:rFonts w:ascii="Times New Roman" w:hAnsi="Times New Roman"/>
          <w:spacing w:val="0"/>
          <w:sz w:val="18"/>
        </w:rPr>
      </w:pPr>
      <w:r>
        <w:rPr>
          <w:rFonts w:ascii="Times New Roman" w:hAnsi="Times New Roman"/>
          <w:spacing w:val="0"/>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ind w:left="0" w:right="0" w:hanging="0"/>
        <w:jc w:val="left"/>
        <w:rPr>
          <w:rFonts w:ascii="Times New Roman" w:hAnsi="Times New Roman"/>
          <w:spacing w:val="0"/>
          <w:sz w:val="18"/>
        </w:rPr>
      </w:pPr>
      <w:r>
        <w:rPr>
          <w:rFonts w:ascii="Times New Roman" w:hAnsi="Times New Roman"/>
          <w:spacing w:val="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ind w:left="0" w:right="0" w:hanging="0"/>
        <w:jc w:val="left"/>
        <w:rPr>
          <w:rFonts w:ascii="Times New Roman" w:hAnsi="Times New Roman"/>
          <w:spacing w:val="0"/>
          <w:sz w:val="18"/>
        </w:rPr>
      </w:pPr>
      <w:r>
        <w:rPr>
          <w:rFonts w:ascii="Times New Roman" w:hAnsi="Times New Roman"/>
          <w:spacing w:val="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ind w:left="0" w:right="0" w:hanging="0"/>
        <w:jc w:val="left"/>
        <w:rPr>
          <w:rFonts w:ascii="Times New Roman" w:hAnsi="Times New Roman"/>
          <w:spacing w:val="0"/>
          <w:sz w:val="18"/>
        </w:rPr>
      </w:pPr>
      <w:r>
        <w:rPr>
          <w:rFonts w:ascii="Times New Roman" w:hAnsi="Times New Roman"/>
          <w:spacing w:val="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ind w:left="0" w:right="0" w:hanging="0"/>
        <w:jc w:val="left"/>
        <w:rPr>
          <w:rFonts w:ascii="Times New Roman" w:hAnsi="Times New Roman"/>
          <w:spacing w:val="0"/>
          <w:sz w:val="18"/>
        </w:rPr>
      </w:pPr>
      <w:r>
        <w:rPr>
          <w:rFonts w:ascii="Times New Roman" w:hAnsi="Times New Roman"/>
          <w:spacing w:val="0"/>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120" w:after="0"/>
        <w:ind w:left="0" w:right="0" w:hanging="0"/>
        <w:jc w:val="left"/>
        <w:rPr>
          <w:rFonts w:ascii="Times New Roman" w:hAnsi="Times New Roman"/>
          <w:spacing w:val="0"/>
          <w:sz w:val="18"/>
        </w:rPr>
      </w:pPr>
      <w:r>
        <w:rPr>
          <w:rFonts w:ascii="Times New Roman" w:hAnsi="Times New Roman"/>
          <w:spacing w:val="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ind w:left="0" w:right="0" w:hanging="0"/>
        <w:jc w:val="left"/>
        <w:rPr>
          <w:rFonts w:ascii="Times New Roman" w:hAnsi="Times New Roman"/>
          <w:b/>
          <w:spacing w:val="0"/>
          <w:sz w:val="18"/>
        </w:rPr>
      </w:pPr>
      <w:r>
        <w:rPr>
          <w:rFonts w:ascii="Times New Roman" w:hAnsi="Times New Roman"/>
          <w:b/>
          <w:spacing w:val="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spacing w:val="0"/>
        </w:rPr>
      </w:pPr>
      <w:r>
        <w:rPr>
          <w:spacing w:val="0"/>
        </w:rPr>
        <w:t> </w:t>
      </w:r>
    </w:p>
    <w:p>
      <w:pPr>
        <w:pStyle w:val="TextBody"/>
        <w:bidi w:val="0"/>
        <w:spacing w:lineRule="atLeast" w:line="142" w:before="0" w:after="40"/>
        <w:ind w:left="0" w:right="0" w:hanging="0"/>
        <w:jc w:val="left"/>
        <w:rPr>
          <w:spacing w:val="0"/>
        </w:rPr>
      </w:pPr>
      <w:r>
        <w:rPr>
          <w:spacing w:val="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left"/>
        <w:rPr>
          <w:rFonts w:ascii="Times New Roman" w:hAnsi="Times New Roman"/>
          <w:b/>
          <w:color w:val="FF4338"/>
          <w:sz w:val="20"/>
        </w:rPr>
      </w:pPr>
      <w:r>
        <w:rPr>
          <w:rFonts w:ascii="Times New Roman" w:hAnsi="Times New Roman"/>
          <w:b/>
          <w:color w:val="FF4338"/>
          <w:sz w:val="20"/>
        </w:rPr>
        <w:t xml:space="preserve">SUBJECT TO COMPLETION, DATED March 26,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374140" cy="3625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4140" cy="36258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3,689,465 Shares of Common Stock </w:t>
      </w:r>
    </w:p>
    <w:p>
      <w:pPr>
        <w:pStyle w:val="TextBody"/>
        <w:bidi w:val="0"/>
        <w:spacing w:before="0" w:after="0"/>
        <w:ind w:left="960" w:right="960" w:hanging="0"/>
        <w:jc w:val="left"/>
        <w:rPr/>
      </w:pPr>
      <w:r>
        <w:rPr/>
        <w:t> </w:t>
      </w:r>
    </w:p>
    <w:p>
      <w:pPr>
        <w:pStyle w:val="TextBody"/>
        <w:pBdr>
          <w:bottom w:val="single" w:sz="8" w:space="1" w:color="000000"/>
        </w:pBdr>
        <w:bidi w:val="0"/>
        <w:spacing w:lineRule="atLeast" w:line="142" w:before="0" w:after="40"/>
        <w:ind w:left="960" w:right="960" w:hanging="0"/>
        <w:jc w:val="center"/>
        <w:rPr/>
      </w:pPr>
      <w:r>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of up to an aggregate of 3,689,465 shares of common stock, par value $0.0001 per share, of Tectonic Therapeutic,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resale of the shares of common stock pursuant to the selling stockholders’ registration rights under the Securities Purchase Agreement among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or transfer taxes relating to the sale of common stock, which will be borne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(“Nasdaq”) under the symbol “TECX.” On March 25, 2025, the closing price for our common stock, as reported on Nasdaq, was $21.22 per share. </w:t>
      </w:r>
    </w:p>
    <w:p>
      <w:pPr>
        <w:pStyle w:val="TextBody"/>
        <w:bidi w:val="0"/>
        <w:spacing w:before="0" w:after="0"/>
        <w:ind w:left="960" w:right="960" w:hanging="0"/>
        <w:jc w:val="left"/>
        <w:rPr/>
      </w:pPr>
      <w:r>
        <w:rPr/>
        <w:t> </w:t>
      </w:r>
    </w:p>
    <w:p>
      <w:pPr>
        <w:pStyle w:val="TextBody"/>
        <w:pBdr>
          <w:bottom w:val="single" w:sz="8" w:space="1" w:color="000000"/>
        </w:pBdr>
        <w:bidi w:val="0"/>
        <w:spacing w:lineRule="atLeast" w:line="142" w:before="0" w:after="40"/>
        <w:ind w:left="960" w:right="960" w:hanging="0"/>
        <w:jc w:val="center"/>
        <w:rPr/>
      </w:pPr>
      <w:r>
        <w:rPr/>
        <w:t> </w:t>
      </w:r>
    </w:p>
    <w:p>
      <w:pPr>
        <w:pStyle w:val="TextBody"/>
        <w:bidi w:val="0"/>
        <w:spacing w:before="240" w:after="0"/>
        <w:ind w:left="960" w:right="960" w:hanging="0"/>
        <w:jc w:val="left"/>
        <w:rPr/>
      </w:pPr>
      <w:r>
        <w:rPr>
          <w:rFonts w:ascii="Times New Roman" w:hAnsi="Times New Roman"/>
          <w:b/>
          <w:sz w:val="24"/>
        </w:rPr>
        <w:t>See the section entitled “</w:t>
      </w:r>
      <w:hyperlink w:anchor="toc863285_4">
        <w:r>
          <w:rPr>
            <w:rStyle w:val="InternetLink"/>
            <w:rFonts w:ascii="Times New Roman" w:hAnsi="Times New Roman"/>
            <w:b/>
            <w:sz w:val="24"/>
          </w:rPr>
          <w:t>Risk Factors</w:t>
        </w:r>
      </w:hyperlink>
      <w:r>
        <w:rPr>
          <w:rFonts w:ascii="Times New Roman" w:hAnsi="Times New Roman"/>
          <w:b/>
          <w:sz w:val="24"/>
        </w:rPr>
        <w:t xml:space="preserve">” beginning on page 9 of this prospectus to read about factors you should consider before buying our securities.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pBdr>
          <w:bottom w:val="single" w:sz="8" w:space="1" w:color="000000"/>
        </w:pBdr>
        <w:bidi w:val="0"/>
        <w:spacing w:lineRule="atLeast" w:line="142" w:before="0" w:after="40"/>
        <w:ind w:left="960" w:right="960" w:hanging="0"/>
        <w:jc w:val="center"/>
        <w:rPr/>
      </w:pPr>
      <w:r>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2025. </w:t>
      </w:r>
    </w:p>
    <w:p>
      <w:pPr>
        <w:pStyle w:val="TextBody"/>
        <w:bidi w:val="0"/>
        <w:spacing w:before="0" w:after="0"/>
        <w:ind w:left="960" w:right="960" w:hanging="0"/>
        <w:jc w:val="left"/>
        <w:rPr/>
      </w:pPr>
      <w:r>
        <w:rPr/>
        <w:t> </w:t>
      </w:r>
    </w:p>
    <w:p>
      <w:pPr>
        <w:pStyle w:val="TextBody"/>
        <w:bidi w:val="0"/>
        <w:spacing w:before="240" w:after="0"/>
        <w:ind w:left="960" w:right="960" w:hanging="0"/>
        <w:jc w:val="left"/>
        <w:rPr/>
      </w:pPr>
      <w:r>
        <w:rPr/>
        <w:t xml:space="preserve">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0"/>
        <w:gridCol w:w="120"/>
        <w:gridCol w:w="60"/>
        <w:gridCol w:w="380"/>
        <w:gridCol w:w="75"/>
      </w:tblGrid>
      <w:tr>
        <w:trPr/>
        <w:tc>
          <w:tcPr>
            <w:tcW w:w="9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toc863285_1">
              <w:r>
                <w:rPr>
                  <w:rStyle w:val="InternetLink"/>
                  <w:rFonts w:ascii="Times New Roman" w:hAnsi="Times New Roman"/>
                  <w:sz w:val="20"/>
                </w:rPr>
                <w:t>ABOUT THIS PROSPECTUS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2">
              <w:r>
                <w:rPr>
                  <w:rStyle w:val="InternetLink"/>
                  <w:rFonts w:ascii="Times New Roman" w:hAnsi="Times New Roman"/>
                  <w:sz w:val="20"/>
                </w:rPr>
                <w:t>CAUTIONARY NOTE REGARDING FORWARD-LOOKING STATEMENTS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3">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5">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6">
              <w:r>
                <w:rPr>
                  <w:rStyle w:val="InternetLink"/>
                  <w:rFonts w:ascii="Times New Roman" w:hAnsi="Times New Roman"/>
                  <w:sz w:val="20"/>
                </w:rPr>
                <w:t>MARKET INFORMATION FOR COMMON STOCK AND DIVIDEND POLICY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7">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8">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9">
              <w:r>
                <w:rPr>
                  <w:rStyle w:val="InternetLink"/>
                  <w:rFonts w:ascii="Times New Roman" w:hAnsi="Times New Roman"/>
                  <w:sz w:val="20"/>
                </w:rPr>
                <w:t>MANAGEMENT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0">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121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1">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2">
              <w:r>
                <w:rPr>
                  <w:rStyle w:val="InternetLink"/>
                  <w:rFonts w:ascii="Times New Roman" w:hAnsi="Times New Roman"/>
                  <w:sz w:val="20"/>
                </w:rPr>
                <w:t>PRINCIPAL SECURITYHOLDERS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3">
              <w:r>
                <w:rPr>
                  <w:rStyle w:val="InternetLink"/>
                  <w:rFonts w:ascii="Times New Roman" w:hAnsi="Times New Roman"/>
                  <w:sz w:val="20"/>
                </w:rPr>
                <w:t>SELLING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4">
              <w:r>
                <w:rPr>
                  <w:rStyle w:val="InternetLink"/>
                  <w:rFonts w:ascii="Times New Roman" w:hAnsi="Times New Roman"/>
                  <w:sz w:val="20"/>
                </w:rPr>
                <w:t>DESCRIPTION OF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5">
              <w:r>
                <w:rPr>
                  <w:rStyle w:val="InternetLink"/>
                  <w:rFonts w:ascii="Times New Roman" w:hAnsi="Times New Roman"/>
                  <w:sz w:val="20"/>
                </w:rPr>
                <w:t>MATERIAL UNITED STATES FEDERAL INCOME TAX CONSIDERATIONS TO NON-U.S. HOLDERS OF OUR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6">
              <w:r>
                <w:rPr>
                  <w:rStyle w:val="InternetLink"/>
                  <w:rFonts w:ascii="Times New Roman" w:hAnsi="Times New Roman"/>
                  <w:sz w:val="20"/>
                </w:rPr>
                <w:t>PLAN OF DISTRIBUTION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7">
              <w:r>
                <w:rPr>
                  <w:rStyle w:val="InternetLink"/>
                  <w:rFonts w:ascii="Times New Roman" w:hAnsi="Times New Roman"/>
                  <w:sz w:val="20"/>
                </w:rPr>
                <w:t>LEGAL MATTERS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18">
              <w:r>
                <w:rPr>
                  <w:rStyle w:val="InternetLink"/>
                  <w:rFonts w:ascii="Times New Roman" w:hAnsi="Times New Roman"/>
                  <w:sz w:val="20"/>
                </w:rPr>
                <w:t>EXPERTS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20">
              <w:r>
                <w:rPr>
                  <w:rStyle w:val="InternetLink"/>
                  <w:rFonts w:ascii="Times New Roman" w:hAnsi="Times New Roman"/>
                  <w:sz w:val="20"/>
                </w:rPr>
                <w:t>WHERE YOU CAN FIND MORE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toc863285_21">
              <w:r>
                <w:rPr>
                  <w:rStyle w:val="InternetLink"/>
                  <w:rFonts w:ascii="Times New Roman" w:hAnsi="Times New Roman"/>
                  <w:sz w:val="20"/>
                </w:rPr>
                <w:t>INDEX TO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6328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stockholders identified in this prospectus under the caption “Selling Stockholders,” from time to time, of up to an aggregate of 3,689,465 shares of common stock. We are not selling any shares of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Tectonic Therapeutic, Inc., a Delaware corporation, and its consolidated subsidiaries (including Tectonic Operating Company, Inc., previously Tectonic Therapeutic, Inc., referred to as “Legacy Tectonic”).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863285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and/or incorporates by reference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 “may,” “might,” “plan,” “possible,” “potential,” “predict,” “project,” “should,” “will,” “would” and similar expressions or negative of these terms may identify forward-looking statements, but the absence of these words does not mean that a statement is not forward-looking. Forward-looking statements in this prospectus may include, for example, statements about: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TX2100 and any other product candidates, and our anticipated milestones and timing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if approved, or the commercial or market opportunity with respect to any of our future products, if approved;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 looking statements, including those set forth in this prospectus in the section entitled “Risk Factors” and in our periodic filings with the Securities and Exchange Commission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any accompanying prospectus supplement if any,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863285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the discovery and development of therapeutic proteins and antibodies that modulate the activity of G protein-coupled receptors (“GPCRs”). The discovery of biologics that can modulate GPCRs has historically been quite challenging. We have developed a proprietary technology platform called GEODe™, with the aim of addressing these challenges and to enable the discovery and development of GPCR-targeted biologic medicines that can modify the course of disease. We focus on areas of significant unmet medical need, often where therapeutic options are poor or nonexistent, and where new medicines have the potential to improve patient quality of life or extend duration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human biology has relied on this molecular system for physiological control. The breadth of effects controlled by GPCRs is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in order to optimize the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It has been historically difficult to discover therapeutic proteins and antibodies that bind to and modulate the activity of GPCRs because of the low endogenous level of expression of many GPCRs, complex biochemistry and their inherent instability when removed from their natural environment in, the cell membrane. To unlock the potential for biologic therapeutics to broaden the clinical utility of GPCRs, we use our proprietary GEODe™ technology platform in an attempt to overcome the known challenges of GPCR-targeted drug discovery.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initial components of the platform, its first generation yeast library design and initial yeast selection protocols, were developed at the Harvard Medical School. However, over the last few years we have improved and modified all aspects of the platform including second and third generation library designs, optimized GPCR engineering strategies and yeast selection protocols better suited to GPCR antibody discovery. These modifications have resulted in selection campaigns that have a higher success rate with molecules that have higher affinity and potency and better biophysical properties compared to hits identified from initial antibody selection campaigns. The GEODe™ platform includes components aimed at optimizing the expression, purification, and stabilization of GPCRs and pairs these advances with our protein engineering and structural biology capabilities. While the current libraries, receptor engineering and selection strategies are producing GPCR-targeted antibodies, we continue to evolve and modify aspects of the platform, which we believe will lead to even better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asset TX000045, referred to as TX45, is an Fc-relaxin fusion molecule that activates the RXFP1 receptor, the GPCR target of the hormone, relaxin. Relaxin is an endogenous protein that is expressed at low levels in both men and women. In normal human physiology, relaxin is upregulated during pregnancy where it exerts vasodilatory effects, reduces systemic and pulmonary vascular resistance and increases cardiac output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accommodate the increased demand for oxygen and nutrients from the developing fetus. Relaxin also exerts anti-fibrotic effects on pelvic ligaments to facilitate delivery of the baby. Scientists have hypothesized that these unique dual aspects of relaxin biology may offer therapeutic potential in the treatment of cardiovascular disease. Unfortunately, the development of a viable therapeutic targeting relaxin has been challenging, primarily because of relaxin’s very short half-life.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TX45’s pharmacological profile, which is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PH-HFpEF, as the initial disease in which to interrogate the therapeutic potential of relaxin. We hypothesize that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ongoing to confirm this hypothesis.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program, TX2100, is aimed at the discovery and development of a GPCR targeting biotherapeutic as a potential treatment for Hereditary Hemorrhagic Telangiectasia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GPCR target for our HHT program is a receptor for an angiogenic factor known to be upregulated in HHT animal models. By blocking the signaling of this receptor, we anticipate the potential for decreased bleeding resulting from the abnormal angiogenesis seen in HHT. We selected TX2100 as a development candidate. TX2100 is a VHH-Fc fusion antagonist to an undisclosed GPCR target (“GPCR3”). We intend to start IND enabling toxicology studies in the second quarter of 2025 and expect to initiate a Phase 1 clinical trial for TX2100 in the fourth quarter of 2025 or the first quarter of 2026, subject to the results of IND-enabling studies.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Pipeline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summarizes key information about our development programs and other pipeline programs: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30240" cy="3076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0240" cy="307657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Securities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3, 2025, we entered into a Securities Purchase Agreement (the “Purchase Agreement”) with certain accredited investors (the “selling stockholders”), pursuant to which we issued and sold 3,689,465 shares (the “Shares”) of our common stock, $0.0001 par value per share, at a price of $50.00 per Share to certain institutional accredited investors and $54.14 per Share to individual accredited investors that are either an officer or director of the Company (the “Private Placement”). Our total gross proceeds from the sale of the Shares in the Private Placement were approximately $185.0 million. The closing of the Private Placement occurred on February 5, 2025.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Registration Rights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Private Placement, we entered into a registration rights agreement (the “Registration Rights Agreement”) with the selling stockholders, pursuant to which we agreed to register the Shares for resale. Under the Registration Rights Agreement, we agreed, among other things, to prepare and file with the SEC a registration statement on Form S-1 to register for resale the Shares within 54 calendar days of the closing of the Private Placement, and to use reasonable best efforts to have the registration statement declared effective at the earliest possible date, but in any event no later than the earlier of (a) the 90th calendar day following the initial filing date or (b) the fifth business day after the date we are notified (orally or in writing, whichever is earlier) by the SEC that the registration statement will not be “reviewed” or will not be subject to further review. We also agreed to use reasonable best efforts to keep such registration statement effective until the earlier of the date the Shares covered by such registration statement have been sold or may be resold pursuant to Rule 144 without restriction. We agreed to be responsible for all fees and expenses incurred in connection with the registration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ability to implement our business strategy is subject to numerous risks that you should be aware of before making an investment decision. These risks are described more fully in the section entitled “Risk Factors,” following this prospectus summary. These risks include the following, among others: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have incurred net losses in every year since our inception, and expect to continue to incur net losses in the future.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experience in therapeutic discovery and development and our GEODe™ platform may never result in the regulatory approval of a product candidate.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commercialize any product candidate for which we receive regulatory approval,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in part on our ability to protect our intellectual property. It is difficult and costly to protect our proprietary rights and technology, and we may not be able to ensure their protection.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intellectual property licensed from third parties and termination of any of these licenses could result in the loss of significant rights, which would harm our business.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currently rely and expect to rely in the future on the use of manufacturing suites in third-party facilities or on third parties to manufacture TX45 and any other product candidates, and we may rely on third parties to produce and process our products, if approved.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could be adversely affected if we are unable to use third-party manufacturing suites or if the third-party manufacturers encounter difficulties in production.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from other biotechnology and pharmaceutical companies, and our operating results will suffer if we fail to compete effectively. </w:t>
            </w:r>
          </w:p>
        </w:tc>
      </w:tr>
    </w:tbl>
    <w:p>
      <w:pPr>
        <w:pStyle w:val="TextBody"/>
        <w:bidi w:val="0"/>
        <w:spacing w:before="0" w:after="0"/>
        <w:jc w:val="left"/>
        <w:rPr>
          <w:bdr w:val="single" w:sz="8" w:space="1" w:color="000000"/>
        </w:rPr>
      </w:pPr>
      <w:r>
        <w:rPr>
          <w:bdr w:val="single" w:sz="8" w:space="1" w:color="000000"/>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is expected to be volatile, and the market price of the common stock may drop.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attract and retain management and other key personnel, we may be unable to continue to successfully develop or commercialize our product candidates or otherwise implement our business plan.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490 Arsenal Way, Suite 210, Watertown, Massachusetts 02472, and our telephone number is (339) 666-3320. Our website address is www.tectonictx.com. We do not incorporate the information on or accessible through our website into this prospectus, and you should not consider any information on, or that can be accessed through, our website as part of this prospectus. Our common stock is listed on Nasdaq under the symbol “TECX.”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3130" w:type="dxa"/>
        <w:jc w:val="left"/>
        <w:tblInd w:w="0" w:type="dxa"/>
        <w:tblLayout w:type="fixed"/>
        <w:tblCellMar>
          <w:top w:w="0" w:type="dxa"/>
          <w:left w:w="0" w:type="dxa"/>
          <w:bottom w:w="0" w:type="dxa"/>
          <w:right w:w="0" w:type="dxa"/>
        </w:tblCellMar>
      </w:tblPr>
      <w:tblGrid>
        <w:gridCol w:w="545"/>
        <w:gridCol w:w="2585"/>
      </w:tblGrid>
      <w:tr>
        <w:trPr/>
        <w:tc>
          <w:tcPr>
            <w:tcW w:w="54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2585" w:type="dxa"/>
            <w:tcBorders/>
            <w:vAlign w:val="center"/>
          </w:tcPr>
          <w:p>
            <w:pPr>
              <w:pStyle w:val="TableContents"/>
              <w:bidi w:val="0"/>
              <w:spacing w:before="0" w:after="283"/>
              <w:jc w:val="left"/>
              <w:rPr/>
            </w:pPr>
            <w:r>
              <w:rPr/>
              <w:t xml:space="preserve">Tectonic Therapeutic, Inc.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4862"/>
        <w:gridCol w:w="5343"/>
      </w:tblGrid>
      <w:tr>
        <w:trPr/>
        <w:tc>
          <w:tcPr>
            <w:tcW w:w="486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Stockholders </w:t>
            </w:r>
          </w:p>
        </w:tc>
        <w:tc>
          <w:tcPr>
            <w:tcW w:w="5343" w:type="dxa"/>
            <w:tcBorders/>
            <w:vAlign w:val="center"/>
          </w:tcPr>
          <w:p>
            <w:pPr>
              <w:pStyle w:val="TableContents"/>
              <w:bidi w:val="0"/>
              <w:spacing w:before="0" w:after="283"/>
              <w:jc w:val="left"/>
              <w:rPr/>
            </w:pPr>
            <w:r>
              <w:rPr/>
              <w:t xml:space="preserve">Up to an aggregate of 3,689,465 shares of common stock. </w:t>
            </w:r>
          </w:p>
        </w:tc>
      </w:tr>
    </w:tbl>
    <w:p>
      <w:pPr>
        <w:pStyle w:val="TextBody"/>
        <w:bidi w:val="0"/>
        <w:spacing w:before="0" w:after="0"/>
        <w:jc w:val="left"/>
        <w:rPr>
          <w:bdr w:val="single" w:sz="8" w:space="1" w:color="000000"/>
        </w:rPr>
      </w:pPr>
      <w:r>
        <w:rPr>
          <w:bdr w:val="single" w:sz="8" w:space="1" w:color="000000"/>
        </w:rPr>
        <w:t> </w:t>
      </w:r>
    </w:p>
    <w:tbl>
      <w:tblPr>
        <w:tblW w:w="9070" w:type="dxa"/>
        <w:jc w:val="left"/>
        <w:tblInd w:w="0" w:type="dxa"/>
        <w:tblLayout w:type="fixed"/>
        <w:tblCellMar>
          <w:top w:w="0" w:type="dxa"/>
          <w:left w:w="0" w:type="dxa"/>
          <w:bottom w:w="0" w:type="dxa"/>
          <w:right w:w="0" w:type="dxa"/>
        </w:tblCellMar>
      </w:tblPr>
      <w:tblGrid>
        <w:gridCol w:w="3170"/>
        <w:gridCol w:w="5900"/>
      </w:tblGrid>
      <w:tr>
        <w:trPr/>
        <w:tc>
          <w:tcPr>
            <w:tcW w:w="317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w:t>
            </w:r>
          </w:p>
        </w:tc>
        <w:tc>
          <w:tcPr>
            <w:tcW w:w="5900" w:type="dxa"/>
            <w:tcBorders/>
            <w:vAlign w:val="center"/>
          </w:tcPr>
          <w:p>
            <w:pPr>
              <w:pStyle w:val="TableContents"/>
              <w:bidi w:val="0"/>
              <w:spacing w:before="0" w:after="283"/>
              <w:jc w:val="left"/>
              <w:rPr/>
            </w:pPr>
            <w:r>
              <w:rPr/>
              <w:t xml:space="preserve">18,662,672 shares of common stock as of February 28, 2025.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51"/>
        <w:gridCol w:w="9254"/>
      </w:tblGrid>
      <w:tr>
        <w:trPr/>
        <w:tc>
          <w:tcPr>
            <w:tcW w:w="95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254" w:type="dxa"/>
            <w:tcBorders/>
            <w:vAlign w:val="center"/>
          </w:tcPr>
          <w:p>
            <w:pPr>
              <w:pStyle w:val="TableContents"/>
              <w:bidi w:val="0"/>
              <w:spacing w:before="0" w:after="283"/>
              <w:jc w:val="left"/>
              <w:rPr/>
            </w:pPr>
            <w:r>
              <w:rPr/>
              <w:t xml:space="preserve">All of the shares of common stock offered by the selling stockholders pursuant to this prospectus will be sold by the selling stockholders for their respective accounts. 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2155" w:type="dxa"/>
        <w:jc w:val="left"/>
        <w:tblInd w:w="0" w:type="dxa"/>
        <w:tblLayout w:type="fixed"/>
        <w:tblCellMar>
          <w:top w:w="0" w:type="dxa"/>
          <w:left w:w="0" w:type="dxa"/>
          <w:bottom w:w="0" w:type="dxa"/>
          <w:right w:w="0" w:type="dxa"/>
        </w:tblCellMar>
      </w:tblPr>
      <w:tblGrid>
        <w:gridCol w:w="1355"/>
        <w:gridCol w:w="800"/>
      </w:tblGrid>
      <w:tr>
        <w:trPr/>
        <w:tc>
          <w:tcPr>
            <w:tcW w:w="135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800" w:type="dxa"/>
            <w:tcBorders/>
            <w:vAlign w:val="center"/>
          </w:tcPr>
          <w:p>
            <w:pPr>
              <w:pStyle w:val="TableContents"/>
              <w:bidi w:val="0"/>
              <w:spacing w:before="0" w:after="283"/>
              <w:jc w:val="left"/>
              <w:rPr/>
            </w:pPr>
            <w:r>
              <w:rPr/>
              <w:t xml:space="preserve">TECX.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08"/>
        <w:gridCol w:w="9197"/>
      </w:tblGrid>
      <w:tr>
        <w:trPr/>
        <w:tc>
          <w:tcPr>
            <w:tcW w:w="1008"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9197" w:type="dxa"/>
            <w:tcBorders/>
            <w:vAlign w:val="center"/>
          </w:tcPr>
          <w:p>
            <w:pPr>
              <w:pStyle w:val="TableContents"/>
              <w:bidi w:val="0"/>
              <w:spacing w:before="0" w:after="283"/>
              <w:jc w:val="left"/>
              <w:rPr/>
            </w:pPr>
            <w:r>
              <w:rPr/>
              <w:t xml:space="preserve">The selling stockholders will offer the shares of common stock offered by this prospectus at the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81"/>
        <w:gridCol w:w="9324"/>
      </w:tblGrid>
      <w:tr>
        <w:trPr/>
        <w:tc>
          <w:tcPr>
            <w:tcW w:w="88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9324" w:type="dxa"/>
            <w:tcBorders/>
            <w:vAlign w:val="center"/>
          </w:tcPr>
          <w:p>
            <w:pPr>
              <w:pStyle w:val="TableContents"/>
              <w:bidi w:val="0"/>
              <w:spacing w:before="0" w:after="283"/>
              <w:jc w:val="left"/>
              <w:rPr/>
            </w:pPr>
            <w:r>
              <w:rPr/>
              <w:t xml:space="preserve">You should read the “Risk Factors” section of this prospectus for a discussion of factors to consider carefully before deciding to invest in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concerning the offering, see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beginning on page 148.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issued and outstanding shares of common stock as of February 28, 2025 excludes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1,795,648 shares of common stock issuable upon the exercise of outstanding stock options at a weighted average exercise price of $19.10 under our 2019 and 2024 Equity Incentive Plans;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31,891 shares of common stock issuable upon the exercise of outstanding options at a weighted average exercise price of $40.80 under the AVROBIO, Inc. 2018 Equity Incentive Plan; </w:t>
            </w:r>
          </w:p>
        </w:tc>
      </w:tr>
    </w:tbl>
    <w:p>
      <w:pPr>
        <w:pStyle w:val="TextBody"/>
        <w:bidi w:val="0"/>
        <w:spacing w:before="0" w:after="0"/>
        <w:jc w:val="left"/>
        <w:rPr>
          <w:bdr w:val="single" w:sz="8" w:space="1" w:color="000000"/>
        </w:rPr>
      </w:pPr>
      <w:r>
        <w:rPr>
          <w:bdr w:val="single" w:sz="8" w:space="1" w:color="000000"/>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180,487 shares of common stock issuable upon the settlement of outstanding restricted stock units; </w:t>
            </w:r>
          </w:p>
        </w:tc>
      </w:tr>
    </w:tbl>
    <w:p>
      <w:pPr>
        <w:pStyle w:val="TextBody"/>
        <w:bidi w:val="0"/>
        <w:spacing w:before="0" w:after="0"/>
        <w:jc w:val="left"/>
        <w:rPr>
          <w:bdr w:val="single" w:sz="8" w:space="1" w:color="000000"/>
        </w:rPr>
      </w:pPr>
      <w:r>
        <w:rPr>
          <w:bdr w:val="single" w:sz="8" w:space="1" w:color="000000"/>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1,245,659 shares of common stock reserved for future issuance under our 2024 Equity Incentive Plan; and </w:t>
            </w:r>
          </w:p>
        </w:tc>
      </w:tr>
    </w:tbl>
    <w:p>
      <w:pPr>
        <w:pStyle w:val="TextBody"/>
        <w:bidi w:val="0"/>
        <w:spacing w:before="0" w:after="0"/>
        <w:jc w:val="left"/>
        <w:rPr>
          <w:bdr w:val="single" w:sz="8" w:space="1" w:color="000000"/>
        </w:rPr>
      </w:pPr>
      <w:r>
        <w:rPr>
          <w:bdr w:val="single" w:sz="8" w:space="1" w:color="000000"/>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295,906 shares of common stock reserved for future issuance under our 2024 Employee Stock Purchase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63285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risks. Before you make a decision to buy our securities, in addition to the risks and uncertainties discussed above under “Cautionary Note Regarding Forward-Looking Statements,” you should carefully consider the specific risks set forth herein.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When determining whether to invest, you should also refer to the other information contained in this prospectus, including our financial statements and the related notes thereto, and the other financial information concerning us included elsewhere in this prospectus.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Cash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incurred net losses in every year since our inception. We expect to continue to incur net losses in the future. </w:t>
      </w:r>
    </w:p>
    <w:p>
      <w:pPr>
        <w:pStyle w:val="TextBody"/>
        <w:bidi w:val="0"/>
        <w:spacing w:before="120" w:after="0"/>
        <w:jc w:val="left"/>
        <w:rPr>
          <w:rFonts w:ascii="Times New Roman" w:hAnsi="Times New Roman"/>
          <w:sz w:val="20"/>
        </w:rPr>
      </w:pPr>
      <w:r>
        <w:rPr>
          <w:rFonts w:ascii="Times New Roman" w:hAnsi="Times New Roman"/>
          <w:sz w:val="20"/>
        </w:rPr>
        <w:t>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a reverse merger with AVROBIO, Inc. in June 2024 and have been operating under this structure for only a short time (for additional information concerning the merger, see “</w:t>
      </w:r>
      <w:r>
        <w:rPr>
          <w:rFonts w:ascii="Times New Roman" w:hAnsi="Times New Roman"/>
          <w:i/>
          <w:sz w:val="20"/>
        </w:rPr>
        <w:t>Management’s Discussion and Analysis of Financial Condition and Results of Operations</w:t>
      </w:r>
      <w:r>
        <w:rPr>
          <w:rFonts w:ascii="Times New Roman" w:hAnsi="Times New Roman"/>
          <w:sz w:val="20"/>
        </w:rPr>
        <w:t xml:space="preserve">” beginning on page 71).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years ended December 31, 2024 and 2023, we reported a net loss of $58.0 million and $42.8 million, respectively. As of December 31, 2024, we had an accumulated deficit of $148.6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expenses will increase substantially if, and as, we: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the research and development of our clinical- and preclinical-stage product candidates and discovery-stage programs, including the continued development of our lead product candidate TX45;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the amount of research and development activities to identify and develop product candidates using our proprietary discovery approach;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under in-license or collaboration agreements;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including personnel to support our clinical development, manufacturing and commercialization efforts and our operations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sales, marketing, medical affairs and distribution infrastructure to commercialize any products for which we may obtain marketing approval and intend to commercialize on our own or jointly with third 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 in or in-license other technologies;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any delays or encounter any issues with any of the above, including but not limited to failed studies, complex results, manufacturing challenges, safety issues or other regulatory challenges.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we had $141.2 million in cash and cash equivalents. Although we believe that our available cash and cash equivalents will be sufficient to fund our planned operations for at least 12 months following the date of our consolidated financial statements included in this prospectus, this belief is based on assumptions that may prove to be wrong, and we could use our available capital resources sooner than we currently expect. </w:t>
      </w:r>
    </w:p>
    <w:p>
      <w:pPr>
        <w:pStyle w:val="TextBody"/>
        <w:bidi w:val="0"/>
        <w:spacing w:before="240" w:after="0"/>
        <w:jc w:val="left"/>
        <w:rPr>
          <w:rFonts w:ascii="Times New Roman" w:hAnsi="Times New Roman"/>
          <w:sz w:val="20"/>
        </w:rPr>
      </w:pPr>
      <w:r>
        <w:rPr>
          <w:rFonts w:ascii="Times New Roman" w:hAnsi="Times New Roman"/>
          <w:sz w:val="20"/>
        </w:rPr>
        <w:t xml:space="preserve">Future capital requirements for TX45 or our preclinical programs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milestone and royalty payments we are required to make or are eligible to receive under our license agreements with Harvard and other license agreements,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potential new product candidates we identify and decide to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need for additional or expanded pre-clinical studies and clinical trials beyond those that we plan to conduct with respect to our current and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growing the organization to the size needed to allow for the research, development and potential commercialization of our current or any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patent applications, maintaining and enforcing patents or defending against infringement or other claims raised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our existing license and collaboration agreements and the entry into new license and collaboration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time and costs involved in obtaining regulatory approval for our product candidates and any delays we may encounter as a result of evolving regulatory requirements or adverse results with respect to any of our product candidates;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commercial-scale outsourced manufacturing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establishing sales, marketing and distribution capabilities for any product candidates for which we may receive regulatory approval in regions where we choose to commercialize our products on our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revenues, if any, we may derive either directly or in the form of royalty payments from future sales of our product candidates, if approved; and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any approved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will cause dilution to our stockholders, and may restrict our operations, or require us to relinquish rights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Development and Regulatory Approval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limited experience in therapeutic discovery and development and our GEODe™ platform may never result in the regulatory approval of a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preclinical studies and clinical trials;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our planned clinical trials or future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additional clinical trials on a timely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 is safe, pure, and potent for its targeted indications;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our product candidates from applicable regulatory authorities;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scaling up, either alone or with third-party manufacturers, manufacturing capabilities of clinical supply for our clinical trials and commercial manufacturing, if any of our product candidates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proprietary information protection or regulatory exclusivity for our product candidates, both in the United States and internationally;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scaling a sales and marketing organization and launching commercial sales of our product candidates,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 candidates’ benefits and uses, if approved, by patients, the medical community and third-party payors;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our product candidates following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companies developing and commercializing other therapies in the indications which our product candidates target;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completed only one clinical trial (Phase 1a trial in normal healthy volunteer with TX45) required for the approval of any of our product candidates. Enrollment in Part A of our TX45 Phase1b trial in patients with Group 2 PH and HFpEF is complete and we are currently conducting a Part B trial in Group 2 PH patients with HFrEF. We are enrolling a TX45 Phase 2 clinical trial in Group 2 PH patients with HFpEF, and we may experience delays in our ongoing clinical trials or preclinical studies. Additionally, we do not know whether planned clinical trials will begin on time, need to be redesigned, enroll patients on time, have sufficient drug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regulatory authorizations to commence a trial;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as to the design or implementation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reach agreement on acceptable terms with prospective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institutional review board (“IRB”) approval at each site;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recruit a sufficient number of suitable patients to participate in a trial;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have patients complete a trial or return for post-treatment follow-up;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adding new clinical trial sites;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sufficient quantities of our product candidates for use in clinical trials in a timely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clinical trials in accordance with the FDA’s or any other regulatory authority’s good clinical practices (“GCP”) requirements, or regulatory guidelines in other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policies and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third-party research contractors to comply with regulatory requirements or meet their contractual obligations to us in a timely manner, or at all;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establishing the appropriate dosage levels in clinical trials;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our product candidates falling below acceptable standards;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the Phase 1a healthy volunteer trial and our Phase 1b study in patients with Group 2 PH to date, the results from future preclinical studies and clinical trials, including of our other product candidates, may identify safety concerns or other undesirable properties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and require us to take such approved product off the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change the way the product is administered, conduct additional clinical trials or change the labeling of the product;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limitations on how we may promote the product;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litigation or product liability claims; and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find it difficult to enroll patients in our clinical trials, which could delay or prevent us from proceeding with, or otherwise adversely affect, clinical trials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location of trial sites in Moldova and Georgia for the Phase 1b trial and Phase II with its proximity to the conflict between Russia and the Ukraine;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or the inability to obtain, required approvals from IRBs and ethics committees or other governing entities at clinical trial sites selected for participation in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clinical trial sites on clinical budgets and/or clinical trial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deviations from the trial protocol by clinical trial sites and investigators, or failures to conduct the trial in accordance with regulatory requirements;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and process for identifying patients;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for the trial;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of the clinical trial;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safety profile, to date, of the product candidate under study;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our approach;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degree of progression of the patient’s disease at the time of enrollment;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patient consent;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adequately monitor patients during and after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trials. Preliminary and interim data from our clinical trials may change as more patient data become available. Preliminary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approval processes of the FDA and comparable foreign regulatory authorities are lengthy, time consuming and inherently unpredictable, and if we are ultimately unable to obtain regulatory approval for our product candidates, our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 candidates could fail to receive regulatory approval for many reasons,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is safe, pure and potent for its proposed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may not be sufficiently broad or representative to assure safety or efficacy in the population for which we seek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clinical significance required by the FDA or comparable foreign regulatory authorities for approval;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require additional preclinical studies or clinical trials beyond those that we currently anticipate;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any comparable foreign regulatory authorities or the laws they enforce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any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our products, withdrawal of the product from the market or voluntary or mandatory product recalls;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or suspension or revocation of license approvals;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our product candidates;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our investigational products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0"/>
        <w:jc w:val="left"/>
        <w:rPr>
          <w:rFonts w:ascii="Times New Roman" w:hAnsi="Times New Roman"/>
          <w:sz w:val="20"/>
        </w:rPr>
      </w:pPr>
      <w:r>
        <w:rPr>
          <w:rFonts w:ascii="Times New Roman" w:hAnsi="Times New Roman"/>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our products due to negative public perception;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or difficulties in recruiting new trial participants;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or settle the related litigation;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our resources;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revenues from product sales; and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our product candidates,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0"/>
        <w:jc w:val="left"/>
        <w:rPr>
          <w:rFonts w:ascii="Times New Roman" w:hAnsi="Times New Roman"/>
          <w:sz w:val="20"/>
        </w:rPr>
      </w:pPr>
      <w:r>
        <w:rPr>
          <w:rFonts w:ascii="Times New Roman" w:hAnsi="Times New Roman"/>
          <w:sz w:val="20"/>
        </w:rPr>
        <w:t xml:space="preserve">Should any of the events described above occur, this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orphan drug designation for product candidates we develop, and we may be unsuccessful or may be unable to maintain the benefits associated with orphan drug designation, including the potential for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240" w:after="0"/>
        <w:jc w:val="left"/>
        <w:rPr>
          <w:rFonts w:ascii="Times New Roman" w:hAnsi="Times New Roman"/>
          <w:sz w:val="20"/>
        </w:rPr>
      </w:pPr>
      <w:r>
        <w:rPr>
          <w:rFonts w:ascii="Times New Roman" w:hAnsi="Times New Roman"/>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If we are successful in obtaining marketing approval from applicable regulatory authorities for TX45 or any other product candidate, our ability to generate revenues from any such products will depend on our success in: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such products, whether alone or in collaboration with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approved labels with claims that are necessary or desirable for successful marketing, and that do not contain safety or other limitations that would impede our ability to market such products;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 demand for such products through marketing, sales and promotion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hiring, training, and deploying a sales force or contracting with third parties to commercialize such products in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strategic collaborations with, or offering licenses to, third parties to promote and sell such products in foreign markets where we receive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such products (i) in sufficient quantities, (ii) at acceptable quality and cost and (iii) in a presentation that is practical and compatible with the intended clinical use to meet commercial demand at launch and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wholesalers, distributors, and group purchasing organizations on commercially reasonable terms;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patent and trade secret protection and regulatory exclusivity for such products;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market acceptance of such products by patients, the medical community, and third-party payors;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coverage and adequate reimbursement from third-party payors for such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in the absence of such coverage and adequate reimbursement from third-party payors;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and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such products following launch.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we are not able to do any of the foregoing, our business, financial condition, results of operations, stock price and prospects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from other biotechnology and pharmaceutical companies, and our operating results will suffer if we fail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characterized by intense competition and rapid innovation. Our competitors may be able to develop other compounds or drugs that are able to achieve similar or better results. Our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In addition, in January 2025, Eli Lilly terminated its Phase 2 trial of volenrelaxin, which has affected investor perception of relaxin product candidates in general.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 </w:t>
      </w:r>
    </w:p>
    <w:p>
      <w:pPr>
        <w:pStyle w:val="TextBody"/>
        <w:bidi w:val="0"/>
        <w:spacing w:before="120" w:after="0"/>
        <w:jc w:val="left"/>
        <w:rPr>
          <w:rFonts w:ascii="Times New Roman" w:hAnsi="Times New Roman"/>
          <w:sz w:val="20"/>
        </w:rPr>
      </w:pPr>
      <w:r>
        <w:rPr>
          <w:rFonts w:ascii="Times New Roman" w:hAnsi="Times New Roman"/>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train and retain adequate numbers of effective sales and marketing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educate adequate numbers of physicians on the benefits of our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us at a competitive disadvantage relative to companies with more extensive product lines;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and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marketing and promotion above those anticipated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our product candidates are approved;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our product candidates as a safe and effective treatment;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our product candidates over alternative treatments;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comparable foreign regulatory authorities;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or comparable foreign regulatory authorities;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our product candidates in relation to other potentially competitive products;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our product candidates in relation to alternative treatments;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our product candidates;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administration, including as compared to alternative treatments and competitive therapies;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efforts and distribution support; and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presence or perceived risk of potential product liability claims.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may negatively impact our ability to profitably sell TX45 and any potential future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 </w:t>
      </w:r>
    </w:p>
    <w:p>
      <w:pPr>
        <w:pStyle w:val="TextBody"/>
        <w:bidi w:val="0"/>
        <w:spacing w:before="240" w:after="0"/>
        <w:jc w:val="left"/>
        <w:rPr>
          <w:rFonts w:ascii="Times New Roman" w:hAnsi="Times New Roman"/>
          <w:sz w:val="20"/>
        </w:rPr>
      </w:pPr>
      <w:r>
        <w:rPr>
          <w:rFonts w:ascii="Times New Roman" w:hAnsi="Times New Roman"/>
          <w:sz w:val="20"/>
        </w:rPr>
        <w:t xml:space="preserve">For example, 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and any potential future product candidates, which would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w:t>
      </w:r>
    </w:p>
    <w:p>
      <w:pPr>
        <w:pStyle w:val="TextBody"/>
        <w:bidi w:val="0"/>
        <w:spacing w:before="240" w:after="0"/>
        <w:jc w:val="left"/>
        <w:rPr>
          <w:rFonts w:ascii="Times New Roman" w:hAnsi="Times New Roman"/>
          <w:sz w:val="20"/>
        </w:rPr>
      </w:pPr>
      <w:r>
        <w:rPr>
          <w:rFonts w:ascii="Times New Roman" w:hAnsi="Times New Roman"/>
          <w:sz w:val="20"/>
        </w:rPr>
        <w:t xml:space="preserve">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240" w:after="0"/>
        <w:jc w:val="left"/>
        <w:rPr>
          <w:rFonts w:ascii="Times New Roman" w:hAnsi="Times New Roman"/>
          <w:sz w:val="20"/>
        </w:rPr>
      </w:pPr>
      <w:r>
        <w:rPr>
          <w:rFonts w:ascii="Times New Roman" w:hAnsi="Times New Roman"/>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occurs,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be materially and adversely affected in the future by political unrest in China, as well as the effects of disease outbreaks, epidemics and pandemics. </w:t>
      </w:r>
    </w:p>
    <w:p>
      <w:pPr>
        <w:pStyle w:val="TextBody"/>
        <w:bidi w:val="0"/>
        <w:spacing w:before="120" w:after="0"/>
        <w:jc w:val="left"/>
        <w:rPr>
          <w:rFonts w:ascii="Times New Roman" w:hAnsi="Times New Roman"/>
          <w:sz w:val="20"/>
        </w:rPr>
      </w:pPr>
      <w:r>
        <w:rPr>
          <w:rFonts w:ascii="Times New Roman" w:hAnsi="Times New Roman"/>
          <w:sz w:val="20"/>
        </w:rPr>
        <w:t xml:space="preserve">Disease outbreaks, epidemics and pandemics in regions where we may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TX45, TX2100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on February 1, 2025, President Donald Trump signed executive orders imposing a 25% tariff on certain imports from Mexico and Canada, and a 10% tariff on certain imports from China, which were to take effect on February 4, 2025. A 30-day pause was granted to Canada and Mexico. However,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118thCongress)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118th Congress. It is unclear whether the current Congress (the 119th Congress) will introduce the BIOSECURE Act or similar legislation in this congressional session and, if so, how the scope, prohibitions, or designated biotechnology companies of concern may differ from the version of the BIOSECURE Act passed by the House in the prior 118th Congress.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supply chain issues may be exacerbated during disease outbreaks, epidemics and pandemics and may also impact the ability of our clinical trial sites to obtain basic medical supplies used in our trials in a timely fashion, if at all. </w:t>
      </w:r>
    </w:p>
    <w:p>
      <w:pPr>
        <w:pStyle w:val="TextBody"/>
        <w:bidi w:val="0"/>
        <w:spacing w:before="120" w:after="0"/>
        <w:jc w:val="left"/>
        <w:rPr>
          <w:rFonts w:ascii="Times New Roman" w:hAnsi="Times New Roman"/>
          <w:sz w:val="20"/>
        </w:rPr>
      </w:pPr>
      <w:r>
        <w:rPr>
          <w:rFonts w:ascii="Times New Roman" w:hAnsi="Times New Roman"/>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240" w:after="0"/>
        <w:jc w:val="left"/>
        <w:rPr>
          <w:rFonts w:ascii="Times New Roman" w:hAnsi="Times New Roman"/>
          <w:sz w:val="20"/>
        </w:rPr>
      </w:pPr>
      <w:r>
        <w:rPr>
          <w:rFonts w:ascii="Times New Roman" w:hAnsi="Times New Roman"/>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or use compounds or cells that are similar to the biological compositions of our product candidates but that are not covered by the claims of our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active biological ingredients in our current product candidates will eventually become commercially available in biosimilar drug products, and no patent protection may be available with regard to formulation or method of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may fail to meet our obligations to the U.S. government in regards to any in-licensed patents and patent applications funded by U.S. government grants, leading to the loss of patent rights;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might not have been the first to file patent applications for these inventions;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pending patent applications will not result in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us or our licensors’ patents, as the case may be, or parts of ours or their patents;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others may circumvent our owned or in-licensed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our products or technology similar to our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ours or our licensors’, as the case may be, proprietary rights to the same extent as the laws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claims of our owned or in-licensed issued patents or patent applications, if and when issued, may not cover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owned or in-licensed issued patents may not provide us with any competitive advantages, may be narrowed in scope, or be held invalid or unenforceable as a result of legal challenges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engaged in scientific collaborations in the past, and will continue to do so in the future. Such collaborators may develop adjacent or competing products to ours that are outside the scope of our patents;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for which we can obtain patent protection. </w:t>
            </w:r>
          </w:p>
        </w:tc>
      </w:tr>
    </w:tbl>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6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product candidates we develop may be covered by third parties’ patents or other exclusive rights; or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Disputes may also arise between us and our licensors regarding intellectual property subject to a license agreement,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of our product candidates, and what activities satisfy those diligence obligations;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or ownership of inventions and know-how resulting from the joint creation or use of intellectual property by our licensors and us and our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obligations under our patent license with a third party, we could lose license rights that are important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proprietary information, our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 </w:t>
      </w:r>
    </w:p>
    <w:p>
      <w:pPr>
        <w:pStyle w:val="TextBody"/>
        <w:bidi w:val="0"/>
        <w:spacing w:before="240" w:after="0"/>
        <w:jc w:val="left"/>
        <w:rPr>
          <w:rFonts w:ascii="Times New Roman" w:hAnsi="Times New Roman"/>
          <w:sz w:val="20"/>
        </w:rPr>
      </w:pPr>
      <w:r>
        <w:rPr>
          <w:rFonts w:ascii="Times New Roman" w:hAnsi="Times New Roman"/>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our product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our ability to develop, manufacture, market and sell our product candidates and use our proprietary technologies without infringing the proprietary rights of third parties. There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 xml:space="preserve">inter partes </w:t>
      </w:r>
      <w:r>
        <w:rPr>
          <w:rFonts w:ascii="Times New Roman" w:hAnsi="Times New Roman"/>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240" w:after="0"/>
        <w:jc w:val="left"/>
        <w:rPr>
          <w:rFonts w:ascii="Times New Roman" w:hAnsi="Times New Roman"/>
          <w:sz w:val="20"/>
        </w:rPr>
      </w:pPr>
      <w:r>
        <w:rPr>
          <w:rFonts w:ascii="Times New Roman" w:hAnsi="Times New Roman"/>
          <w:sz w:val="20"/>
        </w:rPr>
        <w:t xml:space="preserve">If a third-party claims that we infringe its intellectual property rights, we may face a number of issues,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our management’s attention from our core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court prohibiting us from developing, manufacturing, marketing or selling our product candidates, or from using our proprietary technologies, unless the third party licenses its product rights to us, which it is not required to do;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license is available from a third party, we may have to pay substantial royalties, upfront fees and other amounts, and/or grant cross-licenses to intellectual property rights for its products;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redesigning our product candidates or processes so they do not infringe, which may not be possible or may require substantial monetary expenditures and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assert that our employees or consultants have wrongfully used or disclosed confidential information or misappropriated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240" w:after="0"/>
        <w:jc w:val="left"/>
        <w:rPr>
          <w:rFonts w:ascii="Times New Roman" w:hAnsi="Times New Roman"/>
          <w:sz w:val="20"/>
        </w:rPr>
      </w:pPr>
      <w:r>
        <w:rPr>
          <w:rFonts w:ascii="Times New Roman" w:hAnsi="Times New Roman"/>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obtaining or maintaining necessary rights to develop any future product candidates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involved in lawsuits related to our patents or the patents of our licensors,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240" w:after="0"/>
        <w:jc w:val="left"/>
        <w:rPr>
          <w:rFonts w:ascii="Times New Roman" w:hAnsi="Times New Roman"/>
          <w:sz w:val="20"/>
        </w:rPr>
      </w:pPr>
      <w:r>
        <w:rPr>
          <w:rFonts w:ascii="Times New Roman" w:hAnsi="Times New Roman"/>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our product candidates could be found invalid or unenforceable if challenged in court or the USPTO. </w:t>
      </w:r>
    </w:p>
    <w:p>
      <w:pPr>
        <w:pStyle w:val="TextBody"/>
        <w:bidi w:val="0"/>
        <w:spacing w:before="120" w:after="0"/>
        <w:jc w:val="left"/>
        <w:rPr>
          <w:rFonts w:ascii="Times New Roman" w:hAnsi="Times New Roman"/>
          <w:sz w:val="20"/>
        </w:rPr>
      </w:pPr>
      <w:r>
        <w:rPr>
          <w:rFonts w:ascii="Times New Roman" w:hAnsi="Times New Roman"/>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U.S. and in ex-U.S. jurisdictions could diminish the value of patents in general, thereby impairing our ability to protect our products.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hAnsi="Times New Roman"/>
          <w:i/>
          <w:sz w:val="20"/>
        </w:rPr>
        <w:t xml:space="preserve">Amgen Inc. v. Sanofi, </w:t>
      </w:r>
      <w:r>
        <w:rPr>
          <w:rFonts w:ascii="Times New Roman" w:hAnsi="Times New Roman"/>
          <w:sz w:val="20"/>
        </w:rPr>
        <w:t xml:space="preserve">the Federal Circuit held that a well-characterized antigen is insufficient to satisfy the written description requirement of certain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directed to a genus of antibodies that are solely defined by function; and in the case of </w:t>
      </w:r>
      <w:r>
        <w:rPr>
          <w:rFonts w:ascii="Times New Roman" w:hAnsi="Times New Roman"/>
          <w:i/>
          <w:sz w:val="20"/>
        </w:rPr>
        <w:t>Assoc. for Molecular</w:t>
      </w:r>
      <w:r>
        <w:rPr>
          <w:rFonts w:ascii="Times New Roman" w:hAnsi="Times New Roman"/>
          <w:sz w:val="20"/>
        </w:rPr>
        <w:t xml:space="preserve"> </w:t>
      </w:r>
      <w:r>
        <w:rPr>
          <w:rFonts w:ascii="Times New Roman" w:hAnsi="Times New Roman"/>
          <w:i/>
          <w:sz w:val="20"/>
        </w:rPr>
        <w:t xml:space="preserve">Pathology v. Myriad Genetics, Inc., </w:t>
      </w:r>
      <w:r>
        <w:rPr>
          <w:rFonts w:ascii="Times New Roman" w:hAnsi="Times New Roman"/>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substantial costs as a result of litigation or other proceedings relating to patents, and we may be unable to protect our rights to our products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240" w:after="0"/>
        <w:jc w:val="left"/>
        <w:rPr>
          <w:rFonts w:ascii="Times New Roman" w:hAnsi="Times New Roman"/>
          <w:sz w:val="20"/>
        </w:rPr>
      </w:pPr>
      <w:r>
        <w:rPr>
          <w:rFonts w:ascii="Times New Roman" w:hAnsi="Times New Roman"/>
          <w:sz w:val="20"/>
        </w:rPr>
        <w:t xml:space="preserve">There is also the risk that, even if the validity of these patents is upheld, the court will refuse to stop the third party on the ground that such third party’s activities do not infringe our owned or in-licensed patents.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240" w:after="0"/>
        <w:jc w:val="left"/>
        <w:rPr>
          <w:rFonts w:ascii="Times New Roman" w:hAnsi="Times New Roman"/>
          <w:sz w:val="20"/>
        </w:rPr>
      </w:pPr>
      <w:r>
        <w:rPr>
          <w:rFonts w:ascii="Times New Roman" w:hAnsi="Times New Roman"/>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sz w:val="20"/>
        </w:rPr>
        <w:t xml:space="preserve">inter partes </w:t>
      </w:r>
      <w:r>
        <w:rPr>
          <w:rFonts w:ascii="Times New Roman" w:hAnsi="Times New Roman"/>
          <w:sz w:val="20"/>
        </w:rPr>
        <w:t xml:space="preserve">review, </w:t>
      </w:r>
      <w:r>
        <w:rPr>
          <w:rFonts w:ascii="Times New Roman" w:hAnsi="Times New Roman"/>
          <w:i/>
          <w:sz w:val="20"/>
        </w:rPr>
        <w:t xml:space="preserve">ex parte </w:t>
      </w:r>
      <w:r>
        <w:rPr>
          <w:rFonts w:ascii="Times New Roman" w:hAnsi="Times New Roman"/>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sz w:val="20"/>
        </w:rPr>
        <w:t xml:space="preserve">ex-parte </w:t>
      </w:r>
      <w:r>
        <w:rPr>
          <w:rFonts w:ascii="Times New Roman" w:hAnsi="Times New Roman"/>
          <w:sz w:val="20"/>
        </w:rPr>
        <w:t xml:space="preserve">re-exam, </w:t>
      </w:r>
      <w:r>
        <w:rPr>
          <w:rFonts w:ascii="Times New Roman" w:hAnsi="Times New Roman"/>
          <w:i/>
          <w:sz w:val="20"/>
        </w:rPr>
        <w:t xml:space="preserve">inter partes </w:t>
      </w:r>
      <w:r>
        <w:rPr>
          <w:rFonts w:ascii="Times New Roman" w:hAnsi="Times New Roman"/>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our competitive position on our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do not obtain patent term extension and data exclusivity for any product candidates we may develop, our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the recently initiated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Moreover, our CDMOs may experience manufacturing difficulties due to resource constraints, governmental restrictions or as a result of labor disputes or unstable political environments. Supply chain issues, including those resulting from the a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118th Congress. It is unclear whether the current Congress (the 119th Congress) will introduce the BIOSECURE Act or similar legislation in this congressional session and, if so, how the scope, prohibitions, or designated biotechnology companies of concern may differ from the version of the BIOSECURE Act passed by the House in the prior 118th Congress.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24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collaborations will be important to our business. If we are unable to enter into new collaborations, or if these collaborations are not successful, our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future collaborations we enter into may pose a number of risks, including, but not limited to, the following: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with marketing and distribution rights to one or more of our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collaborator of ours is involved in a business combination, the collaborator might deemphasize or terminate the development or commercialization of any product candidate licensed to it by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by the collaborator, and, if terminated, we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Nonclinical research requires the use of Non-Human Primates (“NHP”), the supply of which could delay or prevent development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future success depends on our ability to retain key executives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a product candidate in the clinical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comply with health-related data protection laws and regulations could lead to government enforcement actions, including civil or criminal penalties, private litigation, and adverse publicity and could negatively affect our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240" w:after="0"/>
        <w:jc w:val="left"/>
        <w:rPr>
          <w:rFonts w:ascii="Times New Roman" w:hAnsi="Times New Roman"/>
          <w:sz w:val="20"/>
        </w:rPr>
      </w:pPr>
      <w:r>
        <w:rPr>
          <w:rFonts w:ascii="Times New Roman" w:hAnsi="Times New Roman"/>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contains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240" w:after="0"/>
        <w:jc w:val="left"/>
        <w:rPr>
          <w:rFonts w:ascii="Times New Roman" w:hAnsi="Times New Roman"/>
          <w:sz w:val="20"/>
        </w:rPr>
      </w:pPr>
      <w:r>
        <w:rPr>
          <w:rFonts w:ascii="Times New Roman" w:hAnsi="Times New Roman"/>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U.S. and certain foreign anti-corruption laws and regulations, export and import controls, sanctions and embargoes. We could face liability and other serious consequences for violations which can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Times New Roman" w:hAnsi="Times New Roman"/>
          <w:sz w:val="20"/>
        </w:rPr>
      </w:pPr>
      <w:r>
        <w:rPr>
          <w:rFonts w:ascii="Times New Roman" w:hAnsi="Times New Roman"/>
          <w:sz w:val="20"/>
        </w:rPr>
        <w:t xml:space="preserve">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240" w:after="0"/>
        <w:jc w:val="left"/>
        <w:rPr>
          <w:rFonts w:ascii="Times New Roman" w:hAnsi="Times New Roman"/>
          <w:sz w:val="20"/>
        </w:rPr>
      </w:pPr>
      <w:r>
        <w:rPr>
          <w:rFonts w:ascii="Times New Roman" w:hAnsi="Times New Roman"/>
          <w:sz w:val="20"/>
        </w:rPr>
        <w:t xml:space="preserve">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the third parties upon whom we depend may be adversely affected by earthquakes, fires or other natural disasters and our business continuity and disaster recovery plans may not adequately protect us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If earthquakes, fires, other natural disasters, terrorism and similar unforeseen events beyond our control prevent us from using all or a significant portion of our headquarters or other facilities, it may be difficult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or other changes in U.S. tax law could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U.S. net operating loss carryforwards and certain other U.S.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utilize our net operating loss carryforwards could be limited by an “ownership change” as described above, which could result in increased tax liability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our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service providers, manufacturers and other partners may not survive an economic downturn, which could directly affect our ability to attain our operating goals on schedule and on budget. </w:t>
      </w:r>
    </w:p>
    <w:p>
      <w:pPr>
        <w:pStyle w:val="TextBody"/>
        <w:bidi w:val="0"/>
        <w:spacing w:before="240" w:after="0"/>
        <w:jc w:val="left"/>
        <w:rPr>
          <w:rFonts w:ascii="Times New Roman" w:hAnsi="Times New Roman"/>
          <w:sz w:val="20"/>
        </w:rPr>
      </w:pPr>
      <w:r>
        <w:rPr>
          <w:rFonts w:ascii="Times New Roman" w:hAnsi="Times New Roman"/>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changes in financial accounting standards or practices may cause adverse and unexpected revenue fluctuations and adversely affect our reported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CDMOs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incur significantly increased costs as a result of operating as a public company, and our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build our finance infrastructure and improve our accounting systems and controls could impair our ability to comply with the financial reporting and internal controls requirements for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previously filed lawsuits, which were subsequently dismissed, relating to the Merger; however, additional lawsuits could be filed.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Two actions have been filed in the Supreme Court of New York, captioned </w:t>
      </w:r>
      <w:r>
        <w:rPr>
          <w:rFonts w:ascii="Times New Roman" w:hAnsi="Times New Roman"/>
          <w:i/>
          <w:sz w:val="20"/>
        </w:rPr>
        <w:t>Price v. Avrobio, Inc., et al.</w:t>
      </w:r>
      <w:r>
        <w:rPr>
          <w:rFonts w:ascii="Times New Roman" w:hAnsi="Times New Roman"/>
          <w:sz w:val="20"/>
        </w:rPr>
        <w:t xml:space="preserve">, No. 652555/2024 (filed May 17, 2024) and </w:t>
      </w:r>
      <w:r>
        <w:rPr>
          <w:rFonts w:ascii="Times New Roman" w:hAnsi="Times New Roman"/>
          <w:i/>
          <w:sz w:val="20"/>
        </w:rPr>
        <w:t>Keller v. Avrobio, Inc., et al.</w:t>
      </w:r>
      <w:r>
        <w:rPr>
          <w:rFonts w:ascii="Times New Roman" w:hAnsi="Times New Roman"/>
          <w:sz w:val="20"/>
        </w:rPr>
        <w:t xml:space="preserve">, No. 652597/2024 (filed May 21, 2024). The foregoing actions are referred to as the “Merger Actions.” </w:t>
      </w:r>
    </w:p>
    <w:p>
      <w:pPr>
        <w:pStyle w:val="TextBody"/>
        <w:bidi w:val="0"/>
        <w:spacing w:before="240" w:after="0"/>
        <w:jc w:val="left"/>
        <w:rPr>
          <w:rFonts w:ascii="Times New Roman" w:hAnsi="Times New Roman"/>
          <w:sz w:val="20"/>
        </w:rPr>
      </w:pPr>
      <w:r>
        <w:rPr>
          <w:rFonts w:ascii="Times New Roman" w:hAnsi="Times New Roman"/>
          <w:sz w:val="20"/>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hAnsi="Times New Roman"/>
          <w:i/>
          <w:sz w:val="20"/>
        </w:rPr>
        <w:t>Price</w:t>
      </w:r>
      <w:r>
        <w:rPr>
          <w:rFonts w:ascii="Times New Roman" w:hAnsi="Times New Roman"/>
          <w:sz w:val="20"/>
        </w:rPr>
        <w:t xml:space="preserve"> and </w:t>
      </w:r>
      <w:r>
        <w:rPr>
          <w:rFonts w:ascii="Times New Roman" w:hAnsi="Times New Roman"/>
          <w:i/>
          <w:sz w:val="20"/>
        </w:rPr>
        <w:t>Keller</w:t>
      </w:r>
      <w:r>
        <w:rPr>
          <w:rFonts w:ascii="Times New Roman" w:hAnsi="Times New Roman"/>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240" w:after="0"/>
        <w:jc w:val="left"/>
        <w:rPr>
          <w:rFonts w:ascii="Times New Roman" w:hAnsi="Times New Roman"/>
          <w:sz w:val="20"/>
        </w:rPr>
      </w:pPr>
      <w:r>
        <w:rPr>
          <w:rFonts w:ascii="Times New Roman" w:hAnsi="Times New Roman"/>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 </w:t>
      </w:r>
    </w:p>
    <w:p>
      <w:pPr>
        <w:pStyle w:val="TextBody"/>
        <w:bidi w:val="0"/>
        <w:spacing w:before="240" w:after="0"/>
        <w:jc w:val="left"/>
        <w:rPr>
          <w:rFonts w:ascii="Times New Roman" w:hAnsi="Times New Roman"/>
          <w:sz w:val="20"/>
        </w:rPr>
      </w:pPr>
      <w:r>
        <w:rPr>
          <w:rFonts w:ascii="Times New Roman" w:hAnsi="Times New Roman"/>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has been and is likely to continue to be volatile and fluctuate substantially.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our product candidates, or those of our competitors or existing or future collaborators;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we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do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us or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our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our ability to obtain patent protection for our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our business, or if they issue adverse or misleading opinions regarding our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us, the selling stockholders or other securityholders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raise an adequate amount of capital to fund our operations or continued development of our product candidates;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our product candidates;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our financial results; and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our common stock or the perception of such sales, by us or the selling stockholders pursuant to this prospectus, in the public market or otherwise, could cause the market price for our securities to decline, even though the selling stockholders would still realize a profit on sales at lower prices. Resales of the securities offered may cause the market price of such securities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otherwise, including sales pursuant to this prospectus,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selling stockholders named in this prospectus acquired securities at prices that are significantly less than the current trading price of our common stock. Accordingly, certain of the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stockholders named in this prospectus hold a large portion of our outstanding common stock. The shares being offered for resale pursuant to this prospectus and our other similar prospectus by the selling stockholders represent approximately 35.7% of our outstanding common stock as of February 28, 2025. Given the substantial number of shares of common stock being registered for potential resale by selling stockholders pursuant to this prospectus and our other similar prospectus, the sale of shares by the selling stockholders of a large number of shares, or the perception in the market that the selling stockholders of a large number of shares intend to sell shares, could increase the volatility of the market price of our common stock or result in a significant decline in the public trading price of our common stock. While certain of the selling stockholders may experience a positive rate of return on their investment in our common stock as a result, the public stockholders may not experience a similar rate of return on the securities they purchased due to differences in their purchase prices and the trading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certain of our shares are subject to lock-up agreements in connection with the Private Placement.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number of shares being registered for sale is significant in relation to the number of outstanding shares of our common stock. Future sales of shares by existing stockholders could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28, 2025, we had approximately 18,662,672 shares of common stock outstanding. This prospectus is a part of a registration statement on Form S-1 that registers 3,689,465 shares of common stock for sale into the public market by the selling stockholders. These shares represent a significant number of our outstanding common stock, and if sold in the market all at once or at about the same time, such transactions could depress the market price of our common stock during the period the registration statement remains effective. Any such transaction could also adversely affect our ability to raise equity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officers, directors and principal stockholders have the ability to control or significantly influence all matters submitted to our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shares outstanding as of December 31, 2024, our executive officers, directors and principal stockholders, in the aggregate, beneficially own approximately 72%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us, our business or our market,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our cash and cash equivalents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we do not anticipate paying any cash dividends on our share capital in the foreseeable future, capital appreciation, if any, will be your sole source of gain. </w:t>
      </w:r>
    </w:p>
    <w:p>
      <w:pPr>
        <w:pStyle w:val="TextBody"/>
        <w:bidi w:val="0"/>
        <w:spacing w:before="120" w:after="0"/>
        <w:jc w:val="left"/>
        <w:rPr>
          <w:rFonts w:ascii="Times New Roman" w:hAnsi="Times New Roman"/>
          <w:sz w:val="20"/>
        </w:rPr>
      </w:pPr>
      <w:r>
        <w:rPr>
          <w:rFonts w:ascii="Times New Roman" w:hAnsi="Times New Roman"/>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charter and bylaws, as well as provisions of Delaware law, could make it more difficult for a third party to acquire us or increase the cost of acquiring us, even if doing so would benefit our stockholders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our board of directors (the “Board”) without stockholder approval and may contain voting, liquidation, dividend and other rights superior to our common stock;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the Board, the chairperson of the Board, our Chief Executive Officer or our President;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the Board;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be removed only for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Board may be filled only by a majority of directors then in office, even though less than a quorum;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Board to modify, alter or repeal our amended and restated by-laws; and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our common stock to amend specified provisions of our charter and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bylaws contain exclusive forum provisions, which may limit a stockholder’s ability to bring a claim in a judicial forum it finds favorable and may discourage lawsuits with respect to such claims.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in writing to an alternative forum, the Court of Chancery of the State of Delaware will be the sole and exclusive forum for any state law claim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63285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offered by the selling stockholders pursuant to this prospectus will be sold by the selling stockholders for their respective accounts. We will not receive any proceeds from any sales of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63285_6"/>
      <w:bookmarkEnd w:id="8"/>
      <w:r>
        <w:rPr>
          <w:rFonts w:ascii="Times New Roman" w:hAnsi="Times New Roman"/>
          <w:b/>
          <w:sz w:val="20"/>
        </w:rPr>
        <w:t xml:space="preserve">MARKET INFORMATION FOR COMMON STOCK AND DIVIDEND POLICY </w:t>
      </w:r>
    </w:p>
    <w:p>
      <w:pPr>
        <w:pStyle w:val="TextBody"/>
        <w:bidi w:val="0"/>
        <w:spacing w:before="240" w:after="0"/>
        <w:jc w:val="left"/>
        <w:rPr>
          <w:rFonts w:ascii="Times New Roman" w:hAnsi="Times New Roman"/>
          <w:b/>
          <w:sz w:val="20"/>
        </w:rPr>
      </w:pPr>
      <w:r>
        <w:rPr>
          <w:rFonts w:ascii="Times New Roman" w:hAnsi="Times New Roman"/>
          <w:b/>
          <w:sz w:val="20"/>
        </w:rPr>
        <w:t xml:space="preserve">Market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listed on the Nasdaq Global Market under the symbol “TECX.”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28, 2025, we had approximately 18,662,672 shares of common stock issued and outstanding, held by approximately 37 registered holders.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and will depend upon a number of factors, including our results of operations, financial condition, future prospects, contractual restrictions, restrictions imposed by applicable law and other factors our Board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63285_7"/>
      <w:bookmarkEnd w:id="9"/>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our audited consolidated financial statements as of and for the fiscal year ended December 31, 2024 and the related notes appearing elsewhere or incorporated by reference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such differences include, but are not limited to, those discussed in the “Risk Factors” section of this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“Management’s Discussion and Analysis of Financial Condition and Results of Operations” section to the Company, “we,” “us,” and “our” refer to the business and operations of Legacy Tectonic and its consolidated subsidiaries prior to the business combination with AVROBIO, Inc. completed on June 20, 2024 (such business combination, the “Merger”), and the business and operations of Tectonic Therapeutic, Inc. (previously AVROBIO, Inc., referred to as “AVROBIO”) and its consolidated subsidiaries following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240" w:after="0"/>
        <w:jc w:val="left"/>
        <w:rPr>
          <w:rFonts w:ascii="Times New Roman" w:hAnsi="Times New Roman"/>
          <w:sz w:val="20"/>
        </w:rPr>
      </w:pPr>
      <w:r>
        <w:rPr>
          <w:rFonts w:ascii="Times New Roman" w:hAnsi="Times New Roman"/>
          <w:sz w:val="2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evaluating TX45 in a Phase 1b hemodynamic clinical trial and in a Phase 2 clinical trial. Part A of the TX45 Phase 1b hemodynamic clinical trial is a single dose IV, open-label clinical trial evaluating the safety, tolerability and acute hemodynamic effects of TX45 in patients with Group 2 PH in Heart Failure with Preserved Ejection Fraction (“PH-HFpEF”). We have completed dosing of all 19 patients in the Part A of the Phase 1b trial. A preliminary analysis of hemodynamic data from 16 out of 19 patients demonstrated improvements which met and or exceeded our prespecified goals and demonstrated that TX45 both improved left heart function and pulmonary hemodynamics over the 8 hour period post dosing which was evaluated. Part B of the Phase 1b trial which is assessing acute hemodynamics effects of TX45 in patients with Group 2 PH-HFrEF is expected to enroll the first patient in the first half of 2025 with data expected to be announced in the second half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also evaluating TX002100 (“TX2100”) as our second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IND enabling NHP GLP toxicology studies and technical development activities to generate GMP drug supply and drug product for TX2100 is expected to start in the second quarter of 2025.We expect to initiate a Phase 1 clinical trial for TX2100 in the fourth quarter of 2025 or the first quarter of 2026, subject to the results of IND enabling studies.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with AVROBIO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Legacy Tectonic entered into the Agreement and Plan of Merger and Reorganization (“Merger Agreement”) with AVROBIO and Alpine Merger Subsidiary, Inc. (“Merger Sub”). Pursuant to the Merger Agreement and the satisfaction of the conditions described in the Merger Agreement, on June 20, 2024, Merger Sub merged with and into Legacy Tectonic, with Legacy Tectonic surviving as a wholly owned subsidiary of AVROBIO (the “Merger”). The Merger Agreement and the transactions contemplated therein were approved by the members of the AVROBIO Board of Directors and Legacy Tectonic Board of Directors. Subject to the terms and conditions of the Merger Agreement, at the effective time, (a) each outstanding share of Legacy Tectonic common stock (including shares of Legacy Tectonic common stock issued upon conversion of its preferred stock and the shares issued pursuant to that certain Subscription Agreement dated January 30, 2024, entered into among Legacy Tectonic and the investors party thereto (the “Subscription Agreement”) and conversion of the SAFEs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AVROBIO securityholders as of immediately prior to the Merger owned approximately 24.8% of the outstanding shares of our capital stock on a diluted basis. Immediately after the Merger, Legacy Tectonic securityholders owned approximately 38.5% of the outstanding shares of our capital stock on a diluted basis. Investors participating in the Subscription Agreement and the SAFEs owned approximately 27.1% and 9.6% of the outstanding shares of our capital stock, respectively, on a diluted basis. </w:t>
      </w:r>
    </w:p>
    <w:p>
      <w:pPr>
        <w:pStyle w:val="TextBody"/>
        <w:bidi w:val="0"/>
        <w:spacing w:before="240" w:after="0"/>
        <w:jc w:val="left"/>
        <w:rPr>
          <w:rFonts w:ascii="Times New Roman" w:hAnsi="Times New Roman"/>
          <w:sz w:val="20"/>
        </w:rPr>
      </w:pPr>
      <w:r>
        <w:rPr>
          <w:rFonts w:ascii="Times New Roman" w:hAnsi="Times New Roman"/>
          <w:sz w:val="20"/>
        </w:rPr>
        <w:t xml:space="preserve">Legacy Tectonic stockholders received 10,956,614 shares of AVROBIO common stock in connection with the Merger, including 11,447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closing of the Merger, on June 20, 2024, certain investors completed the purchase of shares of Legacy Tectonic common stock pursuant to the Subscription Agreement for an aggregate purchase price of $96.6 million. The shares of Legacy Tectonic common stock that were issued pursuant to the Subscription Agreement were converted into 4,163,606 shares of our common stock upon the closing of the Merger based on the exchange ratio,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for our research activities, including our discovery efforts and the development of our programs and platform. These expenses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and bonuses, related benefits and stock-based compensation expense, for employees engaged in research and development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research and the preclinical and clinical development of our programs and our product candidates, including fees paid to contract research organizations (“CROs”);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manufacturing material for our preclinical studies and clinical trials, including fees paid to contract development and manufacturing organizations (“CDMOs”);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consumables and other research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related to research and development activities, which include direct or allocated expenses for rent and maintenance of facilities, and utilities;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240" w:after="0"/>
        <w:jc w:val="left"/>
        <w:rPr>
          <w:rFonts w:ascii="Times New Roman" w:hAnsi="Times New Roman"/>
          <w:sz w:val="20"/>
        </w:rPr>
      </w:pPr>
      <w:r>
        <w:rPr>
          <w:rFonts w:ascii="Times New Roman" w:hAnsi="Times New Roman"/>
          <w:sz w:val="20"/>
        </w:rPr>
        <w:t xml:space="preserve">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Costs that are deployed across multiple internal programs, including programs aimed at the discovery and development of potential therapies for fibrotic disease, and our platform technology and are not directly attributable to any single program are not allocated to any single program and, as such, are not separately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classified. These costs include multi-program employee-related costs, cross-program payments made under third-party licensing agreements, costs of laboratory supplies and facilities expenses, including rent, depreciation and other indirect costs, the costs of our discovery efforts and projects, and other expenses.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conduct preclinical studies required to advance our product candidates into clinical development;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including based on the number of doses that patients received;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who enroll in each trial;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safety monitoring requested by regulatory agencies;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the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failing to comply with regulatory requirements or meet their contractual obligations to us in a timely manner, or at all;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manufacture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IRBs requiring that we or our investigators suspend or terminate clinical development for various reasons, including noncompliance with regulatory requirements or a finding that the participants are being exposed to unacceptable health risks; and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our product candidates.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employee-related costs, including salaries and bonuses, related benefits and stock-based compensation expense, for our personnel in executive, legal,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general and administrative expenses will increase in the future as we expect to incur increased accounting, audit, legal, regulatory, compliance, director and officer insurance, and investor and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relations expenses associated with operating as a public company. We also expect to incur additional intellectual property-related expenses as we file patent applications to protect innovations arising from our research and development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Other Income (Expense), Net </w:t>
      </w:r>
    </w:p>
    <w:p>
      <w:pPr>
        <w:pStyle w:val="TextBody"/>
        <w:bidi w:val="0"/>
        <w:spacing w:before="120" w:after="0"/>
        <w:jc w:val="left"/>
        <w:rPr>
          <w:rFonts w:ascii="Times New Roman" w:hAnsi="Times New Roman"/>
          <w:b/>
          <w:i/>
          <w:sz w:val="20"/>
        </w:rPr>
      </w:pPr>
      <w:r>
        <w:rPr>
          <w:rFonts w:ascii="Times New Roman" w:hAnsi="Times New Roman"/>
          <w:b/>
          <w:i/>
          <w:sz w:val="20"/>
        </w:rPr>
        <w:t xml:space="preserve">Loss on Issuance of SAFE Liabilities and 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Legacy Tectonic issued SAFEs for proceeds of $34.1 million. The SAFEs were recorded as liabilities in the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primarily consists of interest earned on money market funds, which are included in cash and cash equivalents in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Years Ended December 31,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years ended December 31, 2024 and 2023: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3530"/>
        <w:gridCol w:w="120"/>
        <w:gridCol w:w="140"/>
        <w:gridCol w:w="755"/>
        <w:gridCol w:w="155"/>
        <w:gridCol w:w="60"/>
        <w:gridCol w:w="140"/>
        <w:gridCol w:w="755"/>
        <w:gridCol w:w="155"/>
        <w:gridCol w:w="60"/>
        <w:gridCol w:w="155"/>
        <w:gridCol w:w="840"/>
        <w:gridCol w:w="155"/>
        <w:gridCol w:w="60"/>
        <w:gridCol w:w="129"/>
        <w:gridCol w:w="986"/>
        <w:gridCol w:w="365"/>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45"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41,364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4,398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12</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16,651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8,969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117</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986"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13,367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30</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986"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(58,015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(13,367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30</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986"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(4,865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(388</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3,680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633</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(30</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(229</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986"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(1,792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(98</w:t>
            </w:r>
          </w:p>
        </w:tc>
        <w:tc>
          <w:tcPr>
            <w:tcW w:w="36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986"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(57,982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(15,159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35</w:t>
            </w:r>
          </w:p>
        </w:tc>
        <w:tc>
          <w:tcPr>
            <w:tcW w:w="36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double" w:sz="6" w:space="1" w:color="000000"/>
              </w:pBdr>
              <w:bidi w:val="0"/>
              <w:spacing w:before="0" w:after="0"/>
              <w:jc w:val="left"/>
              <w:rPr/>
            </w:pPr>
            <w:r>
              <w:rPr/>
              <w:t> </w:t>
            </w:r>
          </w:p>
        </w:tc>
        <w:tc>
          <w:tcPr>
            <w:tcW w:w="84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double" w:sz="6" w:space="1" w:color="000000"/>
              </w:pBdr>
              <w:bidi w:val="0"/>
              <w:spacing w:before="0" w:after="0"/>
              <w:jc w:val="left"/>
              <w:rPr/>
            </w:pPr>
            <w:r>
              <w:rPr/>
              <w:t> </w:t>
            </w:r>
          </w:p>
        </w:tc>
        <w:tc>
          <w:tcPr>
            <w:tcW w:w="986"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0" w:after="0"/>
        <w:jc w:val="left"/>
        <w:rPr/>
      </w:pPr>
      <w:r>
        <w:rPr/>
        <w:t> </w:t>
      </w:r>
    </w:p>
    <w:tbl>
      <w:tblPr>
        <w:tblW w:w="10140" w:type="dxa"/>
        <w:jc w:val="left"/>
        <w:tblInd w:w="0" w:type="dxa"/>
        <w:tblLayout w:type="fixed"/>
        <w:tblCellMar>
          <w:top w:w="0" w:type="dxa"/>
          <w:left w:w="0" w:type="dxa"/>
          <w:bottom w:w="0" w:type="dxa"/>
          <w:right w:w="0" w:type="dxa"/>
        </w:tblCellMar>
      </w:tblPr>
      <w:tblGrid>
        <w:gridCol w:w="5330"/>
        <w:gridCol w:w="120"/>
        <w:gridCol w:w="140"/>
        <w:gridCol w:w="680"/>
        <w:gridCol w:w="60"/>
        <w:gridCol w:w="120"/>
        <w:gridCol w:w="140"/>
        <w:gridCol w:w="680"/>
        <w:gridCol w:w="60"/>
        <w:gridCol w:w="120"/>
        <w:gridCol w:w="179"/>
        <w:gridCol w:w="816"/>
        <w:gridCol w:w="155"/>
        <w:gridCol w:w="60"/>
        <w:gridCol w:w="107"/>
        <w:gridCol w:w="1008"/>
        <w:gridCol w:w="365"/>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25"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15,324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15,870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16" w:type="dxa"/>
            <w:tcBorders/>
            <w:vAlign w:val="center"/>
          </w:tcPr>
          <w:p>
            <w:pPr>
              <w:pStyle w:val="TableContents"/>
              <w:bidi w:val="0"/>
              <w:spacing w:before="0" w:after="283"/>
              <w:jc w:val="right"/>
              <w:rPr/>
            </w:pPr>
            <w:r>
              <w:rPr/>
              <w:t>(546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w:t>
            </w:r>
          </w:p>
        </w:tc>
        <w:tc>
          <w:tcPr>
            <w:tcW w:w="36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TX2100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4,032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1,047</w:t>
            </w:r>
          </w:p>
        </w:tc>
        <w:tc>
          <w:tcPr>
            <w:tcW w:w="36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Platform development and unallocated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Employee-related expenses, including stock-based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12,317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10,768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w:t>
            </w:r>
          </w:p>
        </w:tc>
        <w:tc>
          <w:tcPr>
            <w:tcW w:w="36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25</w:t>
            </w:r>
          </w:p>
        </w:tc>
        <w:tc>
          <w:tcPr>
            <w:tcW w:w="36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 supplies and related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(1,559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(30</w:t>
            </w:r>
          </w:p>
        </w:tc>
        <w:tc>
          <w:tcPr>
            <w:tcW w:w="36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Facility related and other expenses, including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4,494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688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18</w:t>
            </w:r>
          </w:p>
        </w:tc>
        <w:tc>
          <w:tcPr>
            <w:tcW w:w="36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1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platform development and unallocated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21,623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912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1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41,364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36,966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16" w:type="dxa"/>
            <w:tcBorders/>
            <w:vAlign w:val="center"/>
          </w:tcPr>
          <w:p>
            <w:pPr>
              <w:pStyle w:val="TableContents"/>
              <w:bidi w:val="0"/>
              <w:spacing w:before="0" w:after="283"/>
              <w:jc w:val="right"/>
              <w:rPr/>
            </w:pPr>
            <w:r>
              <w:rPr/>
              <w:t>4,398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12</w:t>
            </w:r>
          </w:p>
        </w:tc>
        <w:tc>
          <w:tcPr>
            <w:tcW w:w="36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1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pBdr>
                <w:top w:val="double" w:sz="6" w:space="1" w:color="000000"/>
              </w:pBdr>
              <w:bidi w:val="0"/>
              <w:spacing w:before="0" w:after="0"/>
              <w:jc w:val="left"/>
              <w:rPr/>
            </w:pPr>
            <w:r>
              <w:rPr/>
              <w:t> </w:t>
            </w:r>
          </w:p>
        </w:tc>
        <w:tc>
          <w:tcPr>
            <w:tcW w:w="1008"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research and development expenses increased $4.4 million for the year ended December 31, 2024 compared to the year ended December 31, 2023. The increase in research and development expense was primarily the result of increased CRO and CDMO costs related to the discovery and development of TX2100.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5330"/>
        <w:gridCol w:w="120"/>
        <w:gridCol w:w="140"/>
        <w:gridCol w:w="680"/>
        <w:gridCol w:w="60"/>
        <w:gridCol w:w="120"/>
        <w:gridCol w:w="140"/>
        <w:gridCol w:w="560"/>
        <w:gridCol w:w="60"/>
        <w:gridCol w:w="120"/>
        <w:gridCol w:w="199"/>
        <w:gridCol w:w="796"/>
        <w:gridCol w:w="60"/>
        <w:gridCol w:w="120"/>
        <w:gridCol w:w="152"/>
        <w:gridCol w:w="963"/>
        <w:gridCol w:w="29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70" w:type="dxa"/>
            <w:gridSpan w:val="14"/>
            <w:tcBorders/>
            <w:vAlign w:val="center"/>
          </w:tcPr>
          <w:p>
            <w:pPr>
              <w:pStyle w:val="TableContents"/>
              <w:bidi w:val="0"/>
              <w:spacing w:before="0" w:after="283"/>
              <w:jc w:val="center"/>
              <w:rPr>
                <w:b/>
              </w:rPr>
            </w:pPr>
            <w:r>
              <w:rPr>
                <w:b/>
              </w:rPr>
              <w:t>(dollars in thousands)</w:t>
            </w:r>
          </w:p>
        </w:tc>
        <w:tc>
          <w:tcPr>
            <w:tcW w:w="29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Employee-related expenses, including stock-based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7,862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3,944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3,918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99</w:t>
            </w:r>
          </w:p>
        </w:tc>
        <w:tc>
          <w:tcPr>
            <w:tcW w:w="29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7,009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4,822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220</w:t>
            </w:r>
          </w:p>
        </w:tc>
        <w:tc>
          <w:tcPr>
            <w:tcW w:w="29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Facility related and other expenses, including 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229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15</w:t>
            </w:r>
          </w:p>
        </w:tc>
        <w:tc>
          <w:tcPr>
            <w:tcW w:w="29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pBdr>
                <w:top w:val="single" w:sz="2" w:space="1" w:color="000000"/>
              </w:pBdr>
              <w:bidi w:val="0"/>
              <w:spacing w:before="0" w:after="0"/>
              <w:jc w:val="left"/>
              <w:rPr/>
            </w:pPr>
            <w:r>
              <w:rPr/>
              <w:t> </w:t>
            </w:r>
          </w:p>
        </w:tc>
        <w:tc>
          <w:tcPr>
            <w:tcW w:w="79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963"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16,651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7,682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8,969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117</w:t>
            </w:r>
          </w:p>
        </w:tc>
        <w:tc>
          <w:tcPr>
            <w:tcW w:w="29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pBdr>
                <w:top w:val="double" w:sz="6" w:space="1" w:color="000000"/>
              </w:pBdr>
              <w:bidi w:val="0"/>
              <w:spacing w:before="0" w:after="0"/>
              <w:jc w:val="left"/>
              <w:rPr/>
            </w:pPr>
            <w:r>
              <w:rPr/>
              <w:t> </w:t>
            </w:r>
          </w:p>
        </w:tc>
        <w:tc>
          <w:tcPr>
            <w:tcW w:w="79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double" w:sz="6" w:space="1" w:color="000000"/>
              </w:pBdr>
              <w:bidi w:val="0"/>
              <w:spacing w:before="0" w:after="0"/>
              <w:jc w:val="left"/>
              <w:rPr/>
            </w:pPr>
            <w:r>
              <w:rPr/>
              <w:t> </w:t>
            </w:r>
          </w:p>
        </w:tc>
        <w:tc>
          <w:tcPr>
            <w:tcW w:w="963"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increased $9.0 million for the year ended December 31, 2024 compared to the year ended December 31, 2023. The increase is primarily attributable to an increase in employee-related expenses and professional and consulting expenses. Employee-related expenses increased $3.9 million for the year ended December 31, 2024 compared to the year ended December 31, 2023 due to an increase in stock-based compensation for stock-based awards, the expense for the modification of certain stock options and severance costs related the reduction in force that occurred during the year ended December 31, 2024. Professional and consulting expenses increased $4.8 million for the year ended December 31, 2024 compared to the year ended December 31, 2023. The increase in professional and consulting expenses was due to an increase in services fees to support Merger-related activities and an increase in audit, legal and administrative services to support our operations as a public company. </w:t>
      </w:r>
    </w:p>
    <w:p>
      <w:pPr>
        <w:pStyle w:val="TextBody"/>
        <w:bidi w:val="0"/>
        <w:spacing w:before="360" w:after="0"/>
        <w:jc w:val="left"/>
        <w:rPr>
          <w:rFonts w:ascii="Times New Roman" w:hAnsi="Times New Roman"/>
          <w:b/>
          <w:sz w:val="20"/>
        </w:rPr>
      </w:pPr>
      <w:r>
        <w:rPr>
          <w:rFonts w:ascii="Times New Roman" w:hAnsi="Times New Roman"/>
          <w:b/>
          <w:sz w:val="20"/>
        </w:rPr>
        <w:t xml:space="preserve">Other (Expense)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SAFE liabilities loss of $3.6 million resulted from the remeasurement of the SAFE liabilities to fair value during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$3.7 million for the year ended December 31, 2024 compared to the year ended December 31, 2023 primarily due to an increase in cash and cash equivalents as a result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under a securities purchase agreement in exchange for gross proceeds of $185 million. As of December 31, 2024, we had $141.2 million in cash and cash equivalents and an accumulated deficit of $148.6 million. Based on our current business plans, management believes that our cash, cash equivalents and marketable securities on hand at December 31, 2024 are sufficient to meet our operating requirements for at least the next 12 months from the issuance of the consolidated financial statements included in our Annual Report on Form 10-K for the year ended December 31, 2024. We have based this estimate on assumptions that may prove to be wrong, and we could exhaust our capital resources sooner than we expect.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summary of our cash flows for the years ended December 31, 2024 and 2023: </w:t>
      </w:r>
    </w:p>
    <w:p>
      <w:pPr>
        <w:pStyle w:val="TextBody"/>
        <w:bidi w:val="0"/>
        <w:spacing w:before="0" w:after="0"/>
        <w:jc w:val="left"/>
        <w:rPr/>
      </w:pPr>
      <w:r>
        <w:rPr/>
        <w:t> </w:t>
      </w:r>
    </w:p>
    <w:tbl>
      <w:tblPr>
        <w:tblW w:w="7820" w:type="dxa"/>
        <w:jc w:val="left"/>
        <w:tblInd w:w="0" w:type="dxa"/>
        <w:tblLayout w:type="fixed"/>
        <w:tblCellMar>
          <w:top w:w="0" w:type="dxa"/>
          <w:left w:w="0" w:type="dxa"/>
          <w:bottom w:w="0" w:type="dxa"/>
          <w:right w:w="0" w:type="dxa"/>
        </w:tblCellMar>
      </w:tblPr>
      <w:tblGrid>
        <w:gridCol w:w="5480"/>
        <w:gridCol w:w="120"/>
        <w:gridCol w:w="140"/>
        <w:gridCol w:w="800"/>
        <w:gridCol w:w="155"/>
        <w:gridCol w:w="60"/>
        <w:gridCol w:w="140"/>
        <w:gridCol w:w="755"/>
        <w:gridCol w:w="170"/>
      </w:tblGrid>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(59,080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(40,681</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(279</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171,714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33,747</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112,470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(7,197</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cash used in operating activities was $59.1 million. Cash used in operating activities was primarily used to fund our operations to develop our product candidates, resulting in a net loss of $58.0 million and changes in our operating assets and liabilities of $10.3 million, partially offset by non-cash charges of $9.2 million related to the change in the fair value of the SAFE liabilities, stock-based compensation expense, depreciation and amortization expense and lease expense. The increase in operating assets and liabilities relates to accrued expenses for the Merger and prepayments to the CRO.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December 31, 2023, cash used in operating activities was $40.7 million. Cash used in operating activities was primarily used to fund our operations to development our product candidates, resulting in a net loss of $42.8 million and changes in our operating assets and liabilities of $0.6 million, partially offset by non-cash charges of $2.7 million related to the change in the fair value of the SAFE liabilities, stock-based compensation expense, depreciation and amortization expense and lease expense. The increase in operating assets and liabilities relates to accrued expenses, timing of vendor payments, and timing of lease repayments.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and 2023, net cash used in investing activities was $0.2 million and $0.3 million, respectively, related to purchases of property and equipment.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net cash provided by financing activities was $171.7 million, primarily due to net proceeds of $94.6 million from the sale of shares pursuant to the Subscription Agreement, $76.0 million in net proceeds and $1.6 million in proceeds from the exercise of stock options. Net cash provided by financing activities during the year ended December 31, 2023 was primarily due to the receipt of $34.1 million of proceeds from the issuance of SAFEs.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product discovery, preclinical studies and clinical trials;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our research and development programs;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product candidate;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sufficient additional capital on a timely basis and on favorable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process development and manufacturing scale-up activities associated with our product candidates and other programs as we advance them through preclinical and clinical development;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on favorable terms, if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the license agreements and any other collaboration agreements we enter into;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are obligated to reimburse, or entitled to reimbursement of, clinical trial costs under collaboration agreements,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our intellectual property rights and defending intellectual property-related claims;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in-license other product candidates and technologies;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securing manufacturing arrangements for commercial production;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publicly traded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establishing or contracting for sales and marketing capabilities if we obtain regulatory approvals to market our product candidates; and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macroeconomic environment, including inflation and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ongoing material financing commitments, such as lines of credit or guarantees, that are expected to affect our liquidity over the next five years, other than our lease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&amp;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11, </w:t>
      </w:r>
      <w:r>
        <w:rPr>
          <w:rFonts w:ascii="Times New Roman" w:hAnsi="Times New Roman"/>
          <w:i/>
          <w:sz w:val="20"/>
        </w:rPr>
        <w:t>License Agreements</w:t>
      </w:r>
      <w:r>
        <w:rPr>
          <w:rFonts w:ascii="Times New Roman" w:hAnsi="Times New Roman"/>
          <w:sz w:val="20"/>
        </w:rPr>
        <w:t xml:space="preserve">, and Note 12, </w:t>
      </w:r>
      <w:r>
        <w:rPr>
          <w:rFonts w:ascii="Times New Roman" w:hAnsi="Times New Roman"/>
          <w:i/>
          <w:sz w:val="20"/>
        </w:rPr>
        <w:t>Commitments and Contingencies</w:t>
      </w:r>
      <w:r>
        <w:rPr>
          <w:rFonts w:ascii="Times New Roman" w:hAnsi="Times New Roman"/>
          <w:sz w:val="20"/>
        </w:rPr>
        <w:t xml:space="preserve">, and to our consolidated financial statements included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lease obligations including amounts due on leases of certain laboratory equipment and office and laboratory space under the terms of non-cancelable operating and finance leases. The leases expire at various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times through 2027. Minimum lease payments are $3.0 million in 2025, $0.4 million in 2026, and $0.1 million in 2027.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consolidated financial statements, which have been prepared in accordance with generally accepted accounting principles in the United States (“GAAP”). The preparation of the consolidated financial statements requires us to make estimates and assumptions that affect the reported amounts of assets and liabilities, the disclosures of contingent assets and liabilities in our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Prepaid and Accrued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process of preparing our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judgments and estimates of our prepaid and accrued research and development expenses as of each balance sheet date in the consolidated financial statements based on facts and circumstances known to us at that time, which includes corroboration of these estimates with the service providers. If the actual timing of the performance of services or the level of effort varies from the estimate, we adjust accrued expenses or prepaid expenses accordingly, which impact research and development expenses. To date, we have not experienced any material adjustments to our prior estimates of prepaid and accrued research and development expenses. Changes in these estimates that result in material changes to our accrued costs could materially affect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use the Black-Scholes-Merton (“BSM”) option pricing model. Prior to being publicly traded, the fair value of the Company’s common stock underlying the stock options was determined by the Board with assistance from management and, in part, on input from an independent third-party valuation firm. The Board determined the fair value of common stock by considering a number of objective and subjective factors, including valuations of comparable companies, sales of convertible preferred stock,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financial performance, the lack of liquidity of the Company’s common stock and the general and industry-specific economic outlook. Subsequent to the Merger, the fair value of the Company’s common stock is based on the closing quoted market price of its common stock as reported by the NASDAQ Select Market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fair value of the Company’s stock, the estimated fair value of options granted to employees and non-employees requires a subjective estimate for the following input: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Volatility—The estimated volatility is determined by evaluating the average historical volatility of a peer group of companies for the period preceding the stock option grant for a term that is approximately equal to the stock options’ expected term.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Recent accounting pronouncements are addressed in Note 2, </w:t>
      </w:r>
      <w:r>
        <w:rPr>
          <w:rFonts w:ascii="Times New Roman" w:hAnsi="Times New Roman"/>
          <w:i/>
          <w:sz w:val="20"/>
        </w:rPr>
        <w:t>Summary of Significant Accounting Policies and Basis of Presentation</w:t>
      </w:r>
      <w:r>
        <w:rPr>
          <w:rFonts w:ascii="Times New Roman" w:hAnsi="Times New Roman"/>
          <w:sz w:val="20"/>
        </w:rPr>
        <w:t xml:space="preserve">, in the Notes to the Consolidated Financial Statements included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Smaller Reporting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information in this prospectus and that we provide to our investors in the future may be different than what you might receive from other public reporting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primary exposure to market risk is related to interest rate sensitivity, which is affected by changes in the general level of U.S. interest rates. As of December 31, 2024, we had cash and cash equivalents of $141.2 million, which consisted of cash and money market funds. As of December 31, 2024, we had an operating lease liability and a finance lease liability of $2.4 million and $0.9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63285_8"/>
      <w:bookmarkEnd w:id="10"/>
      <w:r>
        <w:rPr>
          <w:rFonts w:ascii="Times New Roman" w:hAnsi="Times New Roman"/>
          <w:b/>
          <w:sz w:val="20"/>
        </w:rPr>
        <w:t xml:space="preserve">BUSINESS </w:t>
      </w:r>
    </w:p>
    <w:p>
      <w:pPr>
        <w:pStyle w:val="TextBody"/>
        <w:bidi w:val="0"/>
        <w:spacing w:before="240" w:after="0"/>
        <w:jc w:val="left"/>
        <w:rPr>
          <w:rFonts w:ascii="Times New Roman" w:hAnsi="Times New Roman"/>
          <w:i/>
          <w:sz w:val="20"/>
        </w:rPr>
      </w:pPr>
      <w:r>
        <w:rPr>
          <w:rFonts w:ascii="Times New Roman" w:hAnsi="Times New Roman"/>
          <w:i/>
          <w:sz w:val="20"/>
        </w:rPr>
        <w:t xml:space="preserve">In connection with the completion of the Merger, we changed our name from “AVROBIO, Inc.” to “Tectonic Therapeutic, Inc.,” and our business became primarily the business conducted by Legacy Tectonic. We are now a clinical stage biotechnology company focused on developing novel GPCR- targeted biologics to effectively and safely treat patients with serious medical conditions where there are currently limited or no medical options. </w:t>
      </w:r>
    </w:p>
    <w:p>
      <w:pPr>
        <w:pStyle w:val="TextBody"/>
        <w:bidi w:val="0"/>
        <w:spacing w:before="360" w:after="0"/>
        <w:jc w:val="left"/>
        <w:rPr>
          <w:rFonts w:ascii="Times New Roman" w:hAnsi="Times New Roman"/>
          <w:i/>
          <w:sz w:val="20"/>
        </w:rPr>
      </w:pPr>
      <w:r>
        <w:rPr>
          <w:rFonts w:ascii="Times New Roman" w:hAnsi="Times New Roman"/>
          <w:i/>
          <w:sz w:val="20"/>
        </w:rPr>
        <w:t xml:space="preserve">As used in this Business Section, the words “Company,” “we,” “our,” “us” and “Tectonic” refer, collectively to Tectonic Therapeutic, Inc. and its consolidated subsidiaries following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focused on the discovery and development of therapeutic proteins and antibodies that modulate the activity of G protein-coupled receptors (“GPCRs”). The discovery of biologics that can modulate GPCRs has historically been quite challenging. We have developed a proprietary technology platform called GEODe™, with the aim of addressing these challenges and to enable the discovery and development of GPCR-targeted biologic medicines that can modify the course of disease. We focus on areas of significant unmet medical need, often where therapeutic options are poor or nonexistent, and where new medicines have the potential to improve patient quality of life or extend duration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human biology has relied on this molecular system for physiological control. The breadth of effects controlled by GPCRs is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in order to optimize the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to discover therapeutic proteins and antibodies that bind to and modulate the activity of GPCRs because of the low endogenous level of expression of many GPCRs, complex biochemistry and their inherent instability when removed from their natural environment in, the cell membrane. To unlock the potential for biologic therapeutics to broaden the clinical utility of GPCRs, we use our proprietary GEODe™ technology platform in an attempt to overcome the known challenges of GPCR-targeted drug discovery. </w:t>
      </w:r>
    </w:p>
    <w:p>
      <w:pPr>
        <w:pStyle w:val="TextBody"/>
        <w:bidi w:val="0"/>
        <w:spacing w:before="240" w:after="0"/>
        <w:jc w:val="left"/>
        <w:rPr>
          <w:rFonts w:ascii="Times New Roman" w:hAnsi="Times New Roman"/>
          <w:sz w:val="20"/>
        </w:rPr>
      </w:pPr>
      <w:r>
        <w:rPr>
          <w:rFonts w:ascii="Times New Roman" w:hAnsi="Times New Roman"/>
          <w:sz w:val="20"/>
        </w:rPr>
        <w:t xml:space="preserve">The initial components of the platform, its first generation yeast library design and initial yeast selection protocols, were developed at the Harvard Medical School. However, over the last few years we have improved and modified all aspects of the platform including second and third generation library designs, optimized GPCR engineering strategies and yeast selection protocols better suited to GPCR antibody discovery. These modifications have resulted in selection campaigns that have a higher success rate with molecules that have higher affinity and potency and better biophysical properties compared to hits identified from initial antibody selection campaigns. The GEODe™ platform includes components aimed at optimizing the expression, purification, and stabilization of GPCRs and pairs these advances with our protein engineering and structural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biology capabilities. While the current libraries, receptor engineering and selection strategies are producing GPCR-targeted antibodies, we continue to evolve and modify aspects of the platform, which we believe will lead to even better results. </w:t>
      </w:r>
    </w:p>
    <w:p>
      <w:pPr>
        <w:pStyle w:val="TextBody"/>
        <w:bidi w:val="0"/>
        <w:spacing w:before="360" w:after="0"/>
        <w:jc w:val="left"/>
        <w:rPr>
          <w:rFonts w:ascii="Times New Roman" w:hAnsi="Times New Roman"/>
          <w:b/>
          <w:sz w:val="20"/>
        </w:rPr>
      </w:pPr>
      <w:r>
        <w:rPr>
          <w:rFonts w:ascii="Times New Roman" w:hAnsi="Times New Roman"/>
          <w:b/>
          <w:sz w:val="20"/>
        </w:rPr>
        <w:t xml:space="preserve">Development and Pipeline Programs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key information about our development programs and other pipeline programs: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0240" cy="3076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0240" cy="30765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TX000045 </w:t>
      </w:r>
    </w:p>
    <w:p>
      <w:pPr>
        <w:pStyle w:val="TextBody"/>
        <w:bidi w:val="0"/>
        <w:spacing w:before="120" w:after="0"/>
        <w:jc w:val="left"/>
        <w:rPr>
          <w:rFonts w:ascii="Times New Roman" w:hAnsi="Times New Roman"/>
          <w:sz w:val="20"/>
        </w:rPr>
      </w:pPr>
      <w:r>
        <w:rPr>
          <w:rFonts w:ascii="Times New Roman" w:hAnsi="Times New Roman"/>
          <w:sz w:val="20"/>
        </w:rPr>
        <w:t xml:space="preserve">Our lead asset TX000045, referred to as TX45, is an Fc-relaxin fusion molecule that activates the RXFP1 receptor, the GPCR target of the hormone, relaxin. Relaxin is an endogenous protein that is expressed at low levels in both men and women. In normal human physiology, relaxin is upregulated during pregnancy where it exerts vasodilatory effects, reduces systemic and pulmonary vascular resistance and increases cardiac output to accommodate the increased demand for oxygen and nutrients from the developing fetus. Relaxin also exerts anti-fibrotic effects on pelvic ligaments to facilitate delivery of the baby. Scientists have hypothesized that these unique dual aspects of relaxin biology may offer therapeutic potential in the treatment of cardiovascular disease. Unfortunately, the development of a viable therapeutic targeting Fc-relaxin has been challenging, primarily because of relaxin’s very short half-life. </w:t>
      </w:r>
    </w:p>
    <w:p>
      <w:pPr>
        <w:pStyle w:val="TextBody"/>
        <w:bidi w:val="0"/>
        <w:spacing w:before="240" w:after="0"/>
        <w:jc w:val="left"/>
        <w:rPr>
          <w:rFonts w:ascii="Times New Roman" w:hAnsi="Times New Roman"/>
          <w:sz w:val="20"/>
        </w:rPr>
      </w:pPr>
      <w:r>
        <w:rPr>
          <w:rFonts w:ascii="Times New Roman" w:hAnsi="Times New Roman"/>
          <w:sz w:val="20"/>
        </w:rPr>
        <w:t xml:space="preserve">We believe TX45’s pharmacological profile, which is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PH-HFpEF, as the initial disease in which to interrogate the therapeutic potential of relaxin. We hypothesize that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ongoing to confirm this hypothesis. Despite this belief, our business carries substantial risks, including our limited experience in therapeutic discovery and development, and the risk that the platform may never result in the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 product candidate. See “Risk Factors—Risks Related to the Discovery, Development and Regulatory Approval of Our Product Candidates—We have limited experience in therapeutic discovery and development and our GEODe™ platform may never result in the regulatory approval of a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Group 2 PH is a subtype of PH which develops secondary to left heart disease (“LHD”). This is a common, chronic, life-threatening condition with complex causality for which there are presently no FDA-approved medications. PH-HFpEF is characterized by declining cardiac function, fibrotic tissue remodeling in the heart, and in some patients, fibrotic remodeling in the pulmonary vasculature as well. We have elected to prioritize development of TX45 in PH-HFpEF because of the high unmet medical need in this population and the specific physiological actions of relaxin that suggest that it could address the key pathophysiology of the disease which involves both impairment of left ventricular function and high pressures in the pulmonary arteries, and in some patients, high resistance in the pulmonary vasculature. There are no FDA approved therapies in Group 2 PH including PH-HFpEF. Furthermore, prior clinical data in patients with acute and chronic heart failure treated with a continuous infusion of a short half-life relaxin is supportive of the potential utility of relaxin administration in these patients. Clinical trials are ongoing to evaluate the hypothesis that relaxin could provide efficacy in patients with PH-HFpEF. Beyond PH-HFpEF, we believe there are additional areas where TX45 could provide benefit to patients, such as pulmonary hypertension in the setting of heart failure with reduced ejection fraction (“PH-HFrEF”), as well as with diseases that result in the chronic deterioration of lung and/or kidney function due to vasoconstriction and fibrotic remodeling.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2024, we announced favorable results from a Phase 1a trial evaluating safety, tolerability and pharmacokinetic (“PK”) and pharmacodynamic (“PD”) properties for TX45. In this trial, TX45 was well tolerated after intravenous (IV) doses ranging from 0.3mg/kg to 3 mg/kg and subcutaneous (“SC”) doses ranging from 150mg to 600mg. PK profile revealed dose proportional PK and a half-life of 14-20 days. PD response of TX45 on renal plasma flow (“RPF”) was assessed in each dose cohort at multiple timepoints post dose. From the multiple PK/PD measurements a robust exposure-response Emax model was developed to enable dose selection for our Phase 2 trial. Based on this exposure-response model the doses of 300 mg SC every 2 weeks and 300 mg SC every 4 weeks were chosen for the TX45 Phase 2 trial in PH-HFpEF. Both of these doses are expected to result in steady state trough exposures yielding near maximal (300mg Q4W) or maximal (300mg Q2W) pharmacodynamic effects throughout the dosing interval. </w:t>
      </w:r>
    </w:p>
    <w:p>
      <w:pPr>
        <w:pStyle w:val="TextBody"/>
        <w:bidi w:val="0"/>
        <w:spacing w:before="240" w:after="0"/>
        <w:jc w:val="left"/>
        <w:rPr>
          <w:rFonts w:ascii="Times New Roman" w:hAnsi="Times New Roman"/>
          <w:sz w:val="20"/>
        </w:rPr>
      </w:pPr>
      <w:r>
        <w:rPr>
          <w:rFonts w:ascii="Times New Roman" w:hAnsi="Times New Roman"/>
          <w:sz w:val="20"/>
        </w:rPr>
        <w:t xml:space="preserve">The Phase 1b acute hemodynamic trial (TX000045-002) has completed enrollment in Part A which included 19 patients with PH-HFpEF. Part A included participants with both combined pre- and post-capillary PH (“CpcPH”) and isolated post-capillary PH (“IpcPH”). Top line data of Day1 hemodynamics and accumulated safety revealed that TX45 was well tolerated in this patient population after single IV doses ranging from 0.3mg/kg to 3mg/kg. There have been no serious or severe adverse events, no evidence of an immune related reaction, and no trial discontinuations. Data from an interim analysis of 16 of 19 patients reported in January 2025, showed that IV administration of TX45 resulted in significant improvements in various hemodynamic measures as assessed by right heart catheterization over the first 8 hours post dose. These improvements included the reduction in pulmonary capillary wedge pressure (“PCWP”) in the whole population and a reduction in pulmonary vascular resistance (“PVR”) in patients with CpcPH. Additionally, TX45 produced a reduction in mean pulmonary artery pressure (“mPAP”) and an increase in cardiac output and stroke volume. Part B of this trial is ongoing and plans to evaluate single IV safety and hemodynamic effects of TX45 in patients with PH-HFrEF. </w:t>
      </w:r>
    </w:p>
    <w:p>
      <w:pPr>
        <w:pStyle w:val="TextBody"/>
        <w:bidi w:val="0"/>
        <w:spacing w:before="240" w:after="0"/>
        <w:jc w:val="left"/>
        <w:rPr>
          <w:rFonts w:ascii="Times New Roman" w:hAnsi="Times New Roman"/>
          <w:sz w:val="20"/>
        </w:rPr>
      </w:pPr>
      <w:r>
        <w:rPr>
          <w:rFonts w:ascii="Times New Roman" w:hAnsi="Times New Roman"/>
          <w:sz w:val="20"/>
        </w:rPr>
        <w:t>Our Phase 2 clinical trial, which we refer to as the APEX trial (TX000045-003), was initiated early in the fourth quarter of 2024. This trial is a Phase 2, randomized, double-blind, placebo-controlled 24-week trial in PH-HFpEF patients, enriched for patients with CpcPH. In this trial, approximately 180 participants will be randomized in a 1:1:1 manner to either placebo, 300mg every 2 weeks or 300mg every 4 weeks. The primary endpoint for the Phase 2 trial is the change from baseline in PVR and a key secondary endpoint is change from baseline in PCWP. Other secondary endpoints include additional hemodynamic endpoints, change from baseline in 6 minute walk distance and change in symptoms as assessed by the Kansas City Cardiomyopathy Questionnaire (“KCCQ”).</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TX2100: GPCR Antagonist for Hereditary Hemorrhagic Telangiectasia (“HHT”) </w:t>
      </w:r>
    </w:p>
    <w:p>
      <w:pPr>
        <w:pStyle w:val="TextBody"/>
        <w:bidi w:val="0"/>
        <w:spacing w:before="120" w:after="0"/>
        <w:jc w:val="left"/>
        <w:rPr>
          <w:rFonts w:ascii="Times New Roman" w:hAnsi="Times New Roman"/>
          <w:sz w:val="20"/>
        </w:rPr>
      </w:pPr>
      <w:r>
        <w:rPr>
          <w:rFonts w:ascii="Times New Roman" w:hAnsi="Times New Roman"/>
          <w:sz w:val="20"/>
        </w:rPr>
        <w:t xml:space="preserve">Our second program, TX2100, is aimed at the discovery and development of a GPCR targeting biotherapeutic as a potential treatment for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w:t>
      </w:r>
    </w:p>
    <w:p>
      <w:pPr>
        <w:pStyle w:val="TextBody"/>
        <w:bidi w:val="0"/>
        <w:spacing w:before="240" w:after="0"/>
        <w:jc w:val="left"/>
        <w:rPr>
          <w:rFonts w:ascii="Times New Roman" w:hAnsi="Times New Roman"/>
          <w:sz w:val="20"/>
        </w:rPr>
      </w:pPr>
      <w:r>
        <w:rPr>
          <w:rFonts w:ascii="Times New Roman" w:hAnsi="Times New Roman"/>
          <w:sz w:val="20"/>
        </w:rPr>
        <w:t xml:space="preserve">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GPCR target for our HHT program is a receptor for an angiogenic factor known to be upregulated in HHT animal models. By blocking the signaling of this receptor, we anticipate the potential for decreased bleeding resulting from the abnormal angiogenesis seen in HHT. We selected TX2100 as a development candidate. TX2100 is a VHH-Fc fusion antagonist to an undisclosed GPCR target (“GPCR3”). We intend to start IND enabling toxicology studies in the second quarter of 2025 and expect to initiate a Phase 1 clinical trial for TX2100 in the fourth quarter of 2025 or the first quarter of 2026, subject to the results of IND-enabling studies. </w:t>
      </w:r>
    </w:p>
    <w:p>
      <w:pPr>
        <w:pStyle w:val="TextBody"/>
        <w:bidi w:val="0"/>
        <w:spacing w:before="360" w:after="0"/>
        <w:jc w:val="left"/>
        <w:rPr>
          <w:rFonts w:ascii="Times New Roman" w:hAnsi="Times New Roman"/>
          <w:b/>
          <w:sz w:val="20"/>
        </w:rPr>
      </w:pPr>
      <w:r>
        <w:rPr>
          <w:rFonts w:ascii="Times New Roman" w:hAnsi="Times New Roman"/>
          <w:b/>
          <w:sz w:val="20"/>
        </w:rPr>
        <w:t xml:space="preserve">GPCR Modulator Bispecific for Fibrosis </w:t>
      </w:r>
    </w:p>
    <w:p>
      <w:pPr>
        <w:pStyle w:val="TextBody"/>
        <w:bidi w:val="0"/>
        <w:spacing w:before="120" w:after="0"/>
        <w:jc w:val="left"/>
        <w:rPr>
          <w:rFonts w:ascii="Times New Roman" w:hAnsi="Times New Roman"/>
          <w:sz w:val="20"/>
        </w:rPr>
      </w:pPr>
      <w:r>
        <w:rPr>
          <w:rFonts w:ascii="Times New Roman" w:hAnsi="Times New Roman"/>
          <w:sz w:val="20"/>
        </w:rPr>
        <w:t xml:space="preserve">Our third program is aimed at the discovery and development of a potential therapy for fibrotic diseases and employs a bispecific format for the construction of a molecule with a differentiated mechanism of action. The strategy leverages two targets, one with previous human proof of concept and one novel target. Both targets are expressed on overlapping cell types with complementary and nonoverlapping modes of action that simultaneously could enhance the therapeutic potential over modulating either target on its own.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Milestones </w:t>
      </w:r>
    </w:p>
    <w:p>
      <w:pPr>
        <w:pStyle w:val="TextBody"/>
        <w:bidi w:val="0"/>
        <w:spacing w:before="120" w:after="0"/>
        <w:jc w:val="left"/>
        <w:rPr>
          <w:rFonts w:ascii="Times New Roman" w:hAnsi="Times New Roman"/>
          <w:sz w:val="20"/>
        </w:rPr>
      </w:pPr>
      <w:r>
        <w:rPr>
          <w:rFonts w:ascii="Times New Roman" w:hAnsi="Times New Roman"/>
          <w:sz w:val="20"/>
        </w:rPr>
        <w:t xml:space="preserve">Over the next few years, we anticipate that several significant milestones could be achieved for our lead asset TX45. This includes presentation of the final data from Part A of our Phase 1b acute hemodynamic trial at a medical meeting later this year, data from Part B of the Phase 1b trial in patients with PH-HFrEF in the second half of 2025, and data from the randomized Phase 2 trial in patients with PH-HFpEF in 2026. A development candidate from our HHT program may also advance into clinical trials in the fourth quarter of 2025 or the first quarter of 2026 and could progress into efficacy trials in patients in late 2026 or early 2027. </w:t>
      </w:r>
    </w:p>
    <w:p>
      <w:pPr>
        <w:pStyle w:val="TextBody"/>
        <w:bidi w:val="0"/>
        <w:spacing w:before="240" w:after="0"/>
        <w:jc w:val="left"/>
        <w:rPr>
          <w:rFonts w:ascii="Times New Roman" w:hAnsi="Times New Roman"/>
          <w:sz w:val="20"/>
        </w:rPr>
      </w:pPr>
      <w:r>
        <w:rPr>
          <w:rFonts w:ascii="Times New Roman" w:hAnsi="Times New Roman"/>
          <w:sz w:val="20"/>
        </w:rPr>
        <w:t xml:space="preserve">Our GEODeTM platform has been optimized over the last three years and is being used to discover biologic drugs targeting GPCRs. We are deploying our GEODeTM platform to generate additional pipeline assets by identifying and optimizing new GPCR targeted biologics that have the potential to address areas of substantial unmet need.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on GPCRs </w:t>
      </w:r>
    </w:p>
    <w:p>
      <w:pPr>
        <w:pStyle w:val="TextBody"/>
        <w:bidi w:val="0"/>
        <w:spacing w:before="120" w:after="0"/>
        <w:jc w:val="left"/>
        <w:rPr>
          <w:rFonts w:ascii="Times New Roman" w:hAnsi="Times New Roman"/>
          <w:sz w:val="20"/>
        </w:rPr>
      </w:pPr>
      <w:r>
        <w:rPr>
          <w:rFonts w:ascii="Times New Roman" w:hAnsi="Times New Roman"/>
          <w:sz w:val="20"/>
        </w:rPr>
        <w:t xml:space="preserve">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Background on Relaxin / RXFP1 Biology </w:t>
      </w:r>
    </w:p>
    <w:p>
      <w:pPr>
        <w:pStyle w:val="TextBody"/>
        <w:bidi w:val="0"/>
        <w:spacing w:before="120" w:after="0"/>
        <w:jc w:val="left"/>
        <w:rPr>
          <w:rFonts w:ascii="Times New Roman" w:hAnsi="Times New Roman"/>
          <w:sz w:val="20"/>
        </w:rPr>
      </w:pPr>
      <w:r>
        <w:rPr>
          <w:rFonts w:ascii="Times New Roman" w:hAnsi="Times New Roman"/>
          <w:sz w:val="20"/>
        </w:rPr>
        <w:t xml:space="preserve">Relaxin is a naturally occurring peptide hormone that was first identified in 1926 in the setting of pregnancy. Relaxin is upregulated during pregnancy to allow for hemodynamic adaptation and increased cardiac output in response to the increased demands to the developing fetus and to allow for loosening of the pelvic ligaments prior to delivery. Relaxin is a member of the insulin superfamily of peptide hormones, and it consists of two peptide chains linked by disulfide bonds. Notably, activation of the RXFP1 receptor by relaxin does not result in internalization of the receptor, as is observed with many other GPCRs, which suggests there would be no receptor desensitization with chronic therapy using a relaxin-based agent. </w:t>
      </w:r>
    </w:p>
    <w:p>
      <w:pPr>
        <w:pStyle w:val="TextBody"/>
        <w:bidi w:val="0"/>
        <w:spacing w:before="240" w:after="0"/>
        <w:jc w:val="left"/>
        <w:rPr>
          <w:rFonts w:ascii="Times New Roman" w:hAnsi="Times New Roman"/>
          <w:sz w:val="20"/>
        </w:rPr>
      </w:pPr>
      <w:r>
        <w:rPr>
          <w:rFonts w:ascii="Times New Roman" w:hAnsi="Times New Roman"/>
          <w:sz w:val="20"/>
        </w:rPr>
        <w:t xml:space="preserve">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necessitated continuous IV or subcutaneous administration to establish and maintain target therapeutic levels of the compound in circulation. Previous efforts to develop recombinant native human relaxin (“serelaxin”) to treat acute heart failure (“AHF”) have shown signs of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To address the pharmacological limitations of the native relaxin hormone and enable its development beyond AHF, we have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we have identified PH-HFpEF as the initial indication with an emphasis on the CpCPH subpopulation and have started to explore its potential in PH-HFrEF as well. We believe that in these settings, treatment with relaxin could improve hemodynamics and promote beneficial remodeling in both the pulmonary vessels and the heart, making it potentially ideally suited for this indication. Clinical trials are ongoing to confirm this hypothesis.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on Group 2 PH </w:t>
      </w:r>
    </w:p>
    <w:p>
      <w:pPr>
        <w:pStyle w:val="TextBody"/>
        <w:bidi w:val="0"/>
        <w:spacing w:before="120" w:after="0"/>
        <w:jc w:val="left"/>
        <w:rPr>
          <w:rFonts w:ascii="Times New Roman" w:hAnsi="Times New Roman"/>
          <w:sz w:val="20"/>
        </w:rPr>
      </w:pPr>
      <w:r>
        <w:rPr>
          <w:rFonts w:ascii="Times New Roman" w:hAnsi="Times New Roman"/>
          <w:sz w:val="20"/>
        </w:rPr>
        <w:t xml:space="preserve">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 </w:t>
      </w:r>
    </w:p>
    <w:p>
      <w:pPr>
        <w:pStyle w:val="TextBody"/>
        <w:bidi w:val="0"/>
        <w:spacing w:before="240" w:after="0"/>
        <w:jc w:val="left"/>
        <w:rPr>
          <w:rFonts w:ascii="Times New Roman" w:hAnsi="Times New Roman"/>
          <w:sz w:val="20"/>
        </w:rPr>
      </w:pPr>
      <w:r>
        <w:rPr>
          <w:rFonts w:ascii="Times New Roman" w:hAnsi="Times New Roman"/>
          <w:sz w:val="20"/>
        </w:rPr>
        <w:t xml:space="preserve">The World Health Organization has specified 5 different groups of PH.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and is the largest group of PH. Although several Group 1 PH medications have been explored in Group 2 PH, no medications have yet been approved by the FDA for its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Group 2 PH Pathophysiology and Epidemiology </w:t>
      </w:r>
    </w:p>
    <w:p>
      <w:pPr>
        <w:pStyle w:val="TextBody"/>
        <w:bidi w:val="0"/>
        <w:spacing w:before="120" w:after="0"/>
        <w:jc w:val="left"/>
        <w:rPr>
          <w:rFonts w:ascii="Times New Roman" w:hAnsi="Times New Roman"/>
          <w:sz w:val="20"/>
        </w:rPr>
      </w:pPr>
      <w:r>
        <w:rPr>
          <w:rFonts w:ascii="Times New Roman" w:hAnsi="Times New Roman"/>
          <w:sz w:val="20"/>
        </w:rPr>
        <w:t xml:space="preserve">Group 2 PH is caused by left-sided heart disease, including heart failure with HFpEF, heart failure with reduced ejection fraction (“HFrEF”), and valvular heart disease (“VHD”). Group 2 PH itself consists of two disease subtypes, isolated IpcPH or CpcPH. </w:t>
      </w:r>
    </w:p>
    <w:p>
      <w:pPr>
        <w:pStyle w:val="TextBody"/>
        <w:bidi w:val="0"/>
        <w:spacing w:before="240" w:after="0"/>
        <w:jc w:val="left"/>
        <w:rPr>
          <w:rFonts w:ascii="Times New Roman" w:hAnsi="Times New Roman"/>
          <w:sz w:val="20"/>
        </w:rPr>
      </w:pPr>
      <w:r>
        <w:rPr>
          <w:rFonts w:ascii="Times New Roman" w:hAnsi="Times New Roman"/>
          <w:sz w:val="20"/>
        </w:rPr>
        <w:t xml:space="preserve">In patients with left-sided heart disease, whether HFpEF, HFrEF or VHD, the development of PH is associated with a much worse prognosis. In the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pressure during the relaxation phase. PH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PVR. When Group 2 PH results in both increased pulmonary artery pressures from the passive backflow of pressure from the left atrium along with 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PH places a great strain on the right ventricle which is unable to compensate for this increased workload. Eventually, PH causes the right ventricle to dilate and fail, ultimately leading to death. </w:t>
      </w:r>
    </w:p>
    <w:p>
      <w:pPr>
        <w:pStyle w:val="TextBody"/>
        <w:bidi w:val="0"/>
        <w:spacing w:before="240" w:after="0"/>
        <w:jc w:val="left"/>
        <w:rPr>
          <w:rFonts w:ascii="Times New Roman" w:hAnsi="Times New Roman"/>
          <w:sz w:val="20"/>
        </w:rPr>
      </w:pPr>
      <w:r>
        <w:rPr>
          <w:rFonts w:ascii="Times New Roman" w:hAnsi="Times New Roman"/>
          <w:sz w:val="20"/>
        </w:rPr>
        <w:t>There are an estimated 7.3 million patients with heart failure in the United States, with HFpEF and HFrEF representing approximately 50% each of heart failure cases. We estimate the combined Group 2 PH population with HFpEF or HFmrEF (Left Ventricular Ejection Fraction between 40-50%) who are NYHA Class II or III is approximately 1.4 million and the prevalences of IpcPH of approximately 1 million and CpcPH of approximately 0.4 million using a PVR cutoff of &gt;3 Wood units. We estimate the combined Group 2 PH population, class II and III patients, with HFrEF (LVEF</w:t>
      </w:r>
      <w:r>
        <w:rPr>
          <w:rFonts w:ascii="Times New Roman" w:hAnsi="Times New Roman"/>
          <w:sz w:val="20"/>
          <w:u w:val="single"/>
        </w:rPr>
        <w:t>&lt;</w:t>
      </w:r>
      <w:r>
        <w:rPr>
          <w:rFonts w:ascii="Times New Roman" w:hAnsi="Times New Roman"/>
          <w:sz w:val="20"/>
        </w:rPr>
        <w:t xml:space="preserve">40%) at approximately 1.1 million and the prevalences of IpcPH of approximately 0.8 million and CpcPH of approximately 0.3 million using a PVR cutoff of &gt;3 Wood units. </w:t>
      </w:r>
    </w:p>
    <w:p>
      <w:pPr>
        <w:pStyle w:val="TextBody"/>
        <w:bidi w:val="0"/>
        <w:spacing w:before="360" w:after="0"/>
        <w:jc w:val="left"/>
        <w:rPr>
          <w:rFonts w:ascii="Times New Roman" w:hAnsi="Times New Roman"/>
          <w:b/>
          <w:sz w:val="20"/>
        </w:rPr>
      </w:pPr>
      <w:r>
        <w:rPr>
          <w:rFonts w:ascii="Times New Roman" w:hAnsi="Times New Roman"/>
          <w:b/>
          <w:sz w:val="20"/>
        </w:rPr>
        <w:t xml:space="preserve">Pathophysiology of PH-HFpEF and Therapeutic Potential of Relaxin </w:t>
      </w:r>
    </w:p>
    <w:p>
      <w:pPr>
        <w:pStyle w:val="TextBody"/>
        <w:bidi w:val="0"/>
        <w:spacing w:before="120" w:after="0"/>
        <w:jc w:val="left"/>
        <w:rPr>
          <w:rFonts w:ascii="Times New Roman" w:hAnsi="Times New Roman"/>
          <w:sz w:val="20"/>
        </w:rPr>
      </w:pPr>
      <w:r>
        <w:rPr>
          <w:rFonts w:ascii="Times New Roman" w:hAnsi="Times New Roman"/>
          <w:sz w:val="20"/>
        </w:rPr>
        <w:t xml:space="preserve">Patients suffering from CpcPH typically face worse outcomes than those with IpcPH (23% survival at five years vs. 40%-50%, respectively). Optimal treatment of heart failure may improve IpcPH to some extent. However, because of the specific pulmonary vascular pathology in CpcPH, treatment of heart failure alone is often insufficient to have a meaningful impact on this form of the disease. </w:t>
      </w:r>
    </w:p>
    <w:p>
      <w:pPr>
        <w:pStyle w:val="TextBody"/>
        <w:bidi w:val="0"/>
        <w:spacing w:before="240" w:after="0"/>
        <w:jc w:val="left"/>
        <w:rPr>
          <w:rFonts w:ascii="Times New Roman" w:hAnsi="Times New Roman"/>
          <w:sz w:val="20"/>
        </w:rPr>
      </w:pPr>
      <w:r>
        <w:rPr>
          <w:rFonts w:ascii="Times New Roman" w:hAnsi="Times New Roman"/>
          <w:sz w:val="20"/>
        </w:rPr>
        <w:t xml:space="preserve">Several of the drugs used to treat pulmonary arterial hypertension (PAH, Group 1 PH) failed to demonstrate benefits in Group 2 PH-HFpEF. Most of these agents act as vasodilators in the lung, thereby increasing blood flow to the left side of the heart. However, pulmonary vasodilators have limited effect on left sided heart function especially diastolic function, or systemic circulation, and therefore, do not increase the ability of the left side of the heart to pump blood. This could worsen heart failure without improving exercise function. Relaxin’s hemodynamic effects are mediated both by inhibition of endothelin-1 as well as activation of the nitric oxide signaling pathway. Relaxin also serves as a lusitropic agent via inhibition of SERCA2 in cardiomyocytes, which enables the heart to actively relax and fill adequately during diastole. In addition, relaxin exerts anti-fibrotic and anti-inflammatory effects via activation of metalloproteinases, inhibition of the TGF-beta pathway and inhibition of IL-1beta and IL-6. </w:t>
      </w:r>
    </w:p>
    <w:p>
      <w:pPr>
        <w:pStyle w:val="TextBody"/>
        <w:bidi w:val="0"/>
        <w:spacing w:before="240" w:after="0"/>
        <w:jc w:val="left"/>
        <w:rPr>
          <w:rFonts w:ascii="Times New Roman" w:hAnsi="Times New Roman"/>
          <w:sz w:val="20"/>
        </w:rPr>
      </w:pPr>
      <w:r>
        <w:rPr>
          <w:rFonts w:ascii="Times New Roman" w:hAnsi="Times New Roman"/>
          <w:sz w:val="20"/>
        </w:rPr>
        <w:t xml:space="preserve">Our support of TX45 is based upon our hypothesis that relaxin’s activities, through its pulmonary vasodilatory,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Lastly, relaxin’s ability to relax the heart muscle could improve diastolic filling in HFpEF where cardiac hypertrophy and fibrosis lead to diastolic dysfunction and heart failure. While we believe these benefits are most likely to be greatest in the CpCPH population, these benefits could also extend to IpcPH patients and thus to the entire PH-HFpEF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depicted in the table below, we hypothesize that the inherent vasodilatory, anti-fibrotic, and anti-inflammatory activities of relaxin could be well suited to address both the pulmonary and cardiac pathologies of PH-HFpEF.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8"/>
        <w:gridCol w:w="120"/>
        <w:gridCol w:w="680"/>
        <w:gridCol w:w="120"/>
        <w:gridCol w:w="770"/>
        <w:gridCol w:w="120"/>
        <w:gridCol w:w="4257"/>
      </w:tblGrid>
      <w:tr>
        <w:trPr/>
        <w:tc>
          <w:tcPr>
            <w:tcW w:w="41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7" w:type="dxa"/>
            <w:tcBorders/>
            <w:vAlign w:val="center"/>
          </w:tcPr>
          <w:p>
            <w:pPr>
              <w:pStyle w:val="TableContents"/>
              <w:bidi w:val="0"/>
              <w:spacing w:before="0" w:after="283"/>
              <w:jc w:val="left"/>
              <w:rPr>
                <w:sz w:val="4"/>
                <w:szCs w:val="4"/>
              </w:rPr>
            </w:pPr>
            <w:r>
              <w:rPr>
                <w:sz w:val="4"/>
                <w:szCs w:val="4"/>
              </w:rPr>
            </w:r>
          </w:p>
        </w:tc>
      </w:tr>
      <w:tr>
        <w:trPr/>
        <w:tc>
          <w:tcPr>
            <w:tcW w:w="413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Characteristics of Group 2 PH</w:t>
            </w:r>
          </w:p>
        </w:tc>
        <w:tc>
          <w:tcPr>
            <w:tcW w:w="12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b/>
              </w:rPr>
            </w:pPr>
            <w:r>
              <w:rPr>
                <w:b/>
              </w:rPr>
              <w:t>IpcPH</w:t>
            </w:r>
          </w:p>
        </w:tc>
        <w:tc>
          <w:tcPr>
            <w:tcW w:w="12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rPr>
            </w:pPr>
            <w:r>
              <w:rPr>
                <w:b/>
              </w:rPr>
              <w:t>CpcPH</w:t>
            </w:r>
          </w:p>
        </w:tc>
        <w:tc>
          <w:tcPr>
            <w:tcW w:w="120" w:type="dxa"/>
            <w:tcBorders/>
            <w:vAlign w:val="center"/>
          </w:tcPr>
          <w:p>
            <w:pPr>
              <w:pStyle w:val="TableContents"/>
              <w:bidi w:val="0"/>
              <w:spacing w:before="0" w:after="283"/>
              <w:jc w:val="left"/>
              <w:rPr/>
            </w:pPr>
            <w:r>
              <w:rPr/>
              <w:t>  </w:t>
            </w:r>
          </w:p>
        </w:tc>
        <w:tc>
          <w:tcPr>
            <w:tcW w:w="42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Anticipated Relaxin Effects</w:t>
            </w:r>
          </w:p>
        </w:tc>
      </w:tr>
      <w:tr>
        <w:trPr/>
        <w:tc>
          <w:tcPr>
            <w:tcW w:w="4138" w:type="dxa"/>
            <w:tcBorders/>
            <w:vAlign w:val="center"/>
          </w:tcPr>
          <w:p>
            <w:pPr>
              <w:pStyle w:val="TableContents"/>
              <w:bidi w:val="0"/>
              <w:spacing w:before="0" w:after="283"/>
              <w:jc w:val="left"/>
              <w:rPr/>
            </w:pPr>
            <w:r>
              <w:rPr/>
              <w:t>Pulmonary artery narrowing, thickening, stiffening, fibrotic remodeling</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Pulmonary vasodilation anti-inflammatory, anti-fibrotic</w:t>
            </w:r>
          </w:p>
        </w:tc>
      </w:tr>
      <w:tr>
        <w:trPr/>
        <w:tc>
          <w:tcPr>
            <w:tcW w:w="4138"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4377" w:type="dxa"/>
            <w:gridSpan w:val="2"/>
            <w:tcBorders/>
            <w:vAlign w:val="center"/>
          </w:tcPr>
          <w:p>
            <w:pPr>
              <w:pStyle w:val="TableContents"/>
              <w:bidi w:val="0"/>
              <w:spacing w:before="0" w:after="283"/>
              <w:jc w:val="left"/>
              <w:rPr>
                <w:sz w:val="4"/>
                <w:szCs w:val="4"/>
              </w:rPr>
            </w:pPr>
            <w:r>
              <w:rPr>
                <w:sz w:val="4"/>
                <w:szCs w:val="4"/>
              </w:rPr>
            </w:r>
          </w:p>
        </w:tc>
      </w:tr>
      <w:tr>
        <w:trPr/>
        <w:tc>
          <w:tcPr>
            <w:tcW w:w="4138" w:type="dxa"/>
            <w:tcBorders/>
            <w:vAlign w:val="center"/>
          </w:tcPr>
          <w:p>
            <w:pPr>
              <w:pStyle w:val="TableContents"/>
              <w:bidi w:val="0"/>
              <w:spacing w:before="0" w:after="283"/>
              <w:jc w:val="left"/>
              <w:rPr/>
            </w:pPr>
            <w:r>
              <w:rPr/>
              <w:t>Right ventricular dysfunction</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Right ventricular remodeling</w:t>
            </w:r>
          </w:p>
        </w:tc>
      </w:tr>
      <w:tr>
        <w:trPr/>
        <w:tc>
          <w:tcPr>
            <w:tcW w:w="4138"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4377" w:type="dxa"/>
            <w:gridSpan w:val="2"/>
            <w:tcBorders/>
            <w:vAlign w:val="center"/>
          </w:tcPr>
          <w:p>
            <w:pPr>
              <w:pStyle w:val="TableContents"/>
              <w:bidi w:val="0"/>
              <w:spacing w:before="0" w:after="283"/>
              <w:jc w:val="left"/>
              <w:rPr>
                <w:sz w:val="4"/>
                <w:szCs w:val="4"/>
              </w:rPr>
            </w:pPr>
            <w:r>
              <w:rPr>
                <w:sz w:val="4"/>
                <w:szCs w:val="4"/>
              </w:rPr>
            </w:r>
          </w:p>
        </w:tc>
      </w:tr>
      <w:tr>
        <w:trPr/>
        <w:tc>
          <w:tcPr>
            <w:tcW w:w="4138" w:type="dxa"/>
            <w:tcBorders/>
            <w:vAlign w:val="center"/>
          </w:tcPr>
          <w:p>
            <w:pPr>
              <w:pStyle w:val="TableContents"/>
              <w:bidi w:val="0"/>
              <w:spacing w:before="0" w:after="283"/>
              <w:jc w:val="left"/>
              <w:rPr/>
            </w:pPr>
            <w:r>
              <w:rPr/>
              <w:t>Thickening and stiffening of left ventricle</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Peripheral vasodilation, cardiac relaxation, left ventricular remodeling</w:t>
            </w:r>
          </w:p>
        </w:tc>
      </w:tr>
      <w:tr>
        <w:trPr/>
        <w:tc>
          <w:tcPr>
            <w:tcW w:w="4138"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4377" w:type="dxa"/>
            <w:gridSpan w:val="2"/>
            <w:tcBorders/>
            <w:vAlign w:val="center"/>
          </w:tcPr>
          <w:p>
            <w:pPr>
              <w:pStyle w:val="TableContents"/>
              <w:bidi w:val="0"/>
              <w:spacing w:before="0" w:after="283"/>
              <w:jc w:val="left"/>
              <w:rPr>
                <w:sz w:val="4"/>
                <w:szCs w:val="4"/>
              </w:rPr>
            </w:pPr>
            <w:r>
              <w:rPr>
                <w:sz w:val="4"/>
                <w:szCs w:val="4"/>
              </w:rPr>
            </w:r>
          </w:p>
        </w:tc>
      </w:tr>
      <w:tr>
        <w:trPr/>
        <w:tc>
          <w:tcPr>
            <w:tcW w:w="4138" w:type="dxa"/>
            <w:tcBorders/>
            <w:vAlign w:val="center"/>
          </w:tcPr>
          <w:p>
            <w:pPr>
              <w:pStyle w:val="TableContents"/>
              <w:bidi w:val="0"/>
              <w:spacing w:before="0" w:after="283"/>
              <w:jc w:val="left"/>
              <w:rPr/>
            </w:pPr>
            <w:r>
              <w:rPr/>
              <w:t>Compromised kidney function</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4257" w:type="dxa"/>
            <w:tcBorders/>
            <w:vAlign w:val="center"/>
          </w:tcPr>
          <w:p>
            <w:pPr>
              <w:pStyle w:val="TableContents"/>
              <w:bidi w:val="0"/>
              <w:spacing w:before="0" w:after="283"/>
              <w:jc w:val="left"/>
              <w:rPr/>
            </w:pPr>
            <w:r>
              <w:rPr/>
              <w:t>Improvement in kidney function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Relaxin’s numerous physiologic activities, promoting vasodilation in both the systemic and pulmonary vasculature, increasing cardiac output and decreasing pulmonary capillary wedge pressure (PCWP, a measure of left ventricular diastolic function) have previously been demonstrated with serelaxin (recombinant native human relaxin-2). As reported by Ponikowski P. et al in </w:t>
      </w:r>
      <w:r>
        <w:rPr>
          <w:rFonts w:ascii="Times New Roman" w:hAnsi="Times New Roman"/>
          <w:i/>
          <w:sz w:val="20"/>
        </w:rPr>
        <w:t xml:space="preserve">European Heart Journal </w:t>
      </w:r>
      <w:r>
        <w:rPr>
          <w:rFonts w:ascii="Times New Roman" w:hAnsi="Times New Roman"/>
          <w:sz w:val="20"/>
        </w:rPr>
        <w:t xml:space="preserve">in 2014, patients with acute heart failure who had a right heart catheterization exhibited improved hemodynamics with relaxin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on TX45 </w:t>
      </w:r>
    </w:p>
    <w:p>
      <w:pPr>
        <w:pStyle w:val="TextBody"/>
        <w:bidi w:val="0"/>
        <w:spacing w:before="120" w:after="0"/>
        <w:jc w:val="left"/>
        <w:rPr>
          <w:rFonts w:ascii="Times New Roman" w:hAnsi="Times New Roman"/>
          <w:sz w:val="20"/>
        </w:rPr>
      </w:pPr>
      <w:r>
        <w:rPr>
          <w:rFonts w:ascii="Times New Roman" w:hAnsi="Times New Roman"/>
          <w:sz w:val="20"/>
        </w:rPr>
        <w:t>TX45 is a recombinant protein consisting of an engineered single chain human relaxin domain fused to the Fc domain of human immunoglobulin 1 (IgG1) using a peptide chain linker. The Fc portion of TX45 was modified to reduce Fc</w:t>
      </w:r>
      <w:r>
        <w:rPr>
          <w:rFonts w:ascii="SYMBOL" w:hAnsi="SYMBOL"/>
          <w:sz w:val="20"/>
        </w:rPr>
        <w:t>g</w:t>
      </w:r>
      <w:r>
        <w:rPr>
          <w:rFonts w:ascii="Times New Roman" w:hAnsi="Times New Roman"/>
          <w:sz w:val="20"/>
        </w:rPr>
        <w:t xml:space="preserve"> receptor activation, and to increase binding to the neonatal Fc receptor (FcRn) with the goal of significantly increasing the half-life of the molecule in circulation, relative to the half-life of native human relaxin. 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immediately following administration as a result of binding to negatively charged heparin proteoglycans on the blood vessel wall. This effect can dramatically reduce the amount of bioavailable drug to exert pharmacologic action. </w:t>
      </w:r>
    </w:p>
    <w:p>
      <w:pPr>
        <w:pStyle w:val="TextBody"/>
        <w:bidi w:val="0"/>
        <w:spacing w:before="360" w:after="0"/>
        <w:jc w:val="left"/>
        <w:rPr>
          <w:rFonts w:ascii="Times New Roman" w:hAnsi="Times New Roman"/>
          <w:b/>
          <w:sz w:val="20"/>
        </w:rPr>
      </w:pPr>
      <w:r>
        <w:rPr>
          <w:rFonts w:ascii="Times New Roman" w:hAnsi="Times New Roman"/>
          <w:b/>
          <w:sz w:val="20"/>
        </w:rPr>
        <w:t xml:space="preserve">TX45 Pharmacology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several non-clinical </w:t>
      </w:r>
      <w:r>
        <w:rPr>
          <w:rFonts w:ascii="Times New Roman" w:hAnsi="Times New Roman"/>
          <w:i/>
          <w:sz w:val="20"/>
        </w:rPr>
        <w:t xml:space="preserve">in vivo </w:t>
      </w:r>
      <w:r>
        <w:rPr>
          <w:rFonts w:ascii="Times New Roman" w:hAnsi="Times New Roman"/>
          <w:sz w:val="20"/>
        </w:rPr>
        <w:t xml:space="preserve">PK and pharmacology studies. These include a rat renal blood flow model that is used as a PD endpoint that demonstrates the vasodilatory effects of relaxin. TX45 administration shows a dose-response and exposure-response relationship on increasing rat renal blood flow. TX45 also demonstrated a significant effect on a number of clinically relevant parameters in the rat monocrotaline-induced (MCT) model of PH. Significant reductions in pulmonary artery pressure, right ventricular hypertrophy, NT-proBNP, and pulmonary artery muscularization were demonstrated along with improvement in survival compared with control animals. The trough exposure corrected for human potency that is associated with maximal efficacy in this chronic rat model was approximately 2ug/ml. The trough exposure for maximal efficacy in this chronic model corresponds to a near maximal effect in our acute renal blood flow assay. This exposure is on the order of EC70. </w:t>
      </w:r>
    </w:p>
    <w:p>
      <w:pPr>
        <w:pStyle w:val="TextBody"/>
        <w:bidi w:val="0"/>
        <w:spacing w:before="360" w:after="0"/>
        <w:jc w:val="left"/>
        <w:rPr>
          <w:rFonts w:ascii="Times New Roman" w:hAnsi="Times New Roman"/>
          <w:b/>
          <w:sz w:val="20"/>
        </w:rPr>
      </w:pPr>
      <w:r>
        <w:rPr>
          <w:rFonts w:ascii="Times New Roman" w:hAnsi="Times New Roman"/>
          <w:b/>
          <w:sz w:val="20"/>
        </w:rPr>
        <w:t xml:space="preserve">TX45 Non-clinical Toxicology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rat and non-human primate (NHP) 1-month GLP toxicology and 6-month GLP toxicology studies at ITR in Canada. There is relatively low sequence homology between the active portion of TX45 and rat relaxin (approximately 50%) or NHP relaxin (approximately 73%). In the 1-month GLP toxicology studies, there were no specific toxicities identified and no observable adverse effect level (NOAEL), which is the greatest dose of a drug at which no detectable adverse effects occur in an exposed population, was 100 mg/kg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both species. Administration of TX45 resulted in the development of anti-drug antibodies (ADAs) in some rats and monkeys, but the ADA response was most prevalent in rats receiving TX45 by subcutaneous injection. </w:t>
      </w:r>
    </w:p>
    <w:p>
      <w:pPr>
        <w:pStyle w:val="TextBody"/>
        <w:bidi w:val="0"/>
        <w:spacing w:before="240" w:after="0"/>
        <w:jc w:val="left"/>
        <w:rPr>
          <w:rFonts w:ascii="Times New Roman" w:hAnsi="Times New Roman"/>
          <w:sz w:val="20"/>
        </w:rPr>
      </w:pPr>
      <w:r>
        <w:rPr>
          <w:rFonts w:ascii="Times New Roman" w:hAnsi="Times New Roman"/>
          <w:sz w:val="20"/>
        </w:rPr>
        <w:t xml:space="preserve">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We believe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 The preclinical data for TX45 have not yet been published. </w:t>
      </w:r>
    </w:p>
    <w:p>
      <w:pPr>
        <w:pStyle w:val="TextBody"/>
        <w:bidi w:val="0"/>
        <w:spacing w:before="360" w:after="0"/>
        <w:jc w:val="left"/>
        <w:rPr>
          <w:rFonts w:ascii="Times New Roman" w:hAnsi="Times New Roman"/>
          <w:b/>
          <w:sz w:val="20"/>
        </w:rPr>
      </w:pPr>
      <w:r>
        <w:rPr>
          <w:rFonts w:ascii="Times New Roman" w:hAnsi="Times New Roman"/>
          <w:b/>
          <w:sz w:val="20"/>
        </w:rPr>
        <w:t xml:space="preserve">TX45 Clinical Development Studies and Plans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0240" cy="30594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30240" cy="30594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TX45 clinical development program was designed to provide data supporting key inflection points. TX000045-001, a first in human, single ascending dose trial, was completed in third quarter of 2024. This trial was designed to provide data on safety and tolerability, and immunogenicity as well as define the PK and PD profile of TX45 after single doses in healthy volunteers. </w:t>
      </w:r>
    </w:p>
    <w:p>
      <w:pPr>
        <w:pStyle w:val="TextBody"/>
        <w:bidi w:val="0"/>
        <w:spacing w:before="240" w:after="0"/>
        <w:jc w:val="left"/>
        <w:rPr>
          <w:rFonts w:ascii="Times New Roman" w:hAnsi="Times New Roman"/>
          <w:sz w:val="20"/>
        </w:rPr>
      </w:pPr>
      <w:r>
        <w:rPr>
          <w:rFonts w:ascii="Times New Roman" w:hAnsi="Times New Roman"/>
          <w:sz w:val="20"/>
        </w:rPr>
        <w:t xml:space="preserve">Part A of the Phase 1b single dose acute hemodynamic trial in PH-HFpEF patients completed dosing of the 19 patients in this part of the trial. In January 2025, we reported interim data on the safety and day 1 hemodynamic effects of TX45 in 16 out of the total 19 participants in Part A. The final data is expected to be presented at an upcoming medical conference. Data from Part B of the Phase 1b trial in PH-HFrEF patients is anticipated to be reported in the second half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first patient was enrolled in the Phase 2 proof-of-concept randomized, double-blind, placebo-controlled trial in PH-HFpEF in October 2024 and data from this trial is expected to be available in 2026. </w:t>
      </w:r>
    </w:p>
    <w:p>
      <w:pPr>
        <w:pStyle w:val="TextBody"/>
        <w:bidi w:val="0"/>
        <w:spacing w:before="240" w:after="0"/>
        <w:jc w:val="left"/>
        <w:rPr>
          <w:rFonts w:ascii="Times New Roman" w:hAnsi="Times New Roman"/>
          <w:sz w:val="20"/>
        </w:rPr>
      </w:pPr>
      <w:r>
        <w:rPr>
          <w:rFonts w:ascii="Times New Roman" w:hAnsi="Times New Roman"/>
          <w:sz w:val="20"/>
        </w:rPr>
        <w:t xml:space="preserve">A pre-IND consultation between us and the FDA occurred in early 2024. No significant issues were identified by the FDA with our planned clinical development strategy for TX45. The agency agreed that demonstration of an improvement in exercise capacity would be a suitable pivotal endpoint for regulatory approval. They confirmed that an appropriate endpoint for an assessment of exercise capacity would be six-minute walk distance (6MWD). Provided the Phase 1 and 2 trials result in sufficient safety and efficacy data to justify proceeding to Phase 3, the conduct of global Phase 3 pivotal trials including sites in the United States, and additional non-clinical development work including scale-up of GMP manufacturing to commercial scale would also be needed to generate the data package necessary to support regulatory approval for marketing authorization in the United States. through the submission of a Biologic License Application (“BLA”) to the FDA. We would also seek similar regulatory approvals through equivalent submissions to regulatory bodies in territories outside of the United States.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87"/>
        <w:gridCol w:w="120"/>
        <w:gridCol w:w="2332"/>
        <w:gridCol w:w="120"/>
        <w:gridCol w:w="3080"/>
        <w:gridCol w:w="120"/>
        <w:gridCol w:w="2346"/>
      </w:tblGrid>
      <w:tr>
        <w:trPr/>
        <w:tc>
          <w:tcPr>
            <w:tcW w:w="20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r>
      <w:tr>
        <w:trPr/>
        <w:tc>
          <w:tcPr>
            <w:tcW w:w="20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Trial, Status</w:t>
            </w:r>
          </w:p>
        </w:tc>
        <w:tc>
          <w:tcPr>
            <w:tcW w:w="120" w:type="dxa"/>
            <w:tcBorders/>
            <w:vAlign w:val="center"/>
          </w:tcPr>
          <w:p>
            <w:pPr>
              <w:pStyle w:val="TableContents"/>
              <w:bidi w:val="0"/>
              <w:spacing w:before="0" w:after="283"/>
              <w:jc w:val="left"/>
              <w:rPr/>
            </w:pPr>
            <w:r>
              <w:rPr/>
              <w:t>  </w:t>
            </w:r>
          </w:p>
        </w:tc>
        <w:tc>
          <w:tcPr>
            <w:tcW w:w="23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Trial Design</w:t>
            </w:r>
          </w:p>
        </w:tc>
        <w:tc>
          <w:tcPr>
            <w:tcW w:w="120" w:type="dxa"/>
            <w:tcBorders/>
            <w:vAlign w:val="center"/>
          </w:tcPr>
          <w:p>
            <w:pPr>
              <w:pStyle w:val="TableContents"/>
              <w:bidi w:val="0"/>
              <w:spacing w:before="0" w:after="283"/>
              <w:jc w:val="left"/>
              <w:rPr/>
            </w:pPr>
            <w:r>
              <w:rPr/>
              <w:t>  </w:t>
            </w:r>
          </w:p>
        </w:tc>
        <w:tc>
          <w:tcPr>
            <w:tcW w:w="30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Treatments</w:t>
            </w:r>
          </w:p>
        </w:tc>
        <w:tc>
          <w:tcPr>
            <w:tcW w:w="120" w:type="dxa"/>
            <w:tcBorders/>
            <w:vAlign w:val="center"/>
          </w:tcPr>
          <w:p>
            <w:pPr>
              <w:pStyle w:val="TableContents"/>
              <w:bidi w:val="0"/>
              <w:spacing w:before="0" w:after="283"/>
              <w:jc w:val="left"/>
              <w:rPr/>
            </w:pPr>
            <w:r>
              <w:rPr/>
              <w:t>  </w:t>
            </w:r>
          </w:p>
        </w:tc>
        <w:tc>
          <w:tcPr>
            <w:tcW w:w="234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Subject Population and</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r>
      <w:tr>
        <w:trPr/>
        <w:tc>
          <w:tcPr>
            <w:tcW w:w="2087" w:type="dxa"/>
            <w:tcBorders/>
            <w:vAlign w:val="center"/>
          </w:tcPr>
          <w:p>
            <w:pPr>
              <w:pStyle w:val="TableContents"/>
              <w:bidi w:val="0"/>
              <w:spacing w:before="0" w:after="283"/>
              <w:jc w:val="left"/>
              <w:rPr/>
            </w:pPr>
            <w:r>
              <w:rPr/>
              <w:t>TX000045-001 Phase 1a (Completed)</w:t>
            </w:r>
          </w:p>
        </w:tc>
        <w:tc>
          <w:tcPr>
            <w:tcW w:w="120" w:type="dxa"/>
            <w:tcBorders/>
            <w:vAlign w:val="center"/>
          </w:tcPr>
          <w:p>
            <w:pPr>
              <w:pStyle w:val="TableContents"/>
              <w:bidi w:val="0"/>
              <w:spacing w:before="0" w:after="283"/>
              <w:jc w:val="left"/>
              <w:rPr/>
            </w:pPr>
            <w:r>
              <w:rPr/>
              <w:t>  </w:t>
            </w:r>
          </w:p>
        </w:tc>
        <w:tc>
          <w:tcPr>
            <w:tcW w:w="2332" w:type="dxa"/>
            <w:tcBorders/>
            <w:vAlign w:val="center"/>
          </w:tcPr>
          <w:p>
            <w:pPr>
              <w:pStyle w:val="TableContents"/>
              <w:bidi w:val="0"/>
              <w:spacing w:before="0" w:after="283"/>
              <w:jc w:val="left"/>
              <w:rPr/>
            </w:pPr>
            <w:r>
              <w:rPr/>
              <w:t>Randomized, double- blind, SAD</w:t>
            </w:r>
          </w:p>
        </w:tc>
        <w:tc>
          <w:tcPr>
            <w:tcW w:w="1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TX000045 or placebo</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Single ascending IV and SC doses per clinical trial protocol: IV: 0.3mg/kg, 1mg/kg, 3mg/kg SC: 150mg, 300mg, 600mg</w:t>
            </w:r>
          </w:p>
        </w:tc>
        <w:tc>
          <w:tcPr>
            <w:tcW w:w="120"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47 Healthy male and female subjects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cohort had up to 8 subjects, 6 on TX45 and 2 on placebo</w:t>
            </w:r>
          </w:p>
        </w:tc>
      </w:tr>
      <w:tr>
        <w:trPr/>
        <w:tc>
          <w:tcPr>
            <w:tcW w:w="2087" w:type="dxa"/>
            <w:tcBorders/>
            <w:vAlign w:val="center"/>
          </w:tcPr>
          <w:p>
            <w:pPr>
              <w:pStyle w:val="TableContents"/>
              <w:bidi w:val="0"/>
              <w:spacing w:before="0" w:after="283"/>
              <w:jc w:val="left"/>
              <w:rPr>
                <w:sz w:val="4"/>
                <w:szCs w:val="4"/>
              </w:rPr>
            </w:pPr>
            <w:r>
              <w:rPr>
                <w:sz w:val="4"/>
                <w:szCs w:val="4"/>
              </w:rPr>
            </w:r>
          </w:p>
        </w:tc>
        <w:tc>
          <w:tcPr>
            <w:tcW w:w="2452" w:type="dxa"/>
            <w:gridSpan w:val="2"/>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c>
          <w:tcPr>
            <w:tcW w:w="2466" w:type="dxa"/>
            <w:gridSpan w:val="2"/>
            <w:tcBorders/>
            <w:vAlign w:val="center"/>
          </w:tcPr>
          <w:p>
            <w:pPr>
              <w:pStyle w:val="TableContents"/>
              <w:bidi w:val="0"/>
              <w:spacing w:before="0" w:after="283"/>
              <w:jc w:val="left"/>
              <w:rPr>
                <w:sz w:val="4"/>
                <w:szCs w:val="4"/>
              </w:rPr>
            </w:pPr>
            <w:r>
              <w:rPr>
                <w:sz w:val="4"/>
                <w:szCs w:val="4"/>
              </w:rPr>
            </w:r>
          </w:p>
        </w:tc>
      </w:tr>
      <w:tr>
        <w:trPr/>
        <w:tc>
          <w:tcPr>
            <w:tcW w:w="2087" w:type="dxa"/>
            <w:tcBorders/>
            <w:vAlign w:val="center"/>
          </w:tcPr>
          <w:p>
            <w:pPr>
              <w:pStyle w:val="TableContents"/>
              <w:bidi w:val="0"/>
              <w:spacing w:before="0" w:after="283"/>
              <w:jc w:val="left"/>
              <w:rPr/>
            </w:pPr>
            <w:r>
              <w:rPr/>
              <w:t>TX000045-002 Phase 1b, Part A (Dosing Completed)</w:t>
            </w:r>
          </w:p>
        </w:tc>
        <w:tc>
          <w:tcPr>
            <w:tcW w:w="120" w:type="dxa"/>
            <w:tcBorders/>
            <w:vAlign w:val="center"/>
          </w:tcPr>
          <w:p>
            <w:pPr>
              <w:pStyle w:val="TableContents"/>
              <w:bidi w:val="0"/>
              <w:spacing w:before="0" w:after="283"/>
              <w:jc w:val="left"/>
              <w:rPr/>
            </w:pPr>
            <w:r>
              <w:rPr/>
              <w:t>  </w:t>
            </w:r>
          </w:p>
        </w:tc>
        <w:tc>
          <w:tcPr>
            <w:tcW w:w="2332" w:type="dxa"/>
            <w:tcBorders/>
            <w:vAlign w:val="center"/>
          </w:tcPr>
          <w:p>
            <w:pPr>
              <w:pStyle w:val="TableContents"/>
              <w:bidi w:val="0"/>
              <w:spacing w:before="0" w:after="283"/>
              <w:jc w:val="left"/>
              <w:rPr/>
            </w:pPr>
            <w:r>
              <w:rPr/>
              <w:t>Open-label single dose</w:t>
            </w:r>
          </w:p>
        </w:tc>
        <w:tc>
          <w:tcPr>
            <w:tcW w:w="1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TX000045 0.3, 1, or 3 mg/kg IV</w:t>
            </w:r>
          </w:p>
        </w:tc>
        <w:tc>
          <w:tcPr>
            <w:tcW w:w="120"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283"/>
              <w:jc w:val="left"/>
              <w:rPr/>
            </w:pPr>
            <w:r>
              <w:rPr/>
              <w:t>19 patients with PH-HFpEF dosed</w:t>
            </w:r>
          </w:p>
        </w:tc>
      </w:tr>
      <w:tr>
        <w:trPr/>
        <w:tc>
          <w:tcPr>
            <w:tcW w:w="2087" w:type="dxa"/>
            <w:tcBorders/>
            <w:vAlign w:val="center"/>
          </w:tcPr>
          <w:p>
            <w:pPr>
              <w:pStyle w:val="TableContents"/>
              <w:bidi w:val="0"/>
              <w:spacing w:before="0" w:after="283"/>
              <w:jc w:val="left"/>
              <w:rPr>
                <w:sz w:val="4"/>
                <w:szCs w:val="4"/>
              </w:rPr>
            </w:pPr>
            <w:r>
              <w:rPr>
                <w:sz w:val="4"/>
                <w:szCs w:val="4"/>
              </w:rPr>
            </w:r>
          </w:p>
        </w:tc>
        <w:tc>
          <w:tcPr>
            <w:tcW w:w="2452" w:type="dxa"/>
            <w:gridSpan w:val="2"/>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c>
          <w:tcPr>
            <w:tcW w:w="2466" w:type="dxa"/>
            <w:gridSpan w:val="2"/>
            <w:tcBorders/>
            <w:vAlign w:val="center"/>
          </w:tcPr>
          <w:p>
            <w:pPr>
              <w:pStyle w:val="TableContents"/>
              <w:bidi w:val="0"/>
              <w:spacing w:before="0" w:after="283"/>
              <w:jc w:val="left"/>
              <w:rPr>
                <w:sz w:val="4"/>
                <w:szCs w:val="4"/>
              </w:rPr>
            </w:pPr>
            <w:r>
              <w:rPr>
                <w:sz w:val="4"/>
                <w:szCs w:val="4"/>
              </w:rPr>
            </w:r>
          </w:p>
        </w:tc>
      </w:tr>
      <w:tr>
        <w:trPr/>
        <w:tc>
          <w:tcPr>
            <w:tcW w:w="2087" w:type="dxa"/>
            <w:tcBorders/>
            <w:vAlign w:val="center"/>
          </w:tcPr>
          <w:p>
            <w:pPr>
              <w:pStyle w:val="TableContents"/>
              <w:bidi w:val="0"/>
              <w:spacing w:before="0" w:after="283"/>
              <w:jc w:val="left"/>
              <w:rPr/>
            </w:pPr>
            <w:r>
              <w:rPr/>
              <w:t>TX000045-002 Phase 1b, Part B (Ongoing)</w:t>
            </w:r>
          </w:p>
        </w:tc>
        <w:tc>
          <w:tcPr>
            <w:tcW w:w="120" w:type="dxa"/>
            <w:tcBorders/>
            <w:vAlign w:val="center"/>
          </w:tcPr>
          <w:p>
            <w:pPr>
              <w:pStyle w:val="TableContents"/>
              <w:bidi w:val="0"/>
              <w:spacing w:before="0" w:after="283"/>
              <w:jc w:val="left"/>
              <w:rPr/>
            </w:pPr>
            <w:r>
              <w:rPr/>
              <w:t>  </w:t>
            </w:r>
          </w:p>
        </w:tc>
        <w:tc>
          <w:tcPr>
            <w:tcW w:w="2332" w:type="dxa"/>
            <w:tcBorders/>
            <w:vAlign w:val="center"/>
          </w:tcPr>
          <w:p>
            <w:pPr>
              <w:pStyle w:val="TableContents"/>
              <w:bidi w:val="0"/>
              <w:spacing w:before="0" w:after="283"/>
              <w:jc w:val="left"/>
              <w:rPr/>
            </w:pPr>
            <w:r>
              <w:rPr/>
              <w:t>Open-label single dose</w:t>
            </w:r>
          </w:p>
        </w:tc>
        <w:tc>
          <w:tcPr>
            <w:tcW w:w="1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TX000045 3 mg/kg IV</w:t>
            </w:r>
          </w:p>
        </w:tc>
        <w:tc>
          <w:tcPr>
            <w:tcW w:w="120"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283"/>
              <w:jc w:val="left"/>
              <w:rPr/>
            </w:pPr>
            <w:r>
              <w:rPr/>
              <w:t>Approximately 10 patients with PH-HFrEF to be dosed</w:t>
            </w:r>
          </w:p>
        </w:tc>
      </w:tr>
      <w:tr>
        <w:trPr/>
        <w:tc>
          <w:tcPr>
            <w:tcW w:w="2087" w:type="dxa"/>
            <w:tcBorders/>
            <w:vAlign w:val="center"/>
          </w:tcPr>
          <w:p>
            <w:pPr>
              <w:pStyle w:val="TableContents"/>
              <w:bidi w:val="0"/>
              <w:spacing w:before="0" w:after="283"/>
              <w:jc w:val="left"/>
              <w:rPr>
                <w:sz w:val="4"/>
                <w:szCs w:val="4"/>
              </w:rPr>
            </w:pPr>
            <w:r>
              <w:rPr>
                <w:sz w:val="4"/>
                <w:szCs w:val="4"/>
              </w:rPr>
            </w:r>
          </w:p>
        </w:tc>
        <w:tc>
          <w:tcPr>
            <w:tcW w:w="2452" w:type="dxa"/>
            <w:gridSpan w:val="2"/>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c>
          <w:tcPr>
            <w:tcW w:w="2466" w:type="dxa"/>
            <w:gridSpan w:val="2"/>
            <w:tcBorders/>
            <w:vAlign w:val="center"/>
          </w:tcPr>
          <w:p>
            <w:pPr>
              <w:pStyle w:val="TableContents"/>
              <w:bidi w:val="0"/>
              <w:spacing w:before="0" w:after="283"/>
              <w:jc w:val="left"/>
              <w:rPr>
                <w:sz w:val="4"/>
                <w:szCs w:val="4"/>
              </w:rPr>
            </w:pPr>
            <w:r>
              <w:rPr>
                <w:sz w:val="4"/>
                <w:szCs w:val="4"/>
              </w:rPr>
            </w:r>
          </w:p>
        </w:tc>
      </w:tr>
      <w:tr>
        <w:trPr/>
        <w:tc>
          <w:tcPr>
            <w:tcW w:w="20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TX000045-003 Phase 2</w:t>
            </w:r>
          </w:p>
          <w:p>
            <w:pPr>
              <w:pStyle w:val="TableContents"/>
              <w:bidi w:val="0"/>
              <w:spacing w:before="0" w:after="20"/>
              <w:jc w:val="left"/>
              <w:rPr>
                <w:rFonts w:ascii="Times New Roman" w:hAnsi="Times New Roman"/>
                <w:sz w:val="20"/>
              </w:rPr>
            </w:pPr>
            <w:r>
              <w:rPr>
                <w:rFonts w:ascii="Times New Roman" w:hAnsi="Times New Roman"/>
                <w:sz w:val="20"/>
              </w:rPr>
              <w:t>(Ongoing)</w:t>
            </w:r>
          </w:p>
        </w:tc>
        <w:tc>
          <w:tcPr>
            <w:tcW w:w="120" w:type="dxa"/>
            <w:tcBorders/>
            <w:vAlign w:val="center"/>
          </w:tcPr>
          <w:p>
            <w:pPr>
              <w:pStyle w:val="TableContents"/>
              <w:bidi w:val="0"/>
              <w:spacing w:before="0" w:after="283"/>
              <w:jc w:val="left"/>
              <w:rPr/>
            </w:pPr>
            <w:r>
              <w:rPr/>
              <w:t>  </w:t>
            </w:r>
          </w:p>
        </w:tc>
        <w:tc>
          <w:tcPr>
            <w:tcW w:w="2332" w:type="dxa"/>
            <w:tcBorders/>
            <w:vAlign w:val="center"/>
          </w:tcPr>
          <w:p>
            <w:pPr>
              <w:pStyle w:val="TableContents"/>
              <w:bidi w:val="0"/>
              <w:spacing w:before="0" w:after="283"/>
              <w:jc w:val="left"/>
              <w:rPr/>
            </w:pPr>
            <w:r>
              <w:rPr/>
              <w:t>Randomized, placebo-controlled, double-blind, repeated dose</w:t>
            </w:r>
          </w:p>
        </w:tc>
        <w:tc>
          <w:tcPr>
            <w:tcW w:w="1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TX000045 300 mg SC Q2W, 300 mg SC Q4W, or placebo</w:t>
            </w:r>
          </w:p>
        </w:tc>
        <w:tc>
          <w:tcPr>
            <w:tcW w:w="120" w:type="dxa"/>
            <w:tcBorders/>
            <w:vAlign w:val="center"/>
          </w:tcPr>
          <w:p>
            <w:pPr>
              <w:pStyle w:val="TableContents"/>
              <w:bidi w:val="0"/>
              <w:spacing w:before="0" w:after="283"/>
              <w:jc w:val="left"/>
              <w:rPr/>
            </w:pPr>
            <w:r>
              <w:rPr/>
              <w:t>  </w:t>
            </w:r>
          </w:p>
        </w:tc>
        <w:tc>
          <w:tcPr>
            <w:tcW w:w="2346" w:type="dxa"/>
            <w:tcBorders/>
            <w:vAlign w:val="center"/>
          </w:tcPr>
          <w:p>
            <w:pPr>
              <w:pStyle w:val="TableContents"/>
              <w:bidi w:val="0"/>
              <w:spacing w:before="0" w:after="283"/>
              <w:jc w:val="left"/>
              <w:rPr/>
            </w:pPr>
            <w:r>
              <w:rPr/>
              <w:t>180 patients with PH-HFpEF to be randomized</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Completed Phase 1a Single Ascending Dose Trial (TX000045-001) </w:t>
      </w:r>
    </w:p>
    <w:p>
      <w:pPr>
        <w:pStyle w:val="TextBody"/>
        <w:bidi w:val="0"/>
        <w:spacing w:before="120" w:after="0"/>
        <w:jc w:val="left"/>
        <w:rPr>
          <w:rFonts w:ascii="Times New Roman" w:hAnsi="Times New Roman"/>
          <w:sz w:val="20"/>
        </w:rPr>
      </w:pPr>
      <w:r>
        <w:rPr>
          <w:rFonts w:ascii="Times New Roman" w:hAnsi="Times New Roman"/>
          <w:sz w:val="20"/>
        </w:rPr>
        <w:t xml:space="preserve">TX000045-001 was a randomized, placebo-controlled, double-blind single ascending dose (SAD) trial in healthy volunteers which completed in the third quarter of 2024. In this trial, TX45 was well-tolerated after single IV doses ranging from 0.3mg/kg to 3 mg/kg and SC doses ranging from 150mg to 600mg. PK profile revealed dose proportional PK and a half-life of 14-20 days. The PD response of TX45 on RPF was assessed at multiple time points post dose for all dose cohorts. From these multiple PK/PD measurements we developed a robust exposure-response Emax model to enable dose selection for our Phase 2 study. We found the Emax effect of TX45 on RPF to be a 33% increase consistent with reported effect of relaxin from other relaxin compounds, such as Serelaxin (Voors, 2014) and Volenrelaxin (Tham, 2024). Based on our exposure-response model we selected TX45 doses for our Phase 2 trial as follows: 300mg SC every 4 weeks which is predicted to provide steady state trough exposure of approximately 2.6 ug/ml and near maximal effect on RPF at trough, and 300 mg SC every 2 weeks which is predicted to provide a trough exposure of approximately 8.7 ug/ml with maximal pharmacodynamic effects throughout the dosing interval. There was no evidence of immunogenicity or anti-drug antibodies in this trial. </w:t>
      </w:r>
    </w:p>
    <w:p>
      <w:pPr>
        <w:pStyle w:val="TextBody"/>
        <w:bidi w:val="0"/>
        <w:spacing w:before="360" w:after="0"/>
        <w:jc w:val="left"/>
        <w:rPr>
          <w:rFonts w:ascii="Times New Roman" w:hAnsi="Times New Roman"/>
          <w:b/>
          <w:sz w:val="20"/>
        </w:rPr>
      </w:pPr>
      <w:r>
        <w:rPr>
          <w:rFonts w:ascii="Times New Roman" w:hAnsi="Times New Roman"/>
          <w:b/>
          <w:sz w:val="20"/>
        </w:rPr>
        <w:t xml:space="preserve">Part A of the Acute Hemodynamic Phase 1b Trial (TX000045-002A) </w:t>
      </w:r>
    </w:p>
    <w:p>
      <w:pPr>
        <w:pStyle w:val="TextBody"/>
        <w:bidi w:val="0"/>
        <w:spacing w:before="120" w:after="0"/>
        <w:jc w:val="left"/>
        <w:rPr>
          <w:rFonts w:ascii="Times New Roman" w:hAnsi="Times New Roman"/>
          <w:sz w:val="20"/>
        </w:rPr>
      </w:pPr>
      <w:r>
        <w:rPr>
          <w:rFonts w:ascii="Times New Roman" w:hAnsi="Times New Roman"/>
          <w:sz w:val="20"/>
        </w:rPr>
        <w:t xml:space="preserve">TX000045-002 is an open-label, single dose trial in patients with PH associated with heart failure designed to evaluate the safety, tolerability and acute hemodynamic effects of TX45 as assessed by right heart catheterization. Part A of this trial enrolled 19 patients with PH-HFpEF, including both CpcPH and IpcPH. The doses of TX45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administered in this trial were 0.3 mg/kg IV, 1 mg/kg IV, and 3 mg/kg IV. The study evaluated safety and tolerability as well as the change from baseline in hemodynamic parameters including pulmonary capillary wedge pressure (“PCWP”) and PVR, mPAP, cardiac output (“CO”), and systemic vascular resistance (“SVR”) and additional hemodynamic measures. Notably, exposures over the first 8 hours after dosing were anticipated to be within the therapeutic range for all doses tested, therefore, it was prespecified that efficacy analyses would be done with pooling of patient data across doses. </w:t>
      </w:r>
    </w:p>
    <w:p>
      <w:pPr>
        <w:pStyle w:val="TextBody"/>
        <w:bidi w:val="0"/>
        <w:spacing w:before="240" w:after="0"/>
        <w:jc w:val="left"/>
        <w:rPr>
          <w:rFonts w:ascii="Times New Roman" w:hAnsi="Times New Roman"/>
          <w:sz w:val="20"/>
        </w:rPr>
      </w:pPr>
      <w:r>
        <w:rPr>
          <w:rFonts w:ascii="Times New Roman" w:hAnsi="Times New Roman"/>
          <w:sz w:val="20"/>
        </w:rPr>
        <w:t xml:space="preserve">Interim data of 16 out of the total 19 patients, released in January 2025, revealed that TX45 administration was well-tolerated in PH-HFpEF patients. No serious adverse events or severe adverse events were reported in this cohort. The interim data analysis from the first 16 (of 19 in total) patients TX45 administration significantly reduced PCWP in the overall group, and significantly reduced PVR in patients with CpcPH. In addition, TX45 administration raised CO and stroke volume and reduced Total Pulmonary Resistance (TPR) and mPAP in the overall group. The chart below summarizes our findings: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5480" cy="31502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45480" cy="315023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Ongoing Part B of the Phase 1b Acute Hemodynamic Trial (TX000045-002B) </w:t>
      </w:r>
    </w:p>
    <w:p>
      <w:pPr>
        <w:pStyle w:val="TextBody"/>
        <w:bidi w:val="0"/>
        <w:spacing w:before="120" w:after="0"/>
        <w:jc w:val="left"/>
        <w:rPr>
          <w:rFonts w:ascii="Times New Roman" w:hAnsi="Times New Roman"/>
          <w:sz w:val="20"/>
        </w:rPr>
      </w:pPr>
      <w:r>
        <w:rPr>
          <w:rFonts w:ascii="Times New Roman" w:hAnsi="Times New Roman"/>
          <w:sz w:val="20"/>
        </w:rPr>
        <w:t xml:space="preserve">Part B of the Phase 1b acute hemodynamic open-label trial in patients with PH-HFrEF, including both IpcPH and CpcPH, is currently being conducted. In this trial, approximately 10 patients with PH-HFrEF will receive a single IV dose of TX45 and hemodynamics will be monitored by right heart catheterization for 8 hours after dosing. We enrolled the first patient in the Part B Phase 1b trial in March 2025, and expect topline trial results in the second half of 2025. </w:t>
      </w:r>
    </w:p>
    <w:p>
      <w:pPr>
        <w:pStyle w:val="TextBody"/>
        <w:bidi w:val="0"/>
        <w:spacing w:before="360" w:after="0"/>
        <w:jc w:val="left"/>
        <w:rPr>
          <w:rFonts w:ascii="Times New Roman" w:hAnsi="Times New Roman"/>
          <w:b/>
          <w:sz w:val="20"/>
        </w:rPr>
      </w:pPr>
      <w:r>
        <w:rPr>
          <w:rFonts w:ascii="Times New Roman" w:hAnsi="Times New Roman"/>
          <w:b/>
          <w:sz w:val="20"/>
        </w:rPr>
        <w:t xml:space="preserve">Ongoing Phase 2 Proof of Concept, Randomized, Placebo-Controlled, Double-Blind Trial in PH-HFpEF (TX000045-003) </w:t>
      </w:r>
    </w:p>
    <w:p>
      <w:pPr>
        <w:pStyle w:val="TextBody"/>
        <w:bidi w:val="0"/>
        <w:spacing w:before="120" w:after="0"/>
        <w:jc w:val="left"/>
        <w:rPr>
          <w:rFonts w:ascii="Times New Roman" w:hAnsi="Times New Roman"/>
          <w:sz w:val="20"/>
        </w:rPr>
      </w:pPr>
      <w:r>
        <w:rPr>
          <w:rFonts w:ascii="Times New Roman" w:hAnsi="Times New Roman"/>
          <w:sz w:val="20"/>
        </w:rPr>
        <w:t xml:space="preserve">Our ongoing Phase 2 randomized, placebo-controlled, double-blind proof-of-concept (POC) clinical trial in patients with PH-HFpEF is being conducted globally. In this trial, patients with PH-HFpEF are randomized to receive TX45 or placebo for 6 months. Two dose regimens of TX45 will be administered: 300 mg SC Q2W or 300 mg SC Q4W. Prior to dosing, right heart catheterization will be performed to determine baseline hemodynamics. After 6 months of treatment, patients will undergo a second right heart catheterization.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primary endpoint is change from baseline in PVR in patients with CpcPH. The key secondary endpoint is change from baseline in PCWP in all subjects. Additional endpoints will include change from baseline in 6MWD, change from baseline in the Kansas City Cardiomyopathy Questionnaire score and change from baseline in additional hemodynamic parameters including cardiac output, mean pulmonary pressure, systemic vascular resistance and stroke volume and biomarkers such as NT-proBNP. Changes in relevant echocardiographic endpoints will also be explored. This trial enriches for patients with CpcPH based on baseline right heart catheterization with the goal of evaluating efficacy in both CpcPH as well as the whole population with PH-HFpEF. We currently expect that approximately 180 subjects will be enrolled in this trial. </w:t>
      </w:r>
    </w:p>
    <w:p>
      <w:pPr>
        <w:pStyle w:val="TextBody"/>
        <w:bidi w:val="0"/>
        <w:spacing w:before="360" w:after="0"/>
        <w:jc w:val="left"/>
        <w:rPr>
          <w:rFonts w:ascii="Times New Roman" w:hAnsi="Times New Roman"/>
          <w:b/>
          <w:sz w:val="20"/>
        </w:rPr>
      </w:pPr>
      <w:r>
        <w:rPr>
          <w:rFonts w:ascii="Times New Roman" w:hAnsi="Times New Roman"/>
          <w:b/>
          <w:sz w:val="20"/>
        </w:rPr>
        <w:t xml:space="preserve">Group 2 PH with HFpEF Anticipated Pivotal Development Pathway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results of our Phase 2 trials and feedback received during the End of Phase 2 meeting with the FDA, we expect to initiate a randomized, placebo-controlled, double-blind Phase 3 clinical trial in Group 2 PH patients with HFpEF, as well as long term, open label extension trial for safety evaluation. Based on historical precedent across multiple PH subtypes and our Pre-IND consultation with the FDA regarding the specific requirements for approval in Group 2 PH with HFpEF, we believe that the achievement of a clinically significant change in a functional endpoint, such as 6-minute walk distance could be sufficient for approval. The secondary endpoints may also include change from baseline to week 24 in: KCCQ-12 score, and the percentage who improve in WHO functional class. An additional secondary endpoint may be the time to the first occurrence of a clinical worsening event or death and changes in relevant echocardiographic endpoints and biomarker endpoints such as NTproBNP. At this time, we do not anticipate that an assessment of TX45’s impact on long-term cardiovascular outcomes will be a requirement for approval. Commercialization in the United States and other countries will be contingent on approval by the regulatory authorities (the FDA in the United States) and an assessment by the regulators that the studies were conducted in accordance with accepted guidance and the data demonstrated that there was a positive benefit risk for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on HHT Opportunity </w:t>
      </w:r>
    </w:p>
    <w:p>
      <w:pPr>
        <w:pStyle w:val="TextBody"/>
        <w:bidi w:val="0"/>
        <w:spacing w:before="120" w:after="0"/>
        <w:jc w:val="left"/>
        <w:rPr>
          <w:rFonts w:ascii="Times New Roman" w:hAnsi="Times New Roman"/>
          <w:sz w:val="20"/>
        </w:rPr>
      </w:pPr>
      <w:r>
        <w:rPr>
          <w:rFonts w:ascii="Times New Roman" w:hAnsi="Times New Roman"/>
          <w:sz w:val="20"/>
        </w:rPr>
        <w:t xml:space="preserve">Hereditary Hemorrhagic Telangiectasia (HHT), also known as Osler-Weber-Rendu syndrome, is the second most common genetic bleeding disorder. It has been estimated that there are approximately 70,000-75,000 HHT patients in the USA and it has also been estimated that up to 15-20%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 radiologic embolization, such as AVMs in the lung, others cannot, especially in the liver. Indeed, for patients with prominent liver AVMs, the only therapeutic option may be transplantation. </w:t>
      </w:r>
    </w:p>
    <w:p>
      <w:pPr>
        <w:pStyle w:val="TextBody"/>
        <w:bidi w:val="0"/>
        <w:spacing w:before="240" w:after="0"/>
        <w:jc w:val="left"/>
        <w:rPr>
          <w:rFonts w:ascii="Times New Roman" w:hAnsi="Times New Roman"/>
          <w:sz w:val="20"/>
        </w:rPr>
      </w:pPr>
      <w:r>
        <w:rPr>
          <w:rFonts w:ascii="Times New Roman" w:hAnsi="Times New Roman"/>
          <w:sz w:val="20"/>
        </w:rPr>
        <w:t xml:space="preserve">While there are no approved medical therapies for HHT, anti-VEGF therapies including bevacizumab have been used on an </w:t>
      </w:r>
      <w:r>
        <w:rPr>
          <w:rFonts w:ascii="Times New Roman" w:hAnsi="Times New Roman"/>
          <w:i/>
          <w:sz w:val="20"/>
        </w:rPr>
        <w:t xml:space="preserve">ad hoc </w:t>
      </w:r>
      <w:r>
        <w:rPr>
          <w:rFonts w:ascii="Times New Roman" w:hAnsi="Times New Roman"/>
          <w:sz w:val="20"/>
        </w:rPr>
        <w:t xml:space="preserve">basis with results demonstrating that anti-angiogenic therapy has the potential to be an efficacious treatment. These therapies reduce angiogenesis and bleeding in mouse models of HHT. Importantly, these data have translated to the clinic: small investigator-sponsored trials in HHT patients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preliminary evidence of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HHT is a genetic disorder due to loss-of-function mutations in proteins in the BMP9/10-Endoglin-ALK1- SMAD4 signaling pathway. BMP9 is a member of the TGF-beta family of growth factors that regulate blood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 </w:t>
      </w:r>
    </w:p>
    <w:p>
      <w:pPr>
        <w:pStyle w:val="TextBody"/>
        <w:bidi w:val="0"/>
        <w:spacing w:before="360" w:after="0"/>
        <w:jc w:val="left"/>
        <w:rPr>
          <w:rFonts w:ascii="Times New Roman" w:hAnsi="Times New Roman"/>
          <w:b/>
          <w:sz w:val="20"/>
        </w:rPr>
      </w:pPr>
      <w:r>
        <w:rPr>
          <w:rFonts w:ascii="Times New Roman" w:hAnsi="Times New Roman"/>
          <w:b/>
          <w:sz w:val="20"/>
        </w:rPr>
        <w:t xml:space="preserve">Development Candidate for the Treatment of HHT </w:t>
      </w:r>
    </w:p>
    <w:p>
      <w:pPr>
        <w:pStyle w:val="TextBody"/>
        <w:bidi w:val="0"/>
        <w:spacing w:before="120" w:after="0"/>
        <w:jc w:val="left"/>
        <w:rPr>
          <w:rFonts w:ascii="Times New Roman" w:hAnsi="Times New Roman"/>
          <w:sz w:val="20"/>
        </w:rPr>
      </w:pPr>
      <w:r>
        <w:rPr>
          <w:rFonts w:ascii="Times New Roman" w:hAnsi="Times New Roman"/>
          <w:sz w:val="20"/>
        </w:rPr>
        <w:t>We identified TX2100 as a development candidate for the treatment of HHT. TX2100 is a VHH-Fc fusion antagonist antibody that binds to “GPCR3”. The Fc portion of TX2100 was modified to reduce Fc</w:t>
      </w:r>
      <w:r>
        <w:rPr>
          <w:rFonts w:ascii="SYMBOL" w:hAnsi="SYMBOL"/>
          <w:sz w:val="20"/>
        </w:rPr>
        <w:t>g</w:t>
      </w:r>
      <w:r>
        <w:rPr>
          <w:rFonts w:ascii="Times New Roman" w:hAnsi="Times New Roman"/>
          <w:sz w:val="20"/>
        </w:rPr>
        <w:t xml:space="preserve">receptor activation and to increase binding to FcRn, in order to extend the half-life of the molecule. </w:t>
      </w:r>
    </w:p>
    <w:p>
      <w:pPr>
        <w:pStyle w:val="TextBody"/>
        <w:bidi w:val="0"/>
        <w:spacing w:before="360" w:after="0"/>
        <w:jc w:val="left"/>
        <w:rPr>
          <w:rFonts w:ascii="Times New Roman" w:hAnsi="Times New Roman"/>
          <w:b/>
          <w:sz w:val="20"/>
        </w:rPr>
      </w:pPr>
      <w:r>
        <w:rPr>
          <w:rFonts w:ascii="Times New Roman" w:hAnsi="Times New Roman"/>
          <w:b/>
          <w:sz w:val="20"/>
        </w:rPr>
        <w:t xml:space="preserve">Pharmacology Studies with Animal Models of HHT </w:t>
      </w:r>
    </w:p>
    <w:p>
      <w:pPr>
        <w:pStyle w:val="TextBody"/>
        <w:bidi w:val="0"/>
        <w:spacing w:before="120" w:after="0"/>
        <w:jc w:val="left"/>
        <w:rPr>
          <w:rFonts w:ascii="Times New Roman" w:hAnsi="Times New Roman"/>
          <w:sz w:val="20"/>
        </w:rPr>
      </w:pPr>
      <w:r>
        <w:rPr>
          <w:rFonts w:ascii="Times New Roman" w:hAnsi="Times New Roman"/>
          <w:sz w:val="20"/>
        </w:rPr>
        <w:t xml:space="preserve">Several murine models of HHT have been established. These include both genetic loss-of-function models that disrupt the BMP9/10-Endoglin-ALK1-SMAD4 signaling pathway at different points, and the BMP9/10 immunoblocked model. In these murine models of HHT, anti-VEGF or anti-VEGF receptor agents reduce AVM formation and bleeding. As referenced above, since bevacizumab, an anti-VEGF 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We established a pharmacodynamic model of neonatal murine retinal angiogenesis. In this model, treatment with a potent mouse “GPCR3” Nanobody-Fc antagonist reduces neo-angiogenesis and the vascularized area in the neonatal mouse retina. We have also established the BMP9/10-immunoblocked mouse model of HHT. This model reliably leads to the development of hypervascularization, AVMs and bleeding in organs including the eye, GI tract and brain. </w:t>
      </w:r>
    </w:p>
    <w:p>
      <w:pPr>
        <w:pStyle w:val="TextBody"/>
        <w:bidi w:val="0"/>
        <w:spacing w:before="240" w:after="0"/>
        <w:jc w:val="left"/>
        <w:rPr>
          <w:rFonts w:ascii="Times New Roman" w:hAnsi="Times New Roman"/>
          <w:sz w:val="20"/>
        </w:rPr>
      </w:pPr>
      <w:r>
        <w:rPr>
          <w:rFonts w:ascii="Times New Roman" w:hAnsi="Times New Roman"/>
          <w:sz w:val="20"/>
        </w:rPr>
        <w:t xml:space="preserve">In this model, our “GPCR3” antagonist significantly reduces both arteriovenous malformations formation (AVM) and retinal hypervascularization induced by BMP9/BMP10 blockade to a similar degree as a VEGF antagonist. In addition, “GPCR3” antagonism significantly reduced bleeding as measured by reduced drop in hemoglobin compared to an isotype control antibody. This demonstrates that pharmacologic inhibition of “GPCR3” provides significant effects on endpoints relevant to HHT patients. Additional </w:t>
      </w:r>
      <w:r>
        <w:rPr>
          <w:rFonts w:ascii="Times New Roman" w:hAnsi="Times New Roman"/>
          <w:i/>
          <w:sz w:val="20"/>
        </w:rPr>
        <w:t xml:space="preserve">in vivo </w:t>
      </w:r>
      <w:r>
        <w:rPr>
          <w:rFonts w:ascii="Times New Roman" w:hAnsi="Times New Roman"/>
          <w:sz w:val="20"/>
        </w:rPr>
        <w:t xml:space="preserve">studies characterizing the effects of “GPCR3” antagonism on additional HHT relevant vascular pathology endpoints in mice are planned.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Plans </w:t>
      </w:r>
    </w:p>
    <w:p>
      <w:pPr>
        <w:pStyle w:val="TextBody"/>
        <w:bidi w:val="0"/>
        <w:spacing w:before="120" w:after="0"/>
        <w:jc w:val="left"/>
        <w:rPr>
          <w:rFonts w:ascii="Times New Roman" w:hAnsi="Times New Roman"/>
          <w:sz w:val="20"/>
        </w:rPr>
      </w:pPr>
      <w:r>
        <w:rPr>
          <w:rFonts w:ascii="Times New Roman" w:hAnsi="Times New Roman"/>
          <w:sz w:val="20"/>
        </w:rPr>
        <w:t xml:space="preserve">The Phase 1 program for TX2100 would consist of a randomized, placebo-controlled, double-blind ascending-dose trial performed in healthy volunteers. Likely primary endpoints would be the safety and tolerability of TX2100 in these subjects, and likely secondary endpoints would be the pharmacokinetic properties of TX2100. Assuming adequate PK and safety are established in Phase 1, we intend to conduct efficacy trial(s) including a Phase 2 randomized, placebo-controlled, double-blind 6-month proof of concept (POC) trial in HHT patients with frequent epistaxis and anemia.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on GEODeTM Platform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GEODeTM 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successful GPCR targeted therapeutics to date are small molecules, however, the success of this modality has been largely confined to just 6 GPCR subfamilies, many of which have a natural ligand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a small molecule. Establishing and maintaining target engagement and selectivity, therefore, for small molecules has proven challenging for receptors of increased size and complexity, greater sequence homology in ligand binding sites, or where subfamilies have overlapping ligands. </w:t>
      </w:r>
    </w:p>
    <w:p>
      <w:pPr>
        <w:pStyle w:val="TextBody"/>
        <w:bidi w:val="0"/>
        <w:spacing w:before="240" w:after="0"/>
        <w:jc w:val="left"/>
        <w:rPr>
          <w:rFonts w:ascii="Times New Roman" w:hAnsi="Times New Roman"/>
          <w:sz w:val="20"/>
        </w:rPr>
      </w:pPr>
      <w:r>
        <w:rPr>
          <w:rFonts w:ascii="Times New Roman" w:hAnsi="Times New Roman"/>
          <w:sz w:val="20"/>
        </w:rPr>
        <w:t xml:space="preserve">GEODeTM was developed with the aim of addressing the challenges of GPCR targeted biologics via a combination of (1) GPCR protein engineering strategies that stabilize the pharmacologically relevant forms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Our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Our Expertise in GPCRs and mAb Discovery </w:t>
      </w:r>
    </w:p>
    <w:p>
      <w:pPr>
        <w:pStyle w:val="TextBody"/>
        <w:bidi w:val="0"/>
        <w:spacing w:before="120" w:after="0"/>
        <w:jc w:val="left"/>
        <w:rPr>
          <w:rFonts w:ascii="Times New Roman" w:hAnsi="Times New Roman"/>
          <w:sz w:val="20"/>
        </w:rPr>
      </w:pPr>
      <w:r>
        <w:rPr>
          <w:rFonts w:ascii="Times New Roman" w:hAnsi="Times New Roman"/>
          <w:sz w:val="20"/>
        </w:rPr>
        <w:t xml:space="preserve">Our optimized GPCR-targeted antibody discovery process comprises the following steps: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 xml:space="preserve">Optimization, stabilization, and formulation of GPCRs </w:t>
      </w:r>
      <w:r>
        <w:rPr>
          <w:rFonts w:ascii="Times New Roman" w:hAnsi="Times New Roman"/>
          <w:sz w:val="20"/>
        </w:rPr>
        <w:t xml:space="preserve">using proprietary protein engineering and biochemistry techniques, to produce sufficient target material in the correct conformation, as a reagent for discovery campaigns. We use structure-based homology modeling and prediction to engineer changes to the receptor that can bias it into an active or inactive state. These changes can also increase receptor cell surface expression and stability. Also, because the lipid bilayer surrounding a receptor can strongly affect its activation, we have developed techniques to present our targets in a variety of different membrane mimetics that recapitulate the lipid bilayer environment that the receptor is embedded in. We have also taken a machine learning guided protein engineering approach to generate G-protein mimetics that can stabilize GPCRs in their active state conformation. This stabilized protein complex can be used to discover agonist antibodies during yeast display selection campaigns.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 xml:space="preserve">Optimized and streamlined yeast display antibody selection protocols </w:t>
      </w:r>
      <w:r>
        <w:rPr>
          <w:rFonts w:ascii="Times New Roman" w:hAnsi="Times New Roman"/>
          <w:sz w:val="20"/>
        </w:rPr>
        <w:t xml:space="preserve">that minimize false positive hits from non-specific binders and can productively pull initial hits from antibody discovery campaigns. We employ antibody libraries designed and optimized for targeting GPCRs, novel tagging strategies, and make extensive use of automated workflow.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 xml:space="preserve">High throughput GPCR binding assessment </w:t>
      </w:r>
      <w:r>
        <w:rPr>
          <w:rFonts w:ascii="Times New Roman" w:hAnsi="Times New Roman"/>
          <w:sz w:val="20"/>
        </w:rPr>
        <w:t xml:space="preserve">to confirm binding of purified antibodies to the target of interest. This step enables rapid narrowing of the set of initial hits to focus on the best hits merging from the selection.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 xml:space="preserve">GPCR signaling assays </w:t>
      </w:r>
      <w:r>
        <w:rPr>
          <w:rFonts w:ascii="Times New Roman" w:hAnsi="Times New Roman"/>
          <w:sz w:val="20"/>
        </w:rPr>
        <w:t xml:space="preserve">to confirm that hits which were identified in the selection campaign and confirmed as target selective binders, are also functionally active to modulate signaling through the target of interest. We have implemented a wide range of signaling assays that can support characterization of hits against different GPCR targets.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 xml:space="preserve">Antibody lead optimization </w:t>
      </w:r>
      <w:r>
        <w:rPr>
          <w:rFonts w:ascii="Times New Roman" w:hAnsi="Times New Roman"/>
          <w:sz w:val="20"/>
        </w:rPr>
        <w:t xml:space="preserve">via affinity maturation to further improve either potency, selectivity, cross-species reactivity, developability and manufacturability characteristics or any combination of the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Collaboration, License and Services Agreements</w:t>
      </w:r>
    </w:p>
    <w:p>
      <w:pPr>
        <w:pStyle w:val="TextBody"/>
        <w:bidi w:val="0"/>
        <w:spacing w:before="120" w:after="0"/>
        <w:jc w:val="left"/>
        <w:rPr>
          <w:rFonts w:ascii="Times New Roman" w:hAnsi="Times New Roman"/>
          <w:b/>
          <w:i/>
          <w:sz w:val="20"/>
        </w:rPr>
      </w:pPr>
      <w:r>
        <w:rPr>
          <w:rFonts w:ascii="Times New Roman" w:hAnsi="Times New Roman"/>
          <w:b/>
          <w:i/>
          <w:sz w:val="20"/>
        </w:rPr>
        <w:t xml:space="preserve">Harvard Option and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we paid Harvard a one-time license fee of $170,000 and issued 227,486 shares of common stock with a fair market value of $0.4 million.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we generate from products that utilize the license technology (“Licensed Products”) and royalty payments as a percentage in the low single digits of the annual net sales that we generate from know-how enabled product licenses (“Know-How Enabled Products”) and (3) a percentage between 10-20% of all non-royalty income received by us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WuXi Master Development and Manufacturing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6, 2022, we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us on a project-by-project basis. Such services are performed under agreed-upon work orders. Under the terms of the WuXi Biologics Manufacturing Agreement, we have agreed to pay fees for WuXi Biologics’ performance of services in addition to reimbursing WuXi Biologics for reasonable expenses authorized by us and as provided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WuXi Biologics Manufacturing Agreement will expire on the later of May 6, 2025, or the completion of the services under all work orders executed by the parties prior to May 6, 2025, provided that the term may be extended by us for additional periods. We will have the right to terminate the WuXi Biologics Manufacturing Agreement or any work order upon thirty days’ prior written notice or immediately if, in our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WuXi Biologics Manufacturing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Novotech Master Clinical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2023, we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us on a project-by-project basis. Such services are performed under agreed statements of work. Under the terms of the Novotech CSA, we have agreed to pay fees for Novotech’s performance of services in addition to reimbursing Novotech for reasonably incurred, pass through costs agreed to by us and as provided in each applicable statement of work. Additionally, under the terms of the Novotech CSA, all documentation, information, and biological, chemical or other materials controlled by us and furnished to Novotech by or on behalf of us shall remain our exclusive property, and we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Novotech’s service, except for Novotech’s background intellectual property rights as defined under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We may terminate the Novotech CSA or any statement of work thereunder immediately if Novotech has committed an uncurable breach or has failed to cure a breach after thirty days’ written notice. We may also terminate the Novotech CSA or any statement of work thereunder for any reason upon thirty days’ prior written notice to Novotech. Novotech may terminate the Novotech CSA or any statement of work thereunder immediately if we have failed to cure a material breach after thirty days’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The Novotech CSA includes customary terms relating to, among others, indemnification, intellectual property protection, confidentiality, non-solicitation,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ARENSIA Master Agreement for Early Phase Clinical Services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we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us on a project-by-project basis. Such services are performed under agreed work orders. Under the terms of the Arensia CSA, we have agreed to pay fees for Arensia’s performance of services in addition to reimbursing Arensia for pre-approved, reasonable expenses actually and necessarily incurred by Arensia as specified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we may terminate a work order if the study governed by such work order is suspended for more than thirty days and either party may terminate a work order for reasonable scientific safety reasons. We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Arensia CSA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QPS Holdings Master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we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Tectonic on a project-by-project basis. Such services are performed under agreed statements of work. Under the terms of the QPS Agreement, Tectonic has agreed to pay for QPS’s performance of the services as specified in the applicable statement of work. Additionally, under the terms of the QPS Agreement, all documentation, information, and biological, chemical or other materials controlled by Tectonic and furnished to QPS by or on behalf of Tectonic shall remain the exclusive property of Tectonic, and Tectonic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QPS Agreement will expire on the later of: (i) two years from the effective date of the QPS Agreement, or October 2025, or (ii) the completion of the services under all work orders executed prior to the second anniversary of the effective date of the QPS Agreement, or October 2025. Tectonic may terminate the QPS Agreement or any statement of work thereunder for any reason upon thirty days’ prior written notice or immediately if QPS commits an uncurable breach of the QPS Agreement. QPS may terminate the QPS Agreement or any statement of work thereunder if Tectonic has failed to cure a material breach after thirty days’ written notice or may terminate the QPS Agreement for any reason upon sixty days’ prior written notice provided there are no active statements of work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QPS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patent portfolio includes three pending U.S. non-provisional applications, one pending international (Patent Cooperation Treaty) application, and nineteen pending foreign applications relating to Fc-relaxin fusion protein compositions (including TX45) and methods of use thereof. Specifically, we have exclusively in-licensed one patent family from the President and Fellows of Harvard College and wholly own two patents families, relating Fc-relaxin fusion protein compositions (including TX45) and methods of use thereof. The in-licensed patent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May 2041. The first wholly owned patent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November 2042, and the second family consists of one pending Patent Cooperation Treaty application, one pending U.S. non-provisional patent application, and one pending foreign application in Taiwan, with any patent issuing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applications having an expected 20-year expiry date of not earlier than May 2044.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 </w:t>
      </w:r>
    </w:p>
    <w:p>
      <w:pPr>
        <w:pStyle w:val="TextBody"/>
        <w:bidi w:val="0"/>
        <w:spacing w:before="240" w:after="0"/>
        <w:jc w:val="left"/>
        <w:rPr>
          <w:rFonts w:ascii="Times New Roman" w:hAnsi="Times New Roman"/>
          <w:sz w:val="20"/>
        </w:rPr>
      </w:pPr>
      <w:r>
        <w:rPr>
          <w:rFonts w:ascii="Times New Roman" w:hAnsi="Times New Roman"/>
          <w:sz w:val="20"/>
        </w:rPr>
        <w:t>Our commercial success will also depend in part on not infringing upon the proprietary rights of third parties. It is uncertain whether the issuance of any third-party patent would require us to alter our development or commercial strategies, or its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w:t>
      </w:r>
      <w:r>
        <w:rPr>
          <w:rFonts w:ascii="Times New Roman" w:hAnsi="Times New Roman"/>
          <w:i/>
          <w:sz w:val="20"/>
        </w:rPr>
        <w:t>Risk Factors — Risks Related to Intellectual Property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Given our stage of development, we have not yet established a commercial organization or distribution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own or operate manufacturing facilities for the production of clinical or commercial quantities of our lead product candidate TX45. We currently rely, and expect to continue to rely for the foreseeable future, on third-party contract development and manufacturing organizations (“CDMOs”) to produce our product candidates for preclinical and clinical testing, as well as for future commercial manufacture of any products that we may commercialize. </w:t>
      </w:r>
    </w:p>
    <w:p>
      <w:pPr>
        <w:pStyle w:val="TextBody"/>
        <w:bidi w:val="0"/>
        <w:spacing w:before="240" w:after="0"/>
        <w:jc w:val="left"/>
        <w:rPr>
          <w:rFonts w:ascii="Times New Roman" w:hAnsi="Times New Roman"/>
          <w:sz w:val="20"/>
        </w:rPr>
      </w:pPr>
      <w:r>
        <w:rPr>
          <w:rFonts w:ascii="Times New Roman" w:hAnsi="Times New Roman"/>
          <w:sz w:val="20"/>
        </w:rPr>
        <w:t xml:space="preserve">We require our CDMOs to conduct manufacturing activities in compliance with Current Good Manufacturing Practices (“CGMPs”) requirements. We have assembled a team of experienced employees and consultants to provide the necessary technical, quality and regulatory oversight over its CDMOs. Currently, we contract with two third-party manufacturers, including WuXi Biologics, to provide biologics development and manufacturing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our product candidates. In the future, we may engage additional third-party manufacturers to support any clinical trials for TX45 and TX2100 as well as commercialization of TX45, if approved, in the United States or other jurisdictions or the clinical development and potential commercialization of additional programs from our pipeline. </w:t>
      </w:r>
    </w:p>
    <w:p>
      <w:pPr>
        <w:pStyle w:val="TextBody"/>
        <w:bidi w:val="0"/>
        <w:spacing w:before="240" w:after="0"/>
        <w:jc w:val="left"/>
        <w:rPr>
          <w:rFonts w:ascii="Times New Roman" w:hAnsi="Times New Roman"/>
          <w:sz w:val="20"/>
        </w:rPr>
      </w:pPr>
      <w:r>
        <w:rPr>
          <w:rFonts w:ascii="Times New Roman" w:hAnsi="Times New Roman"/>
          <w:sz w:val="20"/>
        </w:rPr>
        <w:t xml:space="preserve">We rely on WuXi Biologics to perform all chemistry, manufacturing, and controls (“CMC”) activities related to our TX45 program. We require that WuXi Biologics produces bulk drug substances and finished drug products in accordance with CGMPs, and all other applicable laws and regulations. In addition, we rely on WuXi Biologics to operate facilities that meet regulatory requirements for production and testing of clinical and commercial products and to work closely with us to validate manufacturing processes prior to commercial launch. We oversee WuXi Biologics by performing technical and quality assurance review and/or approval of CGMP documentation, establishing quality agreements to define responsibilities and expectations for goods and services, and observing production and testing activities, among other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 </w:t>
      </w:r>
    </w:p>
    <w:p>
      <w:pPr>
        <w:pStyle w:val="TextBody"/>
        <w:bidi w:val="0"/>
        <w:spacing w:before="240" w:after="0"/>
        <w:jc w:val="left"/>
        <w:rPr>
          <w:rFonts w:ascii="Times New Roman" w:hAnsi="Times New Roman"/>
          <w:sz w:val="20"/>
        </w:rPr>
      </w:pPr>
      <w:r>
        <w:rPr>
          <w:rFonts w:ascii="Times New Roman" w:hAnsi="Times New Roman"/>
          <w:sz w:val="20"/>
        </w:rPr>
        <w:t xml:space="preserve">We face competition from companies that are pursuing development of engineered proteins or small molecule agonists of relaxin including AstraZeneca, who is currently conducting Phase 2 trials. To our knowledge, Astra Zeneca is pursuing either the broader Heart Failure population or Group 2 PH in the setting of either HFpEF or HFrEF without enrichment for CpCPH patients. </w:t>
      </w:r>
    </w:p>
    <w:p>
      <w:pPr>
        <w:pStyle w:val="TextBody"/>
        <w:bidi w:val="0"/>
        <w:spacing w:before="240" w:after="0"/>
        <w:jc w:val="left"/>
        <w:rPr>
          <w:rFonts w:ascii="Times New Roman" w:hAnsi="Times New Roman"/>
          <w:sz w:val="20"/>
        </w:rPr>
      </w:pPr>
      <w:r>
        <w:rPr>
          <w:rFonts w:ascii="Times New Roman" w:hAnsi="Times New Roman"/>
          <w:sz w:val="20"/>
        </w:rPr>
        <w:t xml:space="preserve">In the HHT space, Vaderis has been pursuing development of an oral AKT inhibitor and Diagonal Therapeutics has been pursuing agonist antibodies for the treatment of this condition. Investigator-initiated studies of nintendanib (Boehringer Ingelheim) and pazopanib (Novartis) are also ongoing to explore the potential utility of these kinase inhibitors to treat this condition. </w:t>
      </w:r>
    </w:p>
    <w:p>
      <w:pPr>
        <w:pStyle w:val="TextBody"/>
        <w:bidi w:val="0"/>
        <w:spacing w:before="240" w:after="0"/>
        <w:jc w:val="left"/>
        <w:rPr>
          <w:rFonts w:ascii="Times New Roman" w:hAnsi="Times New Roman"/>
          <w:sz w:val="20"/>
        </w:rPr>
      </w:pPr>
      <w:r>
        <w:rPr>
          <w:rFonts w:ascii="Times New Roman" w:hAnsi="Times New Roman"/>
          <w:sz w:val="20"/>
        </w:rPr>
        <w:t xml:space="preserve">Our focus on biologic drugs differentiates us from many competitor GPCR companies whose primary focus is on small molecule drug discovery. Additionally, our GPCR membrane protein biochemistry experience, which is key for generating optimally stabilized and formulated receptors for antibody selection campaigns, combined with our experience using novel antigen formats differentiates us from in vitro display based antibody discovery. Specifically, our use of membrane mimetics that help maintain native receptor extra-cellular domain conformations combined with the membrane protein biochemistry expertise that we have built over the last three years is a key point of potential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Licensure and regulation of biologics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any product candidates we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w:t>
      </w:r>
    </w:p>
    <w:p>
      <w:pPr>
        <w:pStyle w:val="TextBody"/>
        <w:bidi w:val="0"/>
        <w:spacing w:before="240" w:after="0"/>
        <w:jc w:val="left"/>
        <w:rPr>
          <w:rFonts w:ascii="Times New Roman" w:hAnsi="Times New Roman"/>
          <w:sz w:val="20"/>
        </w:rPr>
      </w:pPr>
      <w:r>
        <w:rPr>
          <w:rFonts w:ascii="Times New Roman" w:hAnsi="Times New Roman"/>
          <w:sz w:val="20"/>
        </w:rPr>
        <w:t xml:space="preserve">An applicant seeking approval to market and distribute a new biologic in the United States generally must satisfactorily complete each of the following steps: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preclinical laboratory tests, animal studies and formulation studies performed in accordance with the FDA’s applicable Good Laboratory Practices (“GLP”)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manufacture, under current good manufacturing practices (“CGMP”) conditions, of the drug substance and drug product that the sponsor intends to use in human clinical trials along with required analytical and stability testing;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application for human clinical testing, which must become effective before human clinical trials may begin;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IRB representing each clinical site before each clinical trial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potency and purity of the product candidate for each proposed indication, in accordance with current good clinical practices (“GCP”)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BLA for a biological product requesting marketing for one or more proposed indications, including submission of detailed information on the manufacture and composition of the product in clinical development and proposed labelling;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by an FDA advisory committee, where appropriate or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any FDA audits of the preclinical studies and clinical trial sites to assure compliance with GLP, as applicable, and GCP, and the integrity of clinical data in support of the BLA;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Prescription Drug User Fee Act (“PDUFA”) fees, securing FDA approval of the BLA and licensure of the new biological product;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any post-approval studies or other post- marketing commitments required by the FDA.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Preclinical studies and investigational new drug application </w:t>
      </w:r>
    </w:p>
    <w:p>
      <w:pPr>
        <w:pStyle w:val="TextBody"/>
        <w:bidi w:val="0"/>
        <w:spacing w:before="120" w:after="0"/>
        <w:jc w:val="left"/>
        <w:rPr>
          <w:rFonts w:ascii="Times New Roman" w:hAnsi="Times New Roman"/>
          <w:sz w:val="20"/>
        </w:rPr>
      </w:pPr>
      <w:r>
        <w:rPr>
          <w:rFonts w:ascii="Times New Roman" w:hAnsi="Times New Roman"/>
          <w:sz w:val="20"/>
        </w:rPr>
        <w:t xml:space="preserve">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w:t>
      </w:r>
    </w:p>
    <w:p>
      <w:pPr>
        <w:pStyle w:val="TextBody"/>
        <w:bidi w:val="0"/>
        <w:spacing w:before="240" w:after="0"/>
        <w:jc w:val="left"/>
        <w:rPr>
          <w:rFonts w:ascii="Times New Roman" w:hAnsi="Times New Roman"/>
          <w:sz w:val="20"/>
        </w:rPr>
      </w:pPr>
      <w:r>
        <w:rPr>
          <w:rFonts w:ascii="Times New Roman" w:hAnsi="Times New Roman"/>
          <w:sz w:val="20"/>
        </w:rPr>
        <w:t xml:space="preserve">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 </w:t>
      </w:r>
    </w:p>
    <w:p>
      <w:pPr>
        <w:pStyle w:val="TextBody"/>
        <w:bidi w:val="0"/>
        <w:spacing w:before="240" w:after="0"/>
        <w:jc w:val="left"/>
        <w:rPr>
          <w:rFonts w:ascii="Times New Roman" w:hAnsi="Times New Roman"/>
          <w:sz w:val="20"/>
        </w:rPr>
      </w:pPr>
      <w:r>
        <w:rPr>
          <w:rFonts w:ascii="Times New Roman" w:hAnsi="Times New Roman"/>
          <w:sz w:val="20"/>
        </w:rPr>
        <w:t xml:space="preserve">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trials or future clinical trials in a timely manner. </w:t>
      </w:r>
    </w:p>
    <w:p>
      <w:pPr>
        <w:pStyle w:val="TextBody"/>
        <w:bidi w:val="0"/>
        <w:spacing w:before="360" w:after="0"/>
        <w:jc w:val="left"/>
        <w:rPr>
          <w:rFonts w:ascii="Times New Roman" w:hAnsi="Times New Roman"/>
          <w:i/>
          <w:sz w:val="20"/>
        </w:rPr>
      </w:pPr>
      <w:r>
        <w:rPr>
          <w:rFonts w:ascii="Times New Roman" w:hAnsi="Times New Roman"/>
          <w:i/>
          <w:sz w:val="20"/>
        </w:rPr>
        <w:t xml:space="preserve">Human clinical trials in support of a BLA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before="240" w:after="0"/>
        <w:jc w:val="left"/>
        <w:rPr>
          <w:rFonts w:ascii="Times New Roman" w:hAnsi="Times New Roman"/>
          <w:sz w:val="20"/>
        </w:rPr>
      </w:pPr>
      <w:r>
        <w:rPr>
          <w:rFonts w:ascii="Times New Roman" w:hAnsi="Times New Roman"/>
          <w:sz w:val="20"/>
        </w:rPr>
        <w:t xml:space="preserve">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typically are conducted in three sequential phases, but the phases may overlap or be combined. Additional studies may be required after approval. </w:t>
      </w:r>
    </w:p>
    <w:p>
      <w:pPr>
        <w:pStyle w:val="TextBody"/>
        <w:bidi w:val="0"/>
        <w:spacing w:before="240" w:after="0"/>
        <w:jc w:val="left"/>
        <w:rPr>
          <w:rFonts w:ascii="Times New Roman" w:hAnsi="Times New Roman"/>
          <w:sz w:val="20"/>
        </w:rPr>
      </w:pPr>
      <w:r>
        <w:rPr>
          <w:rFonts w:ascii="Times New Roman" w:hAnsi="Times New Roman"/>
          <w:i/>
          <w:sz w:val="20"/>
        </w:rPr>
        <w:t xml:space="preserve">Phase 1 </w:t>
      </w:r>
      <w:r>
        <w:rPr>
          <w:rFonts w:ascii="Times New Roman" w:hAnsi="Times New Roman"/>
          <w:sz w:val="20"/>
        </w:rPr>
        <w:t xml:space="preserve">clinical trials are initially conducted in a limited population to test the product candidate for safety, including adverse effects, dose tolerance, absorption, metabolism, distribution, excretion and pharmacodynamics in healthy humans or, on occasion, in patients. </w:t>
      </w:r>
    </w:p>
    <w:p>
      <w:pPr>
        <w:pStyle w:val="TextBody"/>
        <w:bidi w:val="0"/>
        <w:spacing w:before="240" w:after="0"/>
        <w:jc w:val="left"/>
        <w:rPr>
          <w:rFonts w:ascii="Times New Roman" w:hAnsi="Times New Roman"/>
          <w:sz w:val="20"/>
        </w:rPr>
      </w:pPr>
      <w:r>
        <w:rPr>
          <w:rFonts w:ascii="Times New Roman" w:hAnsi="Times New Roman"/>
          <w:i/>
          <w:sz w:val="20"/>
        </w:rPr>
        <w:t xml:space="preserve">Phase 2 </w:t>
      </w:r>
      <w:r>
        <w:rPr>
          <w:rFonts w:ascii="Times New Roman" w:hAnsi="Times New Roman"/>
          <w:sz w:val="20"/>
        </w:rPr>
        <w:t xml:space="preserve">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w:t>
      </w:r>
    </w:p>
    <w:p>
      <w:pPr>
        <w:pStyle w:val="TextBody"/>
        <w:bidi w:val="0"/>
        <w:spacing w:before="240" w:after="0"/>
        <w:jc w:val="left"/>
        <w:rPr>
          <w:rFonts w:ascii="Times New Roman" w:hAnsi="Times New Roman"/>
          <w:sz w:val="20"/>
        </w:rPr>
      </w:pPr>
      <w:r>
        <w:rPr>
          <w:rFonts w:ascii="Times New Roman" w:hAnsi="Times New Roman"/>
          <w:i/>
          <w:sz w:val="20"/>
        </w:rPr>
        <w:t xml:space="preserve">Phase 3 </w:t>
      </w:r>
      <w:r>
        <w:rPr>
          <w:rFonts w:ascii="Times New Roman" w:hAnsi="Times New Roman"/>
          <w:sz w:val="20"/>
        </w:rPr>
        <w:t xml:space="preserve">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 </w:t>
      </w:r>
    </w:p>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applicable clinical trials must be submitted within specific timeframes to the National Institutes of Health (“NIH”) for public dissemination on its </w:t>
      </w:r>
      <w:r>
        <w:rPr>
          <w:rFonts w:ascii="Times New Roman" w:hAnsi="Times New Roman"/>
          <w:i/>
          <w:sz w:val="20"/>
        </w:rPr>
        <w:t xml:space="preserve">ClinicalTrials.gov </w:t>
      </w:r>
      <w:r>
        <w:rPr>
          <w:rFonts w:ascii="Times New Roman" w:hAnsi="Times New Roman"/>
          <w:sz w:val="20"/>
        </w:rPr>
        <w:t xml:space="preserve">website.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studies </w:t>
      </w:r>
    </w:p>
    <w:p>
      <w:pPr>
        <w:pStyle w:val="TextBody"/>
        <w:bidi w:val="0"/>
        <w:spacing w:before="120" w:after="0"/>
        <w:jc w:val="left"/>
        <w:rPr>
          <w:rFonts w:ascii="Times New Roman" w:hAnsi="Times New Roman"/>
          <w:sz w:val="20"/>
        </w:rPr>
      </w:pPr>
      <w:r>
        <w:rPr>
          <w:rFonts w:ascii="Times New Roman" w:hAnsi="Times New Roman"/>
          <w:sz w:val="20"/>
        </w:rPr>
        <w:t xml:space="preserve">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Compliance with CGMP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w:t>
      </w:r>
    </w:p>
    <w:p>
      <w:pPr>
        <w:pStyle w:val="TextBody"/>
        <w:bidi w:val="0"/>
        <w:spacing w:before="360" w:after="0"/>
        <w:jc w:val="left"/>
        <w:rPr>
          <w:rFonts w:ascii="Times New Roman" w:hAnsi="Times New Roman"/>
          <w:i/>
          <w:sz w:val="20"/>
        </w:rPr>
      </w:pPr>
      <w:r>
        <w:rPr>
          <w:rFonts w:ascii="Times New Roman" w:hAnsi="Times New Roman"/>
          <w:i/>
          <w:sz w:val="20"/>
        </w:rPr>
        <w:t xml:space="preserve">Review and approval of a BLA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Expedited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bidi w:val="0"/>
        <w:spacing w:before="240" w:after="0"/>
        <w:jc w:val="left"/>
        <w:rPr>
          <w:rFonts w:ascii="Times New Roman" w:hAnsi="Times New Roman"/>
          <w:sz w:val="20"/>
        </w:rPr>
      </w:pPr>
      <w:r>
        <w:rPr>
          <w:rFonts w:ascii="Times New Roman" w:hAnsi="Times New Roman"/>
          <w:sz w:val="20"/>
        </w:rPr>
        <w:t xml:space="preserve">Any product candidate submitted to the FDA for marketing, including under a Fast Track program, may be eligible for other types of FDA programs intended to expedite development and review, such as breakthrough therapy designation, priority review and accelerated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Breakthrough therapy designation. </w:t>
            </w:r>
            <w:r>
              <w:rPr>
                <w:rFonts w:ascii="Times New Roman" w:hAnsi="Times New Roman"/>
                <w:sz w:val="20"/>
              </w:rPr>
              <w:t xml:space="preserve">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Priority review. </w:t>
            </w:r>
            <w:r>
              <w:rPr>
                <w:rFonts w:ascii="Times New Roman" w:hAnsi="Times New Roman"/>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Accelerated approval. </w:t>
            </w:r>
            <w:r>
              <w:rPr>
                <w:rFonts w:ascii="Times New Roman" w:hAnsi="Times New Roman"/>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these expedited programs change the standards for approval but they may help expedite the development or approval process of product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If regulatory approval for marketing of a product or new indication for an existing product is obtained, the sponsor will be required to comply with all regular post-approval regulatory requirements as well as any post- 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trials to assess new safety risks; or imposition of distribution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 seizure or detention, or refusal to permit the import or export of products;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bidi w:val="0"/>
        <w:spacing w:before="360" w:after="0"/>
        <w:jc w:val="left"/>
        <w:rPr>
          <w:rFonts w:ascii="Times New Roman" w:hAnsi="Times New Roman"/>
          <w:i/>
          <w:sz w:val="20"/>
        </w:rPr>
      </w:pPr>
      <w:r>
        <w:rPr>
          <w:rFonts w:ascii="Times New Roman" w:hAnsi="Times New Roman"/>
          <w:i/>
          <w:sz w:val="20"/>
        </w:rPr>
        <w:t xml:space="preserve">Biosimilars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several guidance documents outlining an approach to review and approval of biosimilars. Additional guidance is expected to be finalized by the FDA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administered multiple times) that the biologic and the reference biologic may be switched after one has been previously administered without increasing safety risks or risks of diminished efficacy relative to exclusive use of the reference biologic.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many states have passed laws or amendments to laws, including laws governing pharmacy practices, which are state-regulated, to regulate the use of biosimilars. </w:t>
      </w:r>
    </w:p>
    <w:p>
      <w:pPr>
        <w:pStyle w:val="TextBody"/>
        <w:bidi w:val="0"/>
        <w:spacing w:before="360" w:after="0"/>
        <w:jc w:val="left"/>
        <w:rPr>
          <w:rFonts w:ascii="Times New Roman" w:hAnsi="Times New Roman"/>
          <w:i/>
          <w:sz w:val="20"/>
        </w:rPr>
      </w:pPr>
      <w:r>
        <w:rPr>
          <w:rFonts w:ascii="Times New Roman" w:hAnsi="Times New Roman"/>
          <w:i/>
          <w:sz w:val="20"/>
        </w:rPr>
        <w:t xml:space="preserve">Patent term restoration and extension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before="360" w:after="0"/>
        <w:jc w:val="left"/>
        <w:rPr>
          <w:rFonts w:ascii="Times New Roman" w:hAnsi="Times New Roman"/>
          <w:i/>
          <w:sz w:val="20"/>
        </w:rPr>
      </w:pPr>
      <w:r>
        <w:rPr>
          <w:rFonts w:ascii="Times New Roman" w:hAnsi="Times New Roman"/>
          <w:i/>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play a primary role in the recommendation and prescription of any product candidates that we may develop for which we obtain marketing approval. Our current and future arrangements with third-party payors, healthcare providers and customers may implicate broadly applicable fraud and abuse and other healthcare laws and regulations. Restrictions under applicable federal and state healthcare laws and regulations, including certain laws and regulations applicable only if we have marketed products,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(such as physician assistants and nurse practitioners) and teaching hospitals, as well as ownership and investment interests held by the physicians described above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anti-bribery and false claims laws, which may apply to healthcare items or services that are reimbursed by non-governmental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and additional modifications or repeal may occur. </w:t>
      </w:r>
    </w:p>
    <w:p>
      <w:pPr>
        <w:pStyle w:val="TextBody"/>
        <w:bidi w:val="0"/>
        <w:spacing w:before="240" w:after="0"/>
        <w:jc w:val="left"/>
        <w:rPr>
          <w:rFonts w:ascii="Times New Roman" w:hAnsi="Times New Roman"/>
          <w:sz w:val="20"/>
        </w:rPr>
      </w:pPr>
      <w:r>
        <w:rPr>
          <w:rFonts w:ascii="Times New Roman" w:hAnsi="Times New Roman"/>
          <w:sz w:val="20"/>
        </w:rPr>
        <w:t xml:space="preserve">In August 2022, the Inflation Reduction Act of 2022 (“IRA”) was signed into law. The IRA contains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single-source high-cost biologics that have been on the market for at least 11 years without generic or biosimilar competition (the “Medicare Drug Price Negotiation Program”);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15, 2024, HHS announced the agreed-upon price of the first ten drugs that were subject to price negotiations, although there is currently ongoing litigation challenging the constitutionality of the IRA’s Medicare Drug Price Negotiation Program. On January 17, 2025, HHS selected fifteen additional products covered under Part D for price negotiation in 2025. Each year thereafter more Part B and Part D products will become subject to the Medicare Drug Price Negotiation Program. Further, on December 8, 2023, the National Institute of Standards and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t>
      </w:r>
    </w:p>
    <w:p>
      <w:pPr>
        <w:pStyle w:val="TextBody"/>
        <w:bidi w:val="0"/>
        <w:spacing w:before="240" w:after="0"/>
        <w:jc w:val="left"/>
        <w:rPr>
          <w:rFonts w:ascii="Times New Roman" w:hAnsi="Times New Roman"/>
          <w:sz w:val="20"/>
        </w:rPr>
      </w:pPr>
      <w:r>
        <w:rPr>
          <w:rFonts w:ascii="Times New Roman" w:hAnsi="Times New Roman"/>
          <w:sz w:val="20"/>
        </w:rPr>
        <w:t>In addition to pricing regulations, reforms of regulatory approval frameworks may adversely affect our pricing strategy.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240" w:after="0"/>
        <w:jc w:val="left"/>
        <w:rPr>
          <w:rFonts w:ascii="Times New Roman" w:hAnsi="Times New Roman"/>
          <w:sz w:val="20"/>
        </w:rPr>
      </w:pPr>
      <w:r>
        <w:rPr>
          <w:rFonts w:ascii="Times New Roman" w:hAnsi="Times New Roman"/>
          <w:sz w:val="20"/>
        </w:rPr>
        <w:t xml:space="preserve">In the European Union, similar political, economic and regulatory developments may affect our ability to profitably commercialize our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any product candidates we may develop to other available therapies. If reimbursement of our products is unavailable or limited in scope or amount, or if pricing is set at unsatisfactory levels, our business could be harmed, possibly materially. </w:t>
      </w:r>
    </w:p>
    <w:p>
      <w:pPr>
        <w:pStyle w:val="TextBody"/>
        <w:bidi w:val="0"/>
        <w:spacing w:before="360" w:after="0"/>
        <w:jc w:val="left"/>
        <w:rPr>
          <w:rFonts w:ascii="Times New Roman" w:hAnsi="Times New Roman"/>
          <w:i/>
          <w:sz w:val="20"/>
        </w:rPr>
      </w:pPr>
      <w:r>
        <w:rPr>
          <w:rFonts w:ascii="Times New Roman" w:hAnsi="Times New Roman"/>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third-party payor may depend upon a number of factors, including the third-party payor’s determination that use of a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United States, there is no uniform policy of coverage and reimbursement for products that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 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Our ability to achieve acceptable levels of coverage and reimbursement for our product candidates, if approved, by governmental authorities, private health insurers and other organizations will have an effect on our ability to successfully commercialize, our product candidates. Assuming we obtain coverage for a given product by a third-party payor, the resulting reimbursement payment rates may not be adequate or may require patient out-of-pocket costs that patients find unacceptably high.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we may not be able to successfully commercialize any product candidate for which we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have a material adverse effect on our operating results, our ability to raise capital needed to commercialize products and our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we will be required to comply with comparable regulations in each jurisdiction outside of the United States in which we choose to manufacture, develop or seek marketing authorization for our product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Union drug development </w:t>
      </w:r>
    </w:p>
    <w:p>
      <w:pPr>
        <w:pStyle w:val="TextBody"/>
        <w:bidi w:val="0"/>
        <w:spacing w:before="120" w:after="0"/>
        <w:jc w:val="left"/>
        <w:rPr>
          <w:rFonts w:ascii="Times New Roman" w:hAnsi="Times New Roman"/>
          <w:sz w:val="20"/>
        </w:rPr>
      </w:pPr>
      <w:r>
        <w:rPr>
          <w:rFonts w:ascii="Times New Roman" w:hAnsi="Times New Roman"/>
          <w:sz w:val="20"/>
        </w:rPr>
        <w:t xml:space="preserve">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 </w:t>
      </w:r>
    </w:p>
    <w:p>
      <w:pPr>
        <w:pStyle w:val="TextBody"/>
        <w:bidi w:val="0"/>
        <w:spacing w:before="240" w:after="0"/>
        <w:jc w:val="left"/>
        <w:rPr>
          <w:rFonts w:ascii="Times New Roman" w:hAnsi="Times New Roman"/>
          <w:sz w:val="20"/>
        </w:rPr>
      </w:pPr>
      <w:r>
        <w:rPr>
          <w:rFonts w:ascii="Times New Roman" w:hAnsi="Times New Roman"/>
          <w:sz w:val="20"/>
        </w:rPr>
        <w:t xml:space="preserve">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Union drug review and approval </w:t>
      </w:r>
    </w:p>
    <w:p>
      <w:pPr>
        <w:pStyle w:val="TextBody"/>
        <w:bidi w:val="0"/>
        <w:spacing w:before="120" w:after="0"/>
        <w:jc w:val="left"/>
        <w:rPr>
          <w:rFonts w:ascii="Times New Roman" w:hAnsi="Times New Roman"/>
          <w:sz w:val="20"/>
        </w:rPr>
      </w:pPr>
      <w:r>
        <w:rPr>
          <w:rFonts w:ascii="Times New Roman" w:hAnsi="Times New Roman"/>
          <w:sz w:val="20"/>
        </w:rPr>
        <w:t xml:space="preserve">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for our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 </w:t>
      </w:r>
    </w:p>
    <w:p>
      <w:pPr>
        <w:pStyle w:val="TextBody"/>
        <w:bidi w:val="0"/>
        <w:spacing w:before="240" w:after="0"/>
        <w:jc w:val="left"/>
        <w:rPr>
          <w:rFonts w:ascii="Times New Roman" w:hAnsi="Times New Roman"/>
          <w:sz w:val="20"/>
        </w:rPr>
      </w:pPr>
      <w:r>
        <w:rPr>
          <w:rFonts w:ascii="Times New Roman" w:hAnsi="Times New Roman"/>
          <w:sz w:val="20"/>
        </w:rPr>
        <w:t xml:space="preserve">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 </w:t>
      </w:r>
    </w:p>
    <w:p>
      <w:pPr>
        <w:pStyle w:val="TextBody"/>
        <w:bidi w:val="0"/>
        <w:spacing w:before="360" w:after="0"/>
        <w:jc w:val="left"/>
        <w:rPr>
          <w:rFonts w:ascii="Times New Roman" w:hAnsi="Times New Roman"/>
          <w:i/>
          <w:sz w:val="20"/>
        </w:rPr>
      </w:pPr>
      <w:r>
        <w:rPr>
          <w:rFonts w:ascii="Times New Roman" w:hAnsi="Times New Roman"/>
          <w:i/>
          <w:sz w:val="20"/>
        </w:rPr>
        <w:t xml:space="preserve">Data protection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our industry) with respect to the processing of personal data and the cross-border transfer of such data. We will be subject to the GDPR to the extent we process the personal data of individuals based in the EEA/UK.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51 full-time employees, 41 of whom were primarily engaged in research and development activities, and 22 of our employees had an M.D. or Ph.D. degree. None of our employees are represented by a labor union and we consider our employee relations to be good. </w:t>
      </w:r>
    </w:p>
    <w:p>
      <w:pPr>
        <w:pStyle w:val="TextBody"/>
        <w:bidi w:val="0"/>
        <w:spacing w:before="240" w:after="0"/>
        <w:jc w:val="left"/>
        <w:rPr>
          <w:rFonts w:ascii="Times New Roman" w:hAnsi="Times New Roman"/>
          <w:sz w:val="20"/>
        </w:rPr>
      </w:pPr>
      <w:r>
        <w:rPr>
          <w:rFonts w:ascii="Times New Roman" w:hAnsi="Times New Roman"/>
          <w:sz w:val="20"/>
        </w:rPr>
        <w:t xml:space="preserve">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“TECX”.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in November 2015. Legacy Tectonic was incorporated under the laws of the State of Delaware in June 2019. Following the Merger with Tectonic Operating Company, Inc. (formerly Tectonic Therapeutic, Inc.) on June 20, 2024, we changed our name from AVROBIO, Inc. to Tectonic Therapeutic, Inc. Our principal executive office is located at 490 Arsenal Way, Suite 210, Watertown, Massachusetts 02472, and our telephone number is (339) 666-3320. </w:t>
      </w:r>
    </w:p>
    <w:p>
      <w:pPr>
        <w:pStyle w:val="TextBody"/>
        <w:bidi w:val="0"/>
        <w:spacing w:before="240" w:after="0"/>
        <w:jc w:val="left"/>
        <w:rPr>
          <w:rFonts w:ascii="Times New Roman" w:hAnsi="Times New Roman"/>
          <w:sz w:val="20"/>
        </w:rPr>
      </w:pPr>
      <w:r>
        <w:rPr>
          <w:rFonts w:ascii="Times New Roman" w:hAnsi="Times New Roman"/>
          <w:sz w:val="20"/>
        </w:rPr>
        <w:t xml:space="preserve">Our headquarters consist of approximately 19,000 square feet of leased research laboratory and office space under a lease that expires in January 2026. We believe that our facilities are adequate to meet our current needs.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website is www.tectonictx.com. We may use our website to comply with disclosure obligations under Regulation FD. Therefore, investors should monitor our website in addition to following its press releases, filings with the SEC, public conference calls, and webcasts. The contents of our website are not intended to be incorporated by reference into this prospectus or in any other report or document we file with the SEC, and any references to our websites are intended to be inactive textual references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63285_9"/>
      <w:bookmarkEnd w:id="11"/>
      <w:r>
        <w:rPr>
          <w:rFonts w:ascii="Times New Roman" w:hAnsi="Times New Roman"/>
          <w:b/>
          <w:sz w:val="20"/>
        </w:rPr>
        <w:t xml:space="preserve">MANAGEMENT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lists the names and ages, as of December 31, 2024, and positions of our executive officers and directors: </w:t>
      </w:r>
    </w:p>
    <w:p>
      <w:pPr>
        <w:pStyle w:val="TextBody"/>
        <w:bidi w:val="0"/>
        <w:spacing w:before="0" w:after="0"/>
        <w:jc w:val="left"/>
        <w:rPr/>
      </w:pPr>
      <w:r>
        <w:rPr/>
        <w:t> </w:t>
      </w:r>
    </w:p>
    <w:tbl>
      <w:tblPr>
        <w:tblW w:w="7920" w:type="dxa"/>
        <w:jc w:val="left"/>
        <w:tblInd w:w="0" w:type="dxa"/>
        <w:tblLayout w:type="fixed"/>
        <w:tblCellMar>
          <w:top w:w="0" w:type="dxa"/>
          <w:left w:w="0" w:type="dxa"/>
          <w:bottom w:w="0" w:type="dxa"/>
          <w:right w:w="0" w:type="dxa"/>
        </w:tblCellMar>
      </w:tblPr>
      <w:tblGrid>
        <w:gridCol w:w="2660"/>
        <w:gridCol w:w="120"/>
        <w:gridCol w:w="79"/>
        <w:gridCol w:w="346"/>
        <w:gridCol w:w="60"/>
        <w:gridCol w:w="120"/>
        <w:gridCol w:w="453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6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President, Chief Executive Officer and Director</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Chief Financial Officer</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Scientific Officer</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Chief Medical Officer</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Business Officer</w:t>
            </w:r>
          </w:p>
        </w:tc>
      </w:tr>
      <w:tr>
        <w:trPr/>
        <w:tc>
          <w:tcPr>
            <w:tcW w:w="26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 M.S.,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 M.S., M.B.A.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Alise Reicin, M.D.</w:t>
      </w:r>
      <w:r>
        <w:rPr>
          <w:rFonts w:ascii="Times New Roman" w:hAnsi="Times New Roman"/>
          <w:sz w:val="20"/>
        </w:rPr>
        <w:t xml:space="preserve">, has served as our President and Chief Executive Officer and member of our Board since August 2020. Prior to joining Tectonic, Dr. Reicin served as President, Global Clinical Development at Celgene Corporation, public pharmaceutical company, from November 2018 to December 2019 and was a member of the Executive Committee. Prior to Celgene, she served as Head of Global Clinical Development at EMD Serono Inc., a privately held pharmaceutical company, from May 2015 to October2018.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previously served on the board of directors of Homology Medicines, Inc., a public biopharmaceutical company and currently serves on the board of directors of Sana Biotechnology, Inc., a public cell and gene therapy company and Immatics, a company focused on the development of immunotherapies for cancer. She also serves on the board of directors of Sharsheret, a nonprofit devoted to improving the lives of patients and families with or at increased risk of ovarian and breast cancer. Dr. Reicin earned a B.A. in Biochemistry from Barnard College of Columbia University. She earned a M.D. in Medicine from Harvard University. We believe that Dr. Reicin is qualified to serve on our Board due to her clinical expertise and leadership roles in the biotechnology and biopharmaceuticals industry. </w:t>
      </w:r>
    </w:p>
    <w:p>
      <w:pPr>
        <w:pStyle w:val="TextBody"/>
        <w:bidi w:val="0"/>
        <w:spacing w:before="240" w:after="0"/>
        <w:jc w:val="left"/>
        <w:rPr>
          <w:rFonts w:ascii="Times New Roman" w:hAnsi="Times New Roman"/>
          <w:sz w:val="20"/>
        </w:rPr>
      </w:pPr>
      <w:r>
        <w:rPr>
          <w:rFonts w:ascii="Times New Roman" w:hAnsi="Times New Roman"/>
          <w:b/>
          <w:sz w:val="20"/>
        </w:rPr>
        <w:t>Daniel Lochner, M.B.A.</w:t>
      </w:r>
      <w:r>
        <w:rPr>
          <w:rFonts w:ascii="Times New Roman" w:hAnsi="Times New Roman"/>
          <w:sz w:val="20"/>
        </w:rPr>
        <w:t xml:space="preserve">, has served as our Chief Financial Officer since June 2024. Mr. Lochner most recently served as Chief Financial Officer and Chief Business Officer for the Eye Care Division of Viatris Inc., a global healthcare company, from 2023 to 2024. Prior to Viatris, Mr. Lochner was the Chief Financial Officer and Chief Business Officer of Oyster Point Pharma, Inc., a biotechnology company that was acquired by Viatris in 2023, from 2019 to 2023 where he led a successful initial public offering, other equity and debt financings, the transition to a commercial-stage company and the acquisition to Viatris. Previously, Mr. Lochner was a Managing Director within the Investment Management Division of Goldman, Sachs &amp; Co where he served as a lead equity portfolio manager and healthcare investor for various fund strategies. Mr. Lochner joined the Investment Management Division of Goldman, Sachs &amp; Co in 2005 as an equity investor, a position he maintained during his tenure at the firm. Mr. Lochner received a B.A. in Economics from the University of Richmond and an M.B.A. from Columbia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Peter McNamara, Ph.D.</w:t>
      </w:r>
      <w:r>
        <w:rPr>
          <w:rFonts w:ascii="Times New Roman" w:hAnsi="Times New Roman"/>
          <w:sz w:val="20"/>
        </w:rPr>
        <w:t xml:space="preserve">, has served as our Chief Scientific Officer since June 2022. Prior to that, Dr. McNamara served as our Senior Vice President, Head of Research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 </w:t>
      </w:r>
    </w:p>
    <w:p>
      <w:pPr>
        <w:pStyle w:val="TextBody"/>
        <w:bidi w:val="0"/>
        <w:spacing w:before="240" w:after="0"/>
        <w:jc w:val="left"/>
        <w:rPr>
          <w:rFonts w:ascii="Times New Roman" w:hAnsi="Times New Roman"/>
          <w:sz w:val="20"/>
        </w:rPr>
      </w:pPr>
      <w:r>
        <w:rPr>
          <w:rFonts w:ascii="Times New Roman" w:hAnsi="Times New Roman"/>
          <w:b/>
          <w:sz w:val="20"/>
        </w:rPr>
        <w:t xml:space="preserve">Marcella K. Ruddy, M.D., </w:t>
      </w:r>
      <w:r>
        <w:rPr>
          <w:rFonts w:ascii="Times New Roman" w:hAnsi="Times New Roman"/>
          <w:sz w:val="20"/>
        </w:rPr>
        <w:t xml:space="preserve">has served as our Chief Medical Officer since July 2021. She has over 20 years of experience in drug development across all stages of clinical drug development. She currently serves as a member of the board of directors of Upstream Bio since January 2023 and Sionna Therapeutics since January 2025. She previously served on the Board of Directors of Polarean Imaging from August 2022 through August 2024. Prior to joining Tectonic, Dr. Ruddy was the Head of Clinical Development for the Immunology/Inflammation Therapeutic Area at Regeneron Pharmaceuticals. In that role she led the clinical development of Dupixent®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 </w:t>
      </w:r>
    </w:p>
    <w:p>
      <w:pPr>
        <w:pStyle w:val="TextBody"/>
        <w:bidi w:val="0"/>
        <w:spacing w:before="240" w:after="0"/>
        <w:jc w:val="left"/>
        <w:rPr>
          <w:rFonts w:ascii="Times New Roman" w:hAnsi="Times New Roman"/>
          <w:sz w:val="20"/>
        </w:rPr>
      </w:pPr>
      <w:r>
        <w:rPr>
          <w:rFonts w:ascii="Times New Roman" w:hAnsi="Times New Roman"/>
          <w:b/>
          <w:sz w:val="20"/>
        </w:rPr>
        <w:t>Marc Schwabish, Ph.D.</w:t>
      </w:r>
      <w:r>
        <w:rPr>
          <w:rFonts w:ascii="Times New Roman" w:hAnsi="Times New Roman"/>
          <w:sz w:val="20"/>
        </w:rPr>
        <w:t xml:space="preserve">, has served as our Chief Business Officer since March 2021. Prior to joining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sz w:val="20"/>
        </w:rPr>
        <w:t>Phillip B. Donenberg</w:t>
      </w:r>
      <w:r>
        <w:rPr>
          <w:rFonts w:ascii="Times New Roman" w:hAnsi="Times New Roman"/>
          <w:sz w:val="20"/>
        </w:rPr>
        <w:t xml:space="preserve">, has served as a member of our Board since June 2024. Mr. Donenberg had served on the board of directors and as Audit Committee Chairman of AVROBIO, Inc., a publicly traded gene therapy company, since June 2018, prior to AVROBIO’s reverse merger with Tectonic in June 2024. Mr. Donenberg has served on the board of directors and as chairman of the audit committee of Taysha Gene Therapies, Inc., a publicly traded gene therapy company, since August 2020. Mr. Donenberg served as Senior Vice-President and Chief Financial Officer of Jaguar Gene Therapy, LLC, a privately held early-stage gene therapy company, from February 2020 to March 2023. Previously, Mr. Donenberg served as Chief Financial Officer and Senior Vice-President of Assertio Therapeutics, Inc., a pharmaceutical company, from July 2018 to November 2018. He served as Senior Vice-President and Chief Financial Officer of AveXis, Inc., a publicly traded gene therapy company, from 2017 to June 2018 and as Vice-President, Corporate Controller from 2016 to 2017. Mr. Donenberg earned a B.S. in accountancy from the University of Illinois, Champaign-Urbana College of Business and is a Certified Public Accountant. We believe that Mr. Donenberg is qualified to serve as a director of our Board based on his financial expertise and his experience as an audit chair, director and executive of companies in the biotechnology and pharmaceutical industries.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Terrance McGuire M.S., M.B.A</w:t>
      </w:r>
      <w:r>
        <w:rPr>
          <w:rFonts w:ascii="Times New Roman" w:hAnsi="Times New Roman"/>
          <w:sz w:val="20"/>
        </w:rPr>
        <w:t xml:space="preserve">, has served as a member of our Board since September 2019. Mr. McGuire was a co-founder and is currently a general partner of Polaris Partners. He currently serves on the board of directors of Seer, Inc. and Invivyd, Inc., as well as several private companies, including Adimab, LLC. Mr. McGuire previously served on the boards of directors of Alector, Inc., Acceleron Pharma, Inc., Akamai Technologies, Inc., Cubist, Inc., Cyclerion Therapeutics, Inc., Ironwood Pharmaceuticals, Inc. and Pulmatrix, Inc. Mr. McGuire is the former chairman of the National Venture Capital Association and a current member of the board of advisors of the Thayer School of Engineering at Dartmouth College. He is a member of the boards of the Whitehead Institute for Biomedical Research at the Massachusetts Institute of Technology and the Arthur Rock Center for Entrepreneurship at Harvard Business School. Mr. McGuire is also on the Scientific Advisory Board of the Brigham and Women’s Hospital. Mr. McGuire holds a B.S. in physics and economics from Hobart College, an M.S. in engineering from the Thayer School at Dartmouth College, and an M.B.A. from Harvard Business School. We believe that Mr. McGuire is qualified to serve on our Board because of his extensive experiences as a venture capitalist focused on the biotechnology industry, as well as his many years of experience as a director of biotechnology companies guiding them in the execution of their corporate strategy and objectives. </w:t>
      </w:r>
    </w:p>
    <w:p>
      <w:pPr>
        <w:pStyle w:val="TextBody"/>
        <w:bidi w:val="0"/>
        <w:spacing w:before="240" w:after="0"/>
        <w:jc w:val="left"/>
        <w:rPr>
          <w:rFonts w:ascii="Times New Roman" w:hAnsi="Times New Roman"/>
          <w:sz w:val="20"/>
        </w:rPr>
      </w:pPr>
      <w:r>
        <w:rPr>
          <w:rFonts w:ascii="Times New Roman" w:hAnsi="Times New Roman"/>
          <w:b/>
          <w:sz w:val="20"/>
        </w:rPr>
        <w:t>Timothy A. Springer, Ph.D.</w:t>
      </w:r>
      <w:r>
        <w:rPr>
          <w:rFonts w:ascii="Times New Roman" w:hAnsi="Times New Roman"/>
          <w:sz w:val="20"/>
        </w:rPr>
        <w:t xml:space="preserve">, has served as a member of our Board since June 2019. Dr. Springer co-founded our Company in June 2019 and previously served as a scientific advisor. Dr. Springer served as Chair of our Company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Therapeutic and served as a scientific advisor and as a member of its board of directors from June 2015 to August 2024, when it was acquired by Eli Lilly. He has also served Selecta Biosciences Inc. (now Cartesian Therapeutic) as a scientific advisor since December 2008 and as a member of its board of directors since June 2016. Dr. Springer is also a Founder and Board Member of Seismic Therapeutic, a private company. Dr. Springer is a member of the National Academy of Sciences and his honors include the Crafoord Prize, the American Association of Immunologists Meritorious Career Award, the Stratton Medal from the American Society of Hematology, the Basic Research Prize from the American Heart Association, the Canada International Gairdner Award, the Lasker Basic Medical Research Award and the Robert Koch Prize. Dr. Springer received a B.A. in Biochemistry from the University of California, Berkeley, and a Ph.D. in Biochemistry and Molecular Biology from Harvard University. We believe that Dr. Springer is qualified to serve on our Board because of his extensive knowledge of therapeutically important cell surface molecules and his investment, business and board experience with biopharmaceutical companies. </w:t>
      </w:r>
    </w:p>
    <w:p>
      <w:pPr>
        <w:pStyle w:val="TextBody"/>
        <w:bidi w:val="0"/>
        <w:spacing w:before="240" w:after="0"/>
        <w:jc w:val="left"/>
        <w:rPr>
          <w:rFonts w:ascii="Times New Roman" w:hAnsi="Times New Roman"/>
          <w:sz w:val="20"/>
        </w:rPr>
      </w:pPr>
      <w:r>
        <w:rPr>
          <w:rFonts w:ascii="Times New Roman" w:hAnsi="Times New Roman"/>
          <w:b/>
          <w:sz w:val="20"/>
        </w:rPr>
        <w:t>Praveen Tipirneni, M.D., M.B.A.</w:t>
      </w:r>
      <w:r>
        <w:rPr>
          <w:rFonts w:ascii="Times New Roman" w:hAnsi="Times New Roman"/>
          <w:sz w:val="20"/>
        </w:rPr>
        <w:t xml:space="preserve">, has served as a member of our Board since February 2020. Dr. Tipirneni currently serves as a member of the board of directors of The Ras, Inc. d/b/a BridgeBio Oncology Therapeutics. He previously served as Chief Executive Officer and as a member of the board of directors of Morphic Holding, Inc. until its acquisition by Eli Lilly in August 2024. Dr. Tipirneni received a B.A. in Mechanical Engineering from Massachusetts Institute of Technology, an M.D. from McGill University and an M.B.A. from the Wharton School of Business of the University of Pennsylvania. We believe Dr. Tipirneni is qualified to serve on our Board because of his experience with biotechnology companies, including working with and serving in various executive positions in life sciences companies. </w:t>
      </w:r>
    </w:p>
    <w:p>
      <w:pPr>
        <w:pStyle w:val="TextBody"/>
        <w:bidi w:val="0"/>
        <w:spacing w:before="240" w:after="0"/>
        <w:jc w:val="left"/>
        <w:rPr>
          <w:rFonts w:ascii="Times New Roman" w:hAnsi="Times New Roman"/>
          <w:sz w:val="20"/>
        </w:rPr>
      </w:pPr>
      <w:r>
        <w:rPr>
          <w:rFonts w:ascii="Times New Roman" w:hAnsi="Times New Roman"/>
          <w:b/>
          <w:sz w:val="20"/>
        </w:rPr>
        <w:t>Stefan Vitorovic, M.S., M.B.A.</w:t>
      </w:r>
      <w:r>
        <w:rPr>
          <w:rFonts w:ascii="Times New Roman" w:hAnsi="Times New Roman"/>
          <w:sz w:val="20"/>
        </w:rPr>
        <w:t xml:space="preserve">, has served as a member of our Board since August 2021. Mr. Vitorovic was the co-founder and Managing Director of Vida Ventures, a role he served in from January 2017 to December 2024.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Inc.).Prior to TPG, Mr. Vitorovic was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banker at Credit Suisse’s healthcare banking group from 2004 to 2008. Mr. Vitorovic currently serves on the board of directors of Vigil Neuroscience, Inc. He was previously Director or Observer of Oyster Point Pharma, Inc., Dyne Therapeutics, Sutro Biopharma, Inc., Kyverna Therapeutics, Inc., Praxis Precision Medicines, Inc., Volastra Therapeutics, Inc., and Souffle Therapeutics, Inc. He received a B.S. with Honors in Biological Sciences and an M.S. in Biology from Stanford University, where he received the Firestone Award for his research. Mr. Vitorovic received his M.B.A. from Harvard Business School. We believe Mr. Vitorovic is qualified to serve on our Board because of his deep expertise in life sciences research and investing, as well as his extensive experience in new company formation and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Officers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are appointed by, and serve at the discretion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our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Involvement in Certain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There are no material legal proceedings to which any of our executive officers is a party adverse to the Company or the Company’s subsidiaries or in which any such person has a material interest adverse to the Company or the Company’s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Composition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currently consists of six directors divided into three staggered classes, with one class to be elected at each annual meeting to serve for a three-year term.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our certificate of incorporation (the “Certificate of Incorporation”), our Board is divided into three classes, Class I, Class II and Class III, with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 The Board is divided among the following classes: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 which consists of Alise Reicin, M.D. and Praveen Tipirneni, M.D., whose terms will expire at the annual meeting of stockholders to be held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 which consists of Timothy A. Springer, Ph.D. and Stefan Vitorovic, whose terms will expire at the annual meeting of stockholders to be held in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III, which consists of Terrance McGuire and Phillip B. Donenberg, whose terms will expire at the annual meeting of stockholders to be held in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or their earlier resignation, removal, retirement or death. This classification of the Board may have the effect of delaying or preventing changes in our control or management. Our directors may be removed for cause by the affirmative vote of the holders of at least 66 2/3% of our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Independence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Other than Dr. Reicin, our president and chief executive officer, all members of the Board are independent, and all members of committees of the Board are independent. To determine independence, the Board reviewed all relevant identified transactions or relationships between each director, or any of such director’s family members, and us, our senior management and our independent auditors. Our Board has affirmatively determined that the following five current directors are independent directors within the meaning of the applicable Nasdaq listing standards: Phillip B. Donenberg, Terrance McGuire, Timothy A. Springer, Ph.D., Praveen Tipirneni, M.D. and Stefan Vitorovic. In making this determination, our Board found that none of these directors or nominees for director had a material or other disqualifying relationship with Tectonic. Dr. Reicin was determined as not being independent by virtue of her executive leadership role with us. </w:t>
      </w:r>
    </w:p>
    <w:p>
      <w:pPr>
        <w:pStyle w:val="TextBody"/>
        <w:bidi w:val="0"/>
        <w:spacing w:before="240" w:after="0"/>
        <w:jc w:val="left"/>
        <w:rPr>
          <w:rFonts w:ascii="Times New Roman" w:hAnsi="Times New Roman"/>
          <w:sz w:val="20"/>
        </w:rPr>
      </w:pPr>
      <w:r>
        <w:rPr>
          <w:rFonts w:ascii="Times New Roman" w:hAnsi="Times New Roman"/>
          <w:sz w:val="20"/>
        </w:rPr>
        <w:t xml:space="preserve">Accordingly, a majority of our directors are independent, as required under applicable Nasdaq rules. In making this determination, our Board considered the applicable Nasdaq rules and the current and prior relationships that each non-employee director has with our company and all other facts and circumstances our Board deemed relevant in determining their independence, including their beneficial ownership of our share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standing committees of our Board are the following: audit committee, compensation committee and nominating and corporate governance committee, and each operates pursuant to a charter. Our Board may establish other committees from time to time to assist us and our Board.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oversees our corporate accounting and financial reporting process. Among other matters, the audit committee’s oversight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accounting and financial reporting processes, systems of internal control over financial reporting and audits of financial statements, as well as the quality and integrity of our financial statements and reports;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qualifications, independence and performance of our independent registered public accountant;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legal and regulatory requirements, including compliance with ethical standards adopted by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review and assessment of our risk management, risk assessment and major risk exposures with respect to financial, accounting, operational, tax, privacy and cybersecurity and information technology risks.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consists of Phillip Donenberg, Terrance McGuire and Stefan Vitorovic. Phillip Donenberg serves as the chair of the audit committee and is a financial expert under the rules of the SEC. To qualify as independent to serve on our audit committee, listing standards of Nasdaq and the applicable SEC rules require that a director not accept any consulting, advisory or other compensatory fee from us, other than for service as a director, or be an affiliated person of us. We believe that the composition of the audit committee complies with the applicable requirements of the rules and regulations of Nasdaq and the SEC.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oversees policies relating to compensation and benefits of our officers and directors. Among other matters, the compensation committee’s responsibilities include: </w:t>
      </w:r>
    </w:p>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10"/>
        <w:gridCol w:w="6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reviewing our overall compensation philosophy in light of our specific business objectives;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compensation, or recommending to the full Board the compensation, for our Chief Executive Officer;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compensation for our other executive officers and directors;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incentive and equity-based compensation plans;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compensation-related disclosures required by the SEC; and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policies and strategies relating to human capital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consists of Praveen Tipirneni and Stefan Vitorovic. Praveen Tipirneni serves as the chair of the compensation committee. Each member of the compensation committee is a “non-employee” director within the meaning of Rule 16b-3 of the rules promulgated under the Exchange Act and independent within the meaning of the independent director guidelines of Nasdaq. We believe that the composition of the compensation committee complies with the applicable requirements of the rules and regulations of Nasdaq.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Board (consistent with criteria approved by the Board), reviewing the qualifications of, and considering stockholders’ recommendations for, director candidates and recommending to the Board qualified director nominees for appointment, election or reelection to the Board at each annual stockholders’ meeting and as necessary to fill vacancies and newly created directorships;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for adoption the corporate governance guidelines applicable to us, periodically reviewing such guidelines, recommending changes to the same from time to time as appropriate and overseeing and monitoring compliance with such guidelines;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evaluations of the Board, its committees, and Board members; </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6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directors qualified to serve on the various committees of the Board and recommending to the Board qualified nominees for membership on each such committee; and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succession planning for the Board and key leadership roles on the Board and its committees.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consists of Timothy Springer and Terrance McGuire. Timothy Springer serves as the chair of the nominating and corporate governance committee.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for Employees,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We have a Code of Business Conduct and Ethics (the “Code of Conduct”) that is applicable to all of our employees, executive officers and directors. The Code of Conduct is available on our website at </w:t>
      </w:r>
      <w:r>
        <w:rPr>
          <w:rFonts w:ascii="Times New Roman" w:hAnsi="Times New Roman"/>
          <w:i/>
          <w:sz w:val="20"/>
        </w:rPr>
        <w:t>https://investors.tectonictx.com/governance-documents</w:t>
      </w:r>
      <w:r>
        <w:rPr>
          <w:rFonts w:ascii="Times New Roman" w:hAnsi="Times New Roman"/>
          <w:sz w:val="20"/>
        </w:rPr>
        <w:t xml:space="preserve">. Information contained on or accessible through our website is not a part of this prospectus, and the inclusion of our website address in this prospectus is an inactive textual reference only. The Board, and audit committee of the Board, will be responsible for overseeing the Code of Conduct and must approve any waivers of the Code of Conduct for employees, executive officers and directors. We plan to disclose any amendments to the Code of Conduct, or any waivers of its requirements,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63285_10"/>
      <w:bookmarkEnd w:id="12"/>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Overview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(“NEOs”) for the year ended December 31, 2024 who appear in the Summary Compensation Table below are: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Alise Reicin, M.D., our President, Chief Executive Officer and Director;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Daniel Lochner, M.B.A., our Chief Financial Officer; and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Marcella K. Ruddy, M.D., our Chief Medical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could vary significantly from our historical practices and currently planned programs summarized in this discussion. </w:t>
      </w:r>
    </w:p>
    <w:p>
      <w:pPr>
        <w:pStyle w:val="TextBody"/>
        <w:bidi w:val="0"/>
        <w:spacing w:before="360" w:after="0"/>
        <w:jc w:val="left"/>
        <w:rPr>
          <w:rFonts w:ascii="Times New Roman" w:hAnsi="Times New Roman"/>
          <w:b/>
          <w:sz w:val="20"/>
        </w:rPr>
      </w:pPr>
      <w:r>
        <w:rPr>
          <w:rFonts w:ascii="Times New Roman" w:hAnsi="Times New Roman"/>
          <w:b/>
          <w:sz w:val="20"/>
        </w:rPr>
        <w:t xml:space="preserve">2024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total compensation awarded to, earned by and paid to our NEOs for services during the fiscal year ended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9"/>
        <w:gridCol w:w="120"/>
        <w:gridCol w:w="60"/>
        <w:gridCol w:w="500"/>
        <w:gridCol w:w="60"/>
        <w:gridCol w:w="120"/>
        <w:gridCol w:w="60"/>
        <w:gridCol w:w="802"/>
        <w:gridCol w:w="60"/>
        <w:gridCol w:w="120"/>
        <w:gridCol w:w="60"/>
        <w:gridCol w:w="800"/>
        <w:gridCol w:w="60"/>
        <w:gridCol w:w="120"/>
        <w:gridCol w:w="60"/>
        <w:gridCol w:w="980"/>
        <w:gridCol w:w="60"/>
        <w:gridCol w:w="120"/>
        <w:gridCol w:w="103"/>
        <w:gridCol w:w="1387"/>
        <w:gridCol w:w="60"/>
        <w:gridCol w:w="120"/>
        <w:gridCol w:w="120"/>
        <w:gridCol w:w="1370"/>
        <w:gridCol w:w="218"/>
        <w:gridCol w:w="60"/>
        <w:gridCol w:w="60"/>
        <w:gridCol w:w="980"/>
        <w:gridCol w:w="76"/>
      </w:tblGrid>
      <w:tr>
        <w:trPr/>
        <w:tc>
          <w:tcPr>
            <w:tcW w:w="14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48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center"/>
          </w:tcPr>
          <w:p>
            <w:pPr>
              <w:pStyle w:val="TableContents"/>
              <w:bidi w:val="0"/>
              <w:spacing w:before="0" w:after="283"/>
              <w:jc w:val="center"/>
              <w:rPr/>
            </w:pPr>
            <w:r>
              <w:rPr>
                <w:b/>
              </w:rPr>
              <w:t>Salary(1)</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Stock</w:t>
            </w:r>
            <w:r>
              <w:rPr/>
              <w:br/>
            </w:r>
            <w:r>
              <w:rPr>
                <w:b/>
              </w:rPr>
              <w:t>Awards</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w:t>
            </w:r>
            <w:r>
              <w:rPr/>
              <w:br/>
            </w:r>
            <w:r>
              <w:rPr>
                <w:b/>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r>
            <w:r>
              <w:rPr/>
              <w:br/>
            </w:r>
            <w:r>
              <w:rPr>
                <w:b/>
              </w:rPr>
              <w:t>Incentive Plan</w:t>
            </w:r>
            <w:r>
              <w:rPr/>
              <w:br/>
            </w:r>
            <w:r>
              <w:rPr>
                <w:b/>
              </w:rPr>
              <w:t>Compensation</w:t>
            </w:r>
            <w:r>
              <w:rPr/>
              <w:br/>
            </w:r>
            <w:r>
              <w:rPr>
                <w:b/>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w:t>
            </w:r>
            <w:r>
              <w:rPr/>
              <w:br/>
            </w:r>
            <w:r>
              <w:rPr>
                <w:b/>
              </w:rPr>
              <w:t>($)</w:t>
            </w:r>
          </w:p>
        </w:tc>
        <w:tc>
          <w:tcPr>
            <w:tcW w:w="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6" w:type="dxa"/>
            <w:tcBorders/>
            <w:vAlign w:val="center"/>
          </w:tcPr>
          <w:p>
            <w:pPr>
              <w:pStyle w:val="TableContents"/>
              <w:bidi w:val="0"/>
              <w:spacing w:before="0" w:after="283"/>
              <w:jc w:val="left"/>
              <w:rPr/>
            </w:pPr>
            <w:r>
              <w:rPr/>
              <w:t> </w:t>
            </w:r>
          </w:p>
        </w:tc>
      </w:tr>
      <w:tr>
        <w:trPr/>
        <w:tc>
          <w:tcPr>
            <w:tcW w:w="14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r>
              <w:rPr>
                <w:rFonts w:ascii="Times New Roman" w:hAnsi="Times New Roman"/>
                <w:b/>
                <w:sz w:val="20"/>
              </w:rPr>
              <w:t>(5)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606,151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600,848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4,291,563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392,150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10,267</w:t>
            </w:r>
          </w:p>
        </w:tc>
        <w:tc>
          <w:tcPr>
            <w:tcW w:w="218"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5,900,979</w:t>
            </w:r>
          </w:p>
        </w:tc>
        <w:tc>
          <w:tcPr>
            <w:tcW w:w="76" w:type="dxa"/>
            <w:tcBorders/>
            <w:shd w:fill="CCEEFF" w:val="clear"/>
            <w:vAlign w:val="center"/>
          </w:tcPr>
          <w:p>
            <w:pPr>
              <w:pStyle w:val="TableContents"/>
              <w:bidi w:val="0"/>
              <w:spacing w:before="0" w:after="283"/>
              <w:jc w:val="left"/>
              <w:rPr/>
            </w:pPr>
            <w:r>
              <w:rPr/>
              <w:t> </w:t>
            </w:r>
          </w:p>
        </w:tc>
      </w:tr>
      <w:tr>
        <w:trPr/>
        <w:tc>
          <w:tcPr>
            <w:tcW w:w="1489"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4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277,083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1,855,869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126,311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24,744</w:t>
            </w:r>
          </w:p>
        </w:tc>
        <w:tc>
          <w:tcPr>
            <w:tcW w:w="218"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2,284,007</w:t>
            </w:r>
          </w:p>
        </w:tc>
        <w:tc>
          <w:tcPr>
            <w:tcW w:w="76" w:type="dxa"/>
            <w:tcBorders/>
            <w:vAlign w:val="center"/>
          </w:tcPr>
          <w:p>
            <w:pPr>
              <w:pStyle w:val="TableContents"/>
              <w:bidi w:val="0"/>
              <w:spacing w:before="0" w:after="283"/>
              <w:jc w:val="left"/>
              <w:rPr/>
            </w:pPr>
            <w:r>
              <w:rPr/>
              <w:t> </w:t>
            </w:r>
          </w:p>
        </w:tc>
      </w:tr>
      <w:tr>
        <w:trPr/>
        <w:tc>
          <w:tcPr>
            <w:tcW w:w="1489"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4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476,165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223,951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742</w:t>
            </w:r>
          </w:p>
        </w:tc>
        <w:tc>
          <w:tcPr>
            <w:tcW w:w="218"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1,840,892</w:t>
            </w:r>
          </w:p>
        </w:tc>
        <w:tc>
          <w:tcPr>
            <w:tcW w:w="76" w:type="dxa"/>
            <w:tcBorders/>
            <w:shd w:fill="CCEEFF" w:val="clear"/>
            <w:vAlign w:val="center"/>
          </w:tcPr>
          <w:p>
            <w:pPr>
              <w:pStyle w:val="TableContents"/>
              <w:bidi w:val="0"/>
              <w:spacing w:before="0" w:after="283"/>
              <w:jc w:val="left"/>
              <w:rPr/>
            </w:pPr>
            <w:r>
              <w:rPr/>
              <w:t> </w:t>
            </w:r>
          </w:p>
        </w:tc>
      </w:tr>
      <w:tr>
        <w:trPr/>
        <w:tc>
          <w:tcPr>
            <w:tcW w:w="1489"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Salary amounts represent actual amounts paid during 2024. With respect to Drs. Reicin and Ruddy, the amounts reflect increases to base salary effective April 1, 2024 and further increases to base salary effective June 20, 2024. Mr. Lochner’s base salary was effective June 3, 2024 pursuant to his employment agreement. See “—</w:t>
            </w:r>
            <w:r>
              <w:rPr>
                <w:rFonts w:ascii="Times New Roman" w:hAnsi="Times New Roman"/>
                <w:i/>
                <w:sz w:val="20"/>
              </w:rPr>
              <w:t>Narrative to the Summary Compensation Table—Base Salary</w:t>
            </w:r>
            <w:r>
              <w:rPr>
                <w:rFonts w:ascii="Times New Roman" w:hAnsi="Times New Roman"/>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 the aggregate grant date fair value of RSUs granted during the year ended December 31, 2024, calculated in accordance with FASB ASC 718 for share-based compensation transactions. The assumptions used in calculating the grant date fair value of the RSUs reported in this column are set forth in “Note 2. </w:t>
            </w:r>
            <w:r>
              <w:rPr>
                <w:rFonts w:ascii="Times New Roman" w:hAnsi="Times New Roman"/>
                <w:i/>
                <w:sz w:val="20"/>
              </w:rPr>
              <w:t>Summary of Significant Accounting Policies and Basis of Presentation—Stock-Based Compensation</w:t>
            </w:r>
            <w:r>
              <w:rPr>
                <w:rFonts w:ascii="Times New Roman" w:hAnsi="Times New Roman"/>
                <w:sz w:val="20"/>
              </w:rPr>
              <w:t xml:space="preserve">” and “Note 8. </w:t>
            </w:r>
            <w:r>
              <w:rPr>
                <w:rFonts w:ascii="Times New Roman" w:hAnsi="Times New Roman"/>
                <w:i/>
                <w:sz w:val="20"/>
              </w:rPr>
              <w:t>Equity Incentive Plans</w:t>
            </w:r>
            <w:r>
              <w:rPr>
                <w:rFonts w:ascii="Times New Roman" w:hAnsi="Times New Roman"/>
                <w:sz w:val="20"/>
              </w:rPr>
              <w:t xml:space="preserve">” to our consolidated financial statements for the year ended December 31, 2024 included elsewhere in this registration statement of which this prospectus forms a part. This amount does not reflect the actual economic value that may be realized upon vesting and settlement of the RSUs or any sale of the underlying shares of common stock.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 awards granted during the year ended December 31, 2024, calculated in accordance with FASB ASC 718 for share-based compensation transactions. The assumptions used in calculating the grant date fair value of the stock options reported in this column are set forth in “Note 2. </w:t>
            </w:r>
            <w:r>
              <w:rPr>
                <w:rFonts w:ascii="Times New Roman" w:hAnsi="Times New Roman"/>
                <w:i/>
                <w:sz w:val="20"/>
              </w:rPr>
              <w:t>Summary of Significant Accounting Policies and Basis of Presentation—Stock-Based Compensation</w:t>
            </w:r>
            <w:r>
              <w:rPr>
                <w:rFonts w:ascii="Times New Roman" w:hAnsi="Times New Roman"/>
                <w:sz w:val="20"/>
              </w:rPr>
              <w:t xml:space="preserve">” and “Note 8. </w:t>
            </w:r>
            <w:r>
              <w:rPr>
                <w:rFonts w:ascii="Times New Roman" w:hAnsi="Times New Roman"/>
                <w:i/>
                <w:sz w:val="20"/>
              </w:rPr>
              <w:t>Equity Incentive Plans</w:t>
            </w:r>
            <w:r>
              <w:rPr>
                <w:rFonts w:ascii="Times New Roman" w:hAnsi="Times New Roman"/>
                <w:sz w:val="20"/>
              </w:rPr>
              <w:t xml:space="preserve">” to our consolidated financial statements for each of the years ended December 31, 2024 and 2023 included elsewhere in this registration statement of which this prospectus forms a part. These amounts do not correspond to the actual economic value that may be received by our NEOs upon the exercise of the stock options or any sale of the underlying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disclosed for fiscal year 2024 reflect performance-based cash bonuses earned in 2024 and paid in early 2025. See “—</w:t>
            </w:r>
            <w:r>
              <w:rPr>
                <w:rFonts w:ascii="Times New Roman" w:hAnsi="Times New Roman"/>
                <w:i/>
                <w:sz w:val="20"/>
              </w:rPr>
              <w:t>Non-Equity Incentive Plan Compensation</w:t>
            </w:r>
            <w:r>
              <w:rPr>
                <w:rFonts w:ascii="Times New Roman" w:hAnsi="Times New Roman"/>
                <w:sz w:val="20"/>
              </w:rPr>
              <w:t xml:space="preserve">” below for a description of the material terms of the program pursuant to which this compensation was awarded.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Reicin also served as a member of our Board but did not receive any additional compensation for her service as a director.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(6)</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commuting expenses in the amount of $9,505, and (ii) life insurance premiums in the amount of $762 paid by us on behalf of Dr. Reicin.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(7)</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commuting expenses in the amount of $16,189, (ii) $8,133 in matching employer contributions to a 401(k) plan, and (iii) life insurance premiums in the amount of $422 paid by us on behalf of Mr. Lochner. </w:t>
            </w:r>
          </w:p>
        </w:tc>
      </w:tr>
    </w:tbl>
    <w:tbl>
      <w:tblPr>
        <w:tblW w:w="7930" w:type="dxa"/>
        <w:jc w:val="left"/>
        <w:tblInd w:w="0" w:type="dxa"/>
        <w:tblLayout w:type="fixed"/>
        <w:tblCellMar>
          <w:top w:w="0" w:type="dxa"/>
          <w:left w:w="0" w:type="dxa"/>
          <w:bottom w:w="0" w:type="dxa"/>
          <w:right w:w="0" w:type="dxa"/>
        </w:tblCellMar>
      </w:tblPr>
      <w:tblGrid>
        <w:gridCol w:w="305"/>
        <w:gridCol w:w="7625"/>
      </w:tblGrid>
      <w:tr>
        <w:trPr/>
        <w:tc>
          <w:tcPr>
            <w:tcW w:w="305" w:type="dxa"/>
            <w:tcBorders/>
            <w:vAlign w:val="center"/>
          </w:tcPr>
          <w:p>
            <w:pPr>
              <w:pStyle w:val="TableContents"/>
              <w:bidi w:val="0"/>
              <w:spacing w:before="0" w:after="283"/>
              <w:jc w:val="left"/>
              <w:rPr/>
            </w:pPr>
            <w:r>
              <w:rPr/>
              <w:t>(8)</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life insurance premiums in the amount of $742 paid by us on behalf of Dr. Ruddy.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the 2024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NEO’s base salary was a fixed component of annual compensation for performing specific duties and functions, and was established by our Board taking into account each individual’s role, responsibilities, skills, and expertise. Base salaries are reviewed annually, typically in connection with our annual performance review process, approved by our Board, and adjusted from time to time to realign salaries with market levels and internal benchmarking, after taking into account individual responsibilities, performance and experience. Please see the “Salary” column in the Summary Compensation Table above for the actual base salary amount received by each NEO during the year ended December 31, 2024. The annual base salaries for Drs. Reicin and Ruddy were $579,251 and $455,260, respectively, for the period from January 1, 2024 through April 1, 2024 and $602,160 and $473,200, respectively, for the period from April 1, 2024 to June 20, 2024. In connection with the completion of the Merger, the annual base salaries for Dr. Reicin and Dr. Ruddy were increased to $620,000 and $486,850, respectively. We entered into an employment agreement with Mr. Lochner, effective June 3, 2024, pursuant to which Mr. Lochner’s annual base salary for the year ended December 31, 2024 was $475,000.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annual incentive program is intended to reward our NEOs for performance during a fiscal year. From time to time, our compensation committee or our Board, as applicable, in their discretion may have approve annual incentives for our NEOs based on individual performance, company performance, or as otherwise determined appropriate. Each of our NEOs were eligible to receive a target bonus at the discretion of our Board with respect to the year ended December 31, 2024 (as a percentage of base salary) based upon their performance. </w:t>
      </w:r>
    </w:p>
    <w:p>
      <w:pPr>
        <w:pStyle w:val="TextBody"/>
        <w:bidi w:val="0"/>
        <w:spacing w:before="0" w:after="0"/>
        <w:jc w:val="left"/>
        <w:rPr/>
      </w:pPr>
      <w:r>
        <w:rPr/>
        <w:t> </w:t>
      </w:r>
    </w:p>
    <w:tbl>
      <w:tblPr>
        <w:tblW w:w="3870" w:type="dxa"/>
        <w:jc w:val="left"/>
        <w:tblInd w:w="0" w:type="dxa"/>
        <w:tblLayout w:type="fixed"/>
        <w:tblCellMar>
          <w:top w:w="0" w:type="dxa"/>
          <w:left w:w="0" w:type="dxa"/>
          <w:bottom w:w="0" w:type="dxa"/>
          <w:right w:w="0" w:type="dxa"/>
        </w:tblCellMar>
      </w:tblPr>
      <w:tblGrid>
        <w:gridCol w:w="2075"/>
        <w:gridCol w:w="120"/>
        <w:gridCol w:w="133"/>
        <w:gridCol w:w="577"/>
        <w:gridCol w:w="60"/>
        <w:gridCol w:w="120"/>
        <w:gridCol w:w="133"/>
        <w:gridCol w:w="577"/>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b/>
              </w:rPr>
              <w:t>2024</w:t>
            </w:r>
            <w:r>
              <w:rPr/>
              <w:br/>
            </w:r>
            <w:r>
              <w:rPr>
                <w:b/>
              </w:rPr>
              <w:t>Bonus</w:t>
            </w:r>
            <w:r>
              <w:rPr/>
              <w:br/>
            </w:r>
            <w:r>
              <w:rPr>
                <w:b/>
              </w:rPr>
              <w:t>Target</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b/>
              </w:rPr>
              <w:t>2025</w:t>
            </w:r>
            <w:r>
              <w:rPr/>
              <w:br/>
            </w:r>
            <w:r>
              <w:rPr>
                <w:b/>
              </w:rPr>
              <w:t>Bonus</w:t>
            </w:r>
            <w:r>
              <w:rPr/>
              <w:br/>
            </w:r>
            <w:r>
              <w:rPr>
                <w:b/>
              </w:rPr>
              <w:t>Target</w:t>
            </w:r>
            <w:r>
              <w:rPr/>
              <w:br/>
            </w:r>
            <w:r>
              <w:rPr>
                <w:b/>
              </w:rPr>
              <w:t>(%)</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January 2025, based on the NEO’s performance, our Board determined that Dr. Reicin, Mr. Lochner and Dr. Ruddy were eligible to receive 115% of their target annual bonus for the year ended December 31, 2024, and as a result, approved annual performance bonuses for Dr. Reicin, Mr. Lochner and Dr. Ruddy in the amounts of $392,150, $126,311 and $223,951, respectively, as reflected in the “Non-Equity Incentive Plan Compensation” column of the Summary Compensation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 our Compensation Committee approved option grants to certain of our employees, including Dr. Reicin, Mr. Lochner and Dr. Ruddy. As a result, on June 20, 2024, Dr. Reicin received an option grant to purchase 289,600 shares of our common stock, Mr. Lochner received an option grant to purchase 118,000 shares of our common stock and Dr. Ruddy received an option grant to purchase 81,700 shares of our common stock, each with an exercise price per share equal to $16.80, which was the closing price per share of our common stock as reported on the Nasdaq Global Market on the day of closing of the Merger (as adjusted for the reverse stock split). The shares subject to these option grants will vest 1/4 on the first anniversary of the grant date, and thereafter the remaining 3/4 of the shares will vest in equal monthly installments over the following three years, in each case subject to the recipient’s continuous service through the applicable vesting dates, such that the options are vested in full on the four-year anniversary of the grant date. Mr. Lochner also received an option grant to purchase 15,000 shares of our common stock with an exercise price per share equal to $16.80. The shares subject to this option grant will vest 1/2 on June 1, 2026 if we raise $100 million by June 1, 2026 and have a minimum of a two year cash runway as of June 1, 2026 (i.e. until June 1, 2028), and 1/2 on June 1, 2028 if we have a minimum of a two year cash runway as of June 1, 2028 (i.e. until June 1, 2030), in each case, as determined by our Board (or the Compensation Committee) in its sole discretion, in each case subject to the recipient’s continuous service through the applicable vesting dates.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Dr. Reicin received an option grant to purchase 6,000 shares of our common stock with an exercise price per share equal to $51.28. The shares subject to this option grant will vest 1/4 on June 20, 2025, and thereafter the remaining 3/4 of the shares will vest in equal monthly installments over the next 36 months, in each case subject to her continuous service through the applicable vesting dates, such that the options are vested in full on June 20, 2028. In addition, in December 2024, Dr. Reicin received a grant of 11,717 restricted stock units of which 1/4 of the units will vest on each of the first four anniversaries of June 20, 2024, in each case subject to her continuous service through the applicable vesting dates, such that the units are vested in full on June 20, 2028.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2024 Year-End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regarding outstanding equity awards held by our NEOs as of December 31, 2024. All awards were granted pursuant to the Tectonic 2019 Equity Incentive Plan (the “2019 Plan”) and the Tectonic 2024 Equity Incentive Plan (the “2024 Plan”). See “—</w:t>
      </w:r>
      <w:r>
        <w:rPr>
          <w:rFonts w:ascii="Times New Roman" w:hAnsi="Times New Roman"/>
          <w:i/>
          <w:sz w:val="20"/>
        </w:rPr>
        <w:t>Equity Incentive Plans—Tectonic 2019 Equity Incentive Plan</w:t>
      </w:r>
      <w:r>
        <w:rPr>
          <w:rFonts w:ascii="Times New Roman" w:hAnsi="Times New Roman"/>
          <w:sz w:val="20"/>
        </w:rPr>
        <w:t>” and “—</w:t>
      </w:r>
      <w:r>
        <w:rPr>
          <w:rFonts w:ascii="Times New Roman" w:hAnsi="Times New Roman"/>
          <w:i/>
          <w:sz w:val="20"/>
        </w:rPr>
        <w:t>Equity Incentive Plans—Tectonic 2024 Equity Incentive Plan</w:t>
      </w:r>
      <w:r>
        <w:rPr>
          <w:rFonts w:ascii="Times New Roman" w:hAnsi="Times New Roman"/>
          <w:sz w:val="20"/>
        </w:rPr>
        <w:t xml:space="preserve">” for additional information. </w:t>
      </w:r>
    </w:p>
    <w:p>
      <w:pPr>
        <w:pStyle w:val="TextBody"/>
        <w:bidi w:val="0"/>
        <w:spacing w:before="0" w:after="0"/>
        <w:jc w:val="left"/>
        <w:rPr/>
      </w:pPr>
      <w:r>
        <w:rPr/>
        <w:t> </w:t>
      </w:r>
    </w:p>
    <w:tbl>
      <w:tblPr>
        <w:tblW w:w="13225" w:type="dxa"/>
        <w:jc w:val="left"/>
        <w:tblInd w:w="0" w:type="dxa"/>
        <w:tblLayout w:type="fixed"/>
        <w:tblCellMar>
          <w:top w:w="0" w:type="dxa"/>
          <w:left w:w="0" w:type="dxa"/>
          <w:bottom w:w="0" w:type="dxa"/>
          <w:right w:w="0" w:type="dxa"/>
        </w:tblCellMar>
      </w:tblPr>
      <w:tblGrid>
        <w:gridCol w:w="2945"/>
        <w:gridCol w:w="60"/>
        <w:gridCol w:w="60"/>
        <w:gridCol w:w="575"/>
        <w:gridCol w:w="60"/>
        <w:gridCol w:w="60"/>
        <w:gridCol w:w="178"/>
        <w:gridCol w:w="1492"/>
        <w:gridCol w:w="60"/>
        <w:gridCol w:w="60"/>
        <w:gridCol w:w="102"/>
        <w:gridCol w:w="1163"/>
        <w:gridCol w:w="60"/>
        <w:gridCol w:w="60"/>
        <w:gridCol w:w="100"/>
        <w:gridCol w:w="1345"/>
        <w:gridCol w:w="215"/>
        <w:gridCol w:w="60"/>
        <w:gridCol w:w="84"/>
        <w:gridCol w:w="791"/>
        <w:gridCol w:w="60"/>
        <w:gridCol w:w="60"/>
        <w:gridCol w:w="176"/>
        <w:gridCol w:w="939"/>
        <w:gridCol w:w="60"/>
        <w:gridCol w:w="60"/>
        <w:gridCol w:w="91"/>
        <w:gridCol w:w="1039"/>
        <w:gridCol w:w="215"/>
        <w:gridCol w:w="60"/>
        <w:gridCol w:w="60"/>
        <w:gridCol w:w="800"/>
        <w:gridCol w:w="75"/>
      </w:tblGrid>
      <w:tr>
        <w:trPr/>
        <w:tc>
          <w:tcPr>
            <w:tcW w:w="2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Shares or</w:t>
              <w:br/>
              <w:t>Units of</w:t>
              <w:br/>
              <w:t>Stock</w:t>
              <w:br/>
              <w:t>That</w:t>
            </w:r>
            <w:r>
              <w:rPr/>
              <w:br/>
            </w:r>
            <w:r>
              <w:rPr>
                <w:b/>
              </w:rPr>
              <w:t>Have Not</w:t>
              <w:br/>
              <w:t>Vested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w:t>
              <w:br/>
              <w:t>That</w:t>
              <w:br/>
              <w:t>Have Not</w:t>
              <w:br/>
              <w:t>Vested</w:t>
              <w:br/>
              <w:t>($)</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3/31/2021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21,688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12,235</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06/27/31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vMerge w:val="restart"/>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 and President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20,040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11/30/33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289,600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06/19/34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6,000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12/03/34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11,717</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600,848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6/20/2024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5/31/2024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118,000</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06/19/34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6/20/2024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5/31/2024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15,000</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06/19/34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9/17/2021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7/19/2021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32,861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11,085</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09/16/31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14,028</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11/30/33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87,100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06/19/34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option awards have been granted pursuant to the terms of the Legacy Tectonic 2019 Plan or Tectonic 2024 Plan, the terms of which are described below in the subsection titled “—</w:t>
            </w:r>
            <w:r>
              <w:rPr>
                <w:rFonts w:ascii="Times New Roman" w:hAnsi="Times New Roman"/>
                <w:i/>
                <w:sz w:val="20"/>
              </w:rPr>
              <w:t>Equity Incentive Plans—Tectonic 2019 Equity Incentive Plan and 2024 Equity Incentive Plan.</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option awards listed in the table granted prior to the Merger have an exercise price per share that is no less than the fair market value of Legacy Tectonic common stock on the date of grant of such award, as determined in good faith by the Legacy Tectonic Board. All option awards listed in the table granted subsequent to the Merger have an exercise price based on the closing price per share of common stock as reported on the Nasdaq Select Market on the date of grant.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this option grant vested or will vest 1/4 on the first anniversary of the vesting commencement date, and thereafter the remaining 3/4 of the shares will vest in equal monthly installments over the following three years, in each case subject to the officer’s continuous service through the applicable vesting dates, such that the options are vested in full on the four-year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this option vest in equal monthly installments beginning on January 1, 2024 over the following four years, in each case subject to the officer’s continuous service through the applicable vesting dates, such that the options are vested in full on the four-year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will vest in equal annual installments beginning on June 20, 2025 over the following three years, in each case subject to the officer’s continuous service through the applicable vesting dates, such that the shares are vested in full on the four-year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this option grant will vest 1/2 on June 1, 2026 if we raise $100 million by June 1, 2026 and have a minimum of a two year cash runway as of June 1, 2026 (i.e. until June 1, 2028), and 1/2 on June 1, 2028 if we have a minimum of a two year cash runway as of June 1, 2028 (i.e. until June 1, 2030), in each case, as determined by our Board (or the Compensation Committee) in its sole discretion, and in each case subject to the officer’s continued service through the applicable vesting dates.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Our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Below are descriptions of the material terms of our employment agreement and offer letters with the NEOs. </w:t>
      </w:r>
    </w:p>
    <w:p>
      <w:pPr>
        <w:pStyle w:val="TextBody"/>
        <w:bidi w:val="0"/>
        <w:spacing w:before="360" w:after="0"/>
        <w:jc w:val="left"/>
        <w:rPr>
          <w:rFonts w:ascii="Times New Roman" w:hAnsi="Times New Roman"/>
          <w:i/>
          <w:sz w:val="20"/>
        </w:rPr>
      </w:pPr>
      <w:r>
        <w:rPr>
          <w:rFonts w:ascii="Times New Roman" w:hAnsi="Times New Roman"/>
          <w:i/>
          <w:sz w:val="20"/>
        </w:rPr>
        <w:t xml:space="preserve">Alise Reicin, M.D.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Legacy Tectonic entered into an executive employment agreement with Dr. Reicin (the “Reicin Employment Agreement”) in connection with her appointment as Legacy Tectonic’s President and Chief Executive Officer and as a member of the Legacy Tectonic Board. In connection with the Merger, we entered into an amended and restated executive employment agreement with Dr. Reicin. The material terms of the amendment are as follows: (i) Dr. Reicin shall remain President and Chief Executive Officer and shall continue to serve as an executive director to the Board; (ii) an annual base salary of $620,000; (iii) eligibility for an annual, performance-based cash bonus with a target bonus percentage of 55% of Dr. Reicin’s base salary subject to her continuous employment through February 15th of the following calendar year; (iv) following the closing of the Merger, issuance of an option award to purchase our common stock, such that when combined with Dr. Reicin’s prior securities holdings or rights to acquire securities in the combined company, Dr. Reicin will hold or have the right to acquire shares representing at least 4.34% of our post-Merger common stock; and (v) eligibility to participate in our executive severance plan and other employee benefit, welfare and other plans, as may be maintained by us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employment related agreement for Dr. Reicin does not purport to be complete and is subject to and qualified in its entirety by reference to the copy of the amended and restated employment agreement for Dr. Reicin included as an exhibit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Daniel Lochner, M.B.A </w:t>
      </w:r>
    </w:p>
    <w:p>
      <w:pPr>
        <w:pStyle w:val="TextBody"/>
        <w:bidi w:val="0"/>
        <w:spacing w:before="120" w:after="0"/>
        <w:jc w:val="left"/>
        <w:rPr>
          <w:rFonts w:ascii="Times New Roman" w:hAnsi="Times New Roman"/>
          <w:sz w:val="20"/>
        </w:rPr>
      </w:pPr>
      <w:r>
        <w:rPr>
          <w:rFonts w:ascii="Times New Roman" w:hAnsi="Times New Roman"/>
          <w:sz w:val="20"/>
        </w:rPr>
        <w:t xml:space="preserve">On May 28, 2024, we entered into an employment agreement with Daniel Lochner. The material terms of the employment agreement are as follows: (i) Mr. Lochner shall be employed as Chief Financial Officer of the Company, effective June 3, 2024; (ii) an annual base salary of $475,000; (iii) eligibility for an annual, performance- based cash bonus with a target bonus percentage of 40% of Mr. Lochner’s base salary subject to his continuous service through the payment of the bonus set to occur no later than April 15th the following calendar year; (iv) an issuance of an option award to purchase shares of common stock of the Company, representing 0.80% of the combined Company’s post- merger outstanding shares of common stock; (v) a performance-based equity award to purchase a number of shares of common stock equal to 0.10% of the combined Company’s post-merger outstanding shares of common stock; and (vi) eligibility to participate in the Company’s executive severance plan and other employee benefit, welfare and other plans, as may be maintained by the Company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Marcella K. Ruddy, M.D. </w:t>
      </w:r>
    </w:p>
    <w:p>
      <w:pPr>
        <w:pStyle w:val="TextBody"/>
        <w:bidi w:val="0"/>
        <w:spacing w:before="120" w:after="0"/>
        <w:jc w:val="left"/>
        <w:rPr>
          <w:rFonts w:ascii="Times New Roman" w:hAnsi="Times New Roman"/>
          <w:sz w:val="20"/>
        </w:rPr>
      </w:pPr>
      <w:r>
        <w:rPr>
          <w:rFonts w:ascii="Times New Roman" w:hAnsi="Times New Roman"/>
          <w:sz w:val="20"/>
        </w:rPr>
        <w:t xml:space="preserve">Legacy Tectonic entered into an offer letter with Dr. Ruddy (the “Ruddy Offer Letter”) in June 2021, in connection with her appointment as Legacy Tectonic’s Chief Medical Officer. The Ruddy Offer Letter provides for a base salary and target bonus opportunity, which shall be reviewed and may be adjusted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To qualify for the annual target bonus set at a percentage of her adjusted base salary in respect of any calendar year, Dr. Ruddy must remain employed with Legacy Tectonic through the time the bonus payment was paid by Legacy Tectonic in the following year. Under the Ruddy Offer Letter, Legacy Tectonic granted Dr. Ruddy an option to purchase 142,233 shares of Tectonic common stock pursuant to the terms of Legacy Tectonic’s 2019 Equity Incentive Plan (the “Tectonic 2019 Plan”), at an exercise price of $1.27 per share. The option award is subject to automatic acceleration in the event of (i) a Change in Control (as defined in the Tectonic 2019 Plan) and (ii) provided that within the twelve months after such Change in Control either (x) Dr. Ruddy’s continuous service is terminated without Cause (as defined in the Ruddy Offer Letter) or (y) Dr. Ruddy resigns for Good Reason (as defined in the Ruddy Offer Letter). Dr. Ruddy is also eligible for additional equity awards under Legacy Tectonic equity compensation plans, as may be granted from time to time. As an NEO, Dr. Ruddy is also eligible to participate in the Company’s executive severance plan and other employee benefit, welfare and other plans, as may be maintained by the Company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and Benefits upon a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Merger, our Board adopted the Severance Plan pursuant to which certain employees are eligible to participate, including the NEOs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the Company is terminated by us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Participant’s employment with the Company is terminated by us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does not purport to be complete and is qualified in its entirety by reference to the full text of the Severance Plan.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and Retirement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These payments and benefits discussed above are in addition to eligibility to participate in benefits available generally to salaried employees, including medical, vision, dental, and life insurance plans, in each case on the same basis as all of our other employees. We generally do not provide perquisites or personal benefits to our NEOs, except in limited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tax-qualified 401(k) retirement plan that provides eligible U.S. employees with an opportunity to save for retirement on a tax-advantaged basis. Pursuant to the terms of such 401(k) plan, depending on facts and circumstances of the employee population in any given year, the Company may make a 3% mandatory contribution under and pursuant to the terms of the plan and applicable law. The Company does not maintain any defined benefit pension plan or nonqualified deferred compensation plan.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adopted the 2024 Equity Incentive Plan (the “2024 Plan”) in connection with and effective as of the closing of the Merger, which provides for the grant of nonstatutory stock options, (“NSOs”) stock appreciation rights, restricted stock awards, restricted stock unit awards, performance awards and other forms of awards to employees, directors and consultants, including employees and consultants of our affiliates. Initially, the maximum number of shares of common stock that may be issued under the 2024 Plan will not exceed 12.5% of the Company’s fully diluted shares outstanding determined as of immediately after the Effective Time (the “2024 Plan’s initial share reserve”). In addition, the number of shares of common stock reserved for issuance under the 2024 Plan will automatically increase on January 1 of each year, starting on January 1, 2025, through and including January 1, 2034, in an amount equal to (1) 5% of the total number of shares of common stock outstanding on the last day of the preceding calendar year, or (2) a lesser number of shares of common stock determined by the Board prior to the date of the increase. The maximum number of shares of common stock that may be issued on the exercise of ISOs under the 2024 Plan is three multiplied by the 2024 Plan’s initial share 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adopted the 2024 Employee Stock Purchase Plan (the “2024 ESPP”) in connection with the Merger pursuant to which the Company may provide eligible employees with an opportunity to purchase shares of the common stock through accumulated contributions. The 2024 ESPP is designed to allow eligible U.S. employees to purchase common stock in a manner that may qualify for favorable tax treatment under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2024 ESPP authorizes the issuance of a number of shares of common stock equal to 1% of the total number of shares of common stock issued and outstanding determined as of immediately after the effective time of the Merger (the “2024 ESPP’s initial share reserve”), pursuant to purchase rights granted to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or to employees of any of the Company’s designated affiliates. The number of shares of common stock reserved for issuance will automatically increase on January 1 of each year, from January 1, 2025 through and including January 1, 2034, by the lesser of (1) 1% of the total number of shares of common stock outstanding on the last day of the preceding calendar year, and (2) a number of shares of common stock equal to three times the 2024 ESPP’s initial share reserve; </w:t>
      </w:r>
      <w:r>
        <w:rPr>
          <w:rFonts w:ascii="Times New Roman" w:hAnsi="Times New Roman"/>
          <w:i/>
          <w:sz w:val="20"/>
        </w:rPr>
        <w:t>provided</w:t>
      </w:r>
      <w:r>
        <w:rPr>
          <w:rFonts w:ascii="Times New Roman" w:hAnsi="Times New Roman"/>
          <w:sz w:val="20"/>
        </w:rPr>
        <w:t xml:space="preserve">, that prior to the date of any such increase, the Board may determine that such increase will be less than the amount set forth in clauses (1) and (2). To date the Company has not made any offerings under the 2024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Legacy Tectonic Board adopted the Tectonic 2019 Plan and Legacy Tectonic stockholders approved the Tectonic 2019 Plan in June 2019. No additional awards have been made under the Tectonic 2019 Plan after the 2024 Plan became effective, and all awards under the Tectonic 2019 Plan were assumed by the Company after application of the exchange ratio. The terms and conditions of such assumed awards are the same as they were under the Tectonic 2019 Plan. </w:t>
      </w:r>
    </w:p>
    <w:p>
      <w:pPr>
        <w:pStyle w:val="TextBody"/>
        <w:bidi w:val="0"/>
        <w:spacing w:before="360" w:after="0"/>
        <w:jc w:val="left"/>
        <w:rPr>
          <w:rFonts w:ascii="Times New Roman" w:hAnsi="Times New Roman"/>
          <w:b/>
          <w:sz w:val="20"/>
        </w:rPr>
      </w:pPr>
      <w:r>
        <w:rPr>
          <w:rFonts w:ascii="Times New Roman" w:hAnsi="Times New Roman"/>
          <w:b/>
          <w:sz w:val="20"/>
        </w:rPr>
        <w:t xml:space="preserve">2024 Non-Employee Director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Non-Employee 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presents the total compensation for each person who served as a non-employee director of our Board during the year ended December 31, 2024. Dr. Reicin, our Chief Executive Officer and President, did not receive any additional compensation for her service on our Board. The compensation received by Dr. Reicin as a NEO, is set forth in “</w:t>
      </w:r>
      <w:r>
        <w:rPr>
          <w:rFonts w:ascii="Times New Roman" w:hAnsi="Times New Roman"/>
          <w:i/>
          <w:sz w:val="20"/>
        </w:rPr>
        <w:t>2024</w:t>
      </w:r>
      <w:r>
        <w:rPr>
          <w:rFonts w:ascii="Times New Roman" w:hAnsi="Times New Roman"/>
          <w:sz w:val="20"/>
        </w:rPr>
        <w:t xml:space="preserve"> </w:t>
      </w:r>
      <w:r>
        <w:rPr>
          <w:rFonts w:ascii="Times New Roman" w:hAnsi="Times New Roman"/>
          <w:i/>
          <w:sz w:val="20"/>
        </w:rPr>
        <w:t>Executive Compensation—2024 Summary Compensation Table.</w:t>
      </w:r>
      <w:r>
        <w:rPr>
          <w:rFonts w:ascii="Times New Roman" w:hAnsi="Times New Roman"/>
          <w:sz w:val="20"/>
        </w:rPr>
        <w:t xml:space="preserve">” </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660"/>
        <w:gridCol w:w="120"/>
        <w:gridCol w:w="128"/>
        <w:gridCol w:w="1452"/>
        <w:gridCol w:w="350"/>
        <w:gridCol w:w="60"/>
        <w:gridCol w:w="111"/>
        <w:gridCol w:w="1484"/>
        <w:gridCol w:w="60"/>
        <w:gridCol w:w="120"/>
        <w:gridCol w:w="60"/>
        <w:gridCol w:w="800"/>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pPr>
            <w:r>
              <w:rPr>
                <w:b/>
              </w:rPr>
              <w:t>Fees Earned or</w:t>
            </w:r>
            <w:r>
              <w:rPr/>
              <w:br/>
            </w:r>
            <w:r>
              <w:rPr>
                <w:b/>
              </w:rPr>
              <w:t>Paid in Cash</w:t>
            </w:r>
            <w:r>
              <w:rPr/>
              <w:br/>
            </w:r>
            <w:r>
              <w:rPr>
                <w:b/>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Option Awards</w:t>
            </w:r>
            <w:r>
              <w:rPr/>
              <w:br/>
            </w:r>
            <w:r>
              <w:rPr>
                <w:b/>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27,500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197,568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225,068</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 M.S., M.B.A.</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40,750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197,568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238,318</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24,000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197,568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221,568</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 M.B.A.</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25,000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197,568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222,568</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 M.S., M.B.A.</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26,250</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197,568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223,818</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 awards granted during the year ended December 31, 2024, calculated in accordance with FASB ASC 718 for share-based compensation transactions. The assumptions used in calculating the grant date fair value of the stock options reported in this column are set forth in “Note 2. </w:t>
            </w:r>
            <w:r>
              <w:rPr>
                <w:rFonts w:ascii="Times New Roman" w:hAnsi="Times New Roman"/>
                <w:i/>
                <w:sz w:val="20"/>
              </w:rPr>
              <w:t>Summary of Significant Accounting Policies and Basis of Presentation—Stock-Based Compensation</w:t>
            </w:r>
            <w:r>
              <w:rPr>
                <w:rFonts w:ascii="Times New Roman" w:hAnsi="Times New Roman"/>
                <w:sz w:val="20"/>
              </w:rPr>
              <w:t xml:space="preserve">” and “Note 8. </w:t>
            </w:r>
            <w:r>
              <w:rPr>
                <w:rFonts w:ascii="Times New Roman" w:hAnsi="Times New Roman"/>
                <w:i/>
                <w:sz w:val="20"/>
              </w:rPr>
              <w:t>Equity Incentive Plans</w:t>
            </w:r>
            <w:r>
              <w:rPr>
                <w:rFonts w:ascii="Times New Roman" w:hAnsi="Times New Roman"/>
                <w:sz w:val="20"/>
              </w:rPr>
              <w:t xml:space="preserve">” to our consolidated financial statements for the year ended December 31, 2024 included elsewhere in this registration statement of which this prospectus forms a part. These amounts do not correspond to the actual economic value that may be received by our non-employee directors upon the exercise of the stock options or any sale of the underlying shares of common stock.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provides information regarding the number of shares of common stock underlying options held by our non-employee directors that were outstanding as of December 31, 2024: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2660"/>
        <w:gridCol w:w="120"/>
        <w:gridCol w:w="129"/>
        <w:gridCol w:w="1466"/>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Option Awards</w:t>
            </w:r>
            <w:r>
              <w:rPr/>
              <w:br/>
            </w:r>
            <w:r>
              <w:rPr>
                <w:b/>
              </w:rPr>
              <w:t>Outstanding at</w:t>
            </w:r>
            <w:r>
              <w:rPr/>
              <w:br/>
            </w:r>
            <w:r>
              <w:rPr>
                <w:b/>
              </w:rPr>
              <w:t>Year-End</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21,132</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 M.S., M.B.A.</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11,760</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11,760</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 M.B.A.</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23,926</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 M.S., M.B.A.</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11,760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(3)</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$13,125 of fees earned by Mr. Vitorovic were paid to Vida Ventures and $13,125 of fees earned were paid to Mr. Vitorovic.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Legacy Tectonic did not have a formal compensation policy with respect to service on its board of directors. Legacy Tectonic reimbursed its non-employee directors for their reasonable out-of-pocket expenses incurred in attending board and committee meetings, and occasionally granted stock options and restricted stock awards as compensation for service.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Merger, our Board approved certain option grants to our directors, other than Dr. Reicin. As a result, on June 20, 2024, each of Phillip B. Donenberg, Terrance McGuire, Timothy A. Springer, Ph.D., Praveen Tipirneni, M.D. and Stefan Vitorovic received an option grant to purchase 11,760 shares of our common stock, in each case, with an exercise price per share equal to $16.80, which was the closing price per share of our common stock as reported on the Nasdaq Global Market on the closing date of the Merger (as adjusted for the reverse stock split). The shares subject to these option grants will vest 1/3 on the first anniversary of the grant date, and thereafter the remaining 2/3 of the shares will vest in equal monthly installments over the following two years, in each case subject to the recipient’s continuous service through the applicable vesting dates, such that the options are vested in full on the three-year anniversary of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Under our Non-Employee Director Compensation Policy, which was established in connection with the Merger, each of our non-employee directors is eligible to receive compensation for service on our Board and committees of our Board as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Non-Employee Director Compensation Policy provides our non-employee directors with the following cash compensation for their services: </w:t>
      </w:r>
    </w:p>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$40,000 per year for each non-employee director;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$70,000 per year for the non-executive chairperson (if applicable) in lieu of the annual amount above;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$15,000 per year for chair of the audit committee or $7,500 per year for each other member of the audit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$10,000 per year for chair of the compensation committee or $5,000 per year for each other member of the compensation committee;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$8,000 per year for chair of the nominating and corporate governance committee or $4,000 per year for each other member of the nominating and corporate governance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cash compensation above is payable to our eligible non-employee directors in equal quarterly installments in arrears, prorated for any partial quarter of service.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cash compensation structure described above, the Non-Employee Director Compensation Policy provides for the following equity incentive compensation program for non-employee directors. All such equity compensation will be granted under the 2024 Plan or any successor equity plan. </w:t>
      </w:r>
    </w:p>
    <w:p>
      <w:pPr>
        <w:pStyle w:val="TextBody"/>
        <w:bidi w:val="0"/>
        <w:spacing w:before="240" w:after="0"/>
        <w:jc w:val="left"/>
        <w:rPr>
          <w:rFonts w:ascii="Times New Roman" w:hAnsi="Times New Roman"/>
          <w:sz w:val="20"/>
        </w:rPr>
      </w:pPr>
      <w:r>
        <w:rPr>
          <w:rFonts w:ascii="Times New Roman" w:hAnsi="Times New Roman"/>
          <w:i/>
          <w:sz w:val="20"/>
        </w:rPr>
        <w:t>Initial Grant</w:t>
      </w:r>
      <w:r>
        <w:rPr>
          <w:rFonts w:ascii="Times New Roman" w:hAnsi="Times New Roman"/>
          <w:sz w:val="20"/>
        </w:rPr>
        <w:t xml:space="preserve">. Each non-employee director who joins our Board will automatically, upon the date of his or her initial election or appointment to be a non-employee director (or, if such date is not a business day, on the first business day thereafter), be granted a one-time, initial equity award of options (the “initial grant”)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14,800 shares of common stock with a cash value not to exceed $800,000. One-third of the initial grant will vest on the first anniversary of the date of grant, with the remainder vesting in equal monthly installments thereafter until the third anniversary of the date of grant, subject to continuous service through each applicable vesting date. </w:t>
      </w:r>
    </w:p>
    <w:p>
      <w:pPr>
        <w:pStyle w:val="TextBody"/>
        <w:bidi w:val="0"/>
        <w:spacing w:before="240" w:after="0"/>
        <w:jc w:val="left"/>
        <w:rPr>
          <w:rFonts w:ascii="Times New Roman" w:hAnsi="Times New Roman"/>
          <w:sz w:val="20"/>
        </w:rPr>
      </w:pPr>
      <w:r>
        <w:rPr>
          <w:rFonts w:ascii="Times New Roman" w:hAnsi="Times New Roman"/>
          <w:i/>
          <w:sz w:val="20"/>
        </w:rPr>
        <w:t>Annual Grant</w:t>
      </w:r>
      <w:r>
        <w:rPr>
          <w:rFonts w:ascii="Times New Roman" w:hAnsi="Times New Roman"/>
          <w:sz w:val="20"/>
        </w:rPr>
        <w:t xml:space="preserve">. On the first business day following each annual meeting of our stockholders, each person who is then a non-employee director of ours will automatically be granted an option to purchase 7,400 shares of common stock with a cash value not to exceed $400,000 (the “annual grant”). Each annual grant will vest on the earlier of the one-year anniversary of the annual award’s grant date or the date of our next annual stockholder meeting following the annual award’s grant date, subject to continuous service through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director’s then-outstanding equity awards granted under the policy (and any other then-outstanding equity awards held by the non-employee director that were outstanding and unvested immediately prior to the date of the execution of the underwriting agreement related to our initial public offering) will become fully vested upon a change in control (as defined in our 2024 Plan), subject to the non-employee director remaining in continuous service until immediately prior to the closing of the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63285_11"/>
      <w:bookmarkEnd w:id="13"/>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agreements and other arrangements with the Company and the Company’s directors and executive officers in the section titled “</w:t>
      </w:r>
      <w:r>
        <w:rPr>
          <w:rFonts w:ascii="Times New Roman" w:hAnsi="Times New Roman"/>
          <w:i/>
          <w:sz w:val="20"/>
        </w:rPr>
        <w:t>Executive and Director Compensation</w:t>
      </w:r>
      <w:r>
        <w:rPr>
          <w:rFonts w:ascii="Times New Roman" w:hAnsi="Times New Roman"/>
          <w:sz w:val="20"/>
        </w:rPr>
        <w:t xml:space="preserve">” elsewhere in this prospectus, the following is a description of each transaction involving the Company or Legacy Tectonic since January 1, 2023 in which: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Legacy Tectonic’s or the Company’s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Legacy Tectonic’s Transactions and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Legacy Tectonic Subscription Agreement and SAFEs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Legacy Tectonic entered into a subscription agreement with certain investors named therein, pursuant to which such investors agreed to purchase shares of Legacy Tectonic common stock, at a purchase price of $12.39908 per share (the “Subscription Agreement”), and certain investors consummated certain additional purchases of Legacy Tectonic common stock pursuant to the terms of the SAFEs entered into by such investors and Legacy Tectonic, for an aggregate purchase price among the private financings contemplated by the Subscription Agreement and such SAFEs of approximately $130.7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purchase of Legacy Tectonic common stock pursuant to the Subscription Agreement and the entry into the SAFEs by Legacy Tectonic’s related persons: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4310"/>
        <w:gridCol w:w="120"/>
        <w:gridCol w:w="60"/>
        <w:gridCol w:w="1100"/>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b/>
              </w:rPr>
            </w:pPr>
            <w:r>
              <w:rPr>
                <w:b/>
              </w:rPr>
              <w:t>Stockholder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Purchase</w:t>
            </w:r>
            <w:r>
              <w:rPr/>
              <w:br/>
            </w:r>
            <w:r>
              <w:rPr>
                <w:b/>
              </w:rPr>
              <w:t>Price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41,999,997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8,999,989</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7,499,987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Founders Capital Fund II, L.P.(4)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1,499,991</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125,000</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and purchase of Legacy Tectonic common stock pursuant to the Subscription Agreement. Dr. Timothy A. Springer served as a director on the Legacy Tectonic Board and serves as a director of the Board.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and purchase of Legacy Tectonic common stock pursuant to the Subscription Agreement. PP IX owned more than five percent of Legacy Tectonic’s outstanding capital stock and owns more than five percent of the Company’s outstanding capital stock. Terrance McGuire served as a director of the Legacy Tectonic Board, serves as a director on the Board and holds an interest in Polaris Partners GP IX, L.L.C., the general partner of PP IX.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and purchase of Legacy Tectonic common stock pursuant to the Subscription Agreement. Stefan Vitorovic served as a director on the Legacy Tectonic Board, serves as a director of the Board and was a member of the investment committee of VV Manager II, LLC, which is affiliated with Vida Ventures. Entities affiliated with Vida Ventures collectively owned more than five percent of Legacy Tectonic’s outstanding capital stock and own more than five percent of the Company’s outstanding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purchase of Legacy Tectonic common stock pursuant to the Subscription Agreement. Terrance McGuire served as a director on the Legacy Tectonic Board, serves as a director of the Board and is a managing member of Polaris Founders Capital Management Co. II, L.L.C., the general partner of Polaris Founders Capital Fund II, L.P.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pPr>
            <w:r>
              <w:rPr/>
              <w:t>(5)</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SAFEs. Dr. Andrew Kruse served as a director on the Legacy Tectonic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Under the Merger </w:t>
      </w:r>
    </w:p>
    <w:p>
      <w:pPr>
        <w:pStyle w:val="TextBody"/>
        <w:bidi w:val="0"/>
        <w:spacing w:before="120" w:after="0"/>
        <w:jc w:val="left"/>
        <w:rPr>
          <w:rFonts w:ascii="Times New Roman" w:hAnsi="Times New Roman"/>
          <w:sz w:val="20"/>
        </w:rPr>
      </w:pPr>
      <w:r>
        <w:rPr>
          <w:rFonts w:ascii="Times New Roman" w:hAnsi="Times New Roman"/>
          <w:sz w:val="20"/>
        </w:rPr>
        <w:t xml:space="preserve">Certain Legacy Tectonic stockholders entered into support agreements with Legacy Tectonic pursuant to which, among other things, each such stockholder, solely in his, her or its capacity as a Legacy Tectonic stockholder, agreed to vote all of such stockholder’s shares of Legacy Tectonic capital stock in favor of (i) the adoption of the Merger Agreement, (ii) the approval of the merger and related transactions contemplated by the Merger Agreement, (iii) the approval of an amendment to Legacy Tectonic’s certificate of incorporation to increase its authorized stock, (iv) to the extent such person was entitled to vote or exercise a right to consent with respect to such matter, effecting the preferred stock conversion immediately prior to conversion of the SAFEs, which SAFEs conversion occurred immediately prior to the consummation of the private placement financings, (v) waiving any preemptive right, right of participation, right of maintenance, anti-dilution right or any similar right as may otherwise have been provided to such stockholder under Legacy Tectonic’s certificate of incorporation or bylaws in connection with the Merger and related transactions contemplated by the Merger Agreement and (vi) against any Acquisition Proposal from a third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February 2025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Entities affiliated with Deep Track Capital, LP, entities affiliated with FMR LLC, TAS Partners, LLC, entities affiliated with EcoR1, Dr. Springer and Mr. Lochner purchased shares of our common stock in the Private Placement. The following table summarizes the purchase of shares of our common stock by such parties: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785"/>
        <w:gridCol w:w="120"/>
        <w:gridCol w:w="60"/>
        <w:gridCol w:w="1100"/>
        <w:gridCol w:w="75"/>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b/>
              </w:rPr>
            </w:pPr>
            <w:r>
              <w:rPr>
                <w:b/>
              </w:rPr>
              <w:t>Stockholder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Purchase</w:t>
            </w:r>
            <w:r>
              <w:rPr/>
              <w:br/>
            </w:r>
            <w:r>
              <w:rPr>
                <w:b/>
              </w:rPr>
              <w:t>Price ($)</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40,000,000</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34,527,700</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TAS Partners,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33,000,000</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6,999,977</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249,964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Private Placement, we also entered into a registration rights agreement with investors thereto, including the purchasers listed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its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the Company’s right, on account of any services undertaken by such person on the Company’s behalf or that person’s status as a member of the Board to the maximum extent allowed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indemnification agreements does not purport to be complete and is qualified in its entirety by the full text of the form of indemnification agreement, which is attached as an exhibit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adopted a written related person transactions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 </w:t>
      </w:r>
    </w:p>
    <w:p>
      <w:pPr>
        <w:pStyle w:val="TextBody"/>
        <w:bidi w:val="0"/>
        <w:spacing w:before="240" w:after="0"/>
        <w:jc w:val="left"/>
        <w:rPr>
          <w:rFonts w:ascii="Times New Roman" w:hAnsi="Times New Roman"/>
          <w:sz w:val="20"/>
        </w:rPr>
      </w:pPr>
      <w:r>
        <w:rPr>
          <w:rFonts w:ascii="Times New Roman" w:hAnsi="Times New Roman"/>
          <w:sz w:val="20"/>
        </w:rPr>
        <w:t xml:space="preserve">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the related person in question or, in the case of transactions with a holder of more than 5% of any class of our voting securities, an officer with knowledge of a proposed transaction, must present information regarding the proposed related person transaction to the audit committee (or, where review by the audit committee would be inappropriate, to another independent body of the board) for review. The audit committee will approve only those transactions that it determines are fair to us and in our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All of the transactions described above were entered into prior to the adoption of such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63285_12"/>
      <w:bookmarkEnd w:id="14"/>
      <w:r>
        <w:rPr>
          <w:rFonts w:ascii="Times New Roman" w:hAnsi="Times New Roman"/>
          <w:b/>
          <w:sz w:val="20"/>
        </w:rPr>
        <w:t xml:space="preserve">PRINCIPAL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Company’s common stock as of February 28, 2025, by: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be the beneficial owner of more than 5% of the Company’s outstanding common stock;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executive officers and directors; and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Company’s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February 28, 2025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the Company believes, based on the information provided to them, that the persons and entities named in the table below have sole voting and investment power with respect to all common stock shown as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18,662,672 shares of common stock outstanding as of February 28, 2025. </w:t>
      </w:r>
    </w:p>
    <w:p>
      <w:pPr>
        <w:pStyle w:val="TextBody"/>
        <w:bidi w:val="0"/>
        <w:spacing w:before="0" w:after="0"/>
        <w:jc w:val="left"/>
        <w:rPr/>
      </w:pPr>
      <w:r>
        <w:rPr/>
        <w:t> </w:t>
      </w:r>
    </w:p>
    <w:tbl>
      <w:tblPr>
        <w:tblW w:w="8730" w:type="dxa"/>
        <w:jc w:val="left"/>
        <w:tblInd w:w="0" w:type="dxa"/>
        <w:tblLayout w:type="fixed"/>
        <w:tblCellMar>
          <w:top w:w="0" w:type="dxa"/>
          <w:left w:w="0" w:type="dxa"/>
          <w:bottom w:w="0" w:type="dxa"/>
          <w:right w:w="0" w:type="dxa"/>
        </w:tblCellMar>
      </w:tblPr>
      <w:tblGrid>
        <w:gridCol w:w="5300"/>
        <w:gridCol w:w="120"/>
        <w:gridCol w:w="92"/>
        <w:gridCol w:w="1507"/>
        <w:gridCol w:w="92"/>
        <w:gridCol w:w="184"/>
        <w:gridCol w:w="136"/>
        <w:gridCol w:w="1009"/>
        <w:gridCol w:w="290"/>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Persons and entities affiliated with 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5,382,415</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28.8</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LLC(2)</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1,516,335</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8.1</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LP(3)</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1,401,938</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7.5</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Polaris Partners IX, L.P.(4)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1,157,977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6.2</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Ventures(5)</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1,028,674</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5,382,415</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28.8</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 M.S., M.B.A.(6)</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1,157,977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6.2</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 M.S., M.B.A.</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M.D.(7)</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334,848</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M.D.(8)</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110,914</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 M.B.A.(9)</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15,203</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M.B.A.(10)</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5,986</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Donenberg(11)</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62,693</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executive officers and directors as a group (10 persons)(12)</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7,241,698</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38.3</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4,226,058 shares of common stock held by Dr. Springer, (ii) 186,134 shares held by Dr. Chafen Lu and (iii) 970,223 shares of common stock held by TAS Partners, LLC (“TAS”). Dr. Lu is the spouse of Dr. Springer.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Dr. Lu and TAS is 36 Woodman Road, Newton, MA 02467.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common stock are owned by funds and accounts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1,401,938 shares of common stock held by Deep Track Biotechnology Master Fund, Ltd. (“Deep Track Master”). David Kroin is the managing member of Deep Track Capital GP, LLC, the General Partner of Deep Track Capital, LP. Deep Track Capital, LP is the Investment Manager of Deep Track Biotechnology Master Fund. Ltd. The address of the above persons and entities is 200 Greenwich Avenue, 3rd Floor, Greenwich, CT 06830.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shares are held of record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 02210.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1,000,900 shares of common stock held by Vida Ventures II, LLC (“Vida II Main Fund”) and (ii) 27,774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Helen Kim, Rajul Jain, and Joshua Kazam are the members of the investment committee of VV Manager II (the “Investment Committee”).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 02109.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(6)</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20,262 shares of common stock held by Polaris Founders Capital Fund I, L.P. (“PF I”), (ii) consists of 64,652 shares of common stock held by Polaris Founders Capital Fund II, L.P. (“PF II”) and (iii) 1,073,063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Board,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PP GP IX is the general partner of PP IX and may be deemed to have sole voting and dispositive power with respect to the shares held by PP IX. The PP GP IX Managing Members are the managing members of PP GP IX, and Terrance McGuire, a member of the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166,580 shares of common stock held by Dr. Reicin, 11,372 of which are subject to repurchase as of February 28, 2025, (ii) 124,530 shares of common stock held by the 2020 Reicin-Boiarsky Family Trust (the “2020 Reicin Trust”) and (iii) 43,738 shares of common stock issuable upon exercise of options granted to Dr. Reicin that are exercisable within 60 days of February 28, 2025. Robert Boiarsky is a co-trustee of the 2020 Reicin Trust and the spouse of Dr. Reicin. Dr. Reicin may be deemed to have shared voting and dispositive power over the securities held by the 2020 Reicin Trust.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32,065 shares of common stock held by Dr. Ruddy and (ii) 46,784 shares of common stock issuable upon exercise of options granted to Dr. Ruddy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3,037 shares of common stock held by Dr. Tipirneni and (ii) 12,166 shares of common stock issuable upon exercise of options granted to Dr. Tipirneni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(10)</w:t>
            </w:r>
          </w:p>
        </w:tc>
        <w:tc>
          <w:tcPr>
            <w:tcW w:w="98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4,617 shares of common stock held by Mr. Lochner and (ii) 1,369 shares of common stock issuable upon exercise of options granted to Mr. Lochner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(11)</w:t>
            </w:r>
          </w:p>
        </w:tc>
        <w:tc>
          <w:tcPr>
            <w:tcW w:w="98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166 shares of common stock held by Mr. Donenberg and (ii) 9,372 shares of common stock issuable upon exercise of options granted to Mr. Donenberg that are exercisable within 60 days of February 28, 2025. </w:t>
            </w:r>
          </w:p>
        </w:tc>
      </w:tr>
    </w:tbl>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pPr>
            <w:r>
              <w:rPr/>
              <w:t>(12)</w:t>
            </w:r>
          </w:p>
        </w:tc>
        <w:tc>
          <w:tcPr>
            <w:tcW w:w="98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6,766,837 shares of common stock and (ii) 113,429 shares of common stock issuable upon exercise of options that are exercisable within 60 days of February 28,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63285_13"/>
      <w:bookmarkEnd w:id="1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being offering by the selling stockholders consist of the Shares issued to the selling stockholders in the Private Placement. For additional information regarding the issuance of the Shares in connection with the Private Placement, see the section “Prospectus Summary—Private Placement” above. We are registering the resale of the Shares issued to the selling stockholders in order to permit such selling stockholders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The table below lists the selling stockholders and other information regarding their ownership of the Shares offered hereby. The second column lists the number of shares of common stock beneficially owned by the selling stockholders as of February 28, 2025.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18,662,672 shares of common stock outstanding as of February 28,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0"/>
        <w:gridCol w:w="120"/>
        <w:gridCol w:w="2195"/>
        <w:gridCol w:w="120"/>
        <w:gridCol w:w="2390"/>
        <w:gridCol w:w="120"/>
        <w:gridCol w:w="1317"/>
        <w:gridCol w:w="139"/>
        <w:gridCol w:w="1354"/>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283"/>
              <w:jc w:val="center"/>
              <w:rPr>
                <w:b/>
              </w:rPr>
            </w:pPr>
            <w:r>
              <w:rPr>
                <w:b/>
              </w:rPr>
              <w:t>Beneficial Ownership</w:t>
              <w:br/>
              <w:t>Before Offering</w:t>
            </w:r>
          </w:p>
        </w:tc>
        <w:tc>
          <w:tcPr>
            <w:tcW w:w="120" w:type="dxa"/>
            <w:tcBorders/>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0" w:after="283"/>
              <w:jc w:val="center"/>
              <w:rPr>
                <w:b/>
              </w:rPr>
            </w:pPr>
            <w:r>
              <w:rPr>
                <w:b/>
              </w:rPr>
              <w:t>Maximum Number of</w:t>
              <w:br/>
              <w:t>Shares Offered</w:t>
              <w:br/>
              <w:t>Pursuant to Prospectus</w:t>
            </w:r>
          </w:p>
        </w:tc>
        <w:tc>
          <w:tcPr>
            <w:tcW w:w="120" w:type="dxa"/>
            <w:tcBorders/>
            <w:vAlign w:val="center"/>
          </w:tcPr>
          <w:p>
            <w:pPr>
              <w:pStyle w:val="TableContents"/>
              <w:bidi w:val="0"/>
              <w:spacing w:before="0" w:after="283"/>
              <w:jc w:val="left"/>
              <w:rPr/>
            </w:pPr>
            <w:r>
              <w:rPr/>
              <w:t>  </w:t>
            </w:r>
          </w:p>
        </w:tc>
        <w:tc>
          <w:tcPr>
            <w:tcW w:w="28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Beneficial Ownership After</w:t>
              <w:br/>
              <w:t>Offering</w:t>
            </w:r>
          </w:p>
        </w:tc>
      </w:tr>
      <w:tr>
        <w:trPr/>
        <w:tc>
          <w:tcPr>
            <w:tcW w:w="24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120" w:type="dxa"/>
            <w:tcBorders/>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120" w:type="dxa"/>
            <w:tcBorders/>
            <w:vAlign w:val="center"/>
          </w:tcPr>
          <w:p>
            <w:pPr>
              <w:pStyle w:val="TableContents"/>
              <w:bidi w:val="0"/>
              <w:spacing w:before="0" w:after="283"/>
              <w:jc w:val="left"/>
              <w:rPr/>
            </w:pPr>
            <w:r>
              <w:rPr/>
              <w:t>  </w:t>
            </w:r>
          </w:p>
        </w:tc>
        <w:tc>
          <w:tcPr>
            <w:tcW w:w="1317" w:type="dxa"/>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39" w:type="dxa"/>
            <w:tcBorders/>
            <w:vAlign w:val="center"/>
          </w:tcPr>
          <w:p>
            <w:pPr>
              <w:pStyle w:val="TableContents"/>
              <w:bidi w:val="0"/>
              <w:spacing w:before="0" w:after="283"/>
              <w:jc w:val="left"/>
              <w:rPr/>
            </w:pPr>
            <w:r>
              <w:rPr/>
              <w:t>  </w:t>
            </w:r>
          </w:p>
        </w:tc>
        <w:tc>
          <w:tcPr>
            <w:tcW w:w="1354" w:type="dxa"/>
            <w:tcBorders>
              <w:bottom w:val="single" w:sz="8" w:space="0" w:color="000000"/>
            </w:tcBorders>
            <w:tcMar>
              <w:bottom w:w="28" w:type="dxa"/>
            </w:tcMar>
            <w:vAlign w:val="center"/>
          </w:tcPr>
          <w:p>
            <w:pPr>
              <w:pStyle w:val="TableContents"/>
              <w:bidi w:val="0"/>
              <w:spacing w:before="0" w:after="283"/>
              <w:jc w:val="center"/>
              <w:rPr>
                <w:b/>
              </w:rPr>
            </w:pPr>
            <w:r>
              <w:rPr>
                <w:b/>
              </w:rPr>
              <w:t>Percentage</w:t>
              <w:br/>
              <w:t>(%)</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 (1)</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1,401,938</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800,000</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601,938</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3.23%</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Fidelity Advisor Series VII: Fidelity Advisor Biotechnology Fund(2)</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245,985</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30,544</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215,441</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1.15%</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Fidelity Select Portfolios: Biotechnology Portfolio(2)</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442,889</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160,000</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282,889</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1.52%</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Series Growth Company Fund(2)</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175,705</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42,727</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132,978</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Growth Company Fund(2)</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651,163</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169,171</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481,922</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2.58%</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Fidelity Growth Company Commingled Pool, By: Fidelity Management Trust Company, as Trustee(2)</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1,007,880</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234,884</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772,996</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4.14%</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 Fidelity Growth Company K6 Fund(2)</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241,174</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53,218</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187,956</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1.01%</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TAS Partners, LLC(3)</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970,223</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660,000</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310,223</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1.66%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50"/>
        <w:gridCol w:w="120"/>
        <w:gridCol w:w="2195"/>
        <w:gridCol w:w="120"/>
        <w:gridCol w:w="2390"/>
        <w:gridCol w:w="120"/>
        <w:gridCol w:w="1317"/>
        <w:gridCol w:w="139"/>
        <w:gridCol w:w="1354"/>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283"/>
              <w:jc w:val="center"/>
              <w:rPr>
                <w:b/>
              </w:rPr>
            </w:pPr>
            <w:r>
              <w:rPr>
                <w:b/>
              </w:rPr>
              <w:t>Beneficial Ownership</w:t>
              <w:br/>
              <w:t>Before Offering</w:t>
            </w:r>
          </w:p>
        </w:tc>
        <w:tc>
          <w:tcPr>
            <w:tcW w:w="120" w:type="dxa"/>
            <w:tcBorders/>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0" w:after="283"/>
              <w:jc w:val="center"/>
              <w:rPr>
                <w:b/>
              </w:rPr>
            </w:pPr>
            <w:r>
              <w:rPr>
                <w:b/>
              </w:rPr>
              <w:t>Maximum Number of</w:t>
              <w:br/>
              <w:t>Shares Offered</w:t>
              <w:br/>
              <w:t>Pursuant to Prospectus</w:t>
            </w:r>
          </w:p>
        </w:tc>
        <w:tc>
          <w:tcPr>
            <w:tcW w:w="120" w:type="dxa"/>
            <w:tcBorders/>
            <w:vAlign w:val="center"/>
          </w:tcPr>
          <w:p>
            <w:pPr>
              <w:pStyle w:val="TableContents"/>
              <w:bidi w:val="0"/>
              <w:spacing w:before="0" w:after="283"/>
              <w:jc w:val="left"/>
              <w:rPr/>
            </w:pPr>
            <w:r>
              <w:rPr/>
              <w:t>  </w:t>
            </w:r>
          </w:p>
        </w:tc>
        <w:tc>
          <w:tcPr>
            <w:tcW w:w="28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Beneficial Ownership After</w:t>
              <w:br/>
              <w:t>Offering</w:t>
            </w:r>
          </w:p>
        </w:tc>
      </w:tr>
      <w:tr>
        <w:trPr/>
        <w:tc>
          <w:tcPr>
            <w:tcW w:w="24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120" w:type="dxa"/>
            <w:tcBorders/>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120" w:type="dxa"/>
            <w:tcBorders/>
            <w:vAlign w:val="center"/>
          </w:tcPr>
          <w:p>
            <w:pPr>
              <w:pStyle w:val="TableContents"/>
              <w:bidi w:val="0"/>
              <w:spacing w:before="0" w:after="283"/>
              <w:jc w:val="left"/>
              <w:rPr/>
            </w:pPr>
            <w:r>
              <w:rPr/>
              <w:t>  </w:t>
            </w:r>
          </w:p>
        </w:tc>
        <w:tc>
          <w:tcPr>
            <w:tcW w:w="1317" w:type="dxa"/>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39" w:type="dxa"/>
            <w:tcBorders/>
            <w:vAlign w:val="center"/>
          </w:tcPr>
          <w:p>
            <w:pPr>
              <w:pStyle w:val="TableContents"/>
              <w:bidi w:val="0"/>
              <w:spacing w:before="0" w:after="283"/>
              <w:jc w:val="left"/>
              <w:rPr/>
            </w:pPr>
            <w:r>
              <w:rPr/>
              <w:t>  </w:t>
            </w:r>
          </w:p>
        </w:tc>
        <w:tc>
          <w:tcPr>
            <w:tcW w:w="1354" w:type="dxa"/>
            <w:tcBorders>
              <w:bottom w:val="single" w:sz="8" w:space="0" w:color="000000"/>
            </w:tcBorders>
            <w:tcMar>
              <w:bottom w:w="28" w:type="dxa"/>
            </w:tcMar>
            <w:vAlign w:val="center"/>
          </w:tcPr>
          <w:p>
            <w:pPr>
              <w:pStyle w:val="TableContents"/>
              <w:bidi w:val="0"/>
              <w:spacing w:before="0" w:after="283"/>
              <w:jc w:val="center"/>
              <w:rPr>
                <w:b/>
              </w:rPr>
            </w:pPr>
            <w:r>
              <w:rPr>
                <w:b/>
              </w:rPr>
              <w:t>Percentage</w:t>
              <w:br/>
              <w:t>(%)</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Ph.D.(4)</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5,382,415</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129,294</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525,3121</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28.15%</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associated with EcoR1 Capital LLC(5)</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1,024,143</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500,000</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524,143</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2.81%</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Point 72 Associates, LLC(6)</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200,000</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200,000</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— </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associated with Farallon Capital Management, L.L.C.(7)</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853,050</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140,000</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713,050</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3.82%</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associated with Baker Bros. Advisors LP(8)</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100,000</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100,000</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— </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Woodline Master Fund LP(9)</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330,878</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100,000</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230,878</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1.24%</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Adage Capital Partners, LP(10)</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285,715</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100,000</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185,715</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1.00%</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Ally Bridge Medalpha Master Fund L.P.(11)</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117,222</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80,000</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37,222</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Citadel CEMF Investments Ltd.(12)</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65,000</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65,000</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— </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StemPoint Capital LP(13)</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96,764</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60,000</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36,764</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Soleus Capital Master Fund(14)</w:t>
            </w:r>
          </w:p>
        </w:tc>
        <w:tc>
          <w:tcPr>
            <w:tcW w:w="12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center"/>
              <w:rPr/>
            </w:pPr>
            <w:r>
              <w:rPr/>
              <w:t>76,841</w:t>
            </w:r>
          </w:p>
        </w:tc>
        <w:tc>
          <w:tcPr>
            <w:tcW w:w="12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60,000</w:t>
            </w:r>
          </w:p>
        </w:tc>
        <w:tc>
          <w:tcPr>
            <w:tcW w:w="120"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center"/>
              <w:rPr/>
            </w:pPr>
            <w:r>
              <w:rPr/>
              <w:t>16,841</w:t>
            </w:r>
          </w:p>
        </w:tc>
        <w:tc>
          <w:tcPr>
            <w:tcW w:w="13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center"/>
              <w:rPr/>
            </w:pPr>
            <w:r>
              <w:rPr/>
              <w:t>*</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 M.B.A.(15)</w:t>
            </w:r>
          </w:p>
        </w:tc>
        <w:tc>
          <w:tcPr>
            <w:tcW w:w="1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5,986</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4,617</w:t>
            </w:r>
          </w:p>
        </w:tc>
        <w:tc>
          <w:tcPr>
            <w:tcW w:w="12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center"/>
              <w:rPr/>
            </w:pPr>
            <w:r>
              <w:rPr/>
              <w:t>1,369</w:t>
            </w:r>
          </w:p>
        </w:tc>
        <w:tc>
          <w:tcPr>
            <w:tcW w:w="139"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center"/>
              <w:rPr/>
            </w:pPr>
            <w:r>
              <w:rPr/>
              <w:t>*</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1,401,938 shares of common stock held by Deep Track Biotechnology Master Fund, Ltd. (“Deep Track”). David Kroin is the managing member of Deep Track Capital GP, LLC, the General Partner of Deep Track Capital, LP. Deep Track Capital, LP is the Investment Manager of Deep Track Biotechnology Master Fund. Ltd. The address of the above persons and entities is 200 Greenwich Avenue, 3rd Floor, Greenwich, CT 06830.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970,223 shares of common stock held by TAS. Dr. Springer is the sole managing member of TAS and exercises sole voting and dispositive power over the shares held by TAS. Dr. Springer disclaims beneficial ownership of the shares held by TAS. The principal business address of each of Dr. Springer and TAS is 36 Woodman Road, Newton, MA 02467.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4,226,058 shares of common stock held by Dr. Springer, (ii) 186,134 shares held by Dr. Chafen Lu and (iii) 970,223 shares of common stock held by TAS. Dr. Lu is the spouse of Dr. Springer.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Dr. Lu and TAS is 36 Woodman Road, Newton, MA 02467.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470,000 shares of common stock purchased in the Private Placement by EcoR1 Capital Fund Qualified, L.P. (“Qualified Fund”); and (ii) 30,000 shares of common stock purchased in the Private Placement by EcoR1 Capital Fund, L.P. (“Capital Fund”, and together with Qualified Fund, the “EcoR1 Capital Funds”). EcoR1 Capital LLC (“EcoR1”) is the general partner of the EcoR1 Capital Funds. Oleg Nodelman is the control person of EcoR1 and may be deemed to share dispositive voting power over the shares held by the EcoR1 Capital Funds. Mr. Nodelman and EcoR1 both disclaim beneficial ownership of all shares except to the extent of their pecuniary interest. The address for EcoR1 Capital LLC, the EcoR1 Capital Funds and Oleg Nodelman is 357 Tehama Street #3, San Francisco, CA 94103.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Point72 Asset Management, L.P. maintains investment and voting power with respect to the securities held by certain investment funds it manages, including Point72 Associates, LLC. Point72 Capital Advisors, Inc. is the general partner of Point72 Asset Management, L.P. Mr. Steven A. Cohen controls each of Point72 Asset Management, L.P. and Point72 Capital Advisors, Inc. By reason of the provisions of Rule 13d-3 of the Exchange Act, each of Point72 Asset Management, L.P., Point72 Capital Advisors, Inc., and Mr. Cohen may be deemed to beneficially own the securities directly held by Point72 Associates, LLC reflected herein. Each of Point72 Asset Management, L.P., Point72 Capital Advisors, Inc., and Mr. Cohen disclaims beneficial ownership of any such securities. The address of the above person and entities is 72 Cummings Point Road, Stamford, CT 06902.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(7)</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that are the subject of this resale registration statement are held directly by the Farallon Funds (as defined below), as follows: (i) Farallon Capital Partners, L.P. (“FCP”) holds 25,592 shares of common stock; (ii) Farallon Capital Institutional Partners, L.P. (“FCIP”) holds 38,780 shares; (iii) Farallon Capital Institutional Partners II, L.P. (“FCIP II”) holds 1,036 shares; (iv) Farallon Capital Institutional Partners III, L.P. (“FCIP III”) holds 3,360 shares; (v) Four Crossings Institutional Partners V, L.P. (“FCIP V”) holds 4,046 shares; (vi) Farallon Capital Offshore Investors II, L.P. (“FCOI II”) holds 57,862 shares; (vii) Farallon Capital (AM) Investors, L.P. (“FCAMI”) holds 3,360 shares; and (viii) Farallon Capital F5 Master I, L.P. (“F5MI” and, together with FCP, FCIP, FCIP II, FCIP III, FCIP V, FCOI II and FCAMI, the “Farallon Funds”) holds 5,964 shares. Farallon Partners, L.L.C. (the “Farallon General Partner”), as the general partner of each of FCP, FCIP, FCIP II, FCIP III, FCOI II and FCAMI and the sole member of the FCIP V General Partner (as defined below), may be deemed a beneficial owner of the shares held by the Farallon Funds other than F5MI. Farallon Institutional (GP) V, L.L.C. (the “FCIP V General Partner”), as the general partner of FCIP V, may be deemed a beneficial owner of the shares held by FCIP V. Farallon F5 (GP), L.L.C. (the “F5MI General Partner”), as the general partner of F5MI, may be deemed a beneficial owner of the shares held by F5MI. Each of Joshua J. Dapice, Philip D. Dreyfuss, Hannah E. Dunn, Richard B. Fried, Varun N. Gehani, Nicolas Giauque, David T. Kim, Michael G. Linn, Cheng Luo, Rajiv A. Patel, Dr. Thomas G. Roberts, Jr., Edric C. Saito, William Seybold,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held by the Farallon Funds. Each of the Farallon General Partner, the FCIP V General Partner, the F5MI General Partner, and the Farallon Managing Members hereby disclaims any beneficial ownership of any such shares. The address of each of the entities and individuals referenced in this note is c/o Farallon Capital Management, L.L.C., One Maritime Plaza, Suite 2100, San Francisco, CA 94111.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(8)</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91,596 shares of common stock held by Baker Brothers Life Sciences, L.P. (“Life Sciences”) and 8,404 shares of common stock held by 667, L.P (“667”). Life Sciences and 667 are direct holders under the advisement of Baker Bros. Advisors LP. Baker Bros. Advisors (GP) LLC is the sole general partner of Baker Bros. Advisors LP. Julian C. Baker and Felix. J. Baker are managing members of Baker Bros. Advisors (GP) LLC. The address of the above person and entities is 860 Washington Street,3rd Floor, New York, NY 10014.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(9)</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330,878 shares of common stock held by Woodline Master Fund LP. Woodline Partners LP (“Woodline Partners”) serves as the investment manager of Woodline Master Fund LP and may be deemed to be the beneficial owner of the shares. Woodline Partners disclaims any beneficial ownership of these shares. The address of the foregoing entities is 4 Embarcadero Center, Suite 3450, San Francisco, CA 94111.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(10)</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100,000 shares of common stock held by Adage Capital Partners, LP (“Adage”). Bob Atchinson and Phillip Gross are the managing members of Adage Capital Advisors, L.L.C., which is the managing member of Adage Capital Partners GP, L.L.C., which is the general partner of Adage, and each such person or entity, as the case may be, has shared voting and/or investment power over the securities held by Adage and may be deemed the beneficial owner of such shares, and each such person or entity, as the case may be, disclaims beneficial ownership of such securities except to the extent of their respective pecuniary interest therein. </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pPr>
            <w:r>
              <w:rPr/>
              <w:t>(11)</w:t>
            </w:r>
          </w:p>
        </w:tc>
        <w:tc>
          <w:tcPr>
            <w:tcW w:w="98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80,000 shares of common stock held by Ally Bridge Medalpha Master Fund L.P. (“MedAlpha”). Mr. Fan Yu is the sole shareholder of ABG Management Ltd., which is the sole member of Ally Bridge Group (NY) LLC, which manages investments of MedAlpha. As such, each of the foregoing entities and Mr. Fan Yu may be deemed to share beneficial ownership of the shares held by MedAlpha. Each of them disclaims any such beneficial ownership. The address of the above person and entities is 430 Park Avenue, 12th Floor, New York, NY 10022.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65,000 shares of common stock held by Citadel CEMF Investments Ltd. (“Citadel CEMF”). Citadel Advisors LLC (“Citadel Advisors”) is the portfolio manager of Citadel CEMF. Citadel Advisors Holdings LP (“CAH”) is the sole member of Citadel Advisors and Citadel GP LLC (“CGP”) is the general partner of CAH. Kenneth Griffin owns a controlling interest in CGP. Mr. Griffin, as the owner of a controlling interest in CGP, may be deemed to have shared power to vote, or to direct the vote of, and/or shared power to dispose of, or to direct the disposition over, the 65,000 shares held by Citadel CEMF. This disclosure is not and shall not be construed as an admission that Mr. Griffin or any of the Citadel-related entities listed above is the beneficial owner of any securities of the Company other than the securities actually owned by such person (if any). The address of Citadel CEMF is c/o Citadel Enterprise Americas LLC, Southeast Financial Center, 200 S. Biscayne Blvd., Suite 3300, Miami, FL 33131.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(13)</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60,000 shares of common stock held by StemPoint Capital LP (“StemPoint”). Michelle Ross is the sole managing member of StemPoint and exercises sole voting and dispositive power over the securities beneficially owned by StemPoint. Ms. Ross disclaims beneficial ownership of the shares held by StemPoint. The address of the above person and entity is 520 Madison Avenue, 19th Floor, New York, NY 10022.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(14)</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60,000 shares of common stock held by Soleus Capital Master Fund (“Soleus Master Fund”). Soleus Capital, LLC is the sole general partner of Soleus Master Fund, Soleus Capital Group, LLC (“SCG”) is the sole managing member of Soleus Capital, LLC, Soleus Capital Management, L.P. (“SCM”) is the investment manager of Soleus Master Fund, Soleus GP, LLC is the general partner of SCM, and Guy Levy is the sole managing member of each of SCG and of Soleus GP, LLC. Each of Soleus Capital, LLC, SCG, SCM, Soleus GP, LLC and Mr. Levy disclaims beneficial ownership of the shares held by Soleus Master Fund except to the extent of their pecuniary interest therein. The address of the above persons is 104 Field Point Road, 2nd Floor, Greenwich, CT 06830.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(15)</w:t>
            </w:r>
          </w:p>
        </w:tc>
        <w:tc>
          <w:tcPr>
            <w:tcW w:w="98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5,986 shares of common stock held by Mr. Lochner. Mr. Lochner exercises sole voting and dispositive power over the shares held by him. The principal address of Mr. Lochner is 55 Iris Avenue, Boulder, CO 80304.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63285_14"/>
      <w:bookmarkEnd w:id="16"/>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and provisions of our charter and bylaws are summaries and are qualified by reference to such charter and bylaws and applicable provisions of Delaware corporate law. Copies of these documents are filed as exhibits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150,000,000 shares of common stock, par value $0.0001 per share, and 10,000,000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receive dividends ratably, if any, as may be declared by our Board out of legally available funds, subject to any preferential dividend rights of any our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of our common stock held of record for the election of directors of the Company and on all matters submitted to a vote of the stockholders. The holders of our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Company’s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not entitled to preemptive, subscription, redemption or conversion rights, and no sinking fund provisions are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10,000,000 authorized shares of preferred stock. The existence of authorized but unissued shares of preferred stock may enable the Board to discourage an attempt to obtain control of the Company by means of a merger, tender offer, proxy contest or otherwise. For example, if in the due exercise of its fiduciary obligations, the Board were to determine that a takeover proposal is not in the best interests of the Company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Provisions of the Company’s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the Company’s charter and bylaws could have the effect of delaying, deferring or discouraging another party from acquiring control of the Company.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the Company to first negotiate with the Board. These provisions might also have the effect of preventing changes in our management. It is possible that these provisions could make it more difficult to accomplish transactions that stockholders might otherwise deem to be in their best interests. However, the Company holds that the advantages gained by protecting its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 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the division of the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the Board, however occurring, including a vacancy resulting from an increase in the size of the Board,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the Company’s bylaws or removal of directors by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only a majority of the members of the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63285_15"/>
      <w:bookmarkEnd w:id="17"/>
      <w:r>
        <w:rPr>
          <w:rFonts w:ascii="Times New Roman" w:hAnsi="Times New Roman"/>
          <w:b/>
          <w:sz w:val="20"/>
        </w:rPr>
        <w:t xml:space="preserve">MATERIAL UNITED STATES FEDERAL INCOME TAX CONSIDERATIONS TO 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relevant to a Non-U.S. Holder’s particular circumstances, and does not deal with non-U.S., state and local tax consequences that may be relevant to Non-U.S. Holders, nor does it address any U.S. federal tax consequences (such as gift and estate taxes) other than income taxes. Special rules different from those described below may apply to certain Non-U.S. Holders that are subject to special treatment under the U.S. Internal Revenue Code of 1986, as amended, or the Code, such as: </w:t>
      </w:r>
    </w:p>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75"/>
        <w:gridCol w:w="110"/>
        <w:gridCol w:w="60"/>
        <w:gridCol w:w="2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and certain electing traders in securities who mark their securities positions to market for U.S. tax purposes,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U.S. citizens or long-term residents,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pPr>
            <w:r>
              <w:rPr/>
              <w:t>“</w:t>
            </w: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pPr>
            <w:r>
              <w:rPr/>
              <w:t>“</w:t>
            </w: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corporations organized outside of the United States, any state thereof or the District of Columbia that are nonetheless treated as U.S. income taxpayers for U.S. federal tax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“conversion transaction,” “synthetic security,” integrated investment or other risk reduction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the federal Medicare contribution tax on net investment income or the special tax accounting rules under Section 451(b) of the Code,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 our common stock through the exercise of an option or otherwise as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and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pass-through entities or arrangements, and investors in such pass-through entities or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Non-U.S. Holders are urged to consult their tax advisors to determine the U.S. federal, state, local and other tax consequences that may be relevant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perhaps retroactively, so as to result in U.S. federal income tax consequences different from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discussed below. We have not requested a ruling from the U.S. Internal Revenue Service, or the IRS, with respect to the statements made and the conclusions reached in the following summary, and there can be no assurance that the IRS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“Non-U.S. Holder” is, for U.S. federal income tax purposes, a beneficial owner of common stock that is neither a U.S. Person, nor a partnership (or other entity or arrangement treated as a partnership for U.S. federal income tax purposes regardless of its place of organization or formation). A “U.S. Person” means any person that is, for U.S. federal income tax purposes,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(within the meaning of Code Section 7701(a)(30)) have the authority to control all substantial decisions of the trust or (2)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beneficial owner of our common stock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his, her or its tax advisor regarding the tax consequences of the ownership and disposition of our common stock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i/>
          <w:sz w:val="20"/>
        </w:rPr>
        <w:t>Distributions</w:t>
      </w:r>
      <w:r>
        <w:rPr>
          <w:rFonts w:ascii="Times New Roman" w:hAnsi="Times New Roman"/>
          <w:sz w:val="20"/>
        </w:rPr>
        <w:t xml:space="preserve">. Distributions, if any, made on our common stock to a Non-U.S. Holder to the extent made out of our current or accumulated earnings and profits (as determined under U.S. federal income tax principles) generally will constitute dividends for U.S. federal income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the applicable withholding agent with a properly executed IRS Form W-8BEN (in the case of individuals) or IRS Form W-8BEN-E (in the case of entities), or other appropriate form, certifying the Non-U.S. Holder’s entitlement to benefits under that treaty and, in certain circumstances, providing such Non-U.S. Holder’s U.S. taxpayer identification number and/or foreign tax identifying number. This certification must be provided prior to the payment of dividends and must be updated periodically.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will be required to provide appropriate documentation to such agent, which will then be required to provide certification to the applicable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and other applicable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stating that the dividends are so connected, is furnished to the applicable withholding agent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distributions on our common stock, if any, exceed our current and accumulated earnings and profits, they will first reduce the Non-U.S. Holder’s adjusted basis in our common stock, but not below zero, and then will be treated as capital gain to the extent of any excess, and taxed in the same manner as gain realized from a sale or other disposition of common stock as described in the next section. </w:t>
      </w:r>
    </w:p>
    <w:p>
      <w:pPr>
        <w:pStyle w:val="TextBody"/>
        <w:bidi w:val="0"/>
        <w:spacing w:before="240" w:after="0"/>
        <w:jc w:val="left"/>
        <w:rPr>
          <w:rFonts w:ascii="Times New Roman" w:hAnsi="Times New Roman"/>
          <w:sz w:val="20"/>
        </w:rPr>
      </w:pPr>
      <w:r>
        <w:rPr>
          <w:rFonts w:ascii="Times New Roman" w:hAnsi="Times New Roman"/>
          <w:i/>
          <w:sz w:val="20"/>
        </w:rPr>
        <w:t>Gain on Disposition of Our Common Stock</w:t>
      </w:r>
      <w:r>
        <w:rPr>
          <w:rFonts w:ascii="Times New Roman" w:hAnsi="Times New Roman"/>
          <w:sz w:val="20"/>
        </w:rPr>
        <w:t xml:space="preserve">. Subject to the discussions below regarding backup withholding and foreign accounts, a Non-U.S. Holder generally will not be subject to U.S. federal income tax with respect to gain realized on a sale or other disposition of our common stock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permanent establishment or fixed base that such Non-U.S. Holder maintains in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and is present in the United States for 183 or more days in the taxable year of the disposition and certain other conditions are met,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or USRPHC, within the meaning of Code Section 897(c)(2) at any time within the shorter of the five-year period preceding such disposition and such Non-U.S. Holder’s holding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we would be a USRPHC if the aggregate fair market value of our “United States real property interests” (within the meaning of Code Section 897(c)(1)), or USRPIs, equaled or exceeded fifty percent (50%) of the combined fair market value of our USRPIs, our non-U.S. real property interests and our other business assets. We believe that we have not been and are not, and do not anticipate becoming, a USRPHC. Even if we are or were to become a USRPHC, gain realized by a Non-U.S. Holder on a disposition of our common stock will not be subject to U.S. federal income tax under the provisions applicable to USRPIs so long as our common stock is “regularly traded,” as defined by applicable Treasury regulations, on an established securities market. There can be no assurance that we are not or will not become a USRPHC or that our common stock will qualify as regularly traded on an established securities market. </w:t>
      </w:r>
    </w:p>
    <w:p>
      <w:pPr>
        <w:pStyle w:val="TextBody"/>
        <w:bidi w:val="0"/>
        <w:spacing w:before="240" w:after="0"/>
        <w:jc w:val="left"/>
        <w:rPr>
          <w:rFonts w:ascii="Times New Roman" w:hAnsi="Times New Roman"/>
          <w:sz w:val="20"/>
        </w:rPr>
      </w:pPr>
      <w:r>
        <w:rPr>
          <w:rFonts w:ascii="Times New Roman" w:hAnsi="Times New Roman"/>
          <w:sz w:val="20"/>
        </w:rPr>
        <w:t xml:space="preserve">Non-U.S. Holders described in (a) above will be required to pay tax on the gain derived from the sale or other taxable disposition at regular U.S. federal income tax rates applicable to U.S. Persons, and corporate Non-U.S. Holders described in (a) above may, in addition, be subject to a branch profits tax at a 30% rate or such lower rate as may be specified by an applicable income tax treaty, as adjusted for certain items.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(even though the Non-U.S. Holder is not considered a resident of the United States), provided that the Non-U.S. Holder has timely filed U.S. federal income tax returns with respect to such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Information Reporting Requirements and Backup Withholding. </w:t>
      </w:r>
      <w:r>
        <w:rPr>
          <w:rFonts w:ascii="Times New Roman" w:hAnsi="Times New Roman"/>
          <w:sz w:val="20"/>
        </w:rPr>
        <w:t xml:space="preserve">Generally, we or an applicable withholding agent will be required to report information to the IRS with respect to any distributions we pay on our common stock (even if the payments are exempt from withholding), including the amount of any such distributions, the name and address of the recipient, and the amount, if any, of tax withheld. A similar report is sent to the Non-U.S. Holder to whom any such distributions are paid. Pursuant to tax treaties or certain other agreements, the IRS may make its reports available to tax authorities in the recipient’s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to a Non-U.S. Holder that are classified as dividends paid by us may also be subject to U.S. backup withholding currently at a rate of 24%. U.S. backup withholding generally will not apply to a Non-U.S. Holder who provides a properly executed IRS Form W-8BEN, IRS Form W-8BEN-E, or IRS Form W-8ECI, or otherwise establishes an exemption. Notwithstanding the foregoing, backup withholding may apply if the applicable payor has actual knowledge, or reason to know, that the Non-U.S.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U.S. information reporting and backup withholding requirements generally will apply to the proceeds of a sale or other taxable disposition of our common stock effected by or through a U.S. office of any broker, U.S. or foreign, except that information reporting and such requirements may be avoided if the Non-U.S. Holder provides a properly executed IRS Form W-8BEN, IRS Form W-8BEN-E or IRS Form W-8ECI,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payor has actual knowledge, or reason to know, that the Non-U.S. Holder is, in fact, a U.S. Person. For information reporting purposes, certain brokers with substantial U.S. ownership or operations will generally be treated in a manner similar to U.S. payors.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credit against the U.S. federal income tax liability of a Non-U.S. Holder subject to backup withholding,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i/>
          <w:sz w:val="20"/>
        </w:rPr>
        <w:t>Foreign Accounts</w:t>
      </w:r>
      <w:r>
        <w:rPr>
          <w:rFonts w:ascii="Times New Roman" w:hAnsi="Times New Roman"/>
          <w:sz w:val="20"/>
        </w:rPr>
        <w:t xml:space="preserve">. Sections 1471 through 1474 of the Code and the related Treasury regulations, together with other U.S. Treasury and IRS guidance issued thereunder and intergovernmental agreements, legislation, rules and other official guidance adopted pursuant to such intergovernmental agreements (commonly referred to as FATCA) impose a U.S. federal withholding tax of 30% on certain payments to a “foreign financial institution” (as defined in the Code) which does not provide the withholding agent with sufficient documentation evidencing either (x) an exemption from FATCA or (y) its compliance (or deemed compliance) with FATCA (which may alternatively be in the form of compliance with an intergovernmental agreement with the United States) to withhold on certain payments and to collect and provide to the U.S. tax authorities certain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(as defined in the Code) which does not provide the withholding agent with sufficient documentation evidencing either (x) an exemption from FATCA or (y)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FATCA. Prospective investors are encouraged to consult with their own tax advisors regarding the possible implications of FATCA on their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withholding provisions described above generally apply to payments of dividends. Under proposed Treasury regulations, the preamble to which states that taxpayers may rely on them until final Treasury regulations are issued, this withholding tax does not apply to payments of gross proceeds from a sale or other disposition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EACH PROSPECTIVE INVESTOR SHOULD CONSULT ITS OWN TAX ADVISOR REGARDING THE TAX CONSEQUENCES OF PURCHASING, HOLDING AND DISPOSING OF OUR COMMON STOCK, INCLUDING THE CONSEQUENCES OF ANY CHANGES IN APPLICABLE LAW SUBSEQUENT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63285_16"/>
      <w:bookmarkEnd w:id="1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therein received after the date of this prospectus from a selling stockholder as a gift, pledge, partnership distribution or other transfer, may, from time to time, sell, transfer or otherwise dispose of any or all of their shares of common stock or interests therein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shares of common stock owned by them and, if they default in the performance of their secured obligations, the pledgees or secured parties may offer and sell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 common stock offered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Rule 144 or pursuant to the registration statement of which this prospectus constitutes a part, and (ii) the date on which the securities covered by the registration statement of which this prospectus constitutes a part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63285_17"/>
      <w:bookmarkEnd w:id="1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being offered by this prospectus has been passed upon for us by Cooley LLP, New York, New York. </w:t>
      </w:r>
    </w:p>
    <w:p>
      <w:pPr>
        <w:pStyle w:val="TextBody"/>
        <w:bidi w:val="0"/>
        <w:spacing w:before="480" w:after="0"/>
        <w:jc w:val="center"/>
        <w:rPr>
          <w:rFonts w:ascii="Times New Roman" w:hAnsi="Times New Roman"/>
          <w:b/>
          <w:sz w:val="20"/>
        </w:rPr>
      </w:pPr>
      <w:bookmarkStart w:id="20" w:name="toc863285_18"/>
      <w:bookmarkEnd w:id="2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Therapeutic, Inc. as of December 31, 2024 and 2023, and for the years then ended,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63285_20"/>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www.tectonictx.com,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please send a request in writing or by telephone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center"/>
        <w:rPr>
          <w:rFonts w:ascii="Times New Roman" w:hAnsi="Times New Roman"/>
          <w:sz w:val="20"/>
        </w:rPr>
      </w:pPr>
      <w:r>
        <w:rPr>
          <w:rFonts w:ascii="Times New Roman" w:hAnsi="Times New Roman"/>
          <w:sz w:val="20"/>
        </w:rPr>
        <w:t xml:space="preserve">490 Arsenal Way </w:t>
      </w:r>
    </w:p>
    <w:p>
      <w:pPr>
        <w:pStyle w:val="TextBody"/>
        <w:bidi w:val="0"/>
        <w:spacing w:before="0" w:after="0"/>
        <w:jc w:val="center"/>
        <w:rPr>
          <w:rFonts w:ascii="Times New Roman" w:hAnsi="Times New Roman"/>
          <w:sz w:val="20"/>
        </w:rPr>
      </w:pPr>
      <w:r>
        <w:rPr>
          <w:rFonts w:ascii="Times New Roman" w:hAnsi="Times New Roman"/>
          <w:sz w:val="20"/>
        </w:rPr>
        <w:t xml:space="preserve">Suite 210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Attn: Daniel Lochner </w:t>
      </w:r>
    </w:p>
    <w:p>
      <w:pPr>
        <w:pStyle w:val="TextBody"/>
        <w:bidi w:val="0"/>
        <w:spacing w:before="0" w:after="0"/>
        <w:jc w:val="center"/>
        <w:rPr>
          <w:rFonts w:ascii="Times New Roman" w:hAnsi="Times New Roman"/>
          <w:sz w:val="20"/>
        </w:rPr>
      </w:pPr>
      <w:r>
        <w:rPr>
          <w:rFonts w:ascii="Times New Roman" w:hAnsi="Times New Roman"/>
          <w:sz w:val="20"/>
        </w:rPr>
        <w:t xml:space="preserve">(339) 666-3320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investor@tectonictx.com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TECTONIC THERAPEUTIC, INC.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tbl>
      <w:tblPr>
        <w:tblW w:w="7480" w:type="dxa"/>
        <w:jc w:val="left"/>
        <w:tblInd w:w="0" w:type="dxa"/>
        <w:tblLayout w:type="fixed"/>
        <w:tblCellMar>
          <w:top w:w="0" w:type="dxa"/>
          <w:left w:w="0" w:type="dxa"/>
          <w:bottom w:w="0" w:type="dxa"/>
          <w:right w:w="0" w:type="dxa"/>
        </w:tblCellMar>
      </w:tblPr>
      <w:tblGrid>
        <w:gridCol w:w="6770"/>
        <w:gridCol w:w="120"/>
        <w:gridCol w:w="106"/>
        <w:gridCol w:w="409"/>
        <w:gridCol w:w="75"/>
      </w:tblGrid>
      <w:tr>
        <w:trPr/>
        <w:tc>
          <w:tcPr>
            <w:tcW w:w="6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Audited Financial Statements as of and for the Years ended December</w:t>
            </w:r>
          </w:p>
          <w:p>
            <w:pPr>
              <w:pStyle w:val="TableContents"/>
              <w:bidi w:val="0"/>
              <w:spacing w:before="0" w:after="0"/>
              <w:jc w:val="left"/>
              <w:rPr>
                <w:spacing w:val="0"/>
              </w:rPr>
            </w:pPr>
            <w:r>
              <w:rPr>
                <w:spacing w:val="0"/>
              </w:rPr>
              <w:t> </w:t>
            </w:r>
            <w:r>
              <w:rPr>
                <w:rFonts w:ascii="Times New Roman" w:hAnsi="Times New Roman"/>
                <w:b/>
                <w:spacing w:val="0"/>
                <w:sz w:val="20"/>
              </w:rPr>
              <w:t>31, 2024 and 2023</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770" w:type="dxa"/>
            <w:tcBorders/>
            <w:vAlign w:val="center"/>
          </w:tcPr>
          <w:p>
            <w:pPr>
              <w:pStyle w:val="TableContents"/>
              <w:bidi w:val="0"/>
              <w:spacing w:before="0" w:after="0"/>
              <w:jc w:val="left"/>
              <w:rPr/>
            </w:pPr>
            <w:hyperlink w:anchor="fin863285_1">
              <w:r>
                <w:rPr>
                  <w:rStyle w:val="InternetLink"/>
                  <w:rFonts w:ascii="Times New Roman" w:hAnsi="Times New Roman"/>
                  <w:spacing w:val="0"/>
                  <w:sz w:val="20"/>
                </w:rPr>
                <w:t>Independent Auditor’s Report .</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pPr>
            <w:hyperlink w:anchor="fin863285_2">
              <w:r>
                <w:rPr>
                  <w:rStyle w:val="InternetLink"/>
                  <w:rFonts w:ascii="Times New Roman" w:hAnsi="Times New Roman"/>
                  <w:spacing w:val="0"/>
                  <w:sz w:val="20"/>
                </w:rPr>
                <w:t>Consolidated Balance Sheets</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pPr>
            <w:hyperlink w:anchor="fin863285_3">
              <w:r>
                <w:rPr>
                  <w:rStyle w:val="InternetLink"/>
                  <w:rFonts w:ascii="Times New Roman" w:hAnsi="Times New Roman"/>
                  <w:spacing w:val="0"/>
                  <w:sz w:val="20"/>
                </w:rPr>
                <w:t>Consolidated Statements of Operations and Other Comprehensive Income (Loss)</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F-6</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pPr>
            <w:hyperlink w:anchor="fin863285_4">
              <w:r>
                <w:rPr>
                  <w:rStyle w:val="InternetLink"/>
                  <w:rFonts w:ascii="Times New Roman" w:hAnsi="Times New Roman"/>
                  <w:spacing w:val="0"/>
                  <w:sz w:val="20"/>
                </w:rPr>
                <w:t>Consolidated Statements of Convertible Preferred Stock and Stockholders’ Deficit .</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pPr>
            <w:hyperlink w:anchor="fin863285_5">
              <w:r>
                <w:rPr>
                  <w:rStyle w:val="InternetLink"/>
                  <w:rFonts w:ascii="Times New Roman" w:hAnsi="Times New Roman"/>
                  <w:spacing w:val="0"/>
                  <w:sz w:val="20"/>
                </w:rPr>
                <w:t>Consolidated Statements of Cash Flows .</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F-8</w:t>
            </w:r>
          </w:p>
        </w:tc>
        <w:tc>
          <w:tcPr>
            <w:tcW w:w="7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pPr>
            <w:hyperlink w:anchor="fin863285_6">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shareholders and the Board of Directors of Tectonic Therapeutic,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Tectonic Therapeutic, Inc. and subsidiaries (the “Company”) as of December 31, 2024 and 2023, the related consolidated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and prepaid contract research and development, and manufacturing expenses — Refer to Notes 2 and 6 to the financial statements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Critical Audit Matter Description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disclosed in Note 2 to the financial statements, the Company records accrued and prepaid research and development and manufacturing expenses for third-party contract research organizations (“CROs”) and contract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development and manufacturing organizations (“CDMOs”). Estimates of expenses incurred are determined by reviewing information provided to the Company by its service providers and through discussions with both internal personnel and external service providers as to the status of specific tasks within arrangements. Expenses incurred in excess of amounts invoices are recorded as accrued expenses. Payments made in excess of costs incurred are recorded as prepaid expenses.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identified auditing the estimates of the progress to completion of specific tasks performed by CROs and CDMOs as a critical audit matter due to the (i) level of judgment required by management and the volume of such estimates made by management and (ii) the degree of auditor judgment, subjectivity, and increased extent of effort in performing procedures to evaluate the reasonableness of management’s estimates of progress to completion.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How the Critical Audit Matter Was Addressed in the Audit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audit procedures related to accrued and prepaid research and development expenses and manufacturing costs included the following, among others: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tested the design and implementation of controls over the estimation of accrued and prepaid research and development expenses and manufacturing costs.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For a sample of contracts with service providers performing research and development and manufacturing activities, we performed the following: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Evaluated the appropriateness of the method used by management to develop its estimates of progress to completion of specific tasks.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Tested the completeness and accuracy of the underlying data used in the estimates of progress to completion through inspection of the terms of contracts and statements of work between the Company and its service providers and testing of actual billed expenses under the contracts.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Performed corroborating inquiries with Company personnel responsible for overseeing the activities performed by the Company’s CRO and CDMO, which may include the service providers’ estimate of completed tasks or progress of completion of certain tasks within the arrangement.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Accounting for the Merger — Refer to Notes 1 and 3 to the financial statements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Critical Audit Matter Description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disclosed in Notes 1 and 3 to the financial statements, on June 20, 2024, the Company completed a merger with AVROBIO, Inc. (“AVROBIO”). The merger was accounted for as a reverse recapitalization in accordance with U.S. GAAP with the Company as the accounting acquirer of AVROBIO.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identified the evaluation of the accounting for the merger with AVROBIO, Inc. as a critical audit matter due to the (i) level of judgment required by management related to the determination of the accounting acquirer and the assessment of the transaction as a reverse recapitalization and (ii) the moderate degree of auditor judgment and extensive audit effort in evaluating the Company’s determination of the accounting acquirer and assessment of the transaction as a reverse recapitalization.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How the Critical Audit Matter Was Addressed in the Audit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audit procedures related to the reverse merger included the following, among others: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tested the design and implementation of controls related to the transaction, including controls over management’s determination of the (i) accounting acquirer and (ii) accounting model as a reverse recapitalization.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evaluated the Company’s determination of the (i) accounting acquirer and (ii) accounting model as a reverse recapitalization.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tested the retrospective application of the reverse recapitalization to all outstanding common shares, convertible preferred shares, stock options, and restricted stock.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inspected minutes of Board of Directors’ meetings, executed merger transaction agreements, and other information to assess the nature and structure of the reverse merger in evaluating management’s conclusions.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Deloitte &amp; Touche LLP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Boston, Massachusetts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20, 2025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We have served as the Company’s auditor since 2022.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790"/>
        <w:gridCol w:w="120"/>
        <w:gridCol w:w="140"/>
        <w:gridCol w:w="875"/>
        <w:gridCol w:w="155"/>
        <w:gridCol w:w="60"/>
        <w:gridCol w:w="140"/>
        <w:gridCol w:w="755"/>
        <w:gridCol w:w="170"/>
      </w:tblGrid>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141,239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28,769</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2,115</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146,857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30,884</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3,122</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1,437</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2,669</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offering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669</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587</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152,905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39,399</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409</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8,141</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30,515</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1,348</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475</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40,888</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1,644</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liability,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876</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43,408</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12)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Convertible preferred stock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A-3</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A-4),</w:t>
            </w:r>
          </w:p>
          <w:p>
            <w:pPr>
              <w:pStyle w:val="TableContents"/>
              <w:bidi w:val="0"/>
              <w:spacing w:before="0" w:after="0"/>
              <w:jc w:val="left"/>
              <w:rPr>
                <w:rFonts w:ascii="Times New Roman" w:hAnsi="Times New Roman"/>
                <w:sz w:val="20"/>
              </w:rPr>
            </w:pPr>
            <w:r>
              <w:rPr>
                <w:rFonts w:ascii="Times New Roman" w:hAnsi="Times New Roman"/>
                <w:sz w:val="20"/>
              </w:rPr>
              <w:t xml:space="preserve">$0.0001 par value; no shares authorized, issued or outstanding as of December 31, 2024; </w:t>
            </w:r>
          </w:p>
          <w:p>
            <w:pPr>
              <w:pStyle w:val="TableContents"/>
              <w:bidi w:val="0"/>
              <w:spacing w:before="0" w:after="0"/>
              <w:jc w:val="left"/>
              <w:rPr>
                <w:rFonts w:ascii="Times New Roman" w:hAnsi="Times New Roman"/>
                <w:sz w:val="20"/>
              </w:rPr>
            </w:pPr>
            <w:r>
              <w:rPr>
                <w:rFonts w:ascii="Times New Roman" w:hAnsi="Times New Roman"/>
                <w:sz w:val="20"/>
              </w:rPr>
              <w:t>3,647,675</w:t>
            </w:r>
          </w:p>
          <w:p>
            <w:pPr>
              <w:pStyle w:val="TableContents"/>
              <w:bidi w:val="0"/>
              <w:spacing w:before="0" w:after="0"/>
              <w:jc w:val="left"/>
              <w:rPr>
                <w:rFonts w:ascii="Times New Roman" w:hAnsi="Times New Roman"/>
                <w:sz w:val="20"/>
              </w:rPr>
            </w:pPr>
            <w:r>
              <w:rPr>
                <w:rFonts w:ascii="Times New Roman" w:hAnsi="Times New Roman"/>
                <w:sz w:val="20"/>
              </w:rPr>
              <w:t>shares authorized as of December 31, 2023; 3,647,675 shares issued and outstanding as of December 31, 2023; aggregate liquidation preference of $</w:t>
            </w:r>
          </w:p>
          <w:p>
            <w:pPr>
              <w:pStyle w:val="TableContents"/>
              <w:bidi w:val="0"/>
              <w:spacing w:before="0" w:after="0"/>
              <w:jc w:val="left"/>
              <w:rPr>
                <w:rFonts w:ascii="Times New Roman" w:hAnsi="Times New Roman"/>
                <w:sz w:val="20"/>
              </w:rPr>
            </w:pPr>
            <w:r>
              <w:rPr>
                <w:rFonts w:ascii="Times New Roman" w:hAnsi="Times New Roman"/>
                <w:sz w:val="20"/>
              </w:rPr>
              <w:t>87,459 as of December 31,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80,627</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10,000,000 shares and no shares authorized as of December 31, 2024 and 31, 2023, respectively; no shares issued and outstanding as of December 31, 2024 and 2023, respectively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150,000,000 shares authorized as of December 31, 2024 and 2023, respectively; 14,856,309 and 1,407,753 shares issued and outstanding as of December 31, 2024 and 2023,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289,351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5,979</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(148,586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(90,604</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140,776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(84,636</w:t>
            </w:r>
          </w:p>
        </w:tc>
        <w:tc>
          <w:tcPr>
            <w:tcW w:w="17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convertible preferred stock and 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152,905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39,399</w:t>
            </w:r>
          </w:p>
        </w:tc>
        <w:tc>
          <w:tcPr>
            <w:tcW w:w="170" w:type="dxa"/>
            <w:tcBorders/>
            <w:shd w:fill="CCEEFF" w:val="clear"/>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bidi w:val="0"/>
        <w:spacing w:before="0" w:after="0"/>
        <w:jc w:val="left"/>
        <w:rPr>
          <w:spacing w:val="0"/>
        </w:rPr>
      </w:pPr>
      <w:r>
        <w:rPr>
          <w:spacing w:val="0"/>
        </w:rPr>
        <w:t> </w:t>
      </w:r>
    </w:p>
    <w:tbl>
      <w:tblPr>
        <w:tblW w:w="8322" w:type="dxa"/>
        <w:jc w:val="left"/>
        <w:tblInd w:w="0" w:type="dxa"/>
        <w:tblLayout w:type="fixed"/>
        <w:tblCellMar>
          <w:top w:w="0" w:type="dxa"/>
          <w:left w:w="0" w:type="dxa"/>
          <w:bottom w:w="0" w:type="dxa"/>
          <w:right w:w="0" w:type="dxa"/>
        </w:tblCellMar>
      </w:tblPr>
      <w:tblGrid>
        <w:gridCol w:w="5315"/>
        <w:gridCol w:w="120"/>
        <w:gridCol w:w="155"/>
        <w:gridCol w:w="1085"/>
        <w:gridCol w:w="171"/>
        <w:gridCol w:w="66"/>
        <w:gridCol w:w="155"/>
        <w:gridCol w:w="1085"/>
        <w:gridCol w:w="170"/>
      </w:tblGrid>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2024</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41,364</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36,966</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16,651</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7,682</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58,015</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44,648</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(58,015</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(44,648</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net: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(3,610</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1,255</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issuance of SAFEs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(255</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4,261</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581</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(107</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(152</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(expense) income</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(511</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396</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 net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33</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1,825</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(57,982</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(42,823</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loss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(57,973</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(42,834</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(6.83</w:t>
            </w:r>
          </w:p>
        </w:tc>
        <w:tc>
          <w:tcPr>
            <w:tcW w:w="1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(33.76</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8,490,171</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1,268,512</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CONSOLIDATED STATEMENTS OF CONVERTIBLE PREFERRED STOCK AND STOCKHOLDERS’ EQUITY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bidi w:val="0"/>
        <w:spacing w:before="0" w:after="0"/>
        <w:jc w:val="left"/>
        <w:rPr>
          <w:spacing w:val="0"/>
        </w:rPr>
      </w:pPr>
      <w:r>
        <w:rPr>
          <w:spacing w:val="0"/>
        </w:rPr>
        <w:t> </w:t>
      </w:r>
    </w:p>
    <w:tbl>
      <w:tblPr>
        <w:tblW w:w="13130" w:type="dxa"/>
        <w:jc w:val="left"/>
        <w:tblInd w:w="0" w:type="dxa"/>
        <w:tblLayout w:type="fixed"/>
        <w:tblCellMar>
          <w:top w:w="0" w:type="dxa"/>
          <w:left w:w="0" w:type="dxa"/>
          <w:bottom w:w="0" w:type="dxa"/>
          <w:right w:w="0" w:type="dxa"/>
        </w:tblCellMar>
      </w:tblPr>
      <w:tblGrid>
        <w:gridCol w:w="1895"/>
        <w:gridCol w:w="60"/>
        <w:gridCol w:w="60"/>
        <w:gridCol w:w="1055"/>
        <w:gridCol w:w="155"/>
        <w:gridCol w:w="60"/>
        <w:gridCol w:w="140"/>
        <w:gridCol w:w="755"/>
        <w:gridCol w:w="155"/>
        <w:gridCol w:w="60"/>
        <w:gridCol w:w="60"/>
        <w:gridCol w:w="60"/>
        <w:gridCol w:w="60"/>
        <w:gridCol w:w="60"/>
        <w:gridCol w:w="60"/>
        <w:gridCol w:w="1100"/>
        <w:gridCol w:w="155"/>
        <w:gridCol w:w="60"/>
        <w:gridCol w:w="301"/>
        <w:gridCol w:w="559"/>
        <w:gridCol w:w="60"/>
        <w:gridCol w:w="60"/>
        <w:gridCol w:w="163"/>
        <w:gridCol w:w="937"/>
        <w:gridCol w:w="60"/>
        <w:gridCol w:w="60"/>
        <w:gridCol w:w="474"/>
        <w:gridCol w:w="1136"/>
        <w:gridCol w:w="155"/>
        <w:gridCol w:w="60"/>
        <w:gridCol w:w="188"/>
        <w:gridCol w:w="1182"/>
        <w:gridCol w:w="155"/>
        <w:gridCol w:w="60"/>
        <w:gridCol w:w="199"/>
        <w:gridCol w:w="1141"/>
        <w:gridCol w:w="17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gridSpan w:val="6"/>
            <w:tcBorders/>
            <w:vAlign w:val="center"/>
          </w:tcPr>
          <w:p>
            <w:pPr>
              <w:pStyle w:val="TableContents"/>
              <w:bidi w:val="0"/>
              <w:spacing w:before="0" w:after="0"/>
              <w:jc w:val="center"/>
              <w:rPr>
                <w:b/>
                <w:spacing w:val="0"/>
              </w:rPr>
            </w:pPr>
            <w:r>
              <w:rPr>
                <w:b/>
                <w:spacing w:val="0"/>
              </w:rPr>
              <w:t>Convertible</w:t>
              <w:br/>
              <w:t>Preferred</w:t>
              <w:b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0"/>
              <w:jc w:val="left"/>
              <w:rPr>
                <w:spacing w:val="0"/>
                <w:bdr w:val="single" w:sz="8" w:space="1" w:color="000000"/>
              </w:rPr>
            </w:pPr>
            <w:r>
              <w:rPr>
                <w:spacing w:val="0"/>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0"/>
              <w:jc w:val="left"/>
              <w:rPr>
                <w:spacing w:val="0"/>
                <w:bdr w:val="single" w:sz="8" w:space="1" w:color="000000"/>
              </w:rPr>
            </w:pPr>
            <w:r>
              <w:rPr>
                <w:spacing w:val="0"/>
                <w:bdr w:val="single" w:sz="8" w:space="1" w:color="000000"/>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Balances as of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283"/>
              <w:jc w:val="right"/>
              <w:rPr/>
            </w:pPr>
            <w:r>
              <w:rPr/>
              <w:t>6,825,483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80,627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283"/>
              <w:jc w:val="right"/>
              <w:rPr/>
            </w:pPr>
            <w:r>
              <w:rPr/>
              <w:t>2,525,771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2,127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(47,781</w:t>
            </w:r>
          </w:p>
        </w:tc>
        <w:tc>
          <w:tcPr>
            <w:tcW w:w="15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(45,654</w:t>
            </w:r>
          </w:p>
        </w:tc>
        <w:tc>
          <w:tcPr>
            <w:tcW w:w="17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Retroactive application of reverse recapitalization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(3,177,808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(1,175,989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Adjusted balance,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3,647,675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1,349,782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(47,781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(45,654</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57,971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121</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1,121</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Contribution from related party investors related to SAFEs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2,610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2,610</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(42,823</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Balances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283"/>
              <w:jc w:val="right"/>
              <w:rPr/>
            </w:pPr>
            <w:r>
              <w:rPr/>
              <w:t>3,647,675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80,627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283"/>
              <w:jc w:val="right"/>
              <w:rPr/>
            </w:pPr>
            <w:r>
              <w:rPr/>
              <w:t>1,407,753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5,979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(90,604</w:t>
            </w:r>
          </w:p>
        </w:tc>
        <w:tc>
          <w:tcPr>
            <w:tcW w:w="15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(84,636</w:t>
            </w:r>
          </w:p>
        </w:tc>
        <w:tc>
          <w:tcPr>
            <w:tcW w:w="17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Conversion of convertible preferred stock into common stock in connection with the Merger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(3,647,675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3,647,675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80,627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80,627</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388,727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1,624</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Vesting of restricted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15</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3,491</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common stock to related party investors upon redemption of the SAFEs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1,470,839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34,125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34,125</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common stock under subscription agreement, net of offering costs of $2,000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4,163,606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94,601</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common stock upon the Merger, net of transaction costs of $9,300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3,777,709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68,890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68,891</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(57,982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(57,982</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283"/>
              <w:jc w:val="right"/>
              <w:rPr/>
            </w:pPr>
            <w:r>
              <w:rPr/>
              <w:t>14,856,309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289,351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(148,586</w:t>
            </w:r>
          </w:p>
        </w:tc>
        <w:tc>
          <w:tcPr>
            <w:tcW w:w="15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140,776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8810" w:type="dxa"/>
        <w:jc w:val="left"/>
        <w:tblInd w:w="0" w:type="dxa"/>
        <w:tblLayout w:type="fixed"/>
        <w:tblCellMar>
          <w:top w:w="0" w:type="dxa"/>
          <w:left w:w="0" w:type="dxa"/>
          <w:bottom w:w="0" w:type="dxa"/>
          <w:right w:w="0" w:type="dxa"/>
        </w:tblCellMar>
      </w:tblPr>
      <w:tblGrid>
        <w:gridCol w:w="6470"/>
        <w:gridCol w:w="120"/>
        <w:gridCol w:w="140"/>
        <w:gridCol w:w="800"/>
        <w:gridCol w:w="155"/>
        <w:gridCol w:w="60"/>
        <w:gridCol w:w="140"/>
        <w:gridCol w:w="755"/>
        <w:gridCol w:w="170"/>
      </w:tblGrid>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(57,982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(42,823</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1,478</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disposal of fixed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issuance of SAFEs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1,118</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(1,255</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(1,019</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1,611</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(950</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(40,681</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(279</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34,125</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Subscription Agreement, net of offering costs of $2,000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acquired in connection with the Merger, net of transaction costs of $9,300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75,965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exercise of common stock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Repayment of finance lease obligations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(499</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171,714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33,747</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increase (decrease) in cash and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(7,197</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and restricted cash as of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36,553</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and restricted cash as of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141,826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29,356</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Components of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28,769</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587</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141,826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29,356</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of SAFEs to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of Convertible Preferred Stock to Common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 of equipment through finance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234</w:t>
            </w:r>
          </w:p>
        </w:tc>
        <w:tc>
          <w:tcPr>
            <w:tcW w:w="17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Merger transaction costs included in accounts payable and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669</w:t>
            </w:r>
          </w:p>
        </w:tc>
        <w:tc>
          <w:tcPr>
            <w:tcW w:w="17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Supplemental disclosure of cash flow information: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152</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TECTONIC THERAPEUTIC,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BUSINESS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Description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(formerly AVROBIO, Inc.) (the “Company” or “Tectonic”) is a clinical-stage biotechnology company focused on the discovery and development of therapeutic proteins and antibodies that modulate the activity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G-protein</w:t>
      </w:r>
    </w:p>
    <w:p>
      <w:pPr>
        <w:pStyle w:val="TextBody"/>
        <w:bidi w:val="0"/>
        <w:spacing w:before="120" w:after="0"/>
        <w:jc w:val="left"/>
        <w:rPr>
          <w:rFonts w:ascii="Times New Roman" w:hAnsi="Times New Roman"/>
          <w:sz w:val="20"/>
        </w:rPr>
      </w:pPr>
      <w:r>
        <w:rPr>
          <w:rFonts w:ascii="Times New Roman" w:hAnsi="Times New Roman"/>
          <w:sz w:val="20"/>
        </w:rPr>
        <w:t xml:space="preserve">coupled receptors (“GPCRs”). The Company focuses on areas of significant unmet medical need, often where therapeutic options are poor or nonexistent, as these are areas where new medicines have the potential to improve patient quality of life.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and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Pre-Merger</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Financing Transaction not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1-for-12</w:t>
      </w:r>
    </w:p>
    <w:p>
      <w:pPr>
        <w:pStyle w:val="TextBody"/>
        <w:bidi w:val="0"/>
        <w:spacing w:before="240" w:after="0"/>
        <w:jc w:val="left"/>
        <w:rPr>
          <w:rFonts w:ascii="Times New Roman" w:hAnsi="Times New Roman"/>
          <w:sz w:val="20"/>
        </w:rPr>
      </w:pPr>
      <w:r>
        <w:rPr>
          <w:rFonts w:ascii="Times New Roman" w:hAnsi="Times New Roman"/>
          <w:sz w:val="20"/>
        </w:rPr>
        <w:t xml:space="preserve">reverse stock split of AVROBIO common stock that was effected on June 20, 2024. The exchange ratio was retroactively applied to all outstanding common shares, convertible preferred shares, stock options and restricted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Legacy Tectonic’s restricted common stock, outstanding and unvested immediately prior to the closing, was assumed by AVROBIO in the Merger. </w:t>
      </w:r>
    </w:p>
    <w:p>
      <w:pPr>
        <w:pStyle w:val="TextBody"/>
        <w:bidi w:val="0"/>
        <w:spacing w:before="240" w:after="0"/>
        <w:jc w:val="left"/>
        <w:rPr>
          <w:rFonts w:ascii="Times New Roman" w:hAnsi="Times New Roman"/>
          <w:sz w:val="20"/>
        </w:rPr>
      </w:pPr>
      <w:r>
        <w:rPr>
          <w:rFonts w:ascii="Times New Roman" w:hAnsi="Times New Roman"/>
          <w:sz w:val="20"/>
        </w:rPr>
        <w:t xml:space="preserve">Legacy Tectonic stockholders received 10,956,614 shares of AVROBIO common stock in connection with the Merger, including 11,447 shares of AVROBIO restricted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Simple Agreements for Future Equity (“SAFEs”), and Legacy Tectonic convertible preferred stock outstanding immediately prior to the Merger, which was converted into shares of Legacy Tectonic common stock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z w:val="20"/>
        </w:rPr>
      </w:pPr>
      <w:r>
        <w:rPr>
          <w:rFonts w:ascii="Times New Roman" w:hAnsi="Times New Roman"/>
          <w:sz w:val="20"/>
        </w:rPr>
        <w:t xml:space="preserve">basis immediately prior to the closing of the Merger.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Concurrently with the closing of the Merger, certain investors of Legacy Tectonic completed the purchase of 7,790,889 shares of Legacy Tectonic common stock pursuant to the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pre-clinical</w:t>
      </w:r>
    </w:p>
    <w:p>
      <w:pPr>
        <w:pStyle w:val="TextBody"/>
        <w:bidi w:val="0"/>
        <w:spacing w:before="120" w:after="0"/>
        <w:jc w:val="left"/>
        <w:rPr>
          <w:rFonts w:ascii="Times New Roman" w:hAnsi="Times New Roman"/>
          <w:sz w:val="20"/>
        </w:rPr>
      </w:pPr>
      <w:r>
        <w:rPr>
          <w:rFonts w:ascii="Times New Roman" w:hAnsi="Times New Roman"/>
          <w:sz w:val="20"/>
        </w:rPr>
        <w:t xml:space="preserve">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Company’s proprietary GEODe</w:t>
      </w:r>
    </w:p>
    <w:p>
      <w:pPr>
        <w:pStyle w:val="TextBody"/>
        <w:bidi w:val="0"/>
        <w:spacing w:before="240" w:after="0"/>
        <w:jc w:val="left"/>
        <w:rPr>
          <w:spacing w:val="0"/>
        </w:rPr>
      </w:pPr>
      <w:r>
        <w:rPr>
          <w:spacing w:val="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$58.0 million and $42.8 million for the years ended December 31, 2024 and 2023, respectively and had an accumulated deficit of $148.6 million as of December 31, 2024. The Company has financed its operations primarily through the sale and issuance of common stock, convertible preferred stock, convertible promissory notes, SAFEs and the Merger. In February 2025, the Company sold shares of its common stock under a securities purchase agreement in exchange for gross proceeds of $185 million, as described in Note 16,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Subsequent Events</w:t>
      </w:r>
    </w:p>
    <w:p>
      <w:pPr>
        <w:pStyle w:val="TextBody"/>
        <w:bidi w:val="0"/>
        <w:spacing w:before="120" w:after="0"/>
        <w:jc w:val="left"/>
        <w:rPr>
          <w:rFonts w:ascii="Times New Roman" w:hAnsi="Times New Roman"/>
          <w:sz w:val="20"/>
        </w:rPr>
      </w:pPr>
      <w:r>
        <w:rPr>
          <w:rFonts w:ascii="Times New Roman" w:hAnsi="Times New Roman"/>
          <w:sz w:val="20"/>
        </w:rPr>
        <w:t xml:space="preserve">. The Company has devoted substantially all of its financial resources and efforts to business planning, conducting research and development, recruiting management and technical staff, and raising capital.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$141.2 million as of December 31, 2024. Management believes that the Company’s current cash and cash equivalents will be sufficient to fund its planned operations for at least 12 months from the issuance date of these consolidated financial statements.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SUMMARY OF SIGNIFICANT ACCOUNTING POLICIES AND BASIS OF PRESENTATION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in conformity with GAAP. Any reference in these notes to applicable guidance is meant to refer to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consolidated financial statements include the accounts of the Company and its subsidiaries. All intercompany balances and transactions have been eliminated in consolidation.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Reverse Stock Split and Exchange Ratio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the Merger, each outstanding share of Legacy Tectonic’s common stock, including outstanding and unvested restricted stock, was converted into the right to receive a number of shares of AVROBIO’s common stock based on the Exchange Ratio of 0.53, after giving effect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1-for-12</w:t>
      </w:r>
    </w:p>
    <w:p>
      <w:pPr>
        <w:pStyle w:val="TextBody"/>
        <w:bidi w:val="0"/>
        <w:spacing w:before="120" w:after="0"/>
        <w:jc w:val="left"/>
        <w:rPr>
          <w:rFonts w:ascii="Times New Roman" w:hAnsi="Times New Roman"/>
          <w:sz w:val="20"/>
        </w:rPr>
      </w:pPr>
      <w:r>
        <w:rPr>
          <w:rFonts w:ascii="Times New Roman" w:hAnsi="Times New Roman"/>
          <w:sz w:val="20"/>
        </w:rPr>
        <w:t xml:space="preserve">reverse stock split of AVROBIO common stock that was effected on June 20, 2024. The exchange ratio was retroactively applied to all outstanding common shares, convertible preferred shares, stock options and restricted stock.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those related to the valuation of stock-based awards, income taxes, the fair value determination of the SAFEs and certain research and development accruals.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operations of each of the Company’s entities are measured using the currency of the primary economic environment in which the subsidiary operates (“functional currency”). Assets and liabilities of foreign subsidiaries whose functional currency is the local currency are translated into U.S. dollars using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period-end</w:t>
      </w:r>
    </w:p>
    <w:p>
      <w:pPr>
        <w:pStyle w:val="TextBody"/>
        <w:bidi w:val="0"/>
        <w:spacing w:before="120" w:after="0"/>
        <w:jc w:val="left"/>
        <w:rPr>
          <w:rFonts w:ascii="Times New Roman" w:hAnsi="Times New Roman"/>
          <w:sz w:val="20"/>
        </w:rPr>
      </w:pPr>
      <w:r>
        <w:rPr>
          <w:rFonts w:ascii="Times New Roman" w:hAnsi="Times New Roman"/>
          <w:sz w:val="20"/>
        </w:rPr>
        <w:t xml:space="preserve">exchange rates. Expenses are translated at the average exchange rate in effect during each fiscal month during the year. The effects of foreign currency translation adjustments are included as a component of Accumulated other comprehensive income (loss) in the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one reportable segment and manages its operations on a consolidated basis for the purposes of assessing performance and making operating decisions. See Note 16,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Information</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Company’s segment information.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Cash Equivalents, and 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investments with an original maturity of three months or less at the time of purchase to be cash equivalents. As of December 31, 2024 and 2023, cash equivalents consisted of cash on deposit with banks denominated in U.S. dollars and investment in money market funds.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The Company may not access these funds until after the expiration of the lease term on January 31, 2026. The Company has classified the certificate of deposits collateralizing the letter of credits issued as a security deposit as restricted cash in the noncurrent asset section of the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Concentrations of Credit Risk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 Off-Balance Sheet</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expose the Company to concentrations of credit risk consist primarily of cash and cash equivalents. Periodically, the Company maintains deposits in accredited financial institutions in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is calculated using the straight-line method over the estimated useful life of each asset, generally </w:t>
      </w:r>
    </w:p>
    <w:p>
      <w:pPr>
        <w:pStyle w:val="TextBody"/>
        <w:bidi w:val="0"/>
        <w:spacing w:before="120" w:after="0"/>
        <w:jc w:val="left"/>
        <w:rPr>
          <w:rFonts w:ascii="Times New Roman" w:hAnsi="Times New Roman"/>
          <w:sz w:val="20"/>
        </w:rPr>
      </w:pPr>
      <w:r>
        <w:rPr>
          <w:rFonts w:ascii="Times New Roman" w:hAnsi="Times New Roman"/>
          <w:sz w:val="20"/>
        </w:rPr>
        <w:t>three</w:t>
      </w:r>
    </w:p>
    <w:p>
      <w:pPr>
        <w:pStyle w:val="TextBody"/>
        <w:bidi w:val="0"/>
        <w:spacing w:before="120" w:after="0"/>
        <w:jc w:val="left"/>
        <w:rPr>
          <w:rFonts w:ascii="Times New Roman" w:hAnsi="Times New Roman"/>
          <w:sz w:val="20"/>
        </w:rPr>
      </w:pPr>
      <w:r>
        <w:rPr>
          <w:rFonts w:ascii="Times New Roman" w:hAnsi="Times New Roman"/>
          <w:sz w:val="20"/>
        </w:rPr>
        <w:t xml:space="preserve">to five years. Leasehold improvements are amortized over the shorter of the assets’ expected useful life or the </w:t>
      </w:r>
    </w:p>
    <w:p>
      <w:pPr>
        <w:pStyle w:val="TextBody"/>
        <w:bidi w:val="0"/>
        <w:spacing w:before="120" w:after="0"/>
        <w:jc w:val="left"/>
        <w:rPr>
          <w:rFonts w:ascii="Times New Roman" w:hAnsi="Times New Roman"/>
          <w:sz w:val="20"/>
        </w:rPr>
      </w:pPr>
      <w:r>
        <w:rPr>
          <w:rFonts w:ascii="Times New Roman" w:hAnsi="Times New Roman"/>
          <w:sz w:val="20"/>
        </w:rPr>
        <w:t>remaining lease term</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Construction-in-progress</w:t>
      </w:r>
    </w:p>
    <w:p>
      <w:pPr>
        <w:pStyle w:val="TextBody"/>
        <w:bidi w:val="0"/>
        <w:spacing w:before="120" w:after="0"/>
        <w:jc w:val="left"/>
        <w:rPr>
          <w:rFonts w:ascii="Times New Roman" w:hAnsi="Times New Roman"/>
          <w:sz w:val="20"/>
        </w:rPr>
      </w:pPr>
      <w:r>
        <w:rPr>
          <w:rFonts w:ascii="Times New Roman" w:hAnsi="Times New Roman"/>
          <w:sz w:val="20"/>
        </w:rPr>
        <w:t xml:space="preserve">reflects amounts incurred for property and equipment for use in the research and development process and have not yet been placed in service and are not depreciated or amortized. Expenditures for major renewals and improvements that extend the useful life of the asset are capitalized as part of the asset. Expenditures for repairs and maintenance are expensed as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retirement or sale, the cost of assets disposed of and the related accumulated depreciation are removed from the accounts and any resulting gain or loss is recognized.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evaluates its long-lived assets, which consist primarily of property and equipment,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 was identified during the years ended December 31, 2024 and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assesses the fair value of financial instruments as the exchange price that would be received for an asset or paid to transfer a liability (an exit price) in the principal or most advantageous market for the asset or liability in an orderly transaction between market participants on the measurement date.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Level</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1</w:t>
      </w:r>
    </w:p>
    <w:p>
      <w:pPr>
        <w:pStyle w:val="TextBody"/>
        <w:bidi w:val="0"/>
        <w:spacing w:before="240" w:after="0"/>
        <w:jc w:val="left"/>
        <w:rPr/>
      </w:pPr>
      <w:r>
        <w:rPr/>
        <w:t>—</w:t>
      </w:r>
      <w:r>
        <w:rPr>
          <w:rFonts w:ascii="Times New Roman" w:hAnsi="Times New Roman"/>
          <w:sz w:val="20"/>
        </w:rPr>
        <w:t xml:space="preserve">Unadjusted quoted prices in active markets for identical, unrestricted assets or liabilities that are accessible at the measurement date;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Level</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2</w:t>
      </w:r>
    </w:p>
    <w:p>
      <w:pPr>
        <w:pStyle w:val="TextBody"/>
        <w:bidi w:val="0"/>
        <w:spacing w:before="240" w:after="0"/>
        <w:jc w:val="left"/>
        <w:rPr/>
      </w:pPr>
      <w:r>
        <w:rPr/>
        <w:t>—</w:t>
      </w:r>
      <w:r>
        <w:rPr>
          <w:rFonts w:ascii="Times New Roman" w:hAnsi="Times New Roman"/>
          <w:sz w:val="20"/>
        </w:rPr>
        <w:t xml:space="preserve">Quoted prices for similar assets or liabilities in active markets, quoted prices for identical or similar asset or liabilities in markets that are not active or valuations with significant inputs other than quoted prices that are observable, either directly or indirectly; and,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Level</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3</w:t>
      </w:r>
    </w:p>
    <w:p>
      <w:pPr>
        <w:pStyle w:val="TextBody"/>
        <w:bidi w:val="0"/>
        <w:spacing w:before="240" w:after="0"/>
        <w:jc w:val="left"/>
        <w:rPr/>
      </w:pPr>
      <w:r>
        <w:rPr/>
        <w:t>—</w:t>
      </w:r>
      <w:r>
        <w:rPr>
          <w:rFonts w:ascii="Times New Roman" w:hAnsi="Times New Roman"/>
          <w:sz w:val="20"/>
        </w:rPr>
        <w:t xml:space="preserve">Prices or valuations that require inputs that are both significant to the fair value measurement and unobservable.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Financial instruments are categorized in their entirety in the same level of the fair value hierarchy as the lowest level input that is significant to the entire fair value measurement.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Research and development costs are expensed as incurred. Research and development expenses consist primarily of costs incurred for research activities, including discovery efforts and the development of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Company’s programs and platform and include (1) expenses incurred in connection with research and the preclinical and clinical development of the Company’s programs and product candidates, including agreements with third parties and contract research organizations (“CROs”), (2) costs related to manufacturing material for preclinical studies and clinical trials, including fees paid to contract development and manufacturing organizations (“CDMOs”), (3) employee-related expenses, including salaries and bonuses, related benefits and stock-based compensation expense, for employees engaged in research and development functions (4) facilities, depreciation and other expenses related to research and development activities, which include direct or allocated expenses for rent, maintenance of facilities and utilities, (5) licensing and license maintenance fees incurred under license agreements where no alternative future use exists, and (6) costs related to compliance with regulatory requirements.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accruals for research and development activities performed by third parties are estimated based on the level of services performed, progress of the studies, including the phase or completion of events, and contracted costs. The estimated costs of research and development provided, but not yet invoiced, are included in accrued expenses and other current liabilities on the Consolidated Balance Sheets. If the actual timing of the performance of services or the level of effort varies from the original estimates, the Company will adjust the accruals accordingly. These vendors generally bill monthly for services performed, or bill based upon milestone achievement. The Company accrues expenses based upon estimates of percentage of work completed and the contract milestones remaining. Payments made to third parties under these arrangements in advance of the performance of the related services by the third parties are recorded as prepaid expenses until the services are rendered. The Company estimates the period over which such services will be performed based on the terms of the agreements as well as the level of effort to be expended in each period.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leases in accordance with ASC Topic 842,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(“ASC 842”). The Company determines if an arrangement is or contains a lease and the classification of that lease at inception of the contract. The Company’s operating and finance lease assets are included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 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net, and the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portions of the finance and operating lease liabilities are included in lease liabilities, and lease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 respectively,</w:t>
      </w:r>
    </w:p>
    <w:p>
      <w:pPr>
        <w:pStyle w:val="TextBody"/>
        <w:bidi w:val="0"/>
        <w:spacing w:before="120" w:after="0"/>
        <w:jc w:val="left"/>
        <w:rPr>
          <w:rFonts w:ascii="Times New Roman" w:hAnsi="Times New Roman"/>
          <w:sz w:val="20"/>
        </w:rPr>
      </w:pPr>
      <w:r>
        <w:rPr>
          <w:rFonts w:ascii="Times New Roman" w:hAnsi="Times New Roman"/>
          <w:sz w:val="20"/>
        </w:rPr>
        <w:t xml:space="preserve">on the balance sheets.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and lease liabilities are recognized based on the present value of the future minimum lease payments over the lease term at the lease commencement 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are based on the corresponding lease liability adjusted for (i) payments made at or before the commencement date, (ii) initial direct costs incurred, and (iii) tenant incentives under the lease. The Company does not account for renewals or early terminations unless it is reasonably certain to exercise these options at commencement. Operating lease expense is recognized on a straight-line basis over the lease term. For finance leases, right of use assets are amortized on a straight-line basis over the shorter of the lease term or the estimated useful life of the leased assets. The Company accounts for lease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as a single lease component for operating leases. The discount rate used to calculate the present value of the Company’s lease liabilities is based on either an explicit rate stipulated in the contract for finance leases or the incremental borrowing rate based on the information available at the lease commencement date. The Company’s incremental borrowing rate is estimated to approximate the interest rate on a collateralized basis with similar terms and payments, in an economic environment where the leased asset is located. The Company determines the incremental borrowing rate by considering various factors, such as its credit rating, interest rates of similar debt instruments of entities with comparable credit ratings, the lease term and the currency in which the lease was denominated. The Company has elected the practical expedient to not recognize leases with a lease term of twelve months or less on the balance sheet (“short-term leases”) and will recognize lease payments for such short-term leases as an expense on a straight-line 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Simple Agreements for Future Equity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SAFE instruments do not represent legal form debt (i.e., no creditor rights), but allow for redemption based upon certain triggering events that are outside of the control of the Company. The Company accounts for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SAFE instruments as a liability at fair value on a recurring basis. Triggering events include an equity financing, public listing transaction, change of control or dissolution. Changes in the liability’s fair value are recognized in the Company’s statements of operations and comprehensive loss. The SAFE liabilities were adjusted to fair value upon the closing of the Merger and all SAFE instruments were converted to common stock of AVROBIO pursuant to the Merger Agreement. The SAFEs were redeemed for common stock shares upon closing of the Merger.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Convertible 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recorded all shares of convertible preferred stock at their respective fair values on the dates of issuance, net of issuance costs. Convertible preferred stock was recorded outside of permanent equity because while it was not mandatorily redeemable, in certain events considered not solely within the Company’s control, such as a merger, acquisition, or sale of all or substantially all of the Company’s assets (each, a “deemed liquidation event”), the convertible preferred stock became redeemable at the option of the holders of at least a majority of the then outstanding preferred shares. The Company did not adjust the carrying value of the convertible preferred stock to its liquidation preference because a deemed liquidation event obligating the Company to pay the liquidation preference to holders of shares of convertible preferred stock was not probable of occurring. All outstanding shares of convertible preferred stock were converted to common stock shares upon the closing of the Merger.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Prior to being publicly traded, the fair value of the Company’s common stock underlying the stock options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Merger, the fair value of the Company’s common stock is based on the closing quoted market price of its common stock as reported by the NASDAQ Select Market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utilizes the Black-Scholes-Merton (“BSM”) option pricing model to determine the estimated fair value of options granted to employees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including directors. In addition to the fair value of the Company’s common stock, the BSM mode requires the input of several assumptions. These assumptions include: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Expected Term—The expected life represents the period of time that the stock options are expected to be outstanding. Because the Company does not have substantial historical exercise behavior, it determines the expected term in accordance with the simplified method, which is an average of the contractual term of the stock option and its vesting period.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Expected Volatility—The estimated volatility is determined by evaluating the average historical volatility of a peer group of companies for the period preceding the stock option grant for a term that is approximately equal to the stock options’ expected term.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Risk-Free Interest Rate—The risk-free interest rate is based on the implied yield currently available on U.S. Treasury issues with a term that is equal to the stock options’ expected term at the grant date.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Expected Dividend—The expected dividend yield is assumed to be zero as the Company has not declared or paid dividends to date and does not anticipate declaring dividends for the foreseeable future.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Restricted stock units (RSUs) are measured and recognized over the vesting period and are based on the quoted market price of the Company’s stock on the grant date.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All stock-based compensation expense is recorded in research and development expense or general and administrative expense in the Consolidated Statements of Operations and Comprehensive Loss, on the basis of the respective employee and nonemployee’s role within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The Company accounts for income taxes under the asset and liability method in accordance with ASC Topic 740,</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Income Taxes</w:t>
      </w:r>
    </w:p>
    <w:p>
      <w:pPr>
        <w:pStyle w:val="TextBody"/>
        <w:bidi w:val="0"/>
        <w:spacing w:before="120" w:after="0"/>
        <w:jc w:val="left"/>
        <w:rPr/>
      </w:pPr>
      <w:r>
        <w:rPr/>
        <w:t> </w:t>
      </w:r>
      <w:r>
        <w:rPr>
          <w:rFonts w:ascii="Times New Roman" w:hAnsi="Times New Roman"/>
          <w:sz w:val="20"/>
        </w:rPr>
        <w:t xml:space="preserve">(“ASC 740”), which requires the recognition of deferred tax assets and liabilities for the expected future tax consequences of events that have been included in the consolidated financial statements. Under this method, the Company determined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income, tax-planning strategies,</w:t>
      </w:r>
    </w:p>
    <w:p>
      <w:pPr>
        <w:pStyle w:val="TextBody"/>
        <w:bidi w:val="0"/>
        <w:spacing w:before="240" w:after="0"/>
        <w:jc w:val="left"/>
        <w:rPr>
          <w:rFonts w:ascii="Times New Roman" w:hAnsi="Times New Roman"/>
          <w:sz w:val="20"/>
        </w:rPr>
      </w:pPr>
      <w:r>
        <w:rPr>
          <w:rFonts w:ascii="Times New Roman" w:hAnsi="Times New Roman"/>
          <w:sz w:val="20"/>
        </w:rPr>
        <w:t xml:space="preserve">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uncertain tax positions in accordance with ASC 740 on the basis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a two-step process</w:t>
      </w:r>
    </w:p>
    <w:p>
      <w:pPr>
        <w:pStyle w:val="TextBody"/>
        <w:bidi w:val="0"/>
        <w:spacing w:before="240" w:after="0"/>
        <w:jc w:val="left"/>
        <w:rPr>
          <w:rFonts w:ascii="Times New Roman" w:hAnsi="Times New Roman"/>
          <w:sz w:val="20"/>
        </w:rPr>
      </w:pPr>
      <w:r>
        <w:rPr>
          <w:rFonts w:ascii="Times New Roman" w:hAnsi="Times New Roman"/>
          <w:sz w:val="20"/>
        </w:rPr>
        <w:t xml:space="preserve">in which (1) the Company determines whether it is more likely than not that the tax positions will be sustained on the basis of the technical merits of the position and (2) for those tax positions that meet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more-likely-than-not recognition</w:t>
      </w:r>
    </w:p>
    <w:p>
      <w:pPr>
        <w:pStyle w:val="TextBody"/>
        <w:bidi w:val="0"/>
        <w:spacing w:before="240" w:after="0"/>
        <w:jc w:val="left"/>
        <w:rPr>
          <w:rFonts w:ascii="Times New Roman" w:hAnsi="Times New Roman"/>
          <w:sz w:val="20"/>
        </w:rPr>
      </w:pPr>
      <w:r>
        <w:rPr>
          <w:rFonts w:ascii="Times New Roman" w:hAnsi="Times New Roman"/>
          <w:sz w:val="20"/>
        </w:rPr>
        <w:t xml:space="preserve">threshold, the Company recognizes the largest amount of tax benefit that is more than 50 percent likely to be realized upon ultimate settlement with the related tax authority.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Basic and diluted net loss per common share is presented in conformity with ASC 260,</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Earning Per Share,</w:t>
      </w:r>
    </w:p>
    <w:p>
      <w:pPr>
        <w:pStyle w:val="TextBody"/>
        <w:bidi w:val="0"/>
        <w:spacing w:before="120" w:after="0"/>
        <w:jc w:val="left"/>
        <w:rPr/>
      </w:pPr>
      <w:r>
        <w:rPr/>
        <w:t> </w:t>
      </w:r>
      <w:r>
        <w:rPr>
          <w:rFonts w:ascii="Times New Roman" w:hAnsi="Times New Roman"/>
          <w:sz w:val="20"/>
        </w:rPr>
        <w:t xml:space="preserve">for all periods presented. In accordance with this guidance, basic and diluted net loss per common share is determined by dividing the net loss by the weighted-average number of common shares outstanding during the period. Basic net loss and diluted net loss per share are calculated without consideration of potentially dilutive securities.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The Company applies ASC 850,</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Related Party Disclosure</w:t>
      </w:r>
    </w:p>
    <w:p>
      <w:pPr>
        <w:pStyle w:val="TextBody"/>
        <w:bidi w:val="0"/>
        <w:spacing w:before="120" w:after="0"/>
        <w:jc w:val="left"/>
        <w:rPr>
          <w:rFonts w:ascii="Times New Roman" w:hAnsi="Times New Roman"/>
          <w:sz w:val="20"/>
        </w:rPr>
      </w:pPr>
      <w:r>
        <w:rPr>
          <w:rFonts w:ascii="Times New Roman" w:hAnsi="Times New Roman"/>
          <w:sz w:val="20"/>
        </w:rPr>
        <w:t xml:space="preserve">s, for the identification of related parties and disclosure of related party transactions.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Comprehensive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Comprehensive loss includes net loss as well as other changes in stockholders’ equity (deficit) that result from transactions and economic events other than those with stockholders. The comprehensive loss for the Company equals its net loss plus changes in foreign currency translation for all periods presented.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FASB under its ASCs or other standard setting bodies and adopted by the Company as of the specified effective date, unless otherwise discussed below.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2023-09,</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bidi w:val="0"/>
        <w:spacing w:before="120" w:after="0"/>
        <w:jc w:val="left"/>
        <w:rPr>
          <w:rFonts w:ascii="Times New Roman" w:hAnsi="Times New Roman"/>
          <w:sz w:val="20"/>
        </w:rPr>
      </w:pPr>
      <w:r>
        <w:rPr>
          <w:rFonts w:ascii="Times New Roman" w:hAnsi="Times New Roman"/>
          <w:sz w:val="20"/>
        </w:rPr>
        <w:t xml:space="preserve">(Topic 740)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which enhances the income tax disclosure requirements for public entities on an annual basis. Under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public entities will be required to disclose in their rate reconciliation, on an annual basis, both percentages and amounts in their reporting currency for certain categories in a tabular format, with accompanying qualitative disclosures. The amendments in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are effective for fiscal years beginning after December 15, 2024, and early adoption is permitted. The Company is currently evaluating the impact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2024-03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Statement—Reporting Comprehensive Income—Expense Disaggregation Disclosures</w:t>
      </w:r>
    </w:p>
    <w:p>
      <w:pPr>
        <w:pStyle w:val="TextBody"/>
        <w:bidi w:val="0"/>
        <w:spacing w:before="240" w:after="0"/>
        <w:jc w:val="left"/>
        <w:rPr>
          <w:rFonts w:ascii="Times New Roman" w:hAnsi="Times New Roman"/>
          <w:sz w:val="20"/>
        </w:rPr>
      </w:pPr>
      <w:r>
        <w:rPr>
          <w:rFonts w:ascii="Times New Roman" w:hAnsi="Times New Roman"/>
          <w:sz w:val="20"/>
        </w:rPr>
        <w:t xml:space="preserve">(Subtopic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240" w:after="0"/>
        <w:jc w:val="left"/>
        <w:rPr>
          <w:rFonts w:ascii="Times New Roman" w:hAnsi="Times New Roman"/>
          <w:sz w:val="20"/>
        </w:rPr>
      </w:pPr>
      <w:r>
        <w:rPr>
          <w:rFonts w:ascii="Times New Roman" w:hAnsi="Times New Roman"/>
          <w:sz w:val="20"/>
        </w:rPr>
        <w:t xml:space="preserve">(“ASU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sz w:val="20"/>
        </w:rPr>
      </w:pPr>
      <w:r>
        <w:rPr>
          <w:rFonts w:ascii="Times New Roman" w:hAnsi="Times New Roman"/>
          <w:sz w:val="20"/>
        </w:rPr>
        <w:t xml:space="preserve">which requires disaggregated disclosure of certain income statement captions within the footnotes to the financial statements. The amendments in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sz w:val="20"/>
        </w:rPr>
      </w:pPr>
      <w:r>
        <w:rPr>
          <w:rFonts w:ascii="Times New Roman" w:hAnsi="Times New Roman"/>
          <w:sz w:val="20"/>
        </w:rPr>
        <w:t xml:space="preserve">are effective for fiscal years beginning after December 15, 2026, and early adoption is permitted. The Company is currently evaluating the impact of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sz w:val="20"/>
        </w:rPr>
      </w:pPr>
      <w:r>
        <w:rPr>
          <w:rFonts w:ascii="Times New Roman" w:hAnsi="Times New Roman"/>
          <w:sz w:val="20"/>
        </w:rPr>
        <w:t xml:space="preserve">on its consolidated financial statements.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MERGER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Note 1,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Nature of the Business</w:t>
      </w:r>
    </w:p>
    <w:p>
      <w:pPr>
        <w:pStyle w:val="TextBody"/>
        <w:bidi w:val="0"/>
        <w:spacing w:before="120" w:after="0"/>
        <w:jc w:val="left"/>
        <w:rPr>
          <w:rFonts w:ascii="Times New Roman" w:hAnsi="Times New Roman"/>
          <w:sz w:val="20"/>
        </w:rPr>
      </w:pPr>
      <w:r>
        <w:rPr>
          <w:rFonts w:ascii="Times New Roman" w:hAnsi="Times New Roman"/>
          <w:sz w:val="20"/>
        </w:rPr>
        <w:t xml:space="preserve">,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part of the recapitalization, Legacy Tectonic recognized the assets and liabilities listed below: </w:t>
      </w:r>
    </w:p>
    <w:p>
      <w:pPr>
        <w:pStyle w:val="TextBody"/>
        <w:bidi w:val="0"/>
        <w:spacing w:before="0" w:after="0"/>
        <w:jc w:val="left"/>
        <w:rPr>
          <w:spacing w:val="0"/>
        </w:rPr>
      </w:pPr>
      <w:r>
        <w:rPr>
          <w:spacing w:val="0"/>
        </w:rPr>
        <w:t> </w:t>
      </w:r>
    </w:p>
    <w:tbl>
      <w:tblPr>
        <w:tblW w:w="4850" w:type="dxa"/>
        <w:jc w:val="left"/>
        <w:tblInd w:w="0" w:type="dxa"/>
        <w:tblLayout w:type="fixed"/>
        <w:tblCellMar>
          <w:top w:w="0" w:type="dxa"/>
          <w:left w:w="0" w:type="dxa"/>
          <w:bottom w:w="0" w:type="dxa"/>
          <w:right w:w="0" w:type="dxa"/>
        </w:tblCellMar>
      </w:tblPr>
      <w:tblGrid>
        <w:gridCol w:w="3740"/>
        <w:gridCol w:w="120"/>
        <w:gridCol w:w="140"/>
        <w:gridCol w:w="680"/>
        <w:gridCol w:w="170"/>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85,230</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319</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(1,988</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(5,405</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assets acquired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78,156</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incurred transaction costs of $9.3 million which was recorded as a reduction to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in the Consolidated Balance Sheet.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4. 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0"/>
        <w:jc w:val="left"/>
        <w:rPr>
          <w:spacing w:val="0"/>
        </w:rPr>
      </w:pPr>
      <w:r>
        <w:rPr>
          <w:spacing w:val="0"/>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139,610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139,610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139,610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139,610</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5665" w:type="dxa"/>
        <w:jc w:val="left"/>
        <w:tblInd w:w="0" w:type="dxa"/>
        <w:tblLayout w:type="fixed"/>
        <w:tblCellMar>
          <w:top w:w="0" w:type="dxa"/>
          <w:left w:w="0" w:type="dxa"/>
          <w:bottom w:w="0" w:type="dxa"/>
          <w:right w:w="0" w:type="dxa"/>
        </w:tblCellMar>
      </w:tblPr>
      <w:tblGrid>
        <w:gridCol w:w="1715"/>
        <w:gridCol w:w="120"/>
        <w:gridCol w:w="140"/>
        <w:gridCol w:w="680"/>
        <w:gridCol w:w="60"/>
        <w:gridCol w:w="120"/>
        <w:gridCol w:w="264"/>
        <w:gridCol w:w="491"/>
        <w:gridCol w:w="60"/>
        <w:gridCol w:w="120"/>
        <w:gridCol w:w="140"/>
        <w:gridCol w:w="680"/>
        <w:gridCol w:w="60"/>
        <w:gridCol w:w="120"/>
        <w:gridCol w:w="140"/>
        <w:gridCol w:w="68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55" w:type="dxa"/>
            <w:gridSpan w:val="14"/>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27,278</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27,278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27,278</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SAFE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30,515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30,515</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Money market funds are included in cash and cash equivalents on the Company’s Consolidated Balance Sheets and are classified within Level 1 of the fair value hierarchy because they are valued using quoted market prices.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transfers between the Level 1, Level 2 or Level 3 categories during the years ended December 31, 2024 and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Legacy Tectonic entered into multiple SAFE agreements with certain existing investors and received proceeds of $34.1 million. Prior to redemption, the SAFE liabilities were valued using a probability weighted scenario analysis and discount rates derived by application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build-up</w:t>
      </w:r>
    </w:p>
    <w:p>
      <w:pPr>
        <w:pStyle w:val="TextBody"/>
        <w:bidi w:val="0"/>
        <w:spacing w:before="120" w:after="0"/>
        <w:jc w:val="left"/>
        <w:rPr>
          <w:rFonts w:ascii="Times New Roman" w:hAnsi="Times New Roman"/>
          <w:sz w:val="20"/>
        </w:rPr>
      </w:pPr>
      <w:r>
        <w:rPr>
          <w:rFonts w:ascii="Times New Roman" w:hAnsi="Times New Roman"/>
          <w:sz w:val="20"/>
        </w:rPr>
        <w:t xml:space="preserve">method to reflect the cost of equity. The valuation model required a variety of inputs, including the probability of occurrence of events that would trigger conversion or redemption of the SAFEs, the expected timing of such events, and a discount rate.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closing of the Merger, the principal balance of the SAFE instruments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presents activity for the SAFE liabilities that were measured at fair value using significant unobservable Level 3 inputs during the years ended December 31, 2024 and 2023 (in thousands): </w:t>
      </w:r>
    </w:p>
    <w:p>
      <w:pPr>
        <w:pStyle w:val="TextBody"/>
        <w:bidi w:val="0"/>
        <w:spacing w:before="0" w:after="0"/>
        <w:jc w:val="left"/>
        <w:rPr>
          <w:spacing w:val="0"/>
        </w:rPr>
      </w:pPr>
      <w:r>
        <w:rPr>
          <w:spacing w:val="0"/>
        </w:rPr>
        <w:t> </w:t>
      </w:r>
    </w:p>
    <w:tbl>
      <w:tblPr>
        <w:tblW w:w="4725" w:type="dxa"/>
        <w:jc w:val="left"/>
        <w:tblInd w:w="0" w:type="dxa"/>
        <w:tblLayout w:type="fixed"/>
        <w:tblCellMar>
          <w:top w:w="0" w:type="dxa"/>
          <w:left w:w="0" w:type="dxa"/>
          <w:bottom w:w="0" w:type="dxa"/>
          <w:right w:w="0" w:type="dxa"/>
        </w:tblCellMar>
      </w:tblPr>
      <w:tblGrid>
        <w:gridCol w:w="2735"/>
        <w:gridCol w:w="120"/>
        <w:gridCol w:w="265"/>
        <w:gridCol w:w="1435"/>
        <w:gridCol w:w="1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SAFE Liabilities</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2023</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Initial fair value recognition</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31,515</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issuance</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adjustments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(1,255</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30,515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adjustments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3,610</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Redemption</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(34,125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2024</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is comprised of the following (in thousands): </w:t>
      </w:r>
    </w:p>
    <w:p>
      <w:pPr>
        <w:pStyle w:val="TextBody"/>
        <w:bidi w:val="0"/>
        <w:spacing w:before="0" w:after="0"/>
        <w:jc w:val="left"/>
        <w:rPr>
          <w:spacing w:val="0"/>
        </w:rPr>
      </w:pPr>
      <w:r>
        <w:rPr>
          <w:spacing w:val="0"/>
        </w:rPr>
        <w:t> </w:t>
      </w:r>
    </w:p>
    <w:tbl>
      <w:tblPr>
        <w:tblW w:w="5360" w:type="dxa"/>
        <w:jc w:val="left"/>
        <w:tblInd w:w="0" w:type="dxa"/>
        <w:tblLayout w:type="fixed"/>
        <w:tblCellMar>
          <w:top w:w="0" w:type="dxa"/>
          <w:left w:w="0" w:type="dxa"/>
          <w:bottom w:w="0" w:type="dxa"/>
          <w:right w:w="0" w:type="dxa"/>
        </w:tblCellMar>
      </w:tblPr>
      <w:tblGrid>
        <w:gridCol w:w="3245"/>
        <w:gridCol w:w="120"/>
        <w:gridCol w:w="140"/>
        <w:gridCol w:w="635"/>
        <w:gridCol w:w="155"/>
        <w:gridCol w:w="120"/>
        <w:gridCol w:w="140"/>
        <w:gridCol w:w="635"/>
        <w:gridCol w:w="17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4,510</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Office equipment, furniture and fixtures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405</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 in progress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4,978</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(1,856</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2,151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3,122</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Depreciation expense was $1.2 million and $1.0 million for the years ended December 31, 2024 and 2023, respectively, and is primarily attributable to research and development activities.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is comprised of the following (in thousands): </w:t>
      </w:r>
    </w:p>
    <w:p>
      <w:pPr>
        <w:pStyle w:val="TextBody"/>
        <w:bidi w:val="0"/>
        <w:spacing w:before="0" w:after="0"/>
        <w:jc w:val="left"/>
        <w:rPr>
          <w:spacing w:val="0"/>
        </w:rPr>
      </w:pPr>
      <w:r>
        <w:rPr>
          <w:spacing w:val="0"/>
        </w:rPr>
        <w:t> </w:t>
      </w:r>
    </w:p>
    <w:tbl>
      <w:tblPr>
        <w:tblW w:w="5950" w:type="dxa"/>
        <w:jc w:val="left"/>
        <w:tblInd w:w="0" w:type="dxa"/>
        <w:tblLayout w:type="fixed"/>
        <w:tblCellMar>
          <w:top w:w="0" w:type="dxa"/>
          <w:left w:w="0" w:type="dxa"/>
          <w:bottom w:w="0" w:type="dxa"/>
          <w:right w:w="0" w:type="dxa"/>
        </w:tblCellMar>
      </w:tblPr>
      <w:tblGrid>
        <w:gridCol w:w="4175"/>
        <w:gridCol w:w="120"/>
        <w:gridCol w:w="140"/>
        <w:gridCol w:w="560"/>
        <w:gridCol w:w="60"/>
        <w:gridCol w:w="120"/>
        <w:gridCol w:w="140"/>
        <w:gridCol w:w="560"/>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compensation and related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2,856</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3,214</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professional fees and other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2,071</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8,141</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STOCKHOLDERS’ EQUITY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2023, the Company’s amended and restated certificate of incorporation authorized the Company to issue up to 11,947,558 shares of $0.0001 par value common stock, of which, 2,634,246 shares were issued and outstanding. Voting, dividend and liquidation rights of the holders of common stock were subject to and qualified by the rights, powers and preferences of the holders of the Preferred Stock. Holders of common stock were entitled to one vote for each share of common stock; however, the holders of the common stock were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not entitled to vote on any amendment to the amended and restated certificate of incorporation that related solely to the terms of one or more outstanding series of preferred stock. The Company had included in issued and outstanding common stock shares of restricted common stock granted by the Company. As of December 31, 2023, there were 2,634,246 common shares issued and outstanding, of which 2,598,752 relate to shares of unrestricted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amended and restated its certificate of incorporation, effective June 20, 2024, in connection with the Merger. The Company is authorized to issue 150,000,000 shares of common stock at a par value of $0.0001. Holders of voting common stock are entitled to one vote per share. In addition, holders of voting common stock are entitled to receive dividends, if and when declared by the Company’s Board of Directors. As of December 31, 2024, no dividends had been declared.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reserved common stock for future issuance as follows: </w:t>
      </w:r>
    </w:p>
    <w:p>
      <w:pPr>
        <w:pStyle w:val="TextBody"/>
        <w:bidi w:val="0"/>
        <w:spacing w:before="0" w:after="0"/>
        <w:jc w:val="left"/>
        <w:rPr>
          <w:spacing w:val="0"/>
        </w:rPr>
      </w:pPr>
      <w:r>
        <w:rPr>
          <w:spacing w:val="0"/>
        </w:rPr>
        <w:t> </w:t>
      </w:r>
    </w:p>
    <w:tbl>
      <w:tblPr>
        <w:tblW w:w="9060" w:type="dxa"/>
        <w:jc w:val="left"/>
        <w:tblInd w:w="0" w:type="dxa"/>
        <w:tblLayout w:type="fixed"/>
        <w:tblCellMar>
          <w:top w:w="0" w:type="dxa"/>
          <w:left w:w="0" w:type="dxa"/>
          <w:bottom w:w="0" w:type="dxa"/>
          <w:right w:w="0" w:type="dxa"/>
        </w:tblCellMar>
      </w:tblPr>
      <w:tblGrid>
        <w:gridCol w:w="6605"/>
        <w:gridCol w:w="120"/>
        <w:gridCol w:w="60"/>
        <w:gridCol w:w="980"/>
        <w:gridCol w:w="60"/>
        <w:gridCol w:w="120"/>
        <w:gridCol w:w="60"/>
        <w:gridCol w:w="980"/>
        <w:gridCol w:w="75"/>
      </w:tblGrid>
      <w:tr>
        <w:trPr/>
        <w:tc>
          <w:tcPr>
            <w:tcW w:w="6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3,647,675</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to purchase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1,626,841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1,002,535</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18,968</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SAFEs (as converted to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1,519,331</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 awards available for future issuance under the 2019 Equity Incentive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25,208</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 awards available for future issuance under the 2024 Equity Incentive Plan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976,082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reserved for purchase under the 2024 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147,343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2,775,878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6,213,717</w:t>
            </w:r>
          </w:p>
        </w:tc>
        <w:tc>
          <w:tcPr>
            <w:tcW w:w="75" w:type="dxa"/>
            <w:tcBorders/>
            <w:shd w:fill="CCEEFF" w:val="cle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conversion upon the closing of the Merger, Legacy Tectonic issued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Series A-1,</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pacing w:val="0"/>
          <w:sz w:val="20"/>
        </w:rPr>
      </w:pPr>
      <w:r>
        <w:rPr>
          <w:rFonts w:ascii="Times New Roman" w:hAnsi="Times New Roman"/>
          <w:spacing w:val="0"/>
          <w:sz w:val="20"/>
        </w:rPr>
        <w:t>A-3</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A-4</w:t>
      </w:r>
    </w:p>
    <w:p>
      <w:pPr>
        <w:pStyle w:val="TextBody"/>
        <w:bidi w:val="0"/>
        <w:spacing w:before="120" w:after="0"/>
        <w:jc w:val="left"/>
        <w:rPr>
          <w:rFonts w:ascii="Times New Roman" w:hAnsi="Times New Roman"/>
          <w:sz w:val="20"/>
        </w:rPr>
      </w:pPr>
      <w:r>
        <w:rPr>
          <w:rFonts w:ascii="Times New Roman" w:hAnsi="Times New Roman"/>
          <w:sz w:val="20"/>
        </w:rPr>
        <w:t xml:space="preserve">convertible preferred stock (the “Convertible Preferred Stock”). Upon the closing of the Merger, all outstanding shares of the Convertible Preferred Stock were converted into 3,647,675 shares of common stock. No shares of Convertible Preferred Stock are authorized for issuance as of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Subsequent to the Merger, the Company authorized the issuance of 10,000,000 shares of undesignated preferred stock, however no such shares were issued or outstanding as of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in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the Merger, all outstanding shares of convertible preferred stock were converted into an aggregate of 3,647,675 shares of the Company’s common stock and $80.6 million of mezzanine equity was reclassified to common stock and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As of December 31, 2024, there were no shares of convertible preferred stock issued or outstanding.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the closing of the Merger, the principal balance of the SAFE instruments was automatically redeemed for 2,752,216 shares of Legacy Tectonic common stock at the conversion price of $12.40 per share immediately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prior to the Merger closing. At closing, shares of Legacy Tectonic common stock issued pursuant to the redemption of Legacy Tectonic SAFEs were converted into 1,470,839 shares of common stock based on the Exchange Ratio, pursuant to the Merger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Concurrently with the closing of the Merger, on June 20, 2024, certain investors completed the purchase of shares of Legacy Tectonic common stock pursuant to the Subscription Agreement at a price of $12.40 per share for an aggregate purchase price of $96.6 million. The shares of Legacy Tectonic common stock that were issued pursuant to the Subscription Agreement were converted into 4,163,606 shares of common stock upon the closing of the Merger based on the exchange ratio, pursuant to the Merger Agreement.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8. EQUITY INCENTIVE PLANS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Legacy Tectonic 2019 Equity Incentive Plan (the “2019 Plan”) provides employees, consultants and advisors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members of the Board of Directors with the opportunity to receive grants of stock options, stock awards and equity awards. Following the effectiveness of the 2024 Equity Incentive Plan (the “2024 Plan”) as described below, no further grants will be made under the 2019 Plan; however, any outstanding equity awards granted under the 2019 Plan will continue to be governed by the terms of the 2019 Plan.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2024 Plan initially provided for the issuance of up to 1,938,799 shares of common stock (the “Initial Share Reserve”). Subject to any other adjustments as defined in the 2024 Plan, such aggregate number of shares of common stock will automatically increase on January 1st of each year for a period of ten years commencing on January 1, 2025 and ending on (and including) January 1, 2034, in an amount equal to 5% of the total number of shares of common stock issued and outstanding determined as of the day prior to such increase; provided, however that the Board of Directors may act prior to January 1st of a given year to provide that the increase for such year will be a lesser number of shares of common stock. The maximum number of shares of common stock that may be issued under the 2024 Plan pursuant to the exercise of incentive stock options shall not exceed three times the Initial Share Reserve.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2024 Employee Stock Purchase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20, 2024, the Company adopted the 2024 Employee Stock Purchase Plan (the “2024 ESPP”), which became effective upon completion of the Merger. The maximum number of shares of common stock that may be issued under the 2024 ESPP will not exceed 147,343 shares (the “Initial ESPP Share Reserve”), plus the number of shares of common stock that are automatically added on January 1st of each year for a period of up to ten years commencing on January 1, 2025 and ending on (and including) January 1, 2034, in an amount equal to the lesser of (x) 1% of the total number of shares of common stock issued and outstanding determined as of the day prior to such increase and (y) a number of shares equal to three times the Initial ESPP Share Reserve. Notwithstanding the foregoing, the Board of Directors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No offering periods under the 2024 ESPP had been initiated as of December 31, 2024.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equity activity below reflects the reverse stock split and retroactive application of the exchange ratio as discussed in Note 1,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Nature of Business</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stock option activity under the 2019 Plan and 2024 Plan during the year ended December 31, 2024 (in thousands except share, contractual term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710"/>
        <w:gridCol w:w="120"/>
        <w:gridCol w:w="73"/>
        <w:gridCol w:w="1207"/>
        <w:gridCol w:w="155"/>
        <w:gridCol w:w="120"/>
        <w:gridCol w:w="212"/>
        <w:gridCol w:w="851"/>
        <w:gridCol w:w="60"/>
        <w:gridCol w:w="120"/>
        <w:gridCol w:w="197"/>
        <w:gridCol w:w="1053"/>
        <w:gridCol w:w="60"/>
        <w:gridCol w:w="120"/>
        <w:gridCol w:w="182"/>
        <w:gridCol w:w="888"/>
        <w:gridCol w:w="77"/>
      </w:tblGrid>
      <w:tr>
        <w:trPr/>
        <w:tc>
          <w:tcPr>
            <w:tcW w:w="4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Number of</w:t>
              <w:br/>
              <w:t>Shares</w:t>
              <w:br/>
              <w:t>Underlying</w:t>
              <w:br/>
              <w:t>Outstanding</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w:t>
            </w:r>
          </w:p>
          <w:p>
            <w:pPr>
              <w:pStyle w:val="TableContents"/>
              <w:bidi w:val="0"/>
              <w:spacing w:before="0" w:after="0"/>
              <w:jc w:val="center"/>
              <w:rPr/>
            </w:pPr>
            <w:r>
              <w:rPr/>
            </w:r>
          </w:p>
          <w:p>
            <w:pPr>
              <w:pStyle w:val="TableContents"/>
              <w:bidi w:val="0"/>
              <w:spacing w:before="0" w:after="0"/>
              <w:jc w:val="center"/>
              <w:rPr>
                <w:b/>
                <w:spacing w:val="0"/>
              </w:rPr>
            </w:pPr>
            <w:r>
              <w:rPr>
                <w:b/>
                <w:spacing w:val="0"/>
              </w:rP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pPr>
            <w:r>
              <w:rPr/>
            </w:r>
          </w:p>
          <w:p>
            <w:pPr>
              <w:pStyle w:val="TableContents"/>
              <w:bidi w:val="0"/>
              <w:spacing w:before="0" w:after="0"/>
              <w:jc w:val="center"/>
              <w:rPr>
                <w:b/>
                <w:spacing w:val="0"/>
              </w:rPr>
            </w:pPr>
            <w:r>
              <w:rPr>
                <w:b/>
                <w:spacing w:val="0"/>
              </w:rPr>
              <w:t>Contractual</w:t>
            </w:r>
          </w:p>
          <w:p>
            <w:pPr>
              <w:pStyle w:val="TableContents"/>
              <w:bidi w:val="0"/>
              <w:spacing w:before="0" w:after="0"/>
              <w:jc w:val="center"/>
              <w:rPr/>
            </w:pPr>
            <w:r>
              <w:rPr/>
            </w:r>
          </w:p>
          <w:p>
            <w:pPr>
              <w:pStyle w:val="TableContents"/>
              <w:bidi w:val="0"/>
              <w:spacing w:before="0" w:after="0"/>
              <w:jc w:val="center"/>
              <w:rPr>
                <w:b/>
                <w:spacing w:val="0"/>
              </w:rPr>
            </w:pPr>
            <w:r>
              <w:rPr>
                <w:b/>
                <w:spacing w:val="0"/>
              </w:rPr>
              <w:t>Term</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Aggregate</w:t>
            </w:r>
          </w:p>
          <w:p>
            <w:pPr>
              <w:pStyle w:val="TableContents"/>
              <w:bidi w:val="0"/>
              <w:spacing w:before="0" w:after="0"/>
              <w:jc w:val="center"/>
              <w:rPr/>
            </w:pPr>
            <w:r>
              <w:rPr/>
            </w:r>
          </w:p>
          <w:p>
            <w:pPr>
              <w:pStyle w:val="TableContents"/>
              <w:bidi w:val="0"/>
              <w:spacing w:before="0" w:after="0"/>
              <w:jc w:val="center"/>
              <w:rPr>
                <w:b/>
                <w:spacing w:val="0"/>
              </w:rPr>
            </w:pPr>
            <w:r>
              <w:rPr>
                <w:b/>
                <w:spacing w:val="0"/>
              </w:rPr>
              <w:t>Intrinsic</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7" w:type="dxa"/>
            <w:tcBorders/>
            <w:vAlign w:val="center"/>
          </w:tcPr>
          <w:p>
            <w:pPr>
              <w:pStyle w:val="TableContents"/>
              <w:bidi w:val="0"/>
              <w:spacing w:before="0" w:after="283"/>
              <w:jc w:val="left"/>
              <w:rPr/>
            </w:pPr>
            <w:r>
              <w:rPr/>
              <w:t> </w:t>
            </w:r>
          </w:p>
        </w:tc>
      </w:tr>
      <w:tr>
        <w:trPr/>
        <w:tc>
          <w:tcPr>
            <w:tcW w:w="4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January 1, 2024</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1,002,485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3.11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2,276</w:t>
            </w:r>
          </w:p>
        </w:tc>
        <w:tc>
          <w:tcPr>
            <w:tcW w:w="77" w:type="dxa"/>
            <w:tcBorders/>
            <w:shd w:fill="CCEEFF" w:val="clear"/>
            <w:vAlign w:val="center"/>
          </w:tcPr>
          <w:p>
            <w:pPr>
              <w:pStyle w:val="TableContents"/>
              <w:bidi w:val="0"/>
              <w:spacing w:before="0" w:after="283"/>
              <w:jc w:val="left"/>
              <w:rPr/>
            </w:pPr>
            <w:r>
              <w:rPr/>
              <w:t> </w:t>
            </w:r>
          </w:p>
        </w:tc>
      </w:tr>
      <w:tr>
        <w:trPr/>
        <w:tc>
          <w:tcPr>
            <w:tcW w:w="4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granted</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982,980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18.25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exercised</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(335,894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2.54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5,585</w:t>
            </w:r>
          </w:p>
        </w:tc>
        <w:tc>
          <w:tcPr>
            <w:tcW w:w="77" w:type="dxa"/>
            <w:tcBorders/>
            <w:shd w:fill="CCEEFF" w:val="clear"/>
            <w:vAlign w:val="center"/>
          </w:tcPr>
          <w:p>
            <w:pPr>
              <w:pStyle w:val="TableContents"/>
              <w:bidi w:val="0"/>
              <w:spacing w:before="0" w:after="283"/>
              <w:jc w:val="left"/>
              <w:rPr/>
            </w:pPr>
            <w:r>
              <w:rPr/>
              <w:t> </w:t>
            </w:r>
          </w:p>
        </w:tc>
      </w:tr>
      <w:tr>
        <w:trPr/>
        <w:tc>
          <w:tcPr>
            <w:tcW w:w="4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forfeited and expired</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(115,210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8.98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2024</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1,534,361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12.49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51,805</w:t>
            </w:r>
          </w:p>
        </w:tc>
        <w:tc>
          <w:tcPr>
            <w:tcW w:w="77" w:type="dxa"/>
            <w:tcBorders/>
            <w:shd w:fill="CCEEFF" w:val="clear"/>
            <w:vAlign w:val="center"/>
          </w:tcPr>
          <w:p>
            <w:pPr>
              <w:pStyle w:val="TableContents"/>
              <w:bidi w:val="0"/>
              <w:spacing w:before="0" w:after="283"/>
              <w:jc w:val="left"/>
              <w:rPr/>
            </w:pPr>
            <w:r>
              <w:rPr/>
              <w:t> </w:t>
            </w:r>
          </w:p>
        </w:tc>
      </w:tr>
      <w:tr>
        <w:trPr/>
        <w:tc>
          <w:tcPr>
            <w:tcW w:w="4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vested and exercisable as of December 31, 2024</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364,472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851" w:type="dxa"/>
            <w:tcBorders/>
            <w:vAlign w:val="center"/>
          </w:tcPr>
          <w:p>
            <w:pPr>
              <w:pStyle w:val="TableContents"/>
              <w:bidi w:val="0"/>
              <w:spacing w:before="0" w:after="283"/>
              <w:jc w:val="right"/>
              <w:rPr/>
            </w:pPr>
            <w:r>
              <w:rPr/>
              <w:t>2.80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15,809</w:t>
            </w:r>
          </w:p>
        </w:tc>
        <w:tc>
          <w:tcPr>
            <w:tcW w:w="77" w:type="dxa"/>
            <w:tcBorders/>
            <w:vAlign w:val="center"/>
          </w:tcPr>
          <w:p>
            <w:pPr>
              <w:pStyle w:val="TableContents"/>
              <w:bidi w:val="0"/>
              <w:spacing w:before="0" w:after="283"/>
              <w:jc w:val="left"/>
              <w:rPr/>
            </w:pPr>
            <w:r>
              <w:rPr/>
              <w:t> </w:t>
            </w:r>
          </w:p>
        </w:tc>
      </w:tr>
      <w:tr>
        <w:trPr/>
        <w:tc>
          <w:tcPr>
            <w:tcW w:w="4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vested and expected to vest as of December 31, 2024</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1,534,361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12.49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51,805</w:t>
            </w:r>
          </w:p>
        </w:tc>
        <w:tc>
          <w:tcPr>
            <w:tcW w:w="77" w:type="dxa"/>
            <w:tcBorders/>
            <w:shd w:fill="CCEEFF" w:val="clear"/>
            <w:vAlign w:val="center"/>
          </w:tcPr>
          <w:p>
            <w:pPr>
              <w:pStyle w:val="TableContents"/>
              <w:bidi w:val="0"/>
              <w:spacing w:before="0" w:after="283"/>
              <w:jc w:val="left"/>
              <w:rPr/>
            </w:pPr>
            <w:r>
              <w:rPr/>
              <w:t> </w:t>
            </w:r>
          </w:p>
        </w:tc>
      </w:tr>
      <w:tr>
        <w:trPr/>
        <w:tc>
          <w:tcPr>
            <w:tcW w:w="4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stock option activity for the options that were assumed from AVROBIO upon the Merger closing during the year ended December 31, 2024 (in thousands except share, contractual term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711"/>
        <w:gridCol w:w="120"/>
        <w:gridCol w:w="82"/>
        <w:gridCol w:w="1198"/>
        <w:gridCol w:w="155"/>
        <w:gridCol w:w="120"/>
        <w:gridCol w:w="180"/>
        <w:gridCol w:w="883"/>
        <w:gridCol w:w="60"/>
        <w:gridCol w:w="120"/>
        <w:gridCol w:w="197"/>
        <w:gridCol w:w="1053"/>
        <w:gridCol w:w="60"/>
        <w:gridCol w:w="120"/>
        <w:gridCol w:w="214"/>
        <w:gridCol w:w="856"/>
        <w:gridCol w:w="76"/>
      </w:tblGrid>
      <w:tr>
        <w:trPr/>
        <w:tc>
          <w:tcPr>
            <w:tcW w:w="4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Number of</w:t>
              <w:br/>
              <w:t>Shares</w:t>
              <w:br/>
              <w:t>Underlying</w:t>
              <w:br/>
              <w:t>Outstanding</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w:t>
            </w:r>
          </w:p>
          <w:p>
            <w:pPr>
              <w:pStyle w:val="TableContents"/>
              <w:bidi w:val="0"/>
              <w:spacing w:before="0" w:after="0"/>
              <w:jc w:val="center"/>
              <w:rPr/>
            </w:pPr>
            <w:r>
              <w:rPr/>
            </w:r>
          </w:p>
          <w:p>
            <w:pPr>
              <w:pStyle w:val="TableContents"/>
              <w:bidi w:val="0"/>
              <w:spacing w:before="0" w:after="0"/>
              <w:jc w:val="center"/>
              <w:rPr>
                <w:b/>
                <w:spacing w:val="0"/>
              </w:rPr>
            </w:pPr>
            <w:r>
              <w:rPr>
                <w:b/>
                <w:spacing w:val="0"/>
              </w:rP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pPr>
            <w:r>
              <w:rPr/>
            </w:r>
          </w:p>
          <w:p>
            <w:pPr>
              <w:pStyle w:val="TableContents"/>
              <w:bidi w:val="0"/>
              <w:spacing w:before="0" w:after="0"/>
              <w:jc w:val="center"/>
              <w:rPr>
                <w:b/>
                <w:spacing w:val="0"/>
              </w:rPr>
            </w:pPr>
            <w:r>
              <w:rPr>
                <w:b/>
                <w:spacing w:val="0"/>
              </w:rPr>
              <w:t>Contractual</w:t>
            </w:r>
          </w:p>
          <w:p>
            <w:pPr>
              <w:pStyle w:val="TableContents"/>
              <w:bidi w:val="0"/>
              <w:spacing w:before="0" w:after="0"/>
              <w:jc w:val="center"/>
              <w:rPr/>
            </w:pPr>
            <w:r>
              <w:rPr/>
            </w:r>
          </w:p>
          <w:p>
            <w:pPr>
              <w:pStyle w:val="TableContents"/>
              <w:bidi w:val="0"/>
              <w:spacing w:before="0" w:after="0"/>
              <w:jc w:val="center"/>
              <w:rPr>
                <w:b/>
                <w:spacing w:val="0"/>
              </w:rPr>
            </w:pPr>
            <w:r>
              <w:rPr>
                <w:b/>
                <w:spacing w:val="0"/>
              </w:rPr>
              <w:t>Term</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Aggregate</w:t>
            </w:r>
          </w:p>
          <w:p>
            <w:pPr>
              <w:pStyle w:val="TableContents"/>
              <w:bidi w:val="0"/>
              <w:spacing w:before="0" w:after="0"/>
              <w:jc w:val="center"/>
              <w:rPr/>
            </w:pPr>
            <w:r>
              <w:rPr/>
            </w:r>
          </w:p>
          <w:p>
            <w:pPr>
              <w:pStyle w:val="TableContents"/>
              <w:bidi w:val="0"/>
              <w:spacing w:before="0" w:after="0"/>
              <w:jc w:val="center"/>
              <w:rPr>
                <w:b/>
                <w:spacing w:val="0"/>
              </w:rPr>
            </w:pPr>
            <w:r>
              <w:rPr>
                <w:b/>
                <w:spacing w:val="0"/>
              </w:rPr>
              <w:t>Intrinsic</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6" w:type="dxa"/>
            <w:tcBorders/>
            <w:vAlign w:val="center"/>
          </w:tcPr>
          <w:p>
            <w:pPr>
              <w:pStyle w:val="TableContents"/>
              <w:bidi w:val="0"/>
              <w:spacing w:before="0" w:after="283"/>
              <w:jc w:val="left"/>
              <w:rPr/>
            </w:pPr>
            <w:r>
              <w:rPr/>
              <w:t> </w:t>
            </w:r>
          </w:p>
        </w:tc>
      </w:tr>
      <w:tr>
        <w:trPr/>
        <w:tc>
          <w:tcPr>
            <w:tcW w:w="471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assumed from AVROBIO upon Merger closing</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365,428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89.92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71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exercised</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(52,833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14.61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1,344</w:t>
            </w:r>
          </w:p>
        </w:tc>
        <w:tc>
          <w:tcPr>
            <w:tcW w:w="76" w:type="dxa"/>
            <w:tcBorders/>
            <w:vAlign w:val="center"/>
          </w:tcPr>
          <w:p>
            <w:pPr>
              <w:pStyle w:val="TableContents"/>
              <w:bidi w:val="0"/>
              <w:spacing w:before="0" w:after="283"/>
              <w:jc w:val="left"/>
              <w:rPr/>
            </w:pPr>
            <w:r>
              <w:rPr/>
              <w:t> </w:t>
            </w:r>
          </w:p>
        </w:tc>
      </w:tr>
      <w:tr>
        <w:trPr/>
        <w:tc>
          <w:tcPr>
            <w:tcW w:w="471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forfeited and expired</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(220,115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136.24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2024</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92,480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22.69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2,903</w:t>
            </w:r>
          </w:p>
        </w:tc>
        <w:tc>
          <w:tcPr>
            <w:tcW w:w="76" w:type="dxa"/>
            <w:tcBorders/>
            <w:vAlign w:val="center"/>
          </w:tcPr>
          <w:p>
            <w:pPr>
              <w:pStyle w:val="TableContents"/>
              <w:bidi w:val="0"/>
              <w:spacing w:before="0" w:after="283"/>
              <w:jc w:val="left"/>
              <w:rPr/>
            </w:pPr>
            <w:r>
              <w:rPr/>
              <w:t> </w:t>
            </w:r>
          </w:p>
        </w:tc>
      </w:tr>
      <w:tr>
        <w:trPr/>
        <w:tc>
          <w:tcPr>
            <w:tcW w:w="4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vested and exercisable as of December 31, 2024</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92,480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2,903</w:t>
            </w:r>
          </w:p>
        </w:tc>
        <w:tc>
          <w:tcPr>
            <w:tcW w:w="76" w:type="dxa"/>
            <w:tcBorders/>
            <w:shd w:fill="CCEEFF" w:val="clear"/>
            <w:vAlign w:val="center"/>
          </w:tcPr>
          <w:p>
            <w:pPr>
              <w:pStyle w:val="TableContents"/>
              <w:bidi w:val="0"/>
              <w:spacing w:before="0" w:after="283"/>
              <w:jc w:val="left"/>
              <w:rPr/>
            </w:pPr>
            <w:r>
              <w:rPr/>
              <w:t> </w:t>
            </w:r>
          </w:p>
        </w:tc>
      </w:tr>
      <w:tr>
        <w:trPr/>
        <w:tc>
          <w:tcPr>
            <w:tcW w:w="4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vested and expected to vest as of December 31, 2024</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92,480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22.69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2,903</w:t>
            </w:r>
          </w:p>
        </w:tc>
        <w:tc>
          <w:tcPr>
            <w:tcW w:w="76" w:type="dxa"/>
            <w:tcBorders/>
            <w:vAlign w:val="center"/>
          </w:tcPr>
          <w:p>
            <w:pPr>
              <w:pStyle w:val="TableContents"/>
              <w:bidi w:val="0"/>
              <w:spacing w:before="0" w:after="283"/>
              <w:jc w:val="left"/>
              <w:rPr/>
            </w:pPr>
            <w:r>
              <w:rPr/>
              <w:t> </w:t>
            </w:r>
          </w:p>
        </w:tc>
      </w:tr>
      <w:tr>
        <w:trPr/>
        <w:tc>
          <w:tcPr>
            <w:tcW w:w="4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years ended December 31, 2024 and 2023, the Company granted options with a weighted-average grant-date fair value of $14.90 and $4.04 per share, respectively. The fair value of options that vested during the years ended December 31, 2024 and 2023 was $1.6 million and $1.1 million, respectively. As of December 31, 2024, the total unrecognized stock-based compensation expense for stock options was $13.3 million, which is expected to be recognized over a weighted-average period of 3.3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table below discloses assumptions for the fair value of options granted: </w:t>
      </w:r>
    </w:p>
    <w:p>
      <w:pPr>
        <w:pStyle w:val="TextBody"/>
        <w:bidi w:val="0"/>
        <w:spacing w:before="0" w:after="0"/>
        <w:jc w:val="left"/>
        <w:rPr>
          <w:spacing w:val="0"/>
        </w:rPr>
      </w:pPr>
      <w:r>
        <w:rPr>
          <w:spacing w:val="0"/>
        </w:rPr>
        <w:t> </w:t>
      </w:r>
    </w:p>
    <w:tbl>
      <w:tblPr>
        <w:tblW w:w="7900" w:type="dxa"/>
        <w:jc w:val="left"/>
        <w:tblInd w:w="0" w:type="dxa"/>
        <w:tblLayout w:type="fixed"/>
        <w:tblCellMar>
          <w:top w:w="0" w:type="dxa"/>
          <w:left w:w="0" w:type="dxa"/>
          <w:bottom w:w="0" w:type="dxa"/>
          <w:right w:w="0" w:type="dxa"/>
        </w:tblCellMar>
      </w:tblPr>
      <w:tblGrid>
        <w:gridCol w:w="3995"/>
        <w:gridCol w:w="120"/>
        <w:gridCol w:w="140"/>
        <w:gridCol w:w="1685"/>
        <w:gridCol w:w="60"/>
        <w:gridCol w:w="120"/>
        <w:gridCol w:w="140"/>
        <w:gridCol w:w="1565"/>
        <w:gridCol w:w="75"/>
      </w:tblGrid>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10"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5"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per share of underlying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0"/>
              <w:jc w:val="right"/>
              <w:rPr>
                <w:spacing w:val="0"/>
              </w:rPr>
            </w:pPr>
            <w:r>
              <w:rPr>
                <w:spacing w:val="0"/>
              </w:rPr>
              <w:t>16.09 - $51.28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0"/>
              <w:jc w:val="right"/>
              <w:rPr>
                <w:spacing w:val="0"/>
              </w:rPr>
            </w:pPr>
            <w:r>
              <w:rPr>
                <w:spacing w:val="0"/>
              </w:rPr>
              <w:t>2.50 - $4.21</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right"/>
              <w:rPr>
                <w:spacing w:val="0"/>
              </w:rPr>
            </w:pPr>
            <w:r>
              <w:rPr>
                <w:spacing w:val="0"/>
              </w:rPr>
              <w:t>6.00 - 6.25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right"/>
              <w:rPr>
                <w:spacing w:val="0"/>
              </w:rPr>
            </w:pPr>
            <w:r>
              <w:rPr>
                <w:spacing w:val="0"/>
              </w:rPr>
              <w:t>5.81 - 6.04</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0"/>
              <w:jc w:val="right"/>
              <w:rPr>
                <w:spacing w:val="0"/>
              </w:rPr>
            </w:pPr>
            <w:r>
              <w:rPr>
                <w:spacing w:val="0"/>
              </w:rPr>
              <w:t>100.0% - 104.0%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0"/>
              <w:jc w:val="right"/>
              <w:rPr>
                <w:spacing w:val="0"/>
              </w:rPr>
            </w:pPr>
            <w:r>
              <w:rPr>
                <w:spacing w:val="0"/>
              </w:rPr>
              <w:t>93.4% - 111.2%</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right"/>
              <w:rPr>
                <w:spacing w:val="0"/>
              </w:rPr>
            </w:pPr>
            <w:r>
              <w:rPr>
                <w:spacing w:val="0"/>
              </w:rPr>
              <w:t>4.10% - 4.26%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right"/>
              <w:rPr>
                <w:spacing w:val="0"/>
              </w:rPr>
            </w:pPr>
            <w:r>
              <w:rPr>
                <w:spacing w:val="0"/>
              </w:rPr>
              <w:t>3.64% - 4.90%</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Units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Restricted stock units (RSUs) are granted to certain employees. The value of an RSU award is based on the Company’s stock price on the date of the grant. The shares underlying the RSUs are not issued until the RSUs vest. Activity with respect to the Company’s restricted stock units during the year ended December 31, 2024 was as follows (in thousands, except share, contractual term, and per share data): </w:t>
      </w:r>
    </w:p>
    <w:p>
      <w:pPr>
        <w:pStyle w:val="TextBody"/>
        <w:bidi w:val="0"/>
        <w:spacing w:before="0" w:after="0"/>
        <w:jc w:val="left"/>
        <w:rPr>
          <w:spacing w:val="0"/>
        </w:rPr>
      </w:pPr>
      <w:r>
        <w:rPr>
          <w:spacing w:val="0"/>
        </w:rPr>
        <w:t> </w:t>
      </w:r>
    </w:p>
    <w:tbl>
      <w:tblPr>
        <w:tblW w:w="10155" w:type="dxa"/>
        <w:jc w:val="left"/>
        <w:tblInd w:w="0" w:type="dxa"/>
        <w:tblLayout w:type="fixed"/>
        <w:tblCellMar>
          <w:top w:w="0" w:type="dxa"/>
          <w:left w:w="0" w:type="dxa"/>
          <w:bottom w:w="0" w:type="dxa"/>
          <w:right w:w="0" w:type="dxa"/>
        </w:tblCellMar>
      </w:tblPr>
      <w:tblGrid>
        <w:gridCol w:w="4550"/>
        <w:gridCol w:w="120"/>
        <w:gridCol w:w="103"/>
        <w:gridCol w:w="1177"/>
        <w:gridCol w:w="155"/>
        <w:gridCol w:w="120"/>
        <w:gridCol w:w="235"/>
        <w:gridCol w:w="940"/>
        <w:gridCol w:w="60"/>
        <w:gridCol w:w="120"/>
        <w:gridCol w:w="197"/>
        <w:gridCol w:w="1053"/>
        <w:gridCol w:w="60"/>
        <w:gridCol w:w="120"/>
        <w:gridCol w:w="214"/>
        <w:gridCol w:w="856"/>
        <w:gridCol w:w="75"/>
      </w:tblGrid>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10" w:type="dxa"/>
            <w:gridSpan w:val="14"/>
            <w:tcBorders/>
            <w:vAlign w:val="center"/>
          </w:tcPr>
          <w:p>
            <w:pPr>
              <w:pStyle w:val="TableContents"/>
              <w:bidi w:val="0"/>
              <w:spacing w:before="0" w:after="0"/>
              <w:jc w:val="center"/>
              <w:rPr>
                <w:b/>
                <w:spacing w:val="0"/>
              </w:rPr>
            </w:pPr>
            <w:r>
              <w:rPr>
                <w:b/>
                <w:spacing w:val="0"/>
              </w:rPr>
              <w:t>Outstanding RSUs</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Number of</w:t>
              <w:br/>
              <w:t>Shares</w:t>
              <w:br/>
              <w:t>Underlying</w:t>
              <w:br/>
              <w:t>Outstanding</w:t>
              <w:br/>
              <w:t>Units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Grant Date</w:t>
              <w:br/>
              <w:t>Fair Value</w:t>
              <w:br/>
              <w:t>per Unit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pPr>
            <w:r>
              <w:rPr/>
            </w:r>
          </w:p>
          <w:p>
            <w:pPr>
              <w:pStyle w:val="TableContents"/>
              <w:bidi w:val="0"/>
              <w:spacing w:before="0" w:after="0"/>
              <w:jc w:val="center"/>
              <w:rPr>
                <w:b/>
                <w:spacing w:val="0"/>
              </w:rPr>
            </w:pPr>
            <w:r>
              <w:rPr>
                <w:b/>
                <w:spacing w:val="0"/>
              </w:rPr>
              <w:t>Contractual</w:t>
            </w:r>
          </w:p>
          <w:p>
            <w:pPr>
              <w:pStyle w:val="TableContents"/>
              <w:bidi w:val="0"/>
              <w:spacing w:before="0" w:after="0"/>
              <w:jc w:val="center"/>
              <w:rPr/>
            </w:pPr>
            <w:r>
              <w:rPr/>
            </w:r>
          </w:p>
          <w:p>
            <w:pPr>
              <w:pStyle w:val="TableContents"/>
              <w:bidi w:val="0"/>
              <w:spacing w:before="0" w:after="0"/>
              <w:jc w:val="center"/>
              <w:rPr>
                <w:b/>
                <w:spacing w:val="0"/>
              </w:rPr>
            </w:pPr>
            <w:r>
              <w:rPr>
                <w:b/>
                <w:spacing w:val="0"/>
              </w:rPr>
              <w:t>Term</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Aggregate</w:t>
            </w:r>
          </w:p>
          <w:p>
            <w:pPr>
              <w:pStyle w:val="TableContents"/>
              <w:bidi w:val="0"/>
              <w:spacing w:before="0" w:after="0"/>
              <w:jc w:val="center"/>
              <w:rPr/>
            </w:pPr>
            <w:r>
              <w:rPr/>
            </w:r>
          </w:p>
          <w:p>
            <w:pPr>
              <w:pStyle w:val="TableContents"/>
              <w:bidi w:val="0"/>
              <w:spacing w:before="0" w:after="0"/>
              <w:jc w:val="center"/>
              <w:rPr>
                <w:b/>
                <w:spacing w:val="0"/>
              </w:rPr>
            </w:pPr>
            <w:r>
              <w:rPr>
                <w:b/>
                <w:spacing w:val="0"/>
              </w:rPr>
              <w:t>Intrinsic</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January 1, 2024</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granted</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26,337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44.62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forfeited</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34.51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2024</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25,612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44.90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1,183</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and expected to vest as of December 31, 2024</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25,612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44.90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1,183</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the total unrecognized stock-based compensation expense for RSUs was $1.1 million, which is expected to be recognized over a weighted average period of 3.2 years.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Legacy Tectonic granted restricted common stock to founders, employees and consultants. The purchase price of the restricted common stock is the estimated fair value on the grant date and the restricted stock is subject to various vesting schedules. Unvested restricted common stock is subject to repurchase rights held by the Company at the original issuance price in the event the restricted common stockholders’ service to the Company is terminated either voluntarily or involuntarily.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restricted common stock activity during the year ended December 31, 2024: </w:t>
      </w:r>
    </w:p>
    <w:p>
      <w:pPr>
        <w:pStyle w:val="TextBody"/>
        <w:bidi w:val="0"/>
        <w:spacing w:before="0" w:after="0"/>
        <w:jc w:val="left"/>
        <w:rPr>
          <w:spacing w:val="0"/>
        </w:rPr>
      </w:pPr>
      <w:r>
        <w:rPr>
          <w:spacing w:val="0"/>
        </w:rPr>
        <w:t> </w:t>
      </w:r>
    </w:p>
    <w:tbl>
      <w:tblPr>
        <w:tblW w:w="6885" w:type="dxa"/>
        <w:jc w:val="left"/>
        <w:tblInd w:w="0" w:type="dxa"/>
        <w:tblLayout w:type="fixed"/>
        <w:tblCellMar>
          <w:top w:w="0" w:type="dxa"/>
          <w:left w:w="0" w:type="dxa"/>
          <w:bottom w:w="0" w:type="dxa"/>
          <w:right w:w="0" w:type="dxa"/>
        </w:tblCellMar>
      </w:tblPr>
      <w:tblGrid>
        <w:gridCol w:w="4715"/>
        <w:gridCol w:w="120"/>
        <w:gridCol w:w="138"/>
        <w:gridCol w:w="1742"/>
        <w:gridCol w:w="170"/>
      </w:tblGrid>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0"/>
              <w:jc w:val="center"/>
              <w:rPr>
                <w:b/>
                <w:spacing w:val="0"/>
              </w:rPr>
            </w:pPr>
            <w:r>
              <w:rPr>
                <w:b/>
                <w:spacing w:val="0"/>
              </w:rPr>
              <w:t>Number of Shares</w:t>
            </w:r>
          </w:p>
        </w:tc>
        <w:tc>
          <w:tcPr>
            <w:tcW w:w="17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 as of January 1, 2024</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18,968</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exercise of options</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6,859</w:t>
            </w:r>
          </w:p>
        </w:tc>
        <w:tc>
          <w:tcPr>
            <w:tcW w:w="17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(25,827</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 as of December 31, 2024</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weighted-average grant date fair value and the weighted average value of the vested restricted common stock for the years ended December 31, 2024 and 2023 were immaterial.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is a summary of stock-based compensation expense by function recognized (in thousands): </w:t>
      </w:r>
    </w:p>
    <w:p>
      <w:pPr>
        <w:pStyle w:val="TextBody"/>
        <w:bidi w:val="0"/>
        <w:spacing w:before="0" w:after="0"/>
        <w:jc w:val="left"/>
        <w:rPr>
          <w:spacing w:val="0"/>
        </w:rPr>
      </w:pPr>
      <w:r>
        <w:rPr>
          <w:spacing w:val="0"/>
        </w:rPr>
        <w:t> </w:t>
      </w:r>
    </w:p>
    <w:tbl>
      <w:tblPr>
        <w:tblW w:w="5602" w:type="dxa"/>
        <w:jc w:val="left"/>
        <w:tblInd w:w="0" w:type="dxa"/>
        <w:tblLayout w:type="fixed"/>
        <w:tblCellMar>
          <w:top w:w="0" w:type="dxa"/>
          <w:left w:w="0" w:type="dxa"/>
          <w:bottom w:w="0" w:type="dxa"/>
          <w:right w:w="0" w:type="dxa"/>
        </w:tblCellMar>
      </w:tblPr>
      <w:tblGrid>
        <w:gridCol w:w="2660"/>
        <w:gridCol w:w="120"/>
        <w:gridCol w:w="243"/>
        <w:gridCol w:w="976"/>
        <w:gridCol w:w="103"/>
        <w:gridCol w:w="206"/>
        <w:gridCol w:w="242"/>
        <w:gridCol w:w="977"/>
        <w:gridCol w:w="7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7"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2,309</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705</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1,182</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416</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w:t>
            </w:r>
          </w:p>
        </w:tc>
        <w:tc>
          <w:tcPr>
            <w:tcW w:w="12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3,491</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1,121</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Modification of Certain Stock Options </w:t>
      </w:r>
    </w:p>
    <w:p>
      <w:pPr>
        <w:pStyle w:val="TextBody"/>
        <w:bidi w:val="0"/>
        <w:spacing w:before="120" w:after="0"/>
        <w:jc w:val="left"/>
        <w:rPr>
          <w:rFonts w:ascii="Times New Roman" w:hAnsi="Times New Roman"/>
          <w:sz w:val="20"/>
        </w:rPr>
      </w:pPr>
      <w:r>
        <w:rPr>
          <w:rFonts w:ascii="Times New Roman" w:hAnsi="Times New Roman"/>
          <w:sz w:val="20"/>
        </w:rPr>
        <w:t xml:space="preserve">In July 2024, the Company entered into a separation agreement with the Company’s Chief Operating Officer (the “Former Executive”). As part of the termination of employment, the Former Executive will serve as an advisor to the Company through March 31, 2025 (“Consulting Period”) on an as needed basis. Pursuant to the separation agreement, certain modifications to the Former Executive’s vested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stock option awards were executed including continued vesting of options during the Consulting Period and the extension of the post-termination exercise period of certain stock option awards. The services performed during the Consulting Period do not qualify as substantive services under ASC 718,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Compensation—Stock Compensation</w:t>
      </w:r>
    </w:p>
    <w:p>
      <w:pPr>
        <w:pStyle w:val="TextBody"/>
        <w:bidi w:val="0"/>
        <w:spacing w:before="120" w:after="0"/>
        <w:jc w:val="left"/>
        <w:rPr>
          <w:rFonts w:ascii="Times New Roman" w:hAnsi="Times New Roman"/>
          <w:sz w:val="20"/>
        </w:rPr>
      </w:pPr>
      <w:r>
        <w:rPr>
          <w:rFonts w:ascii="Times New Roman" w:hAnsi="Times New Roman"/>
          <w:sz w:val="20"/>
        </w:rPr>
        <w:t xml:space="preserve">; therefore, the continued vesting of these awards represents a modification to the original award. During the year ended December 31, 2024, the Company recorded stock compensation expense of $0.4 million for the modification of the stock options of the Former Executive. This amount is included in general and administrative expenses on the consolidated statement of operations and comprehensive loss.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9.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the computation of basic and diluted net loss per share (in thousands, except share and per share data): </w:t>
      </w:r>
    </w:p>
    <w:p>
      <w:pPr>
        <w:pStyle w:val="TextBody"/>
        <w:bidi w:val="0"/>
        <w:spacing w:before="0" w:after="0"/>
        <w:jc w:val="left"/>
        <w:rPr>
          <w:spacing w:val="0"/>
        </w:rPr>
      </w:pPr>
      <w:r>
        <w:rPr>
          <w:spacing w:val="0"/>
        </w:rPr>
        <w:t> </w:t>
      </w:r>
    </w:p>
    <w:tbl>
      <w:tblPr>
        <w:tblW w:w="8321" w:type="dxa"/>
        <w:jc w:val="left"/>
        <w:tblInd w:w="0" w:type="dxa"/>
        <w:tblLayout w:type="fixed"/>
        <w:tblCellMar>
          <w:top w:w="0" w:type="dxa"/>
          <w:left w:w="0" w:type="dxa"/>
          <w:bottom w:w="0" w:type="dxa"/>
          <w:right w:w="0" w:type="dxa"/>
        </w:tblCellMar>
      </w:tblPr>
      <w:tblGrid>
        <w:gridCol w:w="5315"/>
        <w:gridCol w:w="120"/>
        <w:gridCol w:w="151"/>
        <w:gridCol w:w="1059"/>
        <w:gridCol w:w="167"/>
        <w:gridCol w:w="129"/>
        <w:gridCol w:w="151"/>
        <w:gridCol w:w="1059"/>
        <w:gridCol w:w="170"/>
      </w:tblGrid>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0"/>
              <w:jc w:val="center"/>
              <w:rPr>
                <w:b/>
                <w:spacing w:val="0"/>
              </w:rPr>
            </w:pPr>
            <w:r>
              <w:rPr>
                <w:b/>
                <w:spacing w:val="0"/>
              </w:rPr>
              <w:t>2024</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59" w:type="dxa"/>
            <w:tcBorders/>
            <w:vAlign w:val="center"/>
          </w:tcPr>
          <w:p>
            <w:pPr>
              <w:pStyle w:val="TableContents"/>
              <w:bidi w:val="0"/>
              <w:spacing w:before="0" w:after="283"/>
              <w:jc w:val="right"/>
              <w:rPr/>
            </w:pPr>
            <w:r>
              <w:rPr/>
              <w:t>(57,982</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59" w:type="dxa"/>
            <w:tcBorders/>
            <w:vAlign w:val="center"/>
          </w:tcPr>
          <w:p>
            <w:pPr>
              <w:pStyle w:val="TableContents"/>
              <w:bidi w:val="0"/>
              <w:spacing w:before="0" w:after="283"/>
              <w:jc w:val="right"/>
              <w:rPr/>
            </w:pPr>
            <w:r>
              <w:rPr/>
              <w:t>(42,823</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8,490,171</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1,268,512</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(6.83</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(33.76</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outstanding shares of potentially dilutive securities were excluded from the computation of diluted net loss per share for the periods presented because including them would have been antidilutive: </w:t>
      </w:r>
    </w:p>
    <w:p>
      <w:pPr>
        <w:pStyle w:val="TextBody"/>
        <w:bidi w:val="0"/>
        <w:spacing w:before="0" w:after="0"/>
        <w:jc w:val="left"/>
        <w:rPr>
          <w:spacing w:val="0"/>
        </w:rPr>
      </w:pPr>
      <w:r>
        <w:rPr>
          <w:spacing w:val="0"/>
        </w:rPr>
        <w:t> </w:t>
      </w:r>
    </w:p>
    <w:tbl>
      <w:tblPr>
        <w:tblW w:w="7793" w:type="dxa"/>
        <w:jc w:val="left"/>
        <w:tblInd w:w="0" w:type="dxa"/>
        <w:tblLayout w:type="fixed"/>
        <w:tblCellMar>
          <w:top w:w="0" w:type="dxa"/>
          <w:left w:w="0" w:type="dxa"/>
          <w:bottom w:w="0" w:type="dxa"/>
          <w:right w:w="0" w:type="dxa"/>
        </w:tblCellMar>
      </w:tblPr>
      <w:tblGrid>
        <w:gridCol w:w="4880"/>
        <w:gridCol w:w="120"/>
        <w:gridCol w:w="72"/>
        <w:gridCol w:w="1179"/>
        <w:gridCol w:w="72"/>
        <w:gridCol w:w="144"/>
        <w:gridCol w:w="72"/>
        <w:gridCol w:w="1179"/>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8"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0"/>
              <w:jc w:val="center"/>
              <w:rPr>
                <w:b/>
                <w:spacing w:val="0"/>
              </w:rPr>
            </w:pPr>
            <w:r>
              <w:rPr>
                <w:b/>
                <w:spacing w:val="0"/>
              </w:rPr>
              <w:t>2024</w:t>
            </w:r>
          </w:p>
        </w:tc>
        <w:tc>
          <w:tcPr>
            <w:tcW w:w="7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3,647,674</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to purchase common stock</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1,626,841</w:t>
            </w:r>
          </w:p>
        </w:tc>
        <w:tc>
          <w:tcPr>
            <w:tcW w:w="7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1,002,535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units and common stock</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25,612</w:t>
            </w:r>
          </w:p>
        </w:tc>
        <w:tc>
          <w:tcPr>
            <w:tcW w:w="7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18,968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SAFEs (as converted to common stock)</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1,519,331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1,652,453</w:t>
            </w:r>
          </w:p>
        </w:tc>
        <w:tc>
          <w:tcPr>
            <w:tcW w:w="7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6,188,508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LEASES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Legacy Tectonic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and are excluded from the measurement of the lease. The lease expires on January 31, 2026, and contains a </w:t>
      </w:r>
    </w:p>
    <w:p>
      <w:pPr>
        <w:pStyle w:val="TextBody"/>
        <w:bidi w:val="0"/>
        <w:spacing w:before="120" w:after="0"/>
        <w:jc w:val="left"/>
        <w:rPr>
          <w:rFonts w:ascii="Times New Roman" w:hAnsi="Times New Roman"/>
          <w:sz w:val="20"/>
        </w:rPr>
      </w:pPr>
      <w:r>
        <w:rPr>
          <w:rFonts w:ascii="Times New Roman" w:hAnsi="Times New Roman"/>
          <w:sz w:val="20"/>
        </w:rPr>
        <w:t>five</w:t>
      </w:r>
    </w:p>
    <w:p>
      <w:pPr>
        <w:pStyle w:val="TextBody"/>
        <w:bidi w:val="0"/>
        <w:spacing w:before="120" w:after="0"/>
        <w:jc w:val="left"/>
        <w:rPr>
          <w:rFonts w:ascii="Times New Roman" w:hAnsi="Times New Roman"/>
          <w:sz w:val="20"/>
        </w:rPr>
      </w:pPr>
      <w:r>
        <w:rPr>
          <w:rFonts w:ascii="Times New Roman" w:hAnsi="Times New Roman"/>
          <w:sz w:val="20"/>
        </w:rPr>
        <w:t xml:space="preserve">-year renewal option exercisable by the Company which is not included in the measurement of the lease.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Legacy Tectonic has also entered into various financing leases for laboratory equipment used in research and development activities.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components of lease expense and other information are as follows (dollars in thousands): </w:t>
      </w:r>
    </w:p>
    <w:p>
      <w:pPr>
        <w:pStyle w:val="TextBody"/>
        <w:bidi w:val="0"/>
        <w:spacing w:before="0" w:after="0"/>
        <w:jc w:val="left"/>
        <w:rPr>
          <w:spacing w:val="0"/>
        </w:rPr>
      </w:pPr>
      <w:r>
        <w:rPr>
          <w:spacing w:val="0"/>
        </w:rPr>
        <w:t> </w:t>
      </w:r>
    </w:p>
    <w:tbl>
      <w:tblPr>
        <w:tblW w:w="5707" w:type="dxa"/>
        <w:jc w:val="left"/>
        <w:tblInd w:w="0" w:type="dxa"/>
        <w:tblLayout w:type="fixed"/>
        <w:tblCellMar>
          <w:top w:w="0" w:type="dxa"/>
          <w:left w:w="0" w:type="dxa"/>
          <w:bottom w:w="0" w:type="dxa"/>
          <w:right w:w="0" w:type="dxa"/>
        </w:tblCellMar>
      </w:tblPr>
      <w:tblGrid>
        <w:gridCol w:w="2765"/>
        <w:gridCol w:w="120"/>
        <w:gridCol w:w="243"/>
        <w:gridCol w:w="976"/>
        <w:gridCol w:w="103"/>
        <w:gridCol w:w="206"/>
        <w:gridCol w:w="242"/>
        <w:gridCol w:w="977"/>
        <w:gridCol w:w="75"/>
      </w:tblGrid>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7"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448</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488</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of finance lease liabilities</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107</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151</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expense</w:t>
            </w:r>
          </w:p>
        </w:tc>
        <w:tc>
          <w:tcPr>
            <w:tcW w:w="12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555</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639</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expense</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1,608</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1,404</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lease expense</w:t>
            </w:r>
          </w:p>
        </w:tc>
        <w:tc>
          <w:tcPr>
            <w:tcW w:w="12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545</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749</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Variable lease expense</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911</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786</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expense</w:t>
            </w:r>
          </w:p>
        </w:tc>
        <w:tc>
          <w:tcPr>
            <w:tcW w:w="12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3,619</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3,578</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7241" w:type="dxa"/>
        <w:jc w:val="left"/>
        <w:tblInd w:w="0" w:type="dxa"/>
        <w:tblLayout w:type="fixed"/>
        <w:tblCellMar>
          <w:top w:w="0" w:type="dxa"/>
          <w:left w:w="0" w:type="dxa"/>
          <w:bottom w:w="0" w:type="dxa"/>
          <w:right w:w="0" w:type="dxa"/>
        </w:tblCellMar>
      </w:tblPr>
      <w:tblGrid>
        <w:gridCol w:w="4115"/>
        <w:gridCol w:w="120"/>
        <w:gridCol w:w="121"/>
        <w:gridCol w:w="895"/>
        <w:gridCol w:w="559"/>
        <w:gridCol w:w="121"/>
        <w:gridCol w:w="121"/>
        <w:gridCol w:w="899"/>
        <w:gridCol w:w="290"/>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6" w:type="dxa"/>
            <w:gridSpan w:val="2"/>
            <w:tcBorders/>
            <w:vAlign w:val="center"/>
          </w:tcPr>
          <w:p>
            <w:pPr>
              <w:pStyle w:val="TableContents"/>
              <w:bidi w:val="0"/>
              <w:spacing w:before="0" w:after="0"/>
              <w:jc w:val="center"/>
              <w:rPr>
                <w:b/>
                <w:spacing w:val="0"/>
              </w:rPr>
            </w:pPr>
            <w:r>
              <w:rPr>
                <w:b/>
                <w:spacing w:val="0"/>
              </w:rPr>
              <w:t>2024</w:t>
            </w:r>
          </w:p>
        </w:tc>
        <w:tc>
          <w:tcPr>
            <w:tcW w:w="55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0"/>
              <w:jc w:val="center"/>
              <w:rPr>
                <w:b/>
                <w:spacing w:val="0"/>
              </w:rPr>
            </w:pPr>
            <w:r>
              <w:rPr>
                <w:b/>
                <w:spacing w:val="0"/>
              </w:rPr>
              <w:t>2023</w:t>
            </w:r>
          </w:p>
        </w:tc>
        <w:tc>
          <w:tcPr>
            <w:tcW w:w="29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remaining lease terms (in years)</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895"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89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leases</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1.06</w:t>
            </w:r>
          </w:p>
        </w:tc>
        <w:tc>
          <w:tcPr>
            <w:tcW w:w="55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2.09</w:t>
            </w:r>
          </w:p>
        </w:tc>
        <w:tc>
          <w:tcPr>
            <w:tcW w:w="29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leases</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2.26</w:t>
            </w:r>
          </w:p>
        </w:tc>
        <w:tc>
          <w:tcPr>
            <w:tcW w:w="55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3.23</w:t>
            </w:r>
          </w:p>
        </w:tc>
        <w:tc>
          <w:tcPr>
            <w:tcW w:w="29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discount rate</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leases</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8.49</w:t>
            </w:r>
          </w:p>
        </w:tc>
        <w:tc>
          <w:tcPr>
            <w:tcW w:w="55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8.25</w:t>
            </w:r>
          </w:p>
        </w:tc>
        <w:tc>
          <w:tcPr>
            <w:tcW w:w="29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leases</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9.76</w:t>
            </w:r>
          </w:p>
        </w:tc>
        <w:tc>
          <w:tcPr>
            <w:tcW w:w="55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9.62</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Future commitments due under these lease agreements as of December 31, 2024 are as follows (in thousands): </w:t>
      </w:r>
    </w:p>
    <w:p>
      <w:pPr>
        <w:pStyle w:val="TextBody"/>
        <w:bidi w:val="0"/>
        <w:spacing w:before="0" w:after="0"/>
        <w:jc w:val="left"/>
        <w:rPr>
          <w:spacing w:val="0"/>
        </w:rPr>
      </w:pPr>
      <w:r>
        <w:rPr>
          <w:spacing w:val="0"/>
        </w:rPr>
        <w:t> </w:t>
      </w:r>
    </w:p>
    <w:tbl>
      <w:tblPr>
        <w:tblW w:w="5935" w:type="dxa"/>
        <w:jc w:val="left"/>
        <w:tblInd w:w="0" w:type="dxa"/>
        <w:tblLayout w:type="fixed"/>
        <w:tblCellMar>
          <w:top w:w="0" w:type="dxa"/>
          <w:left w:w="0" w:type="dxa"/>
          <w:bottom w:w="0" w:type="dxa"/>
          <w:right w:w="0" w:type="dxa"/>
        </w:tblCellMar>
      </w:tblPr>
      <w:tblGrid>
        <w:gridCol w:w="2510"/>
        <w:gridCol w:w="120"/>
        <w:gridCol w:w="211"/>
        <w:gridCol w:w="844"/>
        <w:gridCol w:w="155"/>
        <w:gridCol w:w="120"/>
        <w:gridCol w:w="223"/>
        <w:gridCol w:w="607"/>
        <w:gridCol w:w="155"/>
        <w:gridCol w:w="120"/>
        <w:gridCol w:w="140"/>
        <w:gridCol w:w="560"/>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December 31,</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Operating</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0"/>
              <w:jc w:val="center"/>
              <w:rPr>
                <w:b/>
                <w:spacing w:val="0"/>
              </w:rPr>
            </w:pPr>
            <w:r>
              <w:rPr>
                <w:b/>
                <w:spacing w:val="0"/>
              </w:rPr>
              <w:t>Finance</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2025</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2,396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552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2,948</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363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495</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undiscounted cash flows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2,528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959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3,487</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liabilities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2,427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607" w:type="dxa"/>
            <w:tcBorders/>
            <w:vAlign w:val="center"/>
          </w:tcPr>
          <w:p>
            <w:pPr>
              <w:pStyle w:val="TableContents"/>
              <w:bidi w:val="0"/>
              <w:spacing w:before="0" w:after="283"/>
              <w:jc w:val="right"/>
              <w:rPr/>
            </w:pPr>
            <w:r>
              <w:rPr/>
              <w:t>876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3,303</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current portion</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2,295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489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2,784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132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607" w:type="dxa"/>
            <w:tcBorders/>
            <w:vAlign w:val="center"/>
          </w:tcPr>
          <w:p>
            <w:pPr>
              <w:pStyle w:val="TableContents"/>
              <w:bidi w:val="0"/>
              <w:spacing w:before="0" w:after="283"/>
              <w:jc w:val="right"/>
              <w:rPr/>
            </w:pPr>
            <w:r>
              <w:rPr/>
              <w:t>387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519</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11. LICENSE AGREEMENTS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the Company paid Harvard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120" w:after="0"/>
        <w:jc w:val="left"/>
        <w:rPr>
          <w:rFonts w:ascii="Times New Roman" w:hAnsi="Times New Roman"/>
          <w:sz w:val="20"/>
        </w:rPr>
      </w:pPr>
      <w:r>
        <w:rPr>
          <w:rFonts w:ascii="Times New Roman" w:hAnsi="Times New Roman"/>
          <w:sz w:val="20"/>
        </w:rPr>
        <w:t xml:space="preserve">license fee of $170,000 and issued 227,486 shares of common stock with a fair market value of $0.4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from know-how enabled</w:t>
      </w:r>
    </w:p>
    <w:p>
      <w:pPr>
        <w:pStyle w:val="TextBody"/>
        <w:bidi w:val="0"/>
        <w:spacing w:before="240" w:after="0"/>
        <w:jc w:val="left"/>
        <w:rPr>
          <w:rFonts w:ascii="Times New Roman" w:hAnsi="Times New Roman"/>
          <w:sz w:val="20"/>
        </w:rPr>
      </w:pPr>
      <w:r>
        <w:rPr>
          <w:rFonts w:ascii="Times New Roman" w:hAnsi="Times New Roman"/>
          <w:sz w:val="20"/>
        </w:rPr>
        <w:t xml:space="preserve">product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licenses (“Know-How Enabled</w:t>
      </w:r>
    </w:p>
    <w:p>
      <w:pPr>
        <w:pStyle w:val="TextBody"/>
        <w:bidi w:val="0"/>
        <w:spacing w:before="240" w:after="0"/>
        <w:jc w:val="left"/>
        <w:rPr>
          <w:rFonts w:ascii="Times New Roman" w:hAnsi="Times New Roman"/>
          <w:sz w:val="20"/>
        </w:rPr>
      </w:pPr>
      <w:r>
        <w:rPr>
          <w:rFonts w:ascii="Times New Roman" w:hAnsi="Times New Roman"/>
          <w:sz w:val="20"/>
        </w:rPr>
        <w:t xml:space="preserve">Products”) and (3) a percentage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between 10-20% of</w:t>
      </w:r>
    </w:p>
    <w:p>
      <w:pPr>
        <w:pStyle w:val="TextBody"/>
        <w:bidi w:val="0"/>
        <w:spacing w:before="240" w:after="0"/>
        <w:jc w:val="left"/>
        <w:rPr>
          <w:rFonts w:ascii="Times New Roman" w:hAnsi="Times New Roman"/>
          <w:spacing w:val="0"/>
          <w:sz w:val="20"/>
        </w:rPr>
      </w:pPr>
      <w:r>
        <w:rPr>
          <w:rFonts w:ascii="Times New Roman" w:hAnsi="Times New Roman"/>
          <w:spacing w:val="0"/>
          <w:sz w:val="20"/>
        </w:rPr>
        <w:t>all non-royalty income</w:t>
      </w:r>
    </w:p>
    <w:p>
      <w:pPr>
        <w:pStyle w:val="TextBody"/>
        <w:bidi w:val="0"/>
        <w:spacing w:before="240" w:after="0"/>
        <w:jc w:val="left"/>
        <w:rPr>
          <w:rFonts w:ascii="Times New Roman" w:hAnsi="Times New Roman"/>
          <w:sz w:val="20"/>
        </w:rPr>
      </w:pPr>
      <w:r>
        <w:rPr>
          <w:rFonts w:ascii="Times New Roman" w:hAnsi="Times New Roman"/>
          <w:sz w:val="20"/>
        </w:rPr>
        <w:t xml:space="preserve">received by the Company under sublicenses, strategic partnerships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and know-how enabled</w:t>
      </w:r>
    </w:p>
    <w:p>
      <w:pPr>
        <w:pStyle w:val="TextBody"/>
        <w:bidi w:val="0"/>
        <w:spacing w:before="240" w:after="0"/>
        <w:jc w:val="left"/>
        <w:rPr>
          <w:rFonts w:ascii="Times New Roman" w:hAnsi="Times New Roman"/>
          <w:sz w:val="20"/>
        </w:rPr>
      </w:pPr>
      <w:r>
        <w:rPr>
          <w:rFonts w:ascii="Times New Roman" w:hAnsi="Times New Roman"/>
          <w:sz w:val="20"/>
        </w:rPr>
        <w:t xml:space="preserve">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 country-by-country and product-by-product basis</w:t>
      </w:r>
    </w:p>
    <w:p>
      <w:pPr>
        <w:pStyle w:val="TextBody"/>
        <w:bidi w:val="0"/>
        <w:spacing w:before="240" w:after="0"/>
        <w:jc w:val="left"/>
        <w:rPr>
          <w:rFonts w:ascii="Times New Roman" w:hAnsi="Times New Roman"/>
          <w:sz w:val="20"/>
        </w:rPr>
      </w:pPr>
      <w:r>
        <w:rPr>
          <w:rFonts w:ascii="Times New Roman" w:hAnsi="Times New Roman"/>
          <w:sz w:val="20"/>
        </w:rPr>
        <w:t xml:space="preserve">on the earlier of (i) the expiration of the patent rights covering the product, expected to be no earlier than May 2041, and (ii) the termination of the License Agreement. The royalty term from sales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of Know-How Enabled</w:t>
      </w:r>
    </w:p>
    <w:p>
      <w:pPr>
        <w:pStyle w:val="TextBody"/>
        <w:bidi w:val="0"/>
        <w:spacing w:before="240" w:after="0"/>
        <w:jc w:val="left"/>
        <w:rPr>
          <w:rFonts w:ascii="Times New Roman" w:hAnsi="Times New Roman"/>
          <w:sz w:val="20"/>
        </w:rPr>
      </w:pPr>
      <w:r>
        <w:rPr>
          <w:rFonts w:ascii="Times New Roman" w:hAnsi="Times New Roman"/>
          <w:sz w:val="20"/>
        </w:rPr>
        <w:t xml:space="preserve">Products will terminate on the earlier of (i) ten years after the first commercial sale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first Know-How Enabled</w:t>
      </w:r>
    </w:p>
    <w:p>
      <w:pPr>
        <w:pStyle w:val="TextBody"/>
        <w:bidi w:val="0"/>
        <w:spacing w:before="240" w:after="0"/>
        <w:jc w:val="left"/>
        <w:rPr>
          <w:rFonts w:ascii="Times New Roman" w:hAnsi="Times New Roman"/>
          <w:sz w:val="20"/>
        </w:rPr>
      </w:pPr>
      <w:r>
        <w:rPr>
          <w:rFonts w:ascii="Times New Roman" w:hAnsi="Times New Roman"/>
          <w:sz w:val="20"/>
        </w:rPr>
        <w:t xml:space="preserve">Product and (ii) twelve years after the first commercial sale of the first Licensed Product. The Company incurred expense of $0.4 million and $0.2 million related to the License Agreement during the years ended December 31, 2024 and 2023, respectively. No amounts were due to Harvard related to the License Agreement as of December 31, 2024 and 2023,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12. COMMITMENTS AND CONTINGENCIES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240" w:after="0"/>
        <w:jc w:val="left"/>
        <w:rPr>
          <w:rFonts w:ascii="Times New Roman" w:hAnsi="Times New Roman"/>
          <w:sz w:val="20"/>
        </w:rPr>
      </w:pPr>
      <w:r>
        <w:rPr>
          <w:rFonts w:ascii="Times New Roman" w:hAnsi="Times New Roman"/>
          <w:sz w:val="20"/>
        </w:rPr>
        <w:t>The Company is also party to commitments, which are described elsewhere in these consolidated financial statements: Lease commitments, as described in Note 10,</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 xml:space="preserve">Leases, </w:t>
      </w:r>
    </w:p>
    <w:p>
      <w:pPr>
        <w:pStyle w:val="TextBody"/>
        <w:bidi w:val="0"/>
        <w:spacing w:before="240" w:after="0"/>
        <w:jc w:val="left"/>
        <w:rPr>
          <w:rFonts w:ascii="Times New Roman" w:hAnsi="Times New Roman"/>
          <w:sz w:val="20"/>
        </w:rPr>
      </w:pPr>
      <w:r>
        <w:rPr>
          <w:rFonts w:ascii="Times New Roman" w:hAnsi="Times New Roman"/>
          <w:sz w:val="20"/>
        </w:rPr>
        <w:t>and royalty and maintenance based commitments, as described in Note 11,</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License Agreements.</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of certain AVROBIO intellectual property (including a license of AVROBIO’s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assets as defined in the CVR Agreement) after the closing and prior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18-month</w:t>
      </w:r>
    </w:p>
    <w:p>
      <w:pPr>
        <w:pStyle w:val="TextBody"/>
        <w:bidi w:val="0"/>
        <w:spacing w:before="120" w:after="0"/>
        <w:jc w:val="left"/>
        <w:rPr>
          <w:rFonts w:ascii="Times New Roman" w:hAnsi="Times New Roman"/>
          <w:sz w:val="20"/>
        </w:rPr>
      </w:pPr>
      <w:r>
        <w:rPr>
          <w:rFonts w:ascii="Times New Roman" w:hAnsi="Times New Roman"/>
          <w:sz w:val="20"/>
        </w:rPr>
        <w:t xml:space="preserve">anniversary of the closing, received within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10-year</w:t>
      </w:r>
    </w:p>
    <w:p>
      <w:pPr>
        <w:pStyle w:val="TextBody"/>
        <w:bidi w:val="0"/>
        <w:spacing w:before="120" w:after="0"/>
        <w:jc w:val="left"/>
        <w:rPr>
          <w:rFonts w:ascii="Times New Roman" w:hAnsi="Times New Roman"/>
          <w:sz w:val="20"/>
        </w:rPr>
      </w:pPr>
      <w:r>
        <w:rPr>
          <w:rFonts w:ascii="Times New Roman" w:hAnsi="Times New Roman"/>
          <w:sz w:val="20"/>
        </w:rPr>
        <w:t xml:space="preserve">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December 31, 2024, no receivables or liabilities were recorded on the Consolidated Balance Sheet relating to such contingent payments.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normal course of operations, the Company may become involved in various legal proceedings. As of December 31, 2024 and 2023,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13.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did</w:t>
      </w:r>
    </w:p>
    <w:p>
      <w:pPr>
        <w:pStyle w:val="TextBody"/>
        <w:bidi w:val="0"/>
        <w:spacing w:before="120" w:after="0"/>
        <w:jc w:val="left"/>
        <w:rPr>
          <w:spacing w:val="0"/>
        </w:rPr>
      </w:pPr>
      <w:r>
        <w:rPr>
          <w:spacing w:val="0"/>
        </w:rPr>
        <w:t> </w:t>
      </w:r>
      <w:r>
        <w:rPr>
          <w:rFonts w:ascii="Times New Roman" w:hAnsi="Times New Roman"/>
          <w:spacing w:val="0"/>
          <w:sz w:val="20"/>
        </w:rPr>
        <w:t>no</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 record a federal or state income tax provision or benefit for the years ended December 31, 2024 and 2023, as it has been incurring net losses since inception. In addition, the net deferred tax assets generated from net operating losses are fully offset by a valuation allowance as the Company believes it is not more likely than not that the benefit will be realized.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Income tax expense consists of the following (in thousands): </w:t>
      </w:r>
    </w:p>
    <w:p>
      <w:pPr>
        <w:pStyle w:val="TextBody"/>
        <w:bidi w:val="0"/>
        <w:spacing w:before="0" w:after="0"/>
        <w:jc w:val="left"/>
        <w:rPr>
          <w:spacing w:val="0"/>
        </w:rPr>
      </w:pPr>
      <w:r>
        <w:rPr>
          <w:spacing w:val="0"/>
        </w:rPr>
        <w:t> </w:t>
      </w:r>
    </w:p>
    <w:tbl>
      <w:tblPr>
        <w:tblW w:w="5285" w:type="dxa"/>
        <w:jc w:val="left"/>
        <w:tblInd w:w="0" w:type="dxa"/>
        <w:tblLayout w:type="fixed"/>
        <w:tblCellMar>
          <w:top w:w="0" w:type="dxa"/>
          <w:left w:w="0" w:type="dxa"/>
          <w:bottom w:w="0" w:type="dxa"/>
          <w:right w:w="0" w:type="dxa"/>
        </w:tblCellMar>
      </w:tblPr>
      <w:tblGrid>
        <w:gridCol w:w="2930"/>
        <w:gridCol w:w="120"/>
        <w:gridCol w:w="140"/>
        <w:gridCol w:w="755"/>
        <w:gridCol w:w="155"/>
        <w:gridCol w:w="120"/>
        <w:gridCol w:w="140"/>
        <w:gridCol w:w="755"/>
        <w:gridCol w:w="17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13,004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11,207</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3,361</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14,568</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change in 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(16,926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(14,568</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had an effective tax rate of 0% for the years ended December 31, 2024 and 2023. The provision for income taxes differs from the amount expected by applying the federal statutory rate to the loss before taxes as follows: </w:t>
      </w:r>
    </w:p>
    <w:p>
      <w:pPr>
        <w:pStyle w:val="TextBody"/>
        <w:bidi w:val="0"/>
        <w:spacing w:before="0" w:after="0"/>
        <w:jc w:val="left"/>
        <w:rPr>
          <w:spacing w:val="0"/>
        </w:rPr>
      </w:pPr>
      <w:r>
        <w:rPr>
          <w:spacing w:val="0"/>
        </w:rPr>
        <w:t> </w:t>
      </w:r>
    </w:p>
    <w:tbl>
      <w:tblPr>
        <w:tblW w:w="5740" w:type="dxa"/>
        <w:jc w:val="left"/>
        <w:tblInd w:w="0" w:type="dxa"/>
        <w:tblLayout w:type="fixed"/>
        <w:tblCellMar>
          <w:top w:w="0" w:type="dxa"/>
          <w:left w:w="0" w:type="dxa"/>
          <w:bottom w:w="0" w:type="dxa"/>
          <w:right w:w="0" w:type="dxa"/>
        </w:tblCellMar>
      </w:tblPr>
      <w:tblGrid>
        <w:gridCol w:w="3695"/>
        <w:gridCol w:w="120"/>
        <w:gridCol w:w="60"/>
        <w:gridCol w:w="515"/>
        <w:gridCol w:w="350"/>
        <w:gridCol w:w="60"/>
        <w:gridCol w:w="60"/>
        <w:gridCol w:w="515"/>
        <w:gridCol w:w="365"/>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0" w:type="dxa"/>
            <w:gridSpan w:val="6"/>
            <w:tcBorders/>
            <w:vAlign w:val="center"/>
          </w:tcPr>
          <w:p>
            <w:pPr>
              <w:pStyle w:val="TableContents"/>
              <w:bidi w:val="0"/>
              <w:spacing w:before="0" w:after="0"/>
              <w:jc w:val="center"/>
              <w:rPr>
                <w:b/>
                <w:spacing w:val="0"/>
              </w:rPr>
            </w:pPr>
            <w:r>
              <w:rPr>
                <w:b/>
                <w:spacing w:val="0"/>
              </w:rPr>
              <w:t>Year Ended</w:t>
              <w:br/>
              <w:t>December 31,</w:t>
            </w:r>
          </w:p>
        </w:tc>
        <w:tc>
          <w:tcPr>
            <w:tcW w:w="36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b/>
                <w:spacing w:val="0"/>
              </w:rPr>
            </w:pPr>
            <w:r>
              <w:rPr>
                <w:b/>
                <w:spacing w:val="0"/>
              </w:rPr>
              <w:t>2024</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b/>
                <w:spacing w:val="0"/>
              </w:rPr>
            </w:pPr>
            <w:r>
              <w:rPr>
                <w:b/>
                <w:spacing w:val="0"/>
              </w:rPr>
              <w:t>2023</w:t>
            </w:r>
          </w:p>
        </w:tc>
        <w:tc>
          <w:tcPr>
            <w:tcW w:w="36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 statutory income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income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5.5</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7.8</w:t>
            </w:r>
          </w:p>
        </w:tc>
        <w:tc>
          <w:tcPr>
            <w:tcW w:w="36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rate differential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36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Permanent differences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0.4</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1.1</w:t>
            </w:r>
          </w:p>
        </w:tc>
        <w:tc>
          <w:tcPr>
            <w:tcW w:w="36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1.3</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(0.4</w:t>
            </w:r>
          </w:p>
        </w:tc>
        <w:tc>
          <w:tcPr>
            <w:tcW w:w="36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liability fair value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(1.3</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2.2</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4.4</w:t>
            </w:r>
          </w:p>
        </w:tc>
        <w:tc>
          <w:tcPr>
            <w:tcW w:w="36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(29.2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(34.0</w:t>
            </w:r>
          </w:p>
        </w:tc>
        <w:tc>
          <w:tcPr>
            <w:tcW w:w="36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6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Effective income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components of the Company’s net deferred tax assets and liabilities as of December 31, 2024 and 2023, were as follows (in thousands): </w:t>
      </w:r>
    </w:p>
    <w:p>
      <w:pPr>
        <w:pStyle w:val="TextBody"/>
        <w:bidi w:val="0"/>
        <w:spacing w:before="0" w:after="0"/>
        <w:jc w:val="left"/>
        <w:rPr>
          <w:spacing w:val="0"/>
        </w:rPr>
      </w:pPr>
      <w:r>
        <w:rPr>
          <w:spacing w:val="0"/>
        </w:rPr>
        <w:t> </w:t>
      </w:r>
    </w:p>
    <w:tbl>
      <w:tblPr>
        <w:tblW w:w="6395" w:type="dxa"/>
        <w:jc w:val="left"/>
        <w:tblInd w:w="0" w:type="dxa"/>
        <w:tblLayout w:type="fixed"/>
        <w:tblCellMar>
          <w:top w:w="0" w:type="dxa"/>
          <w:left w:w="0" w:type="dxa"/>
          <w:bottom w:w="0" w:type="dxa"/>
          <w:right w:w="0" w:type="dxa"/>
        </w:tblCellMar>
      </w:tblPr>
      <w:tblGrid>
        <w:gridCol w:w="3920"/>
        <w:gridCol w:w="120"/>
        <w:gridCol w:w="140"/>
        <w:gridCol w:w="875"/>
        <w:gridCol w:w="155"/>
        <w:gridCol w:w="120"/>
        <w:gridCol w:w="140"/>
        <w:gridCol w:w="755"/>
        <w:gridCol w:w="170"/>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 carryforward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109,392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11,392</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13,946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4,336</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817</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40,742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14,595</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Accruals &amp; 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1,027</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171,270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32,167</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(170,177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(30,228</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1,939</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(1,210</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 of use 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(729</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(1,939</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Deferred Tax Assets and Valuation Allowance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Future realization of the tax benefits of existing temporary differences and net operating loss carryforwards ultimately depends on the existence of sufficient taxable income within the carryforward period. As of December 31, 2024 and 2023,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2024 and 2023. The Company’s valuation allowance increased during the year by $140.0 million for the year ended December 31, 2024 due primarily to the generation of net operating losses.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NOL Carryforwards </w:t>
      </w:r>
    </w:p>
    <w:p>
      <w:pPr>
        <w:pStyle w:val="TextBody"/>
        <w:bidi w:val="0"/>
        <w:spacing w:before="120" w:after="0"/>
        <w:jc w:val="left"/>
        <w:rPr>
          <w:rFonts w:ascii="Times New Roman" w:hAnsi="Times New Roman"/>
          <w:sz w:val="20"/>
        </w:rPr>
      </w:pPr>
      <w:r>
        <w:rPr>
          <w:rFonts w:ascii="Times New Roman" w:hAnsi="Times New Roman"/>
          <w:sz w:val="20"/>
        </w:rPr>
        <w:t xml:space="preserve">Net operating loss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AVROBIO’s value immediately prior to the ownership change multiplied by the long-term tax exempt rate which is published monthly. Subsequent ownership changes may further affect the limitation in future years. The Company has not yet conducted a Section 382 study to assess whether the Reverse Merger resulted in an ownership change under Section 382 that could limit the ability to use the net operating loss carryforwards of AVROBIO and Tectonic. Nor has the Company completed a Section 382 study to assess whether an ownership change or changes has/have occurred related to Tectonic Therapeutic’s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activity. However, the Reverse Merger is expected to result in an ownership change for AVROBIO. Therefore, the Company does not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expect to be able to utilize a material portion, if any, of the historic net operating losses and tax credit carryforwards from AVROBIO. The impact of this would not materially impact the financial statements, given the full valuation allowance.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the Company has net operating loss carryforwards for federal and state tax reporting purposes of $399.3 million and $71.9 million, respectively. Net operating loss carryforwards generated after December 31, 2017 for federal tax reporting purposes of $399.3 million have an indefinite life. Net operating loss carryforwards for state purposes of $71.9 million, which begin to expire in 2040. As of December 31, 2024, the Company also has federal and state research and development tax credits of $10.5 million and $4.4 million, which being to expire in 2040 and 2035,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Tax Cuts and Jobs Act (TCJA) resulted in significant changes to the treatment of research and development expenditures under Section 174. For tax years beginning after December 31, 2021, taxpayers are required to capitalize and amortize all research and development expenditures that are paid or incurred in connection with their trade or business. Specifically, costs for U.S.-based R&amp;D activities must be amortized over five years and costs for foreign research and development activities must be amortized over 15 years—both using a midyear convention. During the year ended December 31, 2024, the Company capitalized $40.3 million of research and development expenses.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Uncertain Tax Position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evaluates its uncertain tax positions under ASC 740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2020 for both federal and state. However, to the extent the Company utilizes net operating losses from years prior to 2020, the statute remains open to the extent of the net operating losses or other credits are utilized.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14. RELATED PARTY TRANSACTIONS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Scientific Advisory Board Member </w:t>
      </w:r>
    </w:p>
    <w:p>
      <w:pPr>
        <w:pStyle w:val="TextBody"/>
        <w:bidi w:val="0"/>
        <w:spacing w:before="120" w:after="0"/>
        <w:jc w:val="left"/>
        <w:rPr>
          <w:rFonts w:ascii="Times New Roman" w:hAnsi="Times New Roman"/>
          <w:sz w:val="20"/>
        </w:rPr>
      </w:pPr>
      <w:r>
        <w:rPr>
          <w:rFonts w:ascii="Times New Roman" w:hAnsi="Times New Roman"/>
          <w:sz w:val="20"/>
        </w:rPr>
        <w:t xml:space="preserve">One of the Company’s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co-founders</w:t>
      </w:r>
    </w:p>
    <w:p>
      <w:pPr>
        <w:pStyle w:val="TextBody"/>
        <w:bidi w:val="0"/>
        <w:spacing w:before="120" w:after="0"/>
        <w:jc w:val="left"/>
        <w:rPr>
          <w:rFonts w:ascii="Times New Roman" w:hAnsi="Times New Roman"/>
          <w:sz w:val="20"/>
        </w:rPr>
      </w:pPr>
      <w:r>
        <w:rPr>
          <w:rFonts w:ascii="Times New Roman" w:hAnsi="Times New Roman"/>
          <w:sz w:val="20"/>
        </w:rPr>
        <w:t xml:space="preserve">and former director is a member of the Company’s Scientific Advisory Board (“SAB”) and meets the criteria of a related party. For each of the years ended December 31, 2024 and 2023, the Company incurred expense of $0.1 million for advisory services provided. There were no amounts due to this related party as of December 31, 2024 or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Harvard meets the criteria of a related party resulting from the Company’s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co-founders’</w:t>
      </w:r>
    </w:p>
    <w:p>
      <w:pPr>
        <w:pStyle w:val="TextBody"/>
        <w:bidi w:val="0"/>
        <w:spacing w:before="120" w:after="0"/>
        <w:jc w:val="left"/>
        <w:rPr>
          <w:rFonts w:ascii="Times New Roman" w:hAnsi="Times New Roman"/>
          <w:sz w:val="20"/>
        </w:rPr>
      </w:pPr>
      <w:r>
        <w:rPr>
          <w:rFonts w:ascii="Times New Roman" w:hAnsi="Times New Roman"/>
          <w:sz w:val="20"/>
        </w:rPr>
        <w:t xml:space="preserve">employment as professors in the Harvard Department of Molecular Pharmacology. Core intellectual property utilized by the Company is licensed from Harvard under the License Agreement described in Note 11,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License Agreements</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incurred expense of $0.4 million and $0.2 million related to the License Agreement during the years ended December 31, 2024 and 2023, respectively. No amounts were due to Harvard related to the License Agreement as of December 31, 2024 and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Adimab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One member of the Company’s Board of Directors also services on the board of Adimab, LLC (“Adimab”), an antibody discovery company. In May 2023, Legacy Tectonic entered into a discovery agreement with Adimab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whereby Legacy Tectonic and Adimab collaborated on human antibody discovery in accordance with an agreed upon research program. The Company incurred expense of $0.2 million during each of the years ended December 31, 2024 and 2023. The Company terminated the agreement with Adimab in July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SAFE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October through December 2023, Legacy Tectonic entered into multiple SAFE agreements with certain existing investors and received proceeds of $34.1 million. All investors were considered related parties of the Company. The SAFE agreements had no maturity date, bore no interest, and were redeemable by Legacy Tectonic upon the occurrence of a triggering event, including the Merger which qualified as a public listing transaction under the SAFE agreements. The SAFEs were redeemed for shares of Legacy Tectonic common stock in connection with the closing of the Merger.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15. EMPLOYEE BENEFIT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a 401(k) retirement plan (the “Plan”) that covers eligible U.S. employees. Eligible employees may elect to contribute up to the maximum limits, as set by the Internal Revenue Service, of their eligible compensation. The Company’s funding policy is to contribute 3% (“Nonelective Contribution”) of employees’ eligible pay to the Plan. As defined by the Plan, highly compensated employees are not eligible to receive the Nonelective Contribution. The Company contributed $0.2 million to the Plan in each of the years ended December 31, 2024 and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16. SEGMENT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operate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determination of a single segment is consistent with the consolidated financial information regularly reviewed by the Chief Executive Officer as chief operating decision maker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segment asset information is provided below as the CODM is focused on how expenses impact ending cash by period and overall cash runway. Any review of segment assets, which would focus on cash and cash equivalents, would be at the same level as the consolidated balance sheet.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presents the segment net loss and significant segment expenses for the years ended December 31, 2024, and 2023 (in thousands): </w:t>
      </w:r>
    </w:p>
    <w:p>
      <w:pPr>
        <w:pStyle w:val="TextBody"/>
        <w:bidi w:val="0"/>
        <w:spacing w:before="0" w:after="0"/>
        <w:ind w:left="0" w:right="0" w:hanging="0"/>
        <w:jc w:val="left"/>
        <w:rPr>
          <w:spacing w:val="0"/>
        </w:rPr>
      </w:pPr>
      <w:r>
        <w:rPr>
          <w:spacing w:val="0"/>
        </w:rPr>
        <w:t> </w:t>
      </w:r>
    </w:p>
    <w:tbl>
      <w:tblPr>
        <w:tblW w:w="6835" w:type="dxa"/>
        <w:jc w:val="left"/>
        <w:tblInd w:w="0" w:type="dxa"/>
        <w:tblLayout w:type="fixed"/>
        <w:tblCellMar>
          <w:top w:w="0" w:type="dxa"/>
          <w:left w:w="0" w:type="dxa"/>
          <w:bottom w:w="0" w:type="dxa"/>
          <w:right w:w="0" w:type="dxa"/>
        </w:tblCellMar>
      </w:tblPr>
      <w:tblGrid>
        <w:gridCol w:w="4820"/>
        <w:gridCol w:w="120"/>
        <w:gridCol w:w="140"/>
        <w:gridCol w:w="680"/>
        <w:gridCol w:w="60"/>
        <w:gridCol w:w="120"/>
        <w:gridCol w:w="140"/>
        <w:gridCol w:w="680"/>
        <w:gridCol w:w="75"/>
      </w:tblGrid>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6"/>
            <w:tcBorders/>
            <w:vAlign w:val="center"/>
          </w:tcPr>
          <w:p>
            <w:pPr>
              <w:pStyle w:val="TableContents"/>
              <w:bidi w:val="0"/>
              <w:spacing w:before="0" w:after="0"/>
              <w:jc w:val="center"/>
              <w:rPr>
                <w:b/>
                <w:spacing w:val="0"/>
              </w:rPr>
            </w:pPr>
            <w:r>
              <w:rPr>
                <w:b/>
                <w:spacing w:val="0"/>
              </w:rPr>
              <w:t>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Employee-related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employee-related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11,135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10,351</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employee-related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3,240</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External 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Research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pre-clinical</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8,477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8,321</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Clinical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7,202</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Chemistry, manufacturing, and control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8,947</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 employee-related general and administrative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8,733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3,988</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segment items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774</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57,982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42,823</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0"/>
              <w:jc w:val="left"/>
              <w:rPr>
                <w:sz w:val="12"/>
              </w:rPr>
            </w:pPr>
            <w:r>
              <w:rPr>
                <w:sz w:val="12"/>
              </w:rPr>
              <w:t>1</w:t>
            </w:r>
          </w:p>
          <w:p>
            <w:pPr>
              <w:pStyle w:val="TableContents"/>
              <w:bidi w:val="0"/>
              <w:spacing w:before="0" w:after="0"/>
              <w:jc w:val="left"/>
              <w:rPr/>
            </w:pPr>
            <w:r>
              <w:rPr/>
              <w:t> </w:t>
            </w:r>
          </w:p>
        </w:tc>
        <w:tc>
          <w:tcPr>
            <w:tcW w:w="101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segment expenses include stock-based compensation, depreciation and amortization, changes in the fair value of the SAFE liabilities, loss on the issuance of SAFEs, interest income, and interest expense.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17.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 February 2025, the Company entered into a securities purchase agreement pursuant to which the Company issued an aggregate of 3,689,465 shares of common stock, at a price of $50.00 per share to fund investors and $54.14 per share to individual investors that are either an officer or director of the Company, in exchange for aggregate consideration of approximately $185.0 million.</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F-31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74140" cy="3625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4140" cy="362585"/>
                    </a:xfrm>
                    <a:prstGeom prst="rect">
                      <a:avLst/>
                    </a:prstGeom>
                  </pic:spPr>
                </pic:pic>
              </a:graphicData>
            </a:graphic>
          </wp:inline>
        </w:drawing>
      </w:r>
      <w:r>
        <w:rPr/>
        <w:t xml:space="preserve"> </w:t>
      </w:r>
    </w:p>
    <w:p>
      <w:pPr>
        <w:pStyle w:val="TextBody"/>
        <w:bidi w:val="0"/>
        <w:spacing w:before="1200" w:after="0"/>
        <w:jc w:val="center"/>
        <w:rPr>
          <w:rFonts w:ascii="Times New Roman" w:hAnsi="Times New Roman"/>
          <w:b/>
          <w:sz w:val="28"/>
        </w:rPr>
      </w:pPr>
      <w:r>
        <w:rPr>
          <w:rFonts w:ascii="Times New Roman" w:hAnsi="Times New Roman"/>
          <w:b/>
          <w:sz w:val="28"/>
        </w:rPr>
        <w:t xml:space="preserve">Up to 3,689,465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of the expenses (all of which are to be paid by the registrant) that we may incur in connection with the securities being registered hereby. </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2480"/>
        <w:gridCol w:w="120"/>
        <w:gridCol w:w="140"/>
        <w:gridCol w:w="1100"/>
        <w:gridCol w:w="75"/>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12,037.11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150,000</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50,000</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262,037.11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that covers certain liabilities of our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effective time of the Merger through the sixth anniversary of the date of the effective time, we agreed to indemnify and hold harmless each person who was, as of January 30, 2024, the signing date of the Merger Agreement, or had been at any time prior, or who becomes prior to the effective time of the Merger, a director or officer of our company or Legacy Tectonic, against all claims, losses, liabilities, damages, judgments, fines and reasonable fees, costs and expenses, including attorneys’ fees and disbursements, pertaining to claims arising out of the fact that such person was a director or officer of our company or Legacy Tectonic, at or prior to the effective time of the merger,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we agreed not to amend, modify or repeal provisions in the Fourth Amended and Restated Certificate of Incorporation and the Amended and Restated Bylaws that were in effect as of January 30, 2024,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sold the securities described below within the past three years which were not registered under the Securities Act. All of the sales listed below were made pursuant to an exemption from registration afforded by Section 4(a)(2) of the Securities Act (and Regulation D thereunder) or Rule 701 promulgated under Section 3(b) of the Securities Act. </w:t>
      </w:r>
    </w:p>
    <w:p>
      <w:pPr>
        <w:pStyle w:val="TextBody"/>
        <w:bidi w:val="0"/>
        <w:spacing w:before="360" w:after="0"/>
        <w:jc w:val="left"/>
        <w:rPr>
          <w:rFonts w:ascii="Times New Roman" w:hAnsi="Times New Roman"/>
          <w:i/>
          <w:sz w:val="20"/>
        </w:rPr>
      </w:pPr>
      <w:r>
        <w:rPr>
          <w:rFonts w:ascii="Times New Roman" w:hAnsi="Times New Roman"/>
          <w:i/>
          <w:sz w:val="20"/>
        </w:rPr>
        <w:t xml:space="preserve">Shares of Legacy Tectonic stock have not been adjusted to reflect the exchange for our common stock in the Merger and reflect actual shares issued by Legacy Tectonic. </w:t>
      </w:r>
    </w:p>
    <w:p>
      <w:pPr>
        <w:pStyle w:val="TextBody"/>
        <w:bidi w:val="0"/>
        <w:spacing w:before="120" w:after="0"/>
        <w:jc w:val="left"/>
        <w:rPr>
          <w:rFonts w:ascii="Times New Roman" w:hAnsi="Times New Roman"/>
          <w:sz w:val="20"/>
        </w:rPr>
      </w:pPr>
      <w:r>
        <w:rPr>
          <w:rFonts w:ascii="Times New Roman" w:hAnsi="Times New Roman"/>
          <w:sz w:val="20"/>
        </w:rPr>
        <w:t xml:space="preserve">In March 2021, Legacy Tectonic (i) issued and sold to certain investors 2,883,654 shares of its Series A-1 Preferred Stock and Series A-2 Preferred Stock at a purchase price of $13.1876 per share for an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price of $38,028,475.61, (ii) issued 696,516 shares of its Series A-3 Preferred Stock upon the conversion of certain outstanding convertible notes at a conversion price of $10.55008 per share and (iii) issued 361,659 shares of its Series A-4 Preferred Stock upon the conversion of certain outstanding convertible notes at a conversion price of $11.20946 per share. </w:t>
      </w:r>
    </w:p>
    <w:p>
      <w:pPr>
        <w:pStyle w:val="TextBody"/>
        <w:bidi w:val="0"/>
        <w:spacing w:before="240" w:after="0"/>
        <w:jc w:val="left"/>
        <w:rPr>
          <w:rFonts w:ascii="Times New Roman" w:hAnsi="Times New Roman"/>
          <w:sz w:val="20"/>
        </w:rPr>
      </w:pPr>
      <w:r>
        <w:rPr>
          <w:rFonts w:ascii="Times New Roman" w:hAnsi="Times New Roman"/>
          <w:sz w:val="20"/>
        </w:rPr>
        <w:t xml:space="preserve">In June 2022, the Legacy Tectonic Board determined that Legacy Tectonic had achieved the milestone events pursuant to the terms of its Series A Preferred Stock Purchase Agreement and issued and sold to certain investors (i) an aggregate additional 2,466,372 shares of Legacy Tectonic’s Series A-1 Preferred Stock, and (ii) an additional 437,282 shares of Legacy Tectonic’s Series A-2 Preferred Stock in a subsequent closing, at a purchase price of $13.1876 per share for an aggregate purchase price of $38,028,475.61.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Legacy Tectonic entered into a Subscription Agreement on January 30, 2024 with certain investors to consummate the Pre-Closing Financing. Pursuant to the Subscription Agreement, the investors agreed to purchase an aggregate of 7,790,889 shares of Legacy Tectonic common stock, at a price of $12.39908 per share, for aggregate gross proceeds of approximately $96.6 million. In addition, in connection with the closing of the Merger, Legacy Tectonic’s outstanding SAFEs converted into 2,752,216 shares of Legacy Tectonic common stock at a conversion price of $12.39908 per share. The aggregate purchase price between the Pre-Closing Financing and the SAFEs was approximately $130.7 million.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2025, we entered into a Securities Purchase Agreement with certain accredited investors, pursuant to which we agreed to issue and sell 3,689,465 shares of our common stock, $0.0001 par value per share, at a price of $50.00 per share to certain institutional accredited investors and $54.14 per share to individual accredited investors that are either an officer or director of the Company. Our total gross proceeds from the sale of the shares in the Private Placement were approximately $185.0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5531"/>
        <w:gridCol w:w="120"/>
        <w:gridCol w:w="448"/>
        <w:gridCol w:w="120"/>
        <w:gridCol w:w="733"/>
        <w:gridCol w:w="120"/>
        <w:gridCol w:w="545"/>
        <w:gridCol w:w="120"/>
        <w:gridCol w:w="625"/>
        <w:gridCol w:w="120"/>
        <w:gridCol w:w="713"/>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44" w:type="dxa"/>
            <w:gridSpan w:val="9"/>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Incorporation by Reference</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55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4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20" w:type="dxa"/>
            <w:tcBorders/>
            <w:vAlign w:val="center"/>
          </w:tcPr>
          <w:p>
            <w:pPr>
              <w:pStyle w:val="TableContents"/>
              <w:bidi w:val="0"/>
              <w:spacing w:before="0" w:after="283"/>
              <w:jc w:val="left"/>
              <w:rPr/>
            </w:pPr>
            <w:r>
              <w:rPr/>
              <w:t>  </w:t>
            </w:r>
          </w:p>
        </w:tc>
        <w:tc>
          <w:tcPr>
            <w:tcW w:w="73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120"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6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c>
          <w:tcPr>
            <w:tcW w:w="120" w:type="dxa"/>
            <w:tcBorders/>
            <w:vAlign w:val="center"/>
          </w:tcPr>
          <w:p>
            <w:pPr>
              <w:pStyle w:val="TableContents"/>
              <w:bidi w:val="0"/>
              <w:spacing w:before="0" w:after="283"/>
              <w:jc w:val="left"/>
              <w:rPr/>
            </w:pPr>
            <w:r>
              <w:rPr/>
              <w:t>  </w:t>
            </w:r>
          </w:p>
        </w:tc>
        <w:tc>
          <w:tcPr>
            <w:tcW w:w="71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Filed</w:t>
            </w:r>
          </w:p>
          <w:p>
            <w:pPr>
              <w:pStyle w:val="TableContents"/>
              <w:bidi w:val="0"/>
              <w:spacing w:before="0" w:after="20"/>
              <w:jc w:val="center"/>
              <w:rPr>
                <w:rFonts w:ascii="Times New Roman" w:hAnsi="Times New Roman"/>
                <w:b/>
                <w:sz w:val="16"/>
              </w:rPr>
            </w:pPr>
            <w:r>
              <w:rPr>
                <w:rFonts w:ascii="Times New Roman" w:hAnsi="Times New Roman"/>
                <w:b/>
                <w:sz w:val="16"/>
              </w:rPr>
              <w:t>Herewith</w:t>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hyperlink r:id="rId8">
              <w:r>
                <w:rPr>
                  <w:rStyle w:val="InternetLink"/>
                </w:rPr>
                <w:t>Agreement and Plan of Merger and Reorganization, dated as of January 30, 2024, by and among AVROBIO, Inc., Alpine Merger Subsidiary, Inc. and Tectonic Therapeutic, Inc.</w:t>
              </w:r>
            </w:hyperlink>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2.1</w:t>
            </w:r>
          </w:p>
        </w:tc>
        <w:tc>
          <w:tcPr>
            <w:tcW w:w="12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1/30/2024</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74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hyperlink r:id="rId9">
              <w:r>
                <w:rPr>
                  <w:rStyle w:val="InternetLink"/>
                </w:rPr>
                <w:t>Fourth Amended and Restated Certificate of Incorporation of the Company, as amended through June 20, 2024.</w:t>
              </w:r>
            </w:hyperlink>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center"/>
              <w:rPr/>
            </w:pPr>
            <w:r>
              <w:rPr/>
              <w:t>10-Q</w:t>
            </w:r>
          </w:p>
        </w:tc>
        <w:tc>
          <w:tcPr>
            <w:tcW w:w="12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3.1</w:t>
            </w:r>
          </w:p>
        </w:tc>
        <w:tc>
          <w:tcPr>
            <w:tcW w:w="12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8/14/2024</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74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hyperlink r:id="rId10">
              <w:r>
                <w:rPr>
                  <w:rStyle w:val="InternetLink"/>
                </w:rPr>
                <w:t xml:space="preserve">Amended and Restated Bylaws, as currently in effect. </w:t>
              </w:r>
            </w:hyperlink>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3.2</w:t>
            </w:r>
          </w:p>
        </w:tc>
        <w:tc>
          <w:tcPr>
            <w:tcW w:w="12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6/25/2018</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74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hyperlink r:id="rId11">
              <w:r>
                <w:rPr>
                  <w:rStyle w:val="InternetLink"/>
                </w:rPr>
                <w:t xml:space="preserve">Description of Capital Stock. </w:t>
              </w:r>
            </w:hyperlink>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center"/>
              <w:rPr/>
            </w:pPr>
            <w:r>
              <w:rPr/>
              <w:t>10-K</w:t>
            </w:r>
          </w:p>
        </w:tc>
        <w:tc>
          <w:tcPr>
            <w:tcW w:w="12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4.1</w:t>
            </w:r>
          </w:p>
        </w:tc>
        <w:tc>
          <w:tcPr>
            <w:tcW w:w="12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3/20/2025</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74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hyperlink w:anchor="d863285dex51.htm">
              <w:r>
                <w:rPr>
                  <w:rStyle w:val="InternetLink"/>
                </w:rPr>
                <w:t xml:space="preserve">Opinion of Cooley LLP </w:t>
              </w:r>
            </w:hyperlink>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X</w:t>
            </w:r>
          </w:p>
        </w:tc>
      </w:tr>
      <w:tr>
        <w:trPr/>
        <w:tc>
          <w:tcPr>
            <w:tcW w:w="890" w:type="dxa"/>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74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hyperlink r:id="rId12">
              <w:r>
                <w:rPr>
                  <w:rStyle w:val="InternetLink"/>
                </w:rPr>
                <w:t xml:space="preserve">Contingent Value Rights Agreement dated June 20, 2024, by and between Tectonic Therapeutic, Inc. and Computershare Trust Company, LLC </w:t>
              </w:r>
            </w:hyperlink>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10.1</w:t>
            </w:r>
          </w:p>
        </w:tc>
        <w:tc>
          <w:tcPr>
            <w:tcW w:w="12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74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hyperlink r:id="rId13">
              <w:r>
                <w:rPr>
                  <w:rStyle w:val="InternetLink"/>
                </w:rPr>
                <w:t>Form of Indemnification Agreement between Tectonic Therapeutic, Inc. and each of its directors and executive officers.</w:t>
              </w:r>
            </w:hyperlink>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10.2</w:t>
            </w:r>
          </w:p>
        </w:tc>
        <w:tc>
          <w:tcPr>
            <w:tcW w:w="120"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5430"/>
        <w:gridCol w:w="120"/>
        <w:gridCol w:w="425"/>
        <w:gridCol w:w="120"/>
        <w:gridCol w:w="849"/>
        <w:gridCol w:w="120"/>
        <w:gridCol w:w="560"/>
        <w:gridCol w:w="120"/>
        <w:gridCol w:w="620"/>
        <w:gridCol w:w="120"/>
        <w:gridCol w:w="711"/>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45" w:type="dxa"/>
            <w:gridSpan w:val="9"/>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Incorporation by Reference</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54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20" w:type="dxa"/>
            <w:tcBorders/>
            <w:vAlign w:val="center"/>
          </w:tcPr>
          <w:p>
            <w:pPr>
              <w:pStyle w:val="TableContents"/>
              <w:bidi w:val="0"/>
              <w:spacing w:before="0" w:after="283"/>
              <w:jc w:val="left"/>
              <w:rPr/>
            </w:pPr>
            <w:r>
              <w:rPr/>
              <w:t>  </w:t>
            </w:r>
          </w:p>
        </w:tc>
        <w:tc>
          <w:tcPr>
            <w:tcW w:w="84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120" w:type="dxa"/>
            <w:tcBorders/>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c>
          <w:tcPr>
            <w:tcW w:w="120" w:type="dxa"/>
            <w:tcBorders/>
            <w:vAlign w:val="center"/>
          </w:tcPr>
          <w:p>
            <w:pPr>
              <w:pStyle w:val="TableContents"/>
              <w:bidi w:val="0"/>
              <w:spacing w:before="0" w:after="283"/>
              <w:jc w:val="left"/>
              <w:rPr/>
            </w:pPr>
            <w:r>
              <w:rPr/>
              <w:t>  </w:t>
            </w:r>
          </w:p>
        </w:tc>
        <w:tc>
          <w:tcPr>
            <w:tcW w:w="71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Filed</w:t>
            </w:r>
          </w:p>
          <w:p>
            <w:pPr>
              <w:pStyle w:val="TableContents"/>
              <w:bidi w:val="0"/>
              <w:spacing w:before="0" w:after="20"/>
              <w:jc w:val="center"/>
              <w:rPr>
                <w:rFonts w:ascii="Times New Roman" w:hAnsi="Times New Roman"/>
                <w:b/>
                <w:sz w:val="16"/>
              </w:rPr>
            </w:pPr>
            <w:r>
              <w:rPr>
                <w:rFonts w:ascii="Times New Roman" w:hAnsi="Times New Roman"/>
                <w:b/>
                <w:sz w:val="16"/>
              </w:rPr>
              <w:t>Herewith</w:t>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14">
              <w:r>
                <w:rPr>
                  <w:rStyle w:val="InternetLink"/>
                </w:rPr>
                <w:t>Subscription Agreement, dated as of January 29, 2024, by and among Tectonic Therapeutic, Inc. and the purchasers thereunder</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15">
              <w:r>
                <w:rPr>
                  <w:rStyle w:val="InternetLink"/>
                </w:rPr>
                <w:t xml:space="preserve">Tectonic Therapeutic, Inc. 2019 Equity Incentive Plan, and form of award agreements thereunder.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10.42</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16">
              <w:r>
                <w:rPr>
                  <w:rStyle w:val="InternetLink"/>
                </w:rPr>
                <w:t>Tectonic Therapeutic, Inc. 2024 Equity Incentive Plan.</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10.6</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17">
              <w:r>
                <w:rPr>
                  <w:rStyle w:val="InternetLink"/>
                </w:rPr>
                <w:t xml:space="preserve">Forms of Option Grant Notice, Option Agreement and Notice of Exercise under Tectonic Therapeutic, Inc. 2024 Equity Incentive Plan.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18">
              <w:r>
                <w:rPr>
                  <w:rStyle w:val="InternetLink"/>
                </w:rPr>
                <w:t xml:space="preserve">Tectonic Therapeutic, Inc. 2024 Employee Stock Purchase Plan.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10.8</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10.8†</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19">
              <w:r>
                <w:rPr>
                  <w:rStyle w:val="InternetLink"/>
                </w:rPr>
                <w:t xml:space="preserve">License Agreement, dated February 10, 2022, by and between Tectonic Therapeutic, Inc. and President and Fellows of Harvard College.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10.35</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3/26/2024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10.9†</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0">
              <w:r>
                <w:rPr>
                  <w:rStyle w:val="InternetLink"/>
                </w:rPr>
                <w:t xml:space="preserve">Master Agreement for Early Phase Clinical Services, dated October 23, 2023, by and between Tectonic Therapeutic, Inc. and ARENSIA Exploratory Medicine GmbH.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10.36</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3/26/2024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10.10†</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1">
              <w:r>
                <w:rPr>
                  <w:rStyle w:val="InternetLink"/>
                </w:rPr>
                <w:t xml:space="preserve">Master Contract Services Agreement, dated October 17, 2023, by and between Tectonic Therapeutic, Inc. and QPS Holdings, LLC.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10.37</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3/26/2024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10.11†</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2">
              <w:r>
                <w:rPr>
                  <w:rStyle w:val="InternetLink"/>
                </w:rPr>
                <w:t xml:space="preserve">Master Contract Services Agreement, dated February 16, 2022, by and between Tectonic Therapeutic, Inc. and ITR LABORATORIES CANADA INC.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10.38</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3/26/2024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10.12†</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3">
              <w:r>
                <w:rPr>
                  <w:rStyle w:val="InternetLink"/>
                </w:rPr>
                <w:t xml:space="preserve">Development and Manufacturing Services Agreement, dated May 6, 2022, by and between Tectonic Therapeutic, Inc. and WuXi Biologics (Hong Kong) Limited.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10.39</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3/26/2024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10.13†</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4">
              <w:r>
                <w:rPr>
                  <w:rStyle w:val="InternetLink"/>
                </w:rPr>
                <w:t xml:space="preserve">Master Clinical Contract Services Agreement, dated March 6, 2023, by and between Tectonic Therapeutic, Inc. and Novotech (Australia) Pty Limited CAN.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10.40</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3/26/2024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10.14#</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5">
              <w:r>
                <w:rPr>
                  <w:rStyle w:val="InternetLink"/>
                </w:rPr>
                <w:t xml:space="preserve">Amended and Restated Employment Agreement, dated as of June 20, 2024, by and between Tectonic Therapeutic, Inc. and Alise Reicin, M.D.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10.4</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6/20/2024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555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69"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10.15#</w:t>
            </w:r>
          </w:p>
        </w:tc>
        <w:tc>
          <w:tcPr>
            <w:tcW w:w="12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6">
              <w:r>
                <w:rPr>
                  <w:rStyle w:val="InternetLink"/>
                </w:rPr>
                <w:t xml:space="preserve">Offer Letter dated June 16, 2021, by and between Tectonic Therapeutic, Inc. and Marcella Ruddy. </w:t>
              </w:r>
            </w:hyperlink>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10.43</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4/15/2024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13"/>
        <w:gridCol w:w="120"/>
        <w:gridCol w:w="5239"/>
        <w:gridCol w:w="120"/>
        <w:gridCol w:w="460"/>
        <w:gridCol w:w="120"/>
        <w:gridCol w:w="911"/>
        <w:gridCol w:w="120"/>
        <w:gridCol w:w="560"/>
        <w:gridCol w:w="120"/>
        <w:gridCol w:w="689"/>
        <w:gridCol w:w="120"/>
        <w:gridCol w:w="713"/>
      </w:tblGrid>
      <w:tr>
        <w:trPr/>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13" w:type="dxa"/>
            <w:gridSpan w:val="9"/>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Incorporation by Reference</w:t>
            </w:r>
          </w:p>
        </w:tc>
      </w:tr>
      <w:tr>
        <w:trPr/>
        <w:tc>
          <w:tcPr>
            <w:tcW w:w="913"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523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4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20" w:type="dxa"/>
            <w:tcBorders/>
            <w:vAlign w:val="center"/>
          </w:tcPr>
          <w:p>
            <w:pPr>
              <w:pStyle w:val="TableContents"/>
              <w:bidi w:val="0"/>
              <w:spacing w:before="0" w:after="283"/>
              <w:jc w:val="left"/>
              <w:rPr/>
            </w:pPr>
            <w:r>
              <w:rPr/>
              <w:t>  </w:t>
            </w:r>
          </w:p>
        </w:tc>
        <w:tc>
          <w:tcPr>
            <w:tcW w:w="9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120" w:type="dxa"/>
            <w:tcBorders/>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6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c>
          <w:tcPr>
            <w:tcW w:w="120" w:type="dxa"/>
            <w:tcBorders/>
            <w:vAlign w:val="center"/>
          </w:tcPr>
          <w:p>
            <w:pPr>
              <w:pStyle w:val="TableContents"/>
              <w:bidi w:val="0"/>
              <w:spacing w:before="0" w:after="283"/>
              <w:jc w:val="left"/>
              <w:rPr/>
            </w:pPr>
            <w:r>
              <w:rPr/>
              <w:t>  </w:t>
            </w:r>
          </w:p>
        </w:tc>
        <w:tc>
          <w:tcPr>
            <w:tcW w:w="71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Filed</w:t>
            </w:r>
          </w:p>
          <w:p>
            <w:pPr>
              <w:pStyle w:val="TableContents"/>
              <w:bidi w:val="0"/>
              <w:spacing w:before="0" w:after="20"/>
              <w:jc w:val="center"/>
              <w:rPr>
                <w:rFonts w:ascii="Times New Roman" w:hAnsi="Times New Roman"/>
                <w:b/>
                <w:sz w:val="16"/>
              </w:rPr>
            </w:pPr>
            <w:r>
              <w:rPr>
                <w:rFonts w:ascii="Times New Roman" w:hAnsi="Times New Roman"/>
                <w:b/>
                <w:sz w:val="16"/>
              </w:rPr>
              <w:t>Herewith</w:t>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10.16#</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27">
              <w:r>
                <w:rPr>
                  <w:rStyle w:val="InternetLink"/>
                </w:rPr>
                <w:t xml:space="preserve">Offer Letter dated May 28, 2025, by and between Tectonic Therapeutic, Inc. and Daniel Lochner.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10-K</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10.17</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3/20/2025</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10.17#</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28">
              <w:r>
                <w:rPr>
                  <w:rStyle w:val="InternetLink"/>
                </w:rPr>
                <w:t xml:space="preserve">Form of Severance Plan and Form of Participation Agreement of Tectonic Therapeutic, Inc.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S-4</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333-277048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10.47</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4/15/2024</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10.18#</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29">
              <w:r>
                <w:rPr>
                  <w:rStyle w:val="InternetLink"/>
                </w:rPr>
                <w:t xml:space="preserve">Non-Employee Director Compensation Policy of Tectonic Therapeutic, Inc.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10-K</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10.5</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3/20/2025</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10.19</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30">
              <w:r>
                <w:rPr>
                  <w:rStyle w:val="InternetLink"/>
                </w:rPr>
                <w:t xml:space="preserve">Form of Securities Purchase Agreement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2/3/2025</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10.20</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31">
              <w:r>
                <w:rPr>
                  <w:rStyle w:val="InternetLink"/>
                </w:rPr>
                <w:t xml:space="preserve">Form of Registration Rights Agreement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2/3/2025</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10.21</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32">
              <w:r>
                <w:rPr>
                  <w:rStyle w:val="InternetLink"/>
                </w:rPr>
                <w:t xml:space="preserve">Separation Agreement, dated as of July 5, 2024, by and among Tectonic Therapeutic, Inc. and Christian Cortis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8-K</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7/5/2024</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19.1</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33">
              <w:r>
                <w:rPr>
                  <w:rStyle w:val="InternetLink"/>
                </w:rPr>
                <w:t xml:space="preserve">Insider Trading Policy of Tectonic Therapeutic, Inc.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10-K</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19.1</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3/20/2025</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21.1</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w:anchor="d863285dex211.htm">
              <w:r>
                <w:rPr>
                  <w:rStyle w:val="InternetLink"/>
                </w:rPr>
                <w:t xml:space="preserve">List of Subsidiaries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X</w:t>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w:anchor="d863285dex231.htm">
              <w:r>
                <w:rPr>
                  <w:rStyle w:val="InternetLink"/>
                </w:rPr>
                <w:t>Consent of Deloitte &amp; Touche LLP, independent registered public accounting firm</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X</w:t>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23.3</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w:anchor="d863285dex51.htm">
              <w:r>
                <w:rPr>
                  <w:rStyle w:val="InternetLink"/>
                </w:rPr>
                <w:t xml:space="preserve">Consent of Cooley LLP (included in Exhibit 5.1 hereto).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X</w:t>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24.1</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w:anchor="sig">
              <w:r>
                <w:rPr>
                  <w:rStyle w:val="InternetLink"/>
                </w:rPr>
                <w:t xml:space="preserve">Power of Attorney (included on signature page).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X</w:t>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97.1</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r:id="rId34">
              <w:r>
                <w:rPr>
                  <w:rStyle w:val="InternetLink"/>
                </w:rPr>
                <w:t xml:space="preserve">Incentive Compensation Recoupment Policy of Tectonic Therapeutic, Inc.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10-K</w:t>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001-38537</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97.1</w:t>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3/20/2025</w:t>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r>
              <w:rPr/>
              <w:t>XBRL Taxonomy Extension Schema Document</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r>
              <w:rPr/>
              <w:t>XBRL Taxonomy Extension Calculation Linkbase Document</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r>
              <w:rPr/>
              <w:t>XBRL Taxonomy Extension Definition Linkbase Document</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r>
              <w:rPr/>
              <w:t>XBRL Taxonomy Extension Label Linkbase Document</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r>
              <w:rPr/>
              <w:t>XBRL Taxonomy Extension Presentation Linkbase Document</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sz w:val="4"/>
                <w:szCs w:val="4"/>
              </w:rPr>
            </w:pPr>
            <w:r>
              <w:rPr>
                <w:sz w:val="4"/>
                <w:szCs w:val="4"/>
              </w:rPr>
            </w:r>
          </w:p>
        </w:tc>
        <w:tc>
          <w:tcPr>
            <w:tcW w:w="5359" w:type="dxa"/>
            <w:gridSpan w:val="2"/>
            <w:tcBorders/>
            <w:vAlign w:val="center"/>
          </w:tcPr>
          <w:p>
            <w:pPr>
              <w:pStyle w:val="TableContents"/>
              <w:bidi w:val="0"/>
              <w:spacing w:before="0" w:after="283"/>
              <w:jc w:val="left"/>
              <w:rPr>
                <w:sz w:val="4"/>
                <w:szCs w:val="4"/>
              </w:rPr>
            </w:pPr>
            <w:r>
              <w:rPr>
                <w:sz w:val="4"/>
                <w:szCs w:val="4"/>
              </w:rPr>
            </w:r>
          </w:p>
        </w:tc>
        <w:tc>
          <w:tcPr>
            <w:tcW w:w="580"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809"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5239" w:type="dxa"/>
            <w:tcBorders/>
            <w:vAlign w:val="center"/>
          </w:tcPr>
          <w:p>
            <w:pPr>
              <w:pStyle w:val="TableContents"/>
              <w:bidi w:val="0"/>
              <w:spacing w:before="0" w:after="283"/>
              <w:jc w:val="left"/>
              <w:rPr/>
            </w:pPr>
            <w:hyperlink w:anchor="d863285dexfilingfees.htm">
              <w:r>
                <w:rPr>
                  <w:rStyle w:val="InternetLink"/>
                </w:rPr>
                <w:t xml:space="preserve">Filing Fee Table </w:t>
              </w:r>
            </w:hyperlink>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X</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confidential portions of this Exhibit were omitted by means of marking such portions with brackets (“[***]”) because the identified confidential portions (i) are not material and (ii) is the type of information that the registrant treats as private or confidential. </w:t>
            </w:r>
          </w:p>
        </w:tc>
      </w:tr>
    </w:tbl>
    <w:tbl>
      <w:tblPr>
        <w:tblW w:w="7090" w:type="dxa"/>
        <w:jc w:val="left"/>
        <w:tblInd w:w="0" w:type="dxa"/>
        <w:tblLayout w:type="fixed"/>
        <w:tblCellMar>
          <w:top w:w="0" w:type="dxa"/>
          <w:left w:w="0" w:type="dxa"/>
          <w:bottom w:w="0" w:type="dxa"/>
          <w:right w:w="0" w:type="dxa"/>
        </w:tblCellMar>
      </w:tblPr>
      <w:tblGrid>
        <w:gridCol w:w="155"/>
        <w:gridCol w:w="6935"/>
      </w:tblGrid>
      <w:tr>
        <w:trPr/>
        <w:tc>
          <w:tcPr>
            <w:tcW w:w="155"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any compensatory plan, contract or arrangement.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Annexes, schedules and exhibits have been omitted pursuant to Item 601(b)(2) or 601(a)(5), as applicable, of Regulation S-K. The registrant agrees to furnish supplementally a copy of any omitted attachment to the SEC on a confidential basis upon request.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275"/>
        <w:gridCol w:w="38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(ii)</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8"/>
        <w:gridCol w:w="9812"/>
      </w:tblGrid>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(iii)</w:t>
            </w:r>
          </w:p>
        </w:tc>
        <w:tc>
          <w:tcPr>
            <w:tcW w:w="98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290"/>
        <w:gridCol w:w="71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(i)</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(ii)</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(5)</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(ii)</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350"/>
        <w:gridCol w:w="888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275"/>
        <w:gridCol w:w="42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(2)</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280" w:after="0"/>
        <w:jc w:val="center"/>
        <w:rPr>
          <w:rFonts w:ascii="Times New Roman" w:hAnsi="Times New Roman"/>
          <w:b/>
          <w:sz w:val="20"/>
        </w:rPr>
      </w:pPr>
      <w:bookmarkStart w:id="22" w:name="sig"/>
      <w:bookmarkEnd w:id="2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S-1 and has duly caused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to be signed on its behalf by the undersigned, thereunto duly authorized, in the City of Watertown, Commonwealth of Massachusetts, on March 26, 2025. </w:t>
      </w:r>
    </w:p>
    <w:p>
      <w:pPr>
        <w:pStyle w:val="TextBody"/>
        <w:bidi w:val="0"/>
        <w:spacing w:before="0" w:after="0"/>
        <w:jc w:val="left"/>
        <w:rPr/>
      </w:pPr>
      <w:r>
        <w:rPr/>
        <w:t> </w:t>
      </w:r>
    </w:p>
    <w:tbl>
      <w:tblPr>
        <w:tblW w:w="5188" w:type="dxa"/>
        <w:jc w:val="left"/>
        <w:tblInd w:w="0" w:type="dxa"/>
        <w:tblLayout w:type="fixed"/>
        <w:tblCellMar>
          <w:top w:w="0" w:type="dxa"/>
          <w:left w:w="0" w:type="dxa"/>
          <w:bottom w:w="0" w:type="dxa"/>
          <w:right w:w="0" w:type="dxa"/>
        </w:tblCellMar>
      </w:tblPr>
      <w:tblGrid>
        <w:gridCol w:w="38"/>
        <w:gridCol w:w="6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0"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vAlign w:val="center"/>
          </w:tcPr>
          <w:p>
            <w:pPr>
              <w:pStyle w:val="TableContents"/>
              <w:bidi w:val="0"/>
              <w:spacing w:before="0" w:after="283"/>
              <w:jc w:val="left"/>
              <w:rPr>
                <w:b/>
              </w:rPr>
            </w:pPr>
            <w:r>
              <w:rPr>
                <w:b/>
              </w:rPr>
              <w:t>TECTONIC THERAPEUTIC,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515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090" w:type="dxa"/>
            <w:tcBorders>
              <w:bottom w:val="single" w:sz="6" w:space="0" w:color="000000"/>
            </w:tcBorders>
            <w:tcMar>
              <w:bottom w:w="28" w:type="dxa"/>
            </w:tcMar>
            <w:vAlign w:val="center"/>
          </w:tcPr>
          <w:p>
            <w:pPr>
              <w:pStyle w:val="TableContents"/>
              <w:bidi w:val="0"/>
              <w:spacing w:before="0" w:after="283"/>
              <w:jc w:val="left"/>
              <w:rPr/>
            </w:pPr>
            <w:r>
              <w:rPr/>
              <w:t>/s/ Alise Reicin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left"/>
              <w:rPr/>
            </w:pPr>
            <w:r>
              <w:rPr/>
              <w:t>Name: Alise Reicin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left"/>
              <w:rPr/>
            </w:pPr>
            <w:r>
              <w:rPr/>
              <w:t>Title: Chief Executive Officer, President and Director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 that each individual whose signature appears below hereby constitutes and appoints Alise Reicin and Daniel Lochner,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 indicated. </w:t>
      </w:r>
    </w:p>
    <w:p>
      <w:pPr>
        <w:pStyle w:val="TextBody"/>
        <w:bidi w:val="0"/>
        <w:spacing w:before="0" w:after="0"/>
        <w:jc w:val="left"/>
        <w:rPr/>
      </w:pPr>
      <w:r>
        <w:rPr/>
        <w:t> </w:t>
      </w:r>
    </w:p>
    <w:tbl>
      <w:tblPr>
        <w:tblW w:w="8790" w:type="dxa"/>
        <w:jc w:val="left"/>
        <w:tblInd w:w="0" w:type="dxa"/>
        <w:tblLayout w:type="fixed"/>
        <w:tblCellMar>
          <w:top w:w="0" w:type="dxa"/>
          <w:left w:w="0" w:type="dxa"/>
          <w:bottom w:w="0" w:type="dxa"/>
          <w:right w:w="0" w:type="dxa"/>
        </w:tblCellMar>
      </w:tblPr>
      <w:tblGrid>
        <w:gridCol w:w="2000"/>
        <w:gridCol w:w="120"/>
        <w:gridCol w:w="5060"/>
        <w:gridCol w:w="60"/>
        <w:gridCol w:w="1550"/>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center"/>
              <w:rPr>
                <w:b/>
              </w:rPr>
            </w:pPr>
            <w:r>
              <w:rPr>
                <w:b/>
              </w:rPr>
              <w:t>Signature</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center"/>
              <w:rPr>
                <w:b/>
              </w:rPr>
            </w:pPr>
            <w:r>
              <w:rPr>
                <w:b/>
              </w:rPr>
              <w:t>Title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b/>
              </w:rPr>
            </w:pPr>
            <w:r>
              <w:rPr>
                <w:b/>
              </w:rPr>
              <w:t>Date</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Alise Reicin</w:t>
            </w:r>
          </w:p>
          <w:p>
            <w:pPr>
              <w:pStyle w:val="TableContents"/>
              <w:bidi w:val="0"/>
              <w:spacing w:before="0" w:after="20"/>
              <w:jc w:val="left"/>
              <w:rPr>
                <w:rFonts w:ascii="Times New Roman" w:hAnsi="Times New Roman"/>
                <w:sz w:val="20"/>
              </w:rPr>
            </w:pPr>
            <w:r>
              <w:rPr>
                <w:rFonts w:ascii="Times New Roman" w:hAnsi="Times New Roman"/>
                <w:sz w:val="20"/>
              </w:rPr>
              <w:t>Alise Reicin</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March 26, 2025</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Daniel Lochner</w:t>
            </w:r>
          </w:p>
          <w:p>
            <w:pPr>
              <w:pStyle w:val="TableContents"/>
              <w:bidi w:val="0"/>
              <w:spacing w:before="0" w:after="20"/>
              <w:jc w:val="left"/>
              <w:rPr>
                <w:rFonts w:ascii="Times New Roman" w:hAnsi="Times New Roman"/>
                <w:sz w:val="20"/>
              </w:rPr>
            </w:pPr>
            <w:r>
              <w:rPr>
                <w:rFonts w:ascii="Times New Roman" w:hAnsi="Times New Roman"/>
                <w:sz w:val="20"/>
              </w:rPr>
              <w:t>Daniel Lochner</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 and Principal Accounting Officer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March 26, 2025</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Terrance McGuire</w:t>
            </w:r>
          </w:p>
          <w:p>
            <w:pPr>
              <w:pStyle w:val="TableContents"/>
              <w:bidi w:val="0"/>
              <w:spacing w:before="0" w:after="20"/>
              <w:jc w:val="left"/>
              <w:rPr>
                <w:rFonts w:ascii="Times New Roman" w:hAnsi="Times New Roman"/>
                <w:sz w:val="20"/>
              </w:rPr>
            </w:pPr>
            <w:r>
              <w:rPr>
                <w:rFonts w:ascii="Times New Roman" w:hAnsi="Times New Roman"/>
                <w:sz w:val="20"/>
              </w:rPr>
              <w:t>Terrance McGuire</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March 26, 2025</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Stefan Vitorovic</w:t>
            </w:r>
          </w:p>
          <w:p>
            <w:pPr>
              <w:pStyle w:val="TableContents"/>
              <w:bidi w:val="0"/>
              <w:spacing w:before="0" w:after="20"/>
              <w:jc w:val="left"/>
              <w:rPr>
                <w:rFonts w:ascii="Times New Roman" w:hAnsi="Times New Roman"/>
                <w:sz w:val="20"/>
              </w:rPr>
            </w:pPr>
            <w:r>
              <w:rPr>
                <w:rFonts w:ascii="Times New Roman" w:hAnsi="Times New Roman"/>
                <w:sz w:val="20"/>
              </w:rPr>
              <w:t>Stefan Vitorovic</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March 26, 2025</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Timothy A. Springer</w:t>
            </w:r>
          </w:p>
          <w:p>
            <w:pPr>
              <w:pStyle w:val="TableContents"/>
              <w:bidi w:val="0"/>
              <w:spacing w:before="0" w:after="20"/>
              <w:jc w:val="left"/>
              <w:rPr>
                <w:rFonts w:ascii="Times New Roman" w:hAnsi="Times New Roman"/>
                <w:sz w:val="20"/>
              </w:rPr>
            </w:pPr>
            <w:r>
              <w:rPr>
                <w:rFonts w:ascii="Times New Roman" w:hAnsi="Times New Roman"/>
                <w:sz w:val="20"/>
              </w:rPr>
              <w:t>Timothy A. Springer</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March 26, 2025</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Praveen Tipirneni</w:t>
            </w:r>
          </w:p>
          <w:p>
            <w:pPr>
              <w:pStyle w:val="TableContents"/>
              <w:bidi w:val="0"/>
              <w:spacing w:before="0" w:after="20"/>
              <w:jc w:val="left"/>
              <w:rPr>
                <w:rFonts w:ascii="Times New Roman" w:hAnsi="Times New Roman"/>
                <w:sz w:val="20"/>
              </w:rPr>
            </w:pPr>
            <w:r>
              <w:rPr>
                <w:rFonts w:ascii="Times New Roman" w:hAnsi="Times New Roman"/>
                <w:sz w:val="20"/>
              </w:rPr>
              <w:t>Praveen Tipirneni</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March 26, 2025</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Phillip B. Donenberg</w:t>
            </w:r>
          </w:p>
          <w:p>
            <w:pPr>
              <w:pStyle w:val="TableContents"/>
              <w:bidi w:val="0"/>
              <w:spacing w:before="0" w:after="20"/>
              <w:jc w:val="left"/>
              <w:rPr>
                <w:rFonts w:ascii="Times New Roman" w:hAnsi="Times New Roman"/>
                <w:sz w:val="20"/>
              </w:rPr>
            </w:pPr>
            <w:r>
              <w:rPr>
                <w:rFonts w:ascii="Times New Roman" w:hAnsi="Times New Roman"/>
                <w:sz w:val="20"/>
              </w:rPr>
              <w:t>Phillip B. Donenberg</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March 26,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23" w:name="d863285dex51.htm"/>
      <w:bookmarkStart w:id="24" w:name="ksd863285dex51"/>
      <w:bookmarkEnd w:id="23"/>
      <w:bookmarkEnd w:id="2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24000" cy="54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5"/>
                    <a:stretch>
                      <a:fillRect/>
                    </a:stretch>
                  </pic:blipFill>
                  <pic:spPr bwMode="auto">
                    <a:xfrm>
                      <a:off x="0" y="0"/>
                      <a:ext cx="152400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Brandon Fenn </w:t>
      </w:r>
    </w:p>
    <w:p>
      <w:pPr>
        <w:pStyle w:val="TextBody"/>
        <w:bidi w:val="0"/>
        <w:spacing w:before="0" w:after="0"/>
        <w:jc w:val="left"/>
        <w:rPr>
          <w:rFonts w:ascii="Times New Roman" w:hAnsi="Times New Roman"/>
          <w:sz w:val="20"/>
        </w:rPr>
      </w:pPr>
      <w:r>
        <w:rPr>
          <w:rFonts w:ascii="Times New Roman" w:hAnsi="Times New Roman"/>
          <w:sz w:val="20"/>
        </w:rPr>
        <w:t xml:space="preserve">+1 212 479 6626 </w:t>
      </w:r>
    </w:p>
    <w:p>
      <w:pPr>
        <w:pStyle w:val="TextBody"/>
        <w:bidi w:val="0"/>
        <w:spacing w:before="0" w:after="0"/>
        <w:jc w:val="left"/>
        <w:rPr>
          <w:rFonts w:ascii="Times New Roman" w:hAnsi="Times New Roman"/>
          <w:sz w:val="20"/>
        </w:rPr>
      </w:pPr>
      <w:r>
        <w:rPr>
          <w:rFonts w:ascii="Times New Roman" w:hAnsi="Times New Roman"/>
          <w:sz w:val="20"/>
        </w:rPr>
        <w:t xml:space="preserve">bfenn@cooley.com </w:t>
      </w:r>
    </w:p>
    <w:p>
      <w:pPr>
        <w:pStyle w:val="TextBody"/>
        <w:bidi w:val="0"/>
        <w:spacing w:before="240" w:after="0"/>
        <w:jc w:val="left"/>
        <w:rPr>
          <w:rFonts w:ascii="Times New Roman" w:hAnsi="Times New Roman"/>
          <w:sz w:val="20"/>
        </w:rPr>
      </w:pPr>
      <w:r>
        <w:rPr>
          <w:rFonts w:ascii="Times New Roman" w:hAnsi="Times New Roman"/>
          <w:sz w:val="20"/>
        </w:rPr>
        <w:t xml:space="preserve">March 26, 2025 </w:t>
      </w:r>
    </w:p>
    <w:p>
      <w:pPr>
        <w:pStyle w:val="TextBody"/>
        <w:bidi w:val="0"/>
        <w:spacing w:before="24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Tectonic Therapeutic,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Tectonic Therapeutic,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S-1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including the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3,689,465 shares (the </w:t>
      </w:r>
      <w:r>
        <w:rPr>
          <w:rFonts w:ascii="Times New Roman" w:hAnsi="Times New Roman"/>
          <w:b/>
          <w:i/>
          <w:sz w:val="20"/>
        </w:rPr>
        <w:t>Shares</w:t>
      </w:r>
      <w:r>
        <w:rPr>
          <w:rFonts w:ascii="Times New Roman" w:hAnsi="Times New Roman"/>
          <w:sz w:val="20"/>
        </w:rPr>
        <w:t>) of the Companys common stock, par value $0.0001 per share, issued pursuant to that certain Securities Purchase Agreement by and among the Company and the investors named therein (the </w:t>
      </w:r>
      <w:r>
        <w:rPr>
          <w:rFonts w:ascii="Times New Roman" w:hAnsi="Times New Roman"/>
          <w:b/>
          <w:i/>
          <w:sz w:val="20"/>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Prospectus, (b) the Companys certificate of incorporation and bylaws, each as currently in effect, (c) the Agreement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center"/>
        <w:rPr>
          <w:rFonts w:ascii="Times New Roman" w:hAnsi="Times New Roman"/>
          <w:sz w:val="20"/>
        </w:rPr>
      </w:pPr>
      <w:r>
        <w:rPr>
          <w:rFonts w:ascii="Times New Roman" w:hAnsi="Times New Roman"/>
          <w:sz w:val="20"/>
        </w:rPr>
        <w:t xml:space="preserve">COOLEY LLP 55 HUDSON YARDS, 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T: (212) 479-6000 F: (212) 479-6275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24000"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6"/>
                    <a:stretch>
                      <a:fillRect/>
                    </a:stretch>
                  </pic:blipFill>
                  <pic:spPr bwMode="auto">
                    <a:xfrm>
                      <a:off x="0" y="0"/>
                      <a:ext cx="1524000" cy="5429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March 26, 2025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of 1933, as amended,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Fenn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Brandon Fenn</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COOLEY LLP 55 HUDSON YARDS, 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T: (212) 479-6000 F: (212) 479-6275 COOLEY.COM </w:t>
      </w:r>
    </w:p>
    <w:p>
      <w:pPr>
        <w:pStyle w:val="TextBody"/>
        <w:bidi w:val="0"/>
        <w:spacing w:before="0" w:after="0"/>
        <w:jc w:val="right"/>
        <w:rPr>
          <w:rFonts w:ascii="Times New Roman" w:hAnsi="Times New Roman"/>
          <w:b/>
          <w:sz w:val="20"/>
        </w:rPr>
      </w:pPr>
      <w:bookmarkStart w:id="25" w:name="d863285dex211.htm"/>
      <w:bookmarkStart w:id="26" w:name="ksd863285dex211"/>
      <w:bookmarkEnd w:id="25"/>
      <w:bookmarkEnd w:id="26"/>
      <w:r>
        <w:rPr>
          <w:rFonts w:ascii="Times New Roman" w:hAnsi="Times New Roman"/>
          <w:b/>
          <w:sz w:val="20"/>
        </w:rPr>
        <w:t xml:space="preserve">Exhibit 21.1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List of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6"/>
        <w:gridCol w:w="120"/>
        <w:gridCol w:w="4919"/>
      </w:tblGrid>
      <w:tr>
        <w:trPr/>
        <w:tc>
          <w:tcPr>
            <w:tcW w:w="51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9" w:type="dxa"/>
            <w:tcBorders/>
            <w:vAlign w:val="center"/>
          </w:tcPr>
          <w:p>
            <w:pPr>
              <w:pStyle w:val="TableContents"/>
              <w:bidi w:val="0"/>
              <w:spacing w:before="0" w:after="283"/>
              <w:jc w:val="left"/>
              <w:rPr>
                <w:sz w:val="4"/>
                <w:szCs w:val="4"/>
              </w:rPr>
            </w:pPr>
            <w:r>
              <w:rPr>
                <w:sz w:val="4"/>
                <w:szCs w:val="4"/>
              </w:rPr>
            </w:r>
          </w:p>
        </w:tc>
      </w:tr>
      <w:tr>
        <w:trPr/>
        <w:tc>
          <w:tcPr>
            <w:tcW w:w="51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Subsidiary</w:t>
            </w:r>
          </w:p>
        </w:tc>
        <w:tc>
          <w:tcPr>
            <w:tcW w:w="120" w:type="dxa"/>
            <w:tcBorders/>
            <w:vAlign w:val="bottom"/>
          </w:tcPr>
          <w:p>
            <w:pPr>
              <w:pStyle w:val="TableContents"/>
              <w:bidi w:val="0"/>
              <w:spacing w:before="0" w:after="283"/>
              <w:jc w:val="left"/>
              <w:rPr/>
            </w:pPr>
            <w:r>
              <w:rPr/>
              <w:t>  </w:t>
            </w:r>
          </w:p>
        </w:tc>
        <w:tc>
          <w:tcPr>
            <w:tcW w:w="49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incorporation or organization</w:t>
            </w:r>
          </w:p>
        </w:tc>
      </w:tr>
      <w:tr>
        <w:trPr/>
        <w:tc>
          <w:tcPr>
            <w:tcW w:w="5166" w:type="dxa"/>
            <w:tcBorders/>
          </w:tcPr>
          <w:p>
            <w:pPr>
              <w:pStyle w:val="TableContents"/>
              <w:bidi w:val="0"/>
              <w:spacing w:before="0" w:after="283"/>
              <w:jc w:val="left"/>
              <w:rPr/>
            </w:pPr>
            <w:r>
              <w:rPr/>
              <w:t>AVROBIO Inc.</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left"/>
              <w:rPr/>
            </w:pPr>
            <w:r>
              <w:rPr/>
              <w:t>Ontario, Canada</w:t>
            </w:r>
          </w:p>
        </w:tc>
      </w:tr>
      <w:tr>
        <w:trPr>
          <w:trHeight w:val="120" w:hRule="atLeast"/>
        </w:trPr>
        <w:tc>
          <w:tcPr>
            <w:tcW w:w="5166" w:type="dxa"/>
            <w:tcBorders/>
            <w:vAlign w:val="center"/>
          </w:tcPr>
          <w:p>
            <w:pPr>
              <w:pStyle w:val="TableContents"/>
              <w:bidi w:val="0"/>
              <w:spacing w:before="0" w:after="283"/>
              <w:jc w:val="left"/>
              <w:rPr>
                <w:sz w:val="4"/>
                <w:szCs w:val="4"/>
              </w:rPr>
            </w:pPr>
            <w:r>
              <w:rPr>
                <w:sz w:val="4"/>
                <w:szCs w:val="4"/>
              </w:rPr>
            </w:r>
          </w:p>
        </w:tc>
        <w:tc>
          <w:tcPr>
            <w:tcW w:w="5039" w:type="dxa"/>
            <w:gridSpan w:val="2"/>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t>AVROBIO Australia Pty Ltd</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left"/>
              <w:rPr/>
            </w:pPr>
            <w:r>
              <w:rPr/>
              <w:t>Australia</w:t>
            </w:r>
          </w:p>
        </w:tc>
      </w:tr>
      <w:tr>
        <w:trPr>
          <w:trHeight w:val="120" w:hRule="atLeast"/>
        </w:trPr>
        <w:tc>
          <w:tcPr>
            <w:tcW w:w="5166" w:type="dxa"/>
            <w:tcBorders/>
            <w:vAlign w:val="center"/>
          </w:tcPr>
          <w:p>
            <w:pPr>
              <w:pStyle w:val="TableContents"/>
              <w:bidi w:val="0"/>
              <w:spacing w:before="0" w:after="283"/>
              <w:jc w:val="left"/>
              <w:rPr>
                <w:sz w:val="4"/>
                <w:szCs w:val="4"/>
              </w:rPr>
            </w:pPr>
            <w:r>
              <w:rPr>
                <w:sz w:val="4"/>
                <w:szCs w:val="4"/>
              </w:rPr>
            </w:r>
          </w:p>
        </w:tc>
        <w:tc>
          <w:tcPr>
            <w:tcW w:w="5039" w:type="dxa"/>
            <w:gridSpan w:val="2"/>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t>AVROBIO Securities Corporation</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left"/>
              <w:rPr/>
            </w:pPr>
            <w:r>
              <w:rPr/>
              <w:t>Massachusetts</w:t>
            </w:r>
          </w:p>
        </w:tc>
      </w:tr>
      <w:tr>
        <w:trPr>
          <w:trHeight w:val="120" w:hRule="atLeast"/>
        </w:trPr>
        <w:tc>
          <w:tcPr>
            <w:tcW w:w="5166" w:type="dxa"/>
            <w:tcBorders/>
            <w:vAlign w:val="center"/>
          </w:tcPr>
          <w:p>
            <w:pPr>
              <w:pStyle w:val="TableContents"/>
              <w:bidi w:val="0"/>
              <w:spacing w:before="0" w:after="283"/>
              <w:jc w:val="left"/>
              <w:rPr>
                <w:sz w:val="4"/>
                <w:szCs w:val="4"/>
              </w:rPr>
            </w:pPr>
            <w:r>
              <w:rPr>
                <w:sz w:val="4"/>
                <w:szCs w:val="4"/>
              </w:rPr>
            </w:r>
          </w:p>
        </w:tc>
        <w:tc>
          <w:tcPr>
            <w:tcW w:w="5039" w:type="dxa"/>
            <w:gridSpan w:val="2"/>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t>Tectonic Therapeutic Pty Ltd.</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left"/>
              <w:rPr/>
            </w:pPr>
            <w:r>
              <w:rPr/>
              <w:t>Australia</w:t>
            </w:r>
          </w:p>
        </w:tc>
      </w:tr>
      <w:tr>
        <w:trPr>
          <w:trHeight w:val="120" w:hRule="atLeast"/>
        </w:trPr>
        <w:tc>
          <w:tcPr>
            <w:tcW w:w="5166" w:type="dxa"/>
            <w:tcBorders/>
            <w:vAlign w:val="center"/>
          </w:tcPr>
          <w:p>
            <w:pPr>
              <w:pStyle w:val="TableContents"/>
              <w:bidi w:val="0"/>
              <w:spacing w:before="0" w:after="283"/>
              <w:jc w:val="left"/>
              <w:rPr>
                <w:sz w:val="4"/>
                <w:szCs w:val="4"/>
              </w:rPr>
            </w:pPr>
            <w:r>
              <w:rPr>
                <w:sz w:val="4"/>
                <w:szCs w:val="4"/>
              </w:rPr>
            </w:r>
          </w:p>
        </w:tc>
        <w:tc>
          <w:tcPr>
            <w:tcW w:w="5039" w:type="dxa"/>
            <w:gridSpan w:val="2"/>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t>Tectonic Therapeutic Securities Corp.</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left"/>
              <w:rPr/>
            </w:pPr>
            <w:r>
              <w:rPr/>
              <w:t>Massachusetts</w:t>
            </w:r>
          </w:p>
        </w:tc>
      </w:tr>
      <w:tr>
        <w:trPr>
          <w:trHeight w:val="120" w:hRule="atLeast"/>
        </w:trPr>
        <w:tc>
          <w:tcPr>
            <w:tcW w:w="5166" w:type="dxa"/>
            <w:tcBorders/>
            <w:vAlign w:val="center"/>
          </w:tcPr>
          <w:p>
            <w:pPr>
              <w:pStyle w:val="TableContents"/>
              <w:bidi w:val="0"/>
              <w:spacing w:before="0" w:after="283"/>
              <w:jc w:val="left"/>
              <w:rPr>
                <w:sz w:val="4"/>
                <w:szCs w:val="4"/>
              </w:rPr>
            </w:pPr>
            <w:r>
              <w:rPr>
                <w:sz w:val="4"/>
                <w:szCs w:val="4"/>
              </w:rPr>
            </w:r>
          </w:p>
        </w:tc>
        <w:tc>
          <w:tcPr>
            <w:tcW w:w="5039" w:type="dxa"/>
            <w:gridSpan w:val="2"/>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t>Tectonic Operating Company, Inc.</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left"/>
              <w:rPr/>
            </w:pPr>
            <w:r>
              <w:rPr/>
              <w:t>Delaware</w:t>
            </w:r>
          </w:p>
        </w:tc>
      </w:tr>
    </w:tbl>
    <w:p>
      <w:pPr>
        <w:pStyle w:val="TextBody"/>
        <w:bidi w:val="0"/>
        <w:spacing w:before="0" w:after="0"/>
        <w:jc w:val="right"/>
        <w:rPr>
          <w:rFonts w:ascii="Times New Roman" w:hAnsi="Times New Roman"/>
          <w:b/>
          <w:sz w:val="20"/>
        </w:rPr>
      </w:pPr>
      <w:bookmarkStart w:id="27" w:name="d863285dex231.htm"/>
      <w:bookmarkStart w:id="28" w:name="ksd863285dex231"/>
      <w:bookmarkEnd w:id="27"/>
      <w:bookmarkEnd w:id="2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on Form S-1 of our report dated March 20, 2025, relating to the financial statements of Tectonic Therapeutic, Inc.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March 26, 2025 </w:t>
      </w:r>
    </w:p>
    <w:p>
      <w:pPr>
        <w:pStyle w:val="TextBody"/>
        <w:bidi w:val="0"/>
        <w:spacing w:before="0" w:after="0"/>
        <w:jc w:val="right"/>
        <w:rPr>
          <w:rFonts w:ascii="Times New Roman" w:hAnsi="Times New Roman"/>
          <w:b/>
          <w:sz w:val="20"/>
        </w:rPr>
      </w:pPr>
      <w:bookmarkStart w:id="29" w:name="d863285dexfilingfees.htm"/>
      <w:bookmarkStart w:id="30" w:name="ksd863285dexfilingfees"/>
      <w:bookmarkEnd w:id="29"/>
      <w:bookmarkEnd w:id="30"/>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S-1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9165" w:type="dxa"/>
        <w:jc w:val="center"/>
        <w:tblInd w:w="0" w:type="dxa"/>
        <w:tblLayout w:type="fixed"/>
        <w:tblCellMar>
          <w:top w:w="0" w:type="dxa"/>
          <w:left w:w="0" w:type="dxa"/>
          <w:bottom w:w="0" w:type="dxa"/>
          <w:right w:w="0" w:type="dxa"/>
        </w:tblCellMar>
      </w:tblPr>
      <w:tblGrid>
        <w:gridCol w:w="380"/>
        <w:gridCol w:w="60"/>
        <w:gridCol w:w="650"/>
        <w:gridCol w:w="60"/>
        <w:gridCol w:w="1220"/>
        <w:gridCol w:w="60"/>
        <w:gridCol w:w="725"/>
        <w:gridCol w:w="60"/>
        <w:gridCol w:w="1250"/>
        <w:gridCol w:w="60"/>
        <w:gridCol w:w="680"/>
        <w:gridCol w:w="60"/>
        <w:gridCol w:w="1520"/>
        <w:gridCol w:w="60"/>
        <w:gridCol w:w="1160"/>
        <w:gridCol w:w="60"/>
        <w:gridCol w:w="110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Security</w:t>
            </w:r>
          </w:p>
          <w:p>
            <w:pPr>
              <w:pStyle w:val="TableContents"/>
              <w:bidi w:val="0"/>
              <w:spacing w:before="0" w:after="20"/>
              <w:jc w:val="center"/>
              <w:rPr>
                <w:rFonts w:ascii="Times New Roman" w:hAnsi="Times New Roman"/>
                <w:b/>
                <w:sz w:val="14"/>
              </w:rPr>
            </w:pPr>
            <w:r>
              <w:rPr>
                <w:rFonts w:ascii="Times New Roman" w:hAnsi="Times New Roman"/>
                <w:b/>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Security</w:t>
            </w:r>
          </w:p>
          <w:p>
            <w:pPr>
              <w:pStyle w:val="TableContents"/>
              <w:bidi w:val="0"/>
              <w:spacing w:before="0" w:after="0"/>
              <w:jc w:val="center"/>
              <w:rPr>
                <w:rFonts w:ascii="Times New Roman" w:hAnsi="Times New Roman"/>
                <w:b/>
                <w:sz w:val="14"/>
              </w:rPr>
            </w:pPr>
            <w:r>
              <w:rPr>
                <w:rFonts w:ascii="Times New Roman" w:hAnsi="Times New Roman"/>
                <w:b/>
                <w:sz w:val="14"/>
              </w:rPr>
              <w:t>Class</w:t>
            </w:r>
          </w:p>
          <w:p>
            <w:pPr>
              <w:pStyle w:val="TableContents"/>
              <w:bidi w:val="0"/>
              <w:spacing w:before="0" w:after="20"/>
              <w:jc w:val="center"/>
              <w:rPr>
                <w:rFonts w:ascii="Times New Roman" w:hAnsi="Times New Roman"/>
                <w:b/>
                <w:sz w:val="14"/>
              </w:rPr>
            </w:pPr>
            <w:r>
              <w:rPr>
                <w:rFonts w:ascii="Times New Roman" w:hAnsi="Times New Roman"/>
                <w:b/>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25"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Fee</w:t>
            </w:r>
          </w:p>
          <w:p>
            <w:pPr>
              <w:pStyle w:val="TableContents"/>
              <w:bidi w:val="0"/>
              <w:spacing w:before="0" w:after="0"/>
              <w:jc w:val="center"/>
              <w:rPr>
                <w:rFonts w:ascii="Times New Roman" w:hAnsi="Times New Roman"/>
                <w:b/>
                <w:sz w:val="14"/>
              </w:rPr>
            </w:pPr>
            <w:r>
              <w:rPr>
                <w:rFonts w:ascii="Times New Roman" w:hAnsi="Times New Roman"/>
                <w:b/>
                <w:sz w:val="14"/>
              </w:rPr>
              <w:t>Calculation</w:t>
            </w:r>
          </w:p>
          <w:p>
            <w:pPr>
              <w:pStyle w:val="TableContents"/>
              <w:bidi w:val="0"/>
              <w:spacing w:before="0" w:after="0"/>
              <w:jc w:val="center"/>
              <w:rPr>
                <w:rFonts w:ascii="Times New Roman" w:hAnsi="Times New Roman"/>
                <w:b/>
                <w:sz w:val="14"/>
              </w:rPr>
            </w:pPr>
            <w:r>
              <w:rPr>
                <w:rFonts w:ascii="Times New Roman" w:hAnsi="Times New Roman"/>
                <w:b/>
                <w:sz w:val="14"/>
              </w:rPr>
              <w:t>or Carry</w:t>
            </w:r>
          </w:p>
          <w:p>
            <w:pPr>
              <w:pStyle w:val="TableContents"/>
              <w:bidi w:val="0"/>
              <w:spacing w:before="0" w:after="0"/>
              <w:jc w:val="center"/>
              <w:rPr>
                <w:rFonts w:ascii="Times New Roman" w:hAnsi="Times New Roman"/>
                <w:b/>
                <w:sz w:val="14"/>
              </w:rPr>
            </w:pPr>
            <w:r>
              <w:rPr>
                <w:rFonts w:ascii="Times New Roman" w:hAnsi="Times New Roman"/>
                <w:b/>
                <w:sz w:val="14"/>
              </w:rPr>
              <w:t>Forward</w:t>
            </w:r>
          </w:p>
          <w:p>
            <w:pPr>
              <w:pStyle w:val="TableContents"/>
              <w:bidi w:val="0"/>
              <w:spacing w:before="0" w:after="20"/>
              <w:jc w:val="center"/>
              <w:rPr>
                <w:rFonts w:ascii="Times New Roman" w:hAnsi="Times New Roman"/>
                <w:b/>
                <w:sz w:val="14"/>
              </w:rPr>
            </w:pPr>
            <w:r>
              <w:rPr>
                <w:rFonts w:ascii="Times New Roman" w:hAnsi="Times New Roman"/>
                <w:b/>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Amount</w:t>
            </w:r>
          </w:p>
          <w:p>
            <w:pPr>
              <w:pStyle w:val="TableContents"/>
              <w:bidi w:val="0"/>
              <w:spacing w:before="0" w:after="20"/>
              <w:jc w:val="center"/>
              <w:rPr>
                <w:rFonts w:ascii="Times New Roman" w:hAnsi="Times New Roman"/>
                <w:b/>
                <w:sz w:val="14"/>
              </w:rPr>
            </w:pPr>
            <w:r>
              <w:rPr>
                <w:rFonts w:ascii="Times New Roman" w:hAnsi="Times New Roman"/>
                <w:b/>
                <w:sz w:val="14"/>
              </w:rP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Proposed</w:t>
            </w:r>
          </w:p>
          <w:p>
            <w:pPr>
              <w:pStyle w:val="TableContents"/>
              <w:bidi w:val="0"/>
              <w:spacing w:before="0" w:after="0"/>
              <w:jc w:val="center"/>
              <w:rPr>
                <w:rFonts w:ascii="Times New Roman" w:hAnsi="Times New Roman"/>
                <w:b/>
                <w:sz w:val="14"/>
              </w:rPr>
            </w:pPr>
            <w:r>
              <w:rPr>
                <w:rFonts w:ascii="Times New Roman" w:hAnsi="Times New Roman"/>
                <w:b/>
                <w:sz w:val="14"/>
              </w:rPr>
              <w:t>Maximum</w:t>
            </w:r>
          </w:p>
          <w:p>
            <w:pPr>
              <w:pStyle w:val="TableContents"/>
              <w:bidi w:val="0"/>
              <w:spacing w:before="0" w:after="0"/>
              <w:jc w:val="center"/>
              <w:rPr>
                <w:rFonts w:ascii="Times New Roman" w:hAnsi="Times New Roman"/>
                <w:b/>
                <w:sz w:val="14"/>
              </w:rPr>
            </w:pPr>
            <w:r>
              <w:rPr>
                <w:rFonts w:ascii="Times New Roman" w:hAnsi="Times New Roman"/>
                <w:b/>
                <w:sz w:val="14"/>
              </w:rPr>
              <w:t>Offering</w:t>
            </w:r>
          </w:p>
          <w:p>
            <w:pPr>
              <w:pStyle w:val="TableContents"/>
              <w:bidi w:val="0"/>
              <w:spacing w:before="0" w:after="0"/>
              <w:jc w:val="center"/>
              <w:rPr>
                <w:rFonts w:ascii="Times New Roman" w:hAnsi="Times New Roman"/>
                <w:b/>
                <w:sz w:val="14"/>
              </w:rPr>
            </w:pPr>
            <w:r>
              <w:rPr>
                <w:rFonts w:ascii="Times New Roman" w:hAnsi="Times New Roman"/>
                <w:b/>
                <w:sz w:val="14"/>
              </w:rPr>
              <w:t>Price Per</w:t>
            </w:r>
          </w:p>
          <w:p>
            <w:pPr>
              <w:pStyle w:val="TableContents"/>
              <w:bidi w:val="0"/>
              <w:spacing w:before="0" w:after="20"/>
              <w:jc w:val="center"/>
              <w:rPr>
                <w:rFonts w:ascii="Times New Roman" w:hAnsi="Times New Roman"/>
                <w:b/>
                <w:sz w:val="14"/>
              </w:rPr>
            </w:pPr>
            <w:r>
              <w:rPr>
                <w:rFonts w:ascii="Times New Roman" w:hAnsi="Times New Roman"/>
                <w:b/>
                <w:sz w:val="14"/>
              </w:rPr>
              <w:t>Share(2)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Maximum</w:t>
            </w:r>
          </w:p>
          <w:p>
            <w:pPr>
              <w:pStyle w:val="TableContents"/>
              <w:bidi w:val="0"/>
              <w:spacing w:before="0" w:after="0"/>
              <w:jc w:val="center"/>
              <w:rPr>
                <w:rFonts w:ascii="Times New Roman" w:hAnsi="Times New Roman"/>
                <w:b/>
                <w:sz w:val="14"/>
              </w:rPr>
            </w:pPr>
            <w:r>
              <w:rPr>
                <w:rFonts w:ascii="Times New Roman" w:hAnsi="Times New Roman"/>
                <w:b/>
                <w:sz w:val="14"/>
              </w:rPr>
              <w:t>Aggregate Offering</w:t>
            </w:r>
          </w:p>
          <w:p>
            <w:pPr>
              <w:pStyle w:val="TableContents"/>
              <w:bidi w:val="0"/>
              <w:spacing w:before="0" w:after="20"/>
              <w:jc w:val="center"/>
              <w:rPr>
                <w:rFonts w:ascii="Times New Roman" w:hAnsi="Times New Roman"/>
                <w:b/>
                <w:sz w:val="14"/>
              </w:rPr>
            </w:pPr>
            <w:r>
              <w:rPr>
                <w:rFonts w:ascii="Times New Roman" w:hAnsi="Times New Roman"/>
                <w:b/>
                <w:sz w:val="14"/>
              </w:rPr>
              <w:t>Price(2)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Amount of</w:t>
            </w:r>
          </w:p>
          <w:p>
            <w:pPr>
              <w:pStyle w:val="TableContents"/>
              <w:bidi w:val="0"/>
              <w:spacing w:before="0" w:after="0"/>
              <w:jc w:val="center"/>
              <w:rPr>
                <w:rFonts w:ascii="Times New Roman" w:hAnsi="Times New Roman"/>
                <w:b/>
                <w:sz w:val="14"/>
              </w:rPr>
            </w:pPr>
            <w:r>
              <w:rPr>
                <w:rFonts w:ascii="Times New Roman" w:hAnsi="Times New Roman"/>
                <w:b/>
                <w:sz w:val="14"/>
              </w:rPr>
              <w:t>Registration</w:t>
            </w:r>
          </w:p>
          <w:p>
            <w:pPr>
              <w:pStyle w:val="TableContents"/>
              <w:bidi w:val="0"/>
              <w:spacing w:before="0" w:after="20"/>
              <w:jc w:val="center"/>
              <w:rPr>
                <w:rFonts w:ascii="Times New Roman" w:hAnsi="Times New Roman"/>
                <w:b/>
                <w:sz w:val="14"/>
              </w:rPr>
            </w:pPr>
            <w:r>
              <w:rPr>
                <w:rFonts w:ascii="Times New Roman" w:hAnsi="Times New Roman"/>
                <w:b/>
                <w:sz w:val="14"/>
              </w:rPr>
              <w:t>Fee</w:t>
            </w:r>
          </w:p>
        </w:tc>
      </w:tr>
      <w:tr>
        <w:trPr>
          <w:trHeight w:val="15" w:hRule="atLeast"/>
        </w:trPr>
        <w:tc>
          <w:tcPr>
            <w:tcW w:w="9165" w:type="dxa"/>
            <w:gridSpan w:val="17"/>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9165" w:type="dxa"/>
            <w:gridSpan w:val="17"/>
            <w:tcBorders>
              <w:left w:val="single" w:sz="2" w:space="0" w:color="000000"/>
              <w:right w:val="single" w:sz="2" w:space="0" w:color="000000"/>
            </w:tcBorders>
            <w:tcMar>
              <w:left w:w="160" w:type="dxa"/>
              <w:right w:w="40" w:type="dxa"/>
            </w:tcMar>
            <w:vAlign w:val="center"/>
          </w:tcPr>
          <w:p>
            <w:pPr>
              <w:pStyle w:val="TableContents"/>
              <w:bidi w:val="0"/>
              <w:spacing w:before="0" w:after="283"/>
              <w:jc w:val="center"/>
              <w:rPr>
                <w:b/>
              </w:rPr>
            </w:pPr>
            <w:r>
              <w:rPr>
                <w:b/>
              </w:rPr>
              <w:t>Newly Registered Securities</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to</w:t>
            </w:r>
          </w:p>
          <w:p>
            <w:pPr>
              <w:pStyle w:val="TableContents"/>
              <w:bidi w:val="0"/>
              <w:spacing w:before="0" w:after="20"/>
              <w:jc w:val="center"/>
              <w:rPr>
                <w:rFonts w:ascii="Times New Roman" w:hAnsi="Times New Roman"/>
                <w:sz w:val="20"/>
              </w:rPr>
            </w:pPr>
            <w:r>
              <w:rPr>
                <w:rFonts w:ascii="Times New Roman" w:hAnsi="Times New Roman"/>
                <w:sz w:val="20"/>
              </w:rPr>
              <w:t>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w:t>
            </w:r>
          </w:p>
          <w:p>
            <w:pPr>
              <w:pStyle w:val="TableContents"/>
              <w:bidi w:val="0"/>
              <w:spacing w:before="0" w:after="0"/>
              <w:jc w:val="center"/>
              <w:rPr>
                <w:rFonts w:ascii="Times New Roman" w:hAnsi="Times New Roman"/>
                <w:sz w:val="20"/>
              </w:rPr>
            </w:pPr>
            <w:r>
              <w:rPr>
                <w:rFonts w:ascii="Times New Roman" w:hAnsi="Times New Roman"/>
                <w:sz w:val="20"/>
              </w:rPr>
              <w:t>stock, $0.0001</w:t>
            </w:r>
          </w:p>
          <w:p>
            <w:pPr>
              <w:pStyle w:val="TableContents"/>
              <w:bidi w:val="0"/>
              <w:spacing w:before="0" w:after="0"/>
              <w:jc w:val="center"/>
              <w:rPr>
                <w:rFonts w:ascii="Times New Roman" w:hAnsi="Times New Roman"/>
                <w:sz w:val="20"/>
              </w:rPr>
            </w:pPr>
            <w:r>
              <w:rPr>
                <w:rFonts w:ascii="Times New Roman" w:hAnsi="Times New Roman"/>
                <w:sz w:val="20"/>
              </w:rPr>
              <w:t>par value per</w:t>
            </w:r>
          </w:p>
          <w:p>
            <w:pPr>
              <w:pStyle w:val="TableContents"/>
              <w:bidi w:val="0"/>
              <w:spacing w:before="0" w:after="20"/>
              <w:jc w:val="center"/>
              <w:rPr>
                <w:rFonts w:ascii="Times New Roman" w:hAnsi="Times New Roman"/>
                <w:sz w:val="20"/>
              </w:rPr>
            </w:pPr>
            <w:r>
              <w:rPr>
                <w:rFonts w:ascii="Times New Roman" w:hAnsi="Times New Roman"/>
                <w:sz w:val="20"/>
              </w:rP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457(c)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3,689,465(1)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$21.31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$78,622,499.15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$0.0001531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$12,037.11</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25" w:type="dxa"/>
            <w:gridSpan w:val="7"/>
            <w:tcBorders/>
            <w:vAlign w:val="center"/>
          </w:tcPr>
          <w:p>
            <w:pPr>
              <w:pStyle w:val="TableContents"/>
              <w:bidi w:val="0"/>
              <w:spacing w:before="0" w:after="283"/>
              <w:jc w:val="center"/>
              <w:rPr>
                <w:b/>
              </w:rPr>
            </w:pPr>
            <w:r>
              <w:rPr>
                <w:b/>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$78,622,499.15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$12,037.11</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25" w:type="dxa"/>
            <w:gridSpan w:val="7"/>
            <w:tcBorders/>
            <w:vAlign w:val="center"/>
          </w:tcPr>
          <w:p>
            <w:pPr>
              <w:pStyle w:val="TableContents"/>
              <w:bidi w:val="0"/>
              <w:spacing w:before="0" w:after="283"/>
              <w:jc w:val="center"/>
              <w:rPr>
                <w:b/>
              </w:rPr>
            </w:pPr>
            <w:r>
              <w:rPr>
                <w:b/>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25" w:type="dxa"/>
            <w:gridSpan w:val="7"/>
            <w:tcBorders/>
            <w:vAlign w:val="center"/>
          </w:tcPr>
          <w:p>
            <w:pPr>
              <w:pStyle w:val="TableContents"/>
              <w:bidi w:val="0"/>
              <w:spacing w:before="0" w:after="283"/>
              <w:jc w:val="center"/>
              <w:rPr>
                <w:b/>
              </w:rPr>
            </w:pPr>
            <w:r>
              <w:rPr>
                <w:b/>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2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Net Fees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$12,037.11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number of shares of common stock, par value $0.0001 per share (Common Stock) of Tectonic Therapeutic, Inc. that will be offered for resale by the selling stockholders named in this registration statement (the Registration Statement). Pursuant to Rule 416(a) of the Securities Act of 1933, as amended (the Securities Act), the Registration Statement shall also cover any additional shares of Common Stock that become issuable by reason of any stock dividend, stock split, recapitalization or other similar transaction effected without receipt of consideration that increases the number of outstanding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computing the amount of the registration fee pursuant to Rule 457(c) under the Securities Act, based on the average of the high and low sales price of the Common Stock as reported on the Nasdaq Global Market on March 25, 2025, a date within five business days prior to the filing of the Registration Statement.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hyperlink" Target="http://www.sec.gov/Archives/edgar/data/1681087/000119312524018812/d221662dex21.htm" TargetMode="External"/><Relationship Id="rId9" Type="http://schemas.openxmlformats.org/officeDocument/2006/relationships/hyperlink" Target="http://www.sec.gov/Archives/edgar/data/1681087/000119312524200609/d878693dex31.htm" TargetMode="External"/><Relationship Id="rId10" Type="http://schemas.openxmlformats.org/officeDocument/2006/relationships/hyperlink" Target="http://www.sec.gov/Archives/edgar/data/1681087/000119312518202460/d153924dex32.htm" TargetMode="External"/><Relationship Id="rId11" Type="http://schemas.openxmlformats.org/officeDocument/2006/relationships/hyperlink" Target="http://www.sec.gov/Archives/edgar/data/1681087/000095017025042648/tecx-ex4_1.htm" TargetMode="External"/><Relationship Id="rId12" Type="http://schemas.openxmlformats.org/officeDocument/2006/relationships/hyperlink" Target="http://www.sec.gov/Archives/edgar/data/1681087/000119312524164480/d852858dex101.htm" TargetMode="External"/><Relationship Id="rId13" Type="http://schemas.openxmlformats.org/officeDocument/2006/relationships/hyperlink" Target="http://www.sec.gov/Archives/edgar/data/1681087/000119312524164480/d852858dex102.htm" TargetMode="External"/><Relationship Id="rId14" Type="http://schemas.openxmlformats.org/officeDocument/2006/relationships/hyperlink" Target="http://www.sec.gov/Archives/edgar/data/1681087/000119312524164480/d852858dex103.htm" TargetMode="External"/><Relationship Id="rId15" Type="http://schemas.openxmlformats.org/officeDocument/2006/relationships/hyperlink" Target="http://www.sec.gov/Archives/edgar/data/1681087/000119312524034461/d770053dex1042.htm" TargetMode="External"/><Relationship Id="rId16" Type="http://schemas.openxmlformats.org/officeDocument/2006/relationships/hyperlink" Target="http://www.sec.gov/Archives/edgar/data/1681087/000119312524164480/d852858dex106.htm" TargetMode="External"/><Relationship Id="rId17" Type="http://schemas.openxmlformats.org/officeDocument/2006/relationships/hyperlink" Target="http://www.sec.gov/Archives/edgar/data/1681087/000119312524164480/d852858dex107.htm" TargetMode="External"/><Relationship Id="rId18" Type="http://schemas.openxmlformats.org/officeDocument/2006/relationships/hyperlink" Target="http://www.sec.gov/Archives/edgar/data/1681087/000119312524164480/d852858dex108.htm" TargetMode="External"/><Relationship Id="rId19" Type="http://schemas.openxmlformats.org/officeDocument/2006/relationships/hyperlink" Target="http://www.sec.gov/Archives/edgar/data/1681087/000119312524076669/d770053dex1035.htm" TargetMode="External"/><Relationship Id="rId20" Type="http://schemas.openxmlformats.org/officeDocument/2006/relationships/hyperlink" Target="http://www.sec.gov/Archives/edgar/data/1681087/000119312524076669/d770053dex1036.htm" TargetMode="External"/><Relationship Id="rId21" Type="http://schemas.openxmlformats.org/officeDocument/2006/relationships/hyperlink" Target="http://www.sec.gov/Archives/edgar/data/1681087/000119312524076669/d770053dex1037.htm" TargetMode="External"/><Relationship Id="rId22" Type="http://schemas.openxmlformats.org/officeDocument/2006/relationships/hyperlink" Target="http://www.sec.gov/Archives/edgar/data/1681087/000119312524076669/d770053dex1038.htm" TargetMode="External"/><Relationship Id="rId23" Type="http://schemas.openxmlformats.org/officeDocument/2006/relationships/hyperlink" Target="http://www.sec.gov/Archives/edgar/data/1681087/000119312524076669/d770053dex1039.htm" TargetMode="External"/><Relationship Id="rId24" Type="http://schemas.openxmlformats.org/officeDocument/2006/relationships/hyperlink" Target="http://www.sec.gov/Archives/edgar/data/1681087/000119312524076669/d770053dex1040.htm" TargetMode="External"/><Relationship Id="rId25" Type="http://schemas.openxmlformats.org/officeDocument/2006/relationships/hyperlink" Target="http://www.sec.gov/Archives/edgar/data/1681087/000119312524164480/d852858dex104.htm" TargetMode="External"/><Relationship Id="rId26" Type="http://schemas.openxmlformats.org/officeDocument/2006/relationships/hyperlink" Target="http://www.sec.gov/Archives/edgar/data/1681087/000119312524095517/d770053dex1043.htm" TargetMode="External"/><Relationship Id="rId27" Type="http://schemas.openxmlformats.org/officeDocument/2006/relationships/hyperlink" Target="http://www.sec.gov/Archives/edgar/data/1681087/000095017025042648/tecx-ex10_17.htm" TargetMode="External"/><Relationship Id="rId28" Type="http://schemas.openxmlformats.org/officeDocument/2006/relationships/hyperlink" Target="http://www.sec.gov/Archives/edgar/data/1681087/000119312524095517/d770053dex1047.htm" TargetMode="External"/><Relationship Id="rId29" Type="http://schemas.openxmlformats.org/officeDocument/2006/relationships/hyperlink" Target="http://www.sec.gov/Archives/edgar/data/1681087/000095017024125304/tecx-ex10_1.htm" TargetMode="External"/><Relationship Id="rId30" Type="http://schemas.openxmlformats.org/officeDocument/2006/relationships/hyperlink" Target="http://www.sec.gov/Archives/edgar/data/1681087/000119312525018840/d843684dex101.htm" TargetMode="External"/><Relationship Id="rId31" Type="http://schemas.openxmlformats.org/officeDocument/2006/relationships/hyperlink" Target="http://www.sec.gov/Archives/edgar/data/1681087/000119312525018840/d843684dex102.htm" TargetMode="External"/><Relationship Id="rId32" Type="http://schemas.openxmlformats.org/officeDocument/2006/relationships/hyperlink" Target="http://www.sec.gov/Archives/edgar/data/1681087/000119312524175599/d859790dex101.htm" TargetMode="External"/><Relationship Id="rId33" Type="http://schemas.openxmlformats.org/officeDocument/2006/relationships/hyperlink" Target="http://www.sec.gov/Archives/edgar/data/1681087/000095017025042648/tecx-ex19_1.htm" TargetMode="External"/><Relationship Id="rId34" Type="http://schemas.openxmlformats.org/officeDocument/2006/relationships/hyperlink" Target="http://www.sec.gov/Archives/edgar/data/1681087/000095017025042648/tecx-ex97_1.htm" TargetMode="External"/><Relationship Id="rId35" Type="http://schemas.openxmlformats.org/officeDocument/2006/relationships/image" Target="media/image6.jpeg"/><Relationship Id="rId36" Type="http://schemas.openxmlformats.org/officeDocument/2006/relationships/image" Target="media/image6.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173</Pages>
  <Words>111444</Words>
  <Characters>616449</Characters>
  <CharactersWithSpaces>732764</CharactersWithSpaces>
  <Paragraphs>11184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