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As filed with the Securities and Exchange Commission on May 25, 2018.</w:t>
      </w:r>
    </w:p>
    <w:p>
      <w:pPr>
        <w:spacing w:after="0" w:line="4" w:lineRule="exact"/>
        <w:rPr>
          <w:sz w:val="24"/>
          <w:szCs w:val="24"/>
          <w:color w:val="auto"/>
        </w:rPr>
      </w:pPr>
    </w:p>
    <w:p>
      <w:pPr>
        <w:ind w:left="95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30480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73660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8"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8"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S-1</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i w:val="1"/>
          <w:iCs w:val="1"/>
          <w:color w:val="auto"/>
        </w:rPr>
        <w:t>Under</w:t>
      </w:r>
    </w:p>
    <w:p>
      <w:pPr>
        <w:jc w:val="center"/>
        <w:ind w:right="-19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111760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5"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AVROBIO, INC.</w:t>
      </w:r>
    </w:p>
    <w:p>
      <w:pPr>
        <w:spacing w:after="0" w:line="3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1"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2700" w:type="dxa"/>
            <w:vAlign w:val="bottom"/>
          </w:tcPr>
          <w:p>
            <w:pPr>
              <w:jc w:val="center"/>
              <w:ind w:right="1014"/>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6"/>
              </w:rPr>
              <w:t>2836</w:t>
            </w:r>
          </w:p>
        </w:tc>
        <w:tc>
          <w:tcPr>
            <w:tcW w:w="2340" w:type="dxa"/>
            <w:vAlign w:val="bottom"/>
          </w:tcPr>
          <w:p>
            <w:pPr>
              <w:jc w:val="center"/>
              <w:ind w:left="1034"/>
              <w:spacing w:after="0"/>
              <w:rPr>
                <w:sz w:val="20"/>
                <w:szCs w:val="20"/>
                <w:color w:val="auto"/>
              </w:rPr>
            </w:pPr>
            <w:r>
              <w:rPr>
                <w:rFonts w:ascii="Arial" w:cs="Arial" w:eastAsia="Arial" w:hAnsi="Arial"/>
                <w:sz w:val="14"/>
                <w:szCs w:val="14"/>
                <w:b w:val="1"/>
                <w:bCs w:val="1"/>
                <w:color w:val="auto"/>
                <w:w w:val="90"/>
              </w:rPr>
              <w:t>81-0710585</w:t>
            </w:r>
          </w:p>
        </w:tc>
      </w:tr>
      <w:tr>
        <w:trPr>
          <w:trHeight w:val="135"/>
        </w:trPr>
        <w:tc>
          <w:tcPr>
            <w:tcW w:w="2700" w:type="dxa"/>
            <w:vAlign w:val="bottom"/>
          </w:tcPr>
          <w:p>
            <w:pPr>
              <w:jc w:val="center"/>
              <w:ind w:right="101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(Primary Standard Industrial</w:t>
            </w:r>
          </w:p>
        </w:tc>
        <w:tc>
          <w:tcPr>
            <w:tcW w:w="2340" w:type="dxa"/>
            <w:vAlign w:val="bottom"/>
          </w:tcPr>
          <w:p>
            <w:pPr>
              <w:jc w:val="center"/>
              <w:ind w:left="1034"/>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00" w:type="dxa"/>
            <w:vAlign w:val="bottom"/>
          </w:tcPr>
          <w:p>
            <w:pPr>
              <w:jc w:val="center"/>
              <w:ind w:right="994"/>
              <w:spacing w:after="0"/>
              <w:rPr>
                <w:sz w:val="20"/>
                <w:szCs w:val="20"/>
                <w:color w:val="auto"/>
              </w:rPr>
            </w:pPr>
            <w:r>
              <w:rPr>
                <w:rFonts w:ascii="Arial" w:cs="Arial" w:eastAsia="Arial" w:hAnsi="Arial"/>
                <w:sz w:val="13"/>
                <w:szCs w:val="13"/>
                <w:b w:val="1"/>
                <w:bCs w:val="1"/>
                <w:color w:val="auto"/>
                <w:w w:val="88"/>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40" w:type="dxa"/>
            <w:vAlign w:val="bottom"/>
          </w:tcPr>
          <w:p>
            <w:pPr>
              <w:jc w:val="center"/>
              <w:ind w:left="1034"/>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121920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2"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One Kendall Square</w:t>
      </w:r>
    </w:p>
    <w:p>
      <w:pPr>
        <w:jc w:val="center"/>
        <w:ind w:right="-199"/>
        <w:spacing w:after="0" w:line="233" w:lineRule="auto"/>
        <w:rPr>
          <w:sz w:val="20"/>
          <w:szCs w:val="20"/>
          <w:color w:val="auto"/>
        </w:rPr>
      </w:pPr>
      <w:r>
        <w:rPr>
          <w:rFonts w:ascii="Arial" w:cs="Arial" w:eastAsia="Arial" w:hAnsi="Arial"/>
          <w:sz w:val="15"/>
          <w:szCs w:val="15"/>
          <w:b w:val="1"/>
          <w:bCs w:val="1"/>
          <w:color w:val="auto"/>
        </w:rPr>
        <w:t>Building 300, Suite 201</w:t>
      </w:r>
    </w:p>
    <w:p>
      <w:pPr>
        <w:jc w:val="center"/>
        <w:ind w:right="-199"/>
        <w:spacing w:after="0" w:line="225" w:lineRule="auto"/>
        <w:rPr>
          <w:sz w:val="20"/>
          <w:szCs w:val="20"/>
          <w:color w:val="auto"/>
        </w:rPr>
      </w:pPr>
      <w:r>
        <w:rPr>
          <w:rFonts w:ascii="Arial" w:cs="Arial" w:eastAsia="Arial" w:hAnsi="Arial"/>
          <w:sz w:val="15"/>
          <w:szCs w:val="15"/>
          <w:b w:val="1"/>
          <w:bCs w:val="1"/>
          <w:color w:val="auto"/>
        </w:rPr>
        <w:t>Cambridge, MA 02139</w:t>
      </w:r>
    </w:p>
    <w:p>
      <w:pPr>
        <w:jc w:val="center"/>
        <w:ind w:right="-199"/>
        <w:spacing w:after="0" w:line="222" w:lineRule="auto"/>
        <w:rPr>
          <w:sz w:val="20"/>
          <w:szCs w:val="20"/>
          <w:color w:val="auto"/>
        </w:rPr>
      </w:pPr>
      <w:r>
        <w:rPr>
          <w:rFonts w:ascii="Arial" w:cs="Arial" w:eastAsia="Arial" w:hAnsi="Arial"/>
          <w:sz w:val="15"/>
          <w:szCs w:val="15"/>
          <w:b w:val="1"/>
          <w:bCs w:val="1"/>
          <w:color w:val="auto"/>
        </w:rPr>
        <w:t>(617) 914-8420</w:t>
      </w:r>
    </w:p>
    <w:p>
      <w:pPr>
        <w:jc w:val="center"/>
        <w:ind w:right="-1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104775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6"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Geoff MacKay</w:t>
      </w:r>
    </w:p>
    <w:p>
      <w:pPr>
        <w:jc w:val="center"/>
        <w:ind w:right="-199"/>
        <w:spacing w:after="0" w:line="233" w:lineRule="auto"/>
        <w:rPr>
          <w:sz w:val="20"/>
          <w:szCs w:val="20"/>
          <w:color w:val="auto"/>
        </w:rPr>
      </w:pPr>
      <w:r>
        <w:rPr>
          <w:rFonts w:ascii="Arial" w:cs="Arial" w:eastAsia="Arial" w:hAnsi="Arial"/>
          <w:sz w:val="15"/>
          <w:szCs w:val="15"/>
          <w:b w:val="1"/>
          <w:bCs w:val="1"/>
          <w:color w:val="auto"/>
        </w:rPr>
        <w:t>President and Chief Executive Officer</w:t>
      </w:r>
    </w:p>
    <w:p>
      <w:pPr>
        <w:jc w:val="center"/>
        <w:ind w:right="-199"/>
        <w:spacing w:after="0" w:line="225" w:lineRule="auto"/>
        <w:rPr>
          <w:sz w:val="20"/>
          <w:szCs w:val="20"/>
          <w:color w:val="auto"/>
        </w:rPr>
      </w:pPr>
      <w:r>
        <w:rPr>
          <w:rFonts w:ascii="Arial" w:cs="Arial" w:eastAsia="Arial" w:hAnsi="Arial"/>
          <w:sz w:val="15"/>
          <w:szCs w:val="15"/>
          <w:b w:val="1"/>
          <w:bCs w:val="1"/>
          <w:color w:val="auto"/>
        </w:rPr>
        <w:t>One Kendall Square</w:t>
      </w:r>
    </w:p>
    <w:p>
      <w:pPr>
        <w:jc w:val="center"/>
        <w:ind w:right="-199"/>
        <w:spacing w:after="0" w:line="226" w:lineRule="auto"/>
        <w:rPr>
          <w:sz w:val="20"/>
          <w:szCs w:val="20"/>
          <w:color w:val="auto"/>
        </w:rPr>
      </w:pPr>
      <w:r>
        <w:rPr>
          <w:rFonts w:ascii="Arial" w:cs="Arial" w:eastAsia="Arial" w:hAnsi="Arial"/>
          <w:sz w:val="15"/>
          <w:szCs w:val="15"/>
          <w:b w:val="1"/>
          <w:bCs w:val="1"/>
          <w:color w:val="auto"/>
        </w:rPr>
        <w:t>Building 300, Suite 201</w:t>
      </w:r>
    </w:p>
    <w:p>
      <w:pPr>
        <w:jc w:val="center"/>
        <w:ind w:right="-199"/>
        <w:spacing w:after="0" w:line="225" w:lineRule="auto"/>
        <w:rPr>
          <w:sz w:val="20"/>
          <w:szCs w:val="20"/>
          <w:color w:val="auto"/>
        </w:rPr>
      </w:pPr>
      <w:r>
        <w:rPr>
          <w:rFonts w:ascii="Arial" w:cs="Arial" w:eastAsia="Arial" w:hAnsi="Arial"/>
          <w:sz w:val="15"/>
          <w:szCs w:val="15"/>
          <w:b w:val="1"/>
          <w:bCs w:val="1"/>
          <w:color w:val="auto"/>
        </w:rPr>
        <w:t>Cambridge, MA 02139</w:t>
      </w:r>
    </w:p>
    <w:p>
      <w:pPr>
        <w:jc w:val="center"/>
        <w:ind w:right="-199"/>
        <w:spacing w:after="0" w:line="222" w:lineRule="auto"/>
        <w:rPr>
          <w:sz w:val="20"/>
          <w:szCs w:val="20"/>
          <w:color w:val="auto"/>
        </w:rPr>
      </w:pPr>
      <w:r>
        <w:rPr>
          <w:rFonts w:ascii="Arial" w:cs="Arial" w:eastAsia="Arial" w:hAnsi="Arial"/>
          <w:sz w:val="15"/>
          <w:szCs w:val="15"/>
          <w:b w:val="1"/>
          <w:bCs w:val="1"/>
          <w:color w:val="auto"/>
        </w:rPr>
        <w:t>(617) 914-8420</w:t>
      </w:r>
    </w:p>
    <w:p>
      <w:pPr>
        <w:jc w:val="center"/>
        <w:ind w:right="-1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104775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tbl>
      <w:tblPr>
        <w:tblLayout w:type="fixed"/>
        <w:tblInd w:w="1120" w:type="dxa"/>
        <w:tblCellMar>
          <w:top w:w="0" w:type="dxa"/>
          <w:left w:w="0" w:type="dxa"/>
          <w:bottom w:w="0" w:type="dxa"/>
          <w:right w:w="0" w:type="dxa"/>
        </w:tblCellMar>
      </w:tblPr>
      <w:tr>
        <w:trPr>
          <w:trHeight w:val="194"/>
        </w:trPr>
        <w:tc>
          <w:tcPr>
            <w:tcW w:w="2760" w:type="dxa"/>
            <w:vAlign w:val="bottom"/>
          </w:tcPr>
          <w:p>
            <w:pPr>
              <w:spacing w:after="0"/>
              <w:rPr>
                <w:sz w:val="16"/>
                <w:szCs w:val="16"/>
                <w:color w:val="auto"/>
              </w:rPr>
            </w:pPr>
          </w:p>
        </w:tc>
        <w:tc>
          <w:tcPr>
            <w:tcW w:w="3840" w:type="dxa"/>
            <w:vAlign w:val="bottom"/>
          </w:tcPr>
          <w:p>
            <w:pPr>
              <w:ind w:left="1520"/>
              <w:spacing w:after="0"/>
              <w:rPr>
                <w:sz w:val="20"/>
                <w:szCs w:val="20"/>
                <w:color w:val="auto"/>
              </w:rPr>
            </w:pPr>
            <w:r>
              <w:rPr>
                <w:rFonts w:ascii="Arial" w:cs="Arial" w:eastAsia="Arial" w:hAnsi="Arial"/>
                <w:sz w:val="15"/>
                <w:szCs w:val="15"/>
                <w:b w:val="1"/>
                <w:bCs w:val="1"/>
                <w:i w:val="1"/>
                <w:iCs w:val="1"/>
                <w:color w:val="auto"/>
              </w:rPr>
              <w:t>Copies to:</w:t>
            </w:r>
          </w:p>
        </w:tc>
        <w:tc>
          <w:tcPr>
            <w:tcW w:w="2680" w:type="dxa"/>
            <w:vAlign w:val="bottom"/>
          </w:tcPr>
          <w:p>
            <w:pPr>
              <w:spacing w:after="0"/>
              <w:rPr>
                <w:sz w:val="16"/>
                <w:szCs w:val="16"/>
                <w:color w:val="auto"/>
              </w:rPr>
            </w:pPr>
          </w:p>
        </w:tc>
      </w:tr>
      <w:tr>
        <w:trPr>
          <w:trHeight w:val="193"/>
        </w:trPr>
        <w:tc>
          <w:tcPr>
            <w:tcW w:w="2760" w:type="dxa"/>
            <w:vAlign w:val="bottom"/>
          </w:tcPr>
          <w:p>
            <w:pPr>
              <w:jc w:val="center"/>
              <w:ind w:right="783"/>
              <w:spacing w:after="0"/>
              <w:rPr>
                <w:sz w:val="20"/>
                <w:szCs w:val="20"/>
                <w:color w:val="auto"/>
              </w:rPr>
            </w:pPr>
            <w:r>
              <w:rPr>
                <w:rFonts w:ascii="Arial" w:cs="Arial" w:eastAsia="Arial" w:hAnsi="Arial"/>
                <w:sz w:val="15"/>
                <w:szCs w:val="15"/>
                <w:b w:val="1"/>
                <w:bCs w:val="1"/>
                <w:color w:val="auto"/>
                <w:w w:val="97"/>
              </w:rPr>
              <w:t>Arthur McGivern, Esq.</w:t>
            </w: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94"/>
              </w:rPr>
              <w:t>Katina Dorton</w:t>
            </w:r>
          </w:p>
        </w:tc>
        <w:tc>
          <w:tcPr>
            <w:tcW w:w="2680" w:type="dxa"/>
            <w:vAlign w:val="bottom"/>
          </w:tcPr>
          <w:p>
            <w:pPr>
              <w:jc w:val="center"/>
              <w:ind w:left="743"/>
              <w:spacing w:after="0"/>
              <w:rPr>
                <w:sz w:val="20"/>
                <w:szCs w:val="20"/>
                <w:color w:val="auto"/>
              </w:rPr>
            </w:pPr>
            <w:r>
              <w:rPr>
                <w:rFonts w:ascii="Arial" w:cs="Arial" w:eastAsia="Arial" w:hAnsi="Arial"/>
                <w:sz w:val="15"/>
                <w:szCs w:val="15"/>
                <w:b w:val="1"/>
                <w:bCs w:val="1"/>
                <w:color w:val="auto"/>
                <w:w w:val="95"/>
              </w:rPr>
              <w:t>Patrick O’Brien, Esq.</w:t>
            </w:r>
          </w:p>
        </w:tc>
      </w:tr>
      <w:tr>
        <w:trPr>
          <w:trHeight w:val="162"/>
        </w:trPr>
        <w:tc>
          <w:tcPr>
            <w:tcW w:w="2760" w:type="dxa"/>
            <w:vAlign w:val="bottom"/>
          </w:tcPr>
          <w:p>
            <w:pPr>
              <w:jc w:val="center"/>
              <w:ind w:right="763"/>
              <w:spacing w:after="0" w:line="162" w:lineRule="exact"/>
              <w:rPr>
                <w:sz w:val="20"/>
                <w:szCs w:val="20"/>
                <w:color w:val="auto"/>
              </w:rPr>
            </w:pPr>
            <w:r>
              <w:rPr>
                <w:rFonts w:ascii="Arial" w:cs="Arial" w:eastAsia="Arial" w:hAnsi="Arial"/>
                <w:sz w:val="15"/>
                <w:szCs w:val="15"/>
                <w:b w:val="1"/>
                <w:bCs w:val="1"/>
                <w:color w:val="auto"/>
                <w:w w:val="90"/>
              </w:rPr>
              <w:t>James Xu, Esq.</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9"/>
              </w:rPr>
              <w:t>AVROBIO, Inc.</w:t>
            </w:r>
          </w:p>
        </w:tc>
        <w:tc>
          <w:tcPr>
            <w:tcW w:w="2680" w:type="dxa"/>
            <w:vAlign w:val="bottom"/>
          </w:tcPr>
          <w:p>
            <w:pPr>
              <w:jc w:val="center"/>
              <w:ind w:left="723"/>
              <w:spacing w:after="0" w:line="162" w:lineRule="exact"/>
              <w:rPr>
                <w:sz w:val="20"/>
                <w:szCs w:val="20"/>
                <w:color w:val="auto"/>
              </w:rPr>
            </w:pPr>
            <w:r>
              <w:rPr>
                <w:rFonts w:ascii="Arial" w:cs="Arial" w:eastAsia="Arial" w:hAnsi="Arial"/>
                <w:sz w:val="15"/>
                <w:szCs w:val="15"/>
                <w:b w:val="1"/>
                <w:bCs w:val="1"/>
                <w:color w:val="auto"/>
                <w:w w:val="97"/>
              </w:rPr>
              <w:t>Ropes &amp; Gray LLP</w:t>
            </w:r>
          </w:p>
        </w:tc>
      </w:tr>
      <w:tr>
        <w:trPr>
          <w:trHeight w:val="162"/>
        </w:trPr>
        <w:tc>
          <w:tcPr>
            <w:tcW w:w="2760" w:type="dxa"/>
            <w:vAlign w:val="bottom"/>
          </w:tcPr>
          <w:p>
            <w:pPr>
              <w:jc w:val="center"/>
              <w:ind w:right="783"/>
              <w:spacing w:after="0" w:line="162" w:lineRule="exact"/>
              <w:rPr>
                <w:sz w:val="20"/>
                <w:szCs w:val="20"/>
                <w:color w:val="auto"/>
              </w:rPr>
            </w:pPr>
            <w:r>
              <w:rPr>
                <w:rFonts w:ascii="Arial" w:cs="Arial" w:eastAsia="Arial" w:hAnsi="Arial"/>
                <w:sz w:val="15"/>
                <w:szCs w:val="15"/>
                <w:b w:val="1"/>
                <w:bCs w:val="1"/>
                <w:color w:val="auto"/>
                <w:w w:val="95"/>
              </w:rPr>
              <w:t>Goodwin Procter LLP</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One Kendall Square</w:t>
            </w:r>
          </w:p>
        </w:tc>
        <w:tc>
          <w:tcPr>
            <w:tcW w:w="2680" w:type="dxa"/>
            <w:vAlign w:val="bottom"/>
          </w:tcPr>
          <w:p>
            <w:pPr>
              <w:jc w:val="center"/>
              <w:ind w:left="723"/>
              <w:spacing w:after="0" w:line="162" w:lineRule="exact"/>
              <w:rPr>
                <w:sz w:val="20"/>
                <w:szCs w:val="20"/>
                <w:color w:val="auto"/>
              </w:rPr>
            </w:pPr>
            <w:r>
              <w:rPr>
                <w:rFonts w:ascii="Arial" w:cs="Arial" w:eastAsia="Arial" w:hAnsi="Arial"/>
                <w:sz w:val="15"/>
                <w:szCs w:val="15"/>
                <w:b w:val="1"/>
                <w:bCs w:val="1"/>
                <w:color w:val="auto"/>
                <w:w w:val="95"/>
              </w:rPr>
              <w:t>Prudential Tower</w:t>
            </w:r>
          </w:p>
        </w:tc>
      </w:tr>
      <w:tr>
        <w:trPr>
          <w:trHeight w:val="162"/>
        </w:trPr>
        <w:tc>
          <w:tcPr>
            <w:tcW w:w="2760" w:type="dxa"/>
            <w:vAlign w:val="bottom"/>
          </w:tcPr>
          <w:p>
            <w:pPr>
              <w:jc w:val="center"/>
              <w:ind w:right="763"/>
              <w:spacing w:after="0" w:line="162" w:lineRule="exact"/>
              <w:rPr>
                <w:sz w:val="20"/>
                <w:szCs w:val="20"/>
                <w:color w:val="auto"/>
              </w:rPr>
            </w:pPr>
            <w:r>
              <w:rPr>
                <w:rFonts w:ascii="Arial" w:cs="Arial" w:eastAsia="Arial" w:hAnsi="Arial"/>
                <w:sz w:val="15"/>
                <w:szCs w:val="15"/>
                <w:b w:val="1"/>
                <w:bCs w:val="1"/>
                <w:color w:val="auto"/>
                <w:w w:val="92"/>
              </w:rPr>
              <w:t>100 Northern Avenue</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Building 300, Suite 201</w:t>
            </w:r>
          </w:p>
        </w:tc>
        <w:tc>
          <w:tcPr>
            <w:tcW w:w="2680" w:type="dxa"/>
            <w:vAlign w:val="bottom"/>
          </w:tcPr>
          <w:p>
            <w:pPr>
              <w:jc w:val="center"/>
              <w:ind w:left="743"/>
              <w:spacing w:after="0" w:line="162" w:lineRule="exact"/>
              <w:rPr>
                <w:sz w:val="20"/>
                <w:szCs w:val="20"/>
                <w:color w:val="auto"/>
              </w:rPr>
            </w:pPr>
            <w:r>
              <w:rPr>
                <w:rFonts w:ascii="Arial" w:cs="Arial" w:eastAsia="Arial" w:hAnsi="Arial"/>
                <w:sz w:val="15"/>
                <w:szCs w:val="15"/>
                <w:b w:val="1"/>
                <w:bCs w:val="1"/>
                <w:color w:val="auto"/>
                <w:w w:val="89"/>
              </w:rPr>
              <w:t>800 Boylston Street</w:t>
            </w:r>
          </w:p>
        </w:tc>
      </w:tr>
      <w:tr>
        <w:trPr>
          <w:trHeight w:val="162"/>
        </w:trPr>
        <w:tc>
          <w:tcPr>
            <w:tcW w:w="2760" w:type="dxa"/>
            <w:vAlign w:val="bottom"/>
          </w:tcPr>
          <w:p>
            <w:pPr>
              <w:jc w:val="center"/>
              <w:ind w:right="783"/>
              <w:spacing w:after="0" w:line="162" w:lineRule="exact"/>
              <w:rPr>
                <w:sz w:val="20"/>
                <w:szCs w:val="20"/>
                <w:color w:val="auto"/>
              </w:rPr>
            </w:pPr>
            <w:r>
              <w:rPr>
                <w:rFonts w:ascii="Arial" w:cs="Arial" w:eastAsia="Arial" w:hAnsi="Arial"/>
                <w:sz w:val="15"/>
                <w:szCs w:val="15"/>
                <w:b w:val="1"/>
                <w:bCs w:val="1"/>
                <w:color w:val="auto"/>
                <w:w w:val="89"/>
              </w:rPr>
              <w:t>Boston, Massachusetts 02210</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Cambridge, Massachusetts 02139</w:t>
            </w:r>
          </w:p>
        </w:tc>
        <w:tc>
          <w:tcPr>
            <w:tcW w:w="2680" w:type="dxa"/>
            <w:vAlign w:val="bottom"/>
          </w:tcPr>
          <w:p>
            <w:pPr>
              <w:jc w:val="center"/>
              <w:ind w:left="723"/>
              <w:spacing w:after="0" w:line="162" w:lineRule="exact"/>
              <w:rPr>
                <w:sz w:val="20"/>
                <w:szCs w:val="20"/>
                <w:color w:val="auto"/>
              </w:rPr>
            </w:pPr>
            <w:r>
              <w:rPr>
                <w:rFonts w:ascii="Arial" w:cs="Arial" w:eastAsia="Arial" w:hAnsi="Arial"/>
                <w:sz w:val="15"/>
                <w:szCs w:val="15"/>
                <w:b w:val="1"/>
                <w:bCs w:val="1"/>
                <w:color w:val="auto"/>
                <w:w w:val="88"/>
              </w:rPr>
              <w:t>Boston, Massachusetts 02199</w:t>
            </w:r>
          </w:p>
        </w:tc>
      </w:tr>
      <w:tr>
        <w:trPr>
          <w:trHeight w:val="198"/>
        </w:trPr>
        <w:tc>
          <w:tcPr>
            <w:tcW w:w="2760" w:type="dxa"/>
            <w:vAlign w:val="bottom"/>
          </w:tcPr>
          <w:p>
            <w:pPr>
              <w:jc w:val="center"/>
              <w:ind w:right="763"/>
              <w:spacing w:after="0"/>
              <w:rPr>
                <w:sz w:val="20"/>
                <w:szCs w:val="20"/>
                <w:color w:val="auto"/>
              </w:rPr>
            </w:pPr>
            <w:r>
              <w:rPr>
                <w:rFonts w:ascii="Arial" w:cs="Arial" w:eastAsia="Arial" w:hAnsi="Arial"/>
                <w:sz w:val="15"/>
                <w:szCs w:val="15"/>
                <w:b w:val="1"/>
                <w:bCs w:val="1"/>
                <w:color w:val="auto"/>
                <w:w w:val="93"/>
              </w:rPr>
              <w:t>(617) 570-1000</w:t>
            </w: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91"/>
              </w:rPr>
              <w:t>(617) 914-8420</w:t>
            </w:r>
          </w:p>
        </w:tc>
        <w:tc>
          <w:tcPr>
            <w:tcW w:w="2680" w:type="dxa"/>
            <w:vAlign w:val="bottom"/>
          </w:tcPr>
          <w:p>
            <w:pPr>
              <w:jc w:val="center"/>
              <w:ind w:left="723"/>
              <w:spacing w:after="0"/>
              <w:rPr>
                <w:sz w:val="20"/>
                <w:szCs w:val="20"/>
                <w:color w:val="auto"/>
              </w:rPr>
            </w:pPr>
            <w:r>
              <w:rPr>
                <w:rFonts w:ascii="Arial" w:cs="Arial" w:eastAsia="Arial" w:hAnsi="Arial"/>
                <w:sz w:val="15"/>
                <w:szCs w:val="15"/>
                <w:b w:val="1"/>
                <w:bCs w:val="1"/>
                <w:color w:val="auto"/>
                <w:w w:val="93"/>
              </w:rPr>
              <w:t>(617) 951-7000</w:t>
            </w:r>
          </w:p>
        </w:tc>
      </w:tr>
    </w:tbl>
    <w:p>
      <w:pPr>
        <w:spacing w:after="0" w:line="26"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the effective date of this registration statement</w:t>
      </w:r>
      <w:r>
        <w:rPr>
          <w:rFonts w:ascii="Arial" w:cs="Arial" w:eastAsia="Arial" w:hAnsi="Arial"/>
          <w:sz w:val="14"/>
          <w:szCs w:val="14"/>
          <w:color w:val="auto"/>
        </w:rPr>
        <w:t>.</w:t>
      </w:r>
    </w:p>
    <w:p>
      <w:pPr>
        <w:spacing w:after="0" w:line="46" w:lineRule="exact"/>
        <w:rPr>
          <w:sz w:val="24"/>
          <w:szCs w:val="24"/>
          <w:color w:val="auto"/>
        </w:rPr>
      </w:pPr>
    </w:p>
    <w:p>
      <w:pPr>
        <w:ind w:left="200" w:right="2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8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2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240" w:top="230" w:right="419" w:bottom="1440" w:gutter="0" w:footer="0" w:header="0"/>
        </w:sectPr>
      </w:pPr>
    </w:p>
    <w:p>
      <w:pPr>
        <w:spacing w:after="0" w:line="11" w:lineRule="exact"/>
        <w:rPr>
          <w:sz w:val="24"/>
          <w:szCs w:val="24"/>
          <w:color w:val="auto"/>
        </w:rPr>
      </w:pPr>
    </w:p>
    <w:tbl>
      <w:tblPr>
        <w:tblLayout w:type="fixed"/>
        <w:tblInd w:w="200" w:type="dxa"/>
        <w:tblCellMar>
          <w:top w:w="0" w:type="dxa"/>
          <w:left w:w="0" w:type="dxa"/>
          <w:bottom w:w="0" w:type="dxa"/>
          <w:right w:w="0" w:type="dxa"/>
        </w:tblCellMar>
      </w:tblPr>
      <w:tr>
        <w:trPr>
          <w:trHeight w:val="181"/>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2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3860" w:type="dxa"/>
            <w:vAlign w:val="bottom"/>
          </w:tcPr>
          <w:p>
            <w:pPr>
              <w:ind w:left="2200"/>
              <w:spacing w:after="0"/>
              <w:rPr>
                <w:sz w:val="20"/>
                <w:szCs w:val="20"/>
                <w:color w:val="auto"/>
              </w:rPr>
            </w:pPr>
            <w:r>
              <w:rPr>
                <w:rFonts w:ascii="Arial" w:cs="Arial" w:eastAsia="Arial" w:hAnsi="Arial"/>
                <w:sz w:val="14"/>
                <w:szCs w:val="14"/>
                <w:color w:val="auto"/>
              </w:rPr>
              <w:t>Accelerated Filer</w:t>
            </w:r>
          </w:p>
        </w:tc>
      </w:tr>
      <w:tr>
        <w:trPr>
          <w:trHeight w:val="211"/>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522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860" w:type="dxa"/>
            <w:vAlign w:val="bottom"/>
          </w:tcPr>
          <w:p>
            <w:pPr>
              <w:ind w:left="2200"/>
              <w:spacing w:after="0"/>
              <w:rPr>
                <w:sz w:val="20"/>
                <w:szCs w:val="20"/>
                <w:color w:val="auto"/>
              </w:rPr>
            </w:pPr>
            <w:r>
              <w:rPr>
                <w:rFonts w:ascii="Arial" w:cs="Arial" w:eastAsia="Arial" w:hAnsi="Arial"/>
                <w:sz w:val="14"/>
                <w:szCs w:val="14"/>
                <w:color w:val="auto"/>
                <w:w w:val="93"/>
              </w:rPr>
              <w:t>Smaller Reporting Company</w:t>
            </w:r>
          </w:p>
        </w:tc>
      </w:tr>
      <w:tr>
        <w:trPr>
          <w:trHeight w:val="182"/>
        </w:trPr>
        <w:tc>
          <w:tcPr>
            <w:tcW w:w="150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3860" w:type="dxa"/>
            <w:vAlign w:val="bottom"/>
          </w:tcPr>
          <w:p>
            <w:pPr>
              <w:ind w:left="2200"/>
              <w:spacing w:after="0"/>
              <w:rPr>
                <w:sz w:val="20"/>
                <w:szCs w:val="20"/>
                <w:color w:val="auto"/>
              </w:rPr>
            </w:pPr>
            <w:r>
              <w:rPr>
                <w:rFonts w:ascii="Arial" w:cs="Arial" w:eastAsia="Arial" w:hAnsi="Arial"/>
                <w:sz w:val="14"/>
                <w:szCs w:val="14"/>
                <w:color w:val="auto"/>
                <w:w w:val="94"/>
              </w:rPr>
              <w:t>Emerging Growth Company</w:t>
            </w:r>
          </w:p>
        </w:tc>
      </w:tr>
    </w:tbl>
    <w:p>
      <w:pPr>
        <w:spacing w:after="0" w:line="20" w:lineRule="exact"/>
        <w:rPr>
          <w:sz w:val="24"/>
          <w:szCs w:val="24"/>
          <w:color w:val="auto"/>
        </w:rPr>
      </w:pPr>
    </w:p>
    <w:p>
      <w:pPr>
        <w:ind w:left="2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 w:lineRule="exact"/>
        <w:rPr>
          <w:sz w:val="24"/>
          <w:szCs w:val="24"/>
          <w:color w:val="auto"/>
        </w:rPr>
      </w:pPr>
    </w:p>
    <w:p>
      <w:pPr>
        <w:jc w:val="center"/>
        <w:ind w:left="560"/>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75" w:lineRule="exact"/>
        <w:rPr>
          <w:sz w:val="24"/>
          <w:szCs w:val="24"/>
          <w:color w:val="auto"/>
        </w:rPr>
      </w:pPr>
    </w:p>
    <w:p>
      <w:pPr>
        <w:sectPr>
          <w:pgSz w:w="11900" w:h="16838" w:orient="portrait"/>
          <w:cols w:equalWidth="0" w:num="2">
            <w:col w:w="10880" w:space="200"/>
            <w:col w:w="160"/>
          </w:cols>
          <w:pgMar w:left="240" w:top="230" w:right="419" w:bottom="1440" w:gutter="0" w:footer="0" w:header="0"/>
          <w:type w:val="continuous"/>
        </w:sect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70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70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PROPOSED</w:t>
            </w: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TITLE OF EACH CLASS OF</w:t>
            </w:r>
          </w:p>
        </w:tc>
        <w:tc>
          <w:tcPr>
            <w:tcW w:w="1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MAXIMUM</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70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AGGREGATE</w:t>
            </w:r>
          </w:p>
        </w:tc>
        <w:tc>
          <w:tcPr>
            <w:tcW w:w="1660" w:type="dxa"/>
            <w:vAlign w:val="bottom"/>
          </w:tcPr>
          <w:p>
            <w:pPr>
              <w:jc w:val="center"/>
              <w:ind w:left="94"/>
              <w:spacing w:after="0" w:line="126" w:lineRule="exact"/>
              <w:rPr>
                <w:sz w:val="20"/>
                <w:szCs w:val="20"/>
                <w:color w:val="auto"/>
              </w:rPr>
            </w:pPr>
            <w:r>
              <w:rPr>
                <w:rFonts w:ascii="Arial" w:cs="Arial" w:eastAsia="Arial" w:hAnsi="Arial"/>
                <w:sz w:val="13"/>
                <w:szCs w:val="13"/>
                <w:b w:val="1"/>
                <w:bCs w:val="1"/>
                <w:color w:val="auto"/>
                <w:w w:val="99"/>
              </w:rPr>
              <w:t>AMOUNT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SECURITIES TO BE REGISTERED</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OFFERING PRICE(1)(2)</w:t>
            </w:r>
          </w:p>
        </w:tc>
        <w:tc>
          <w:tcPr>
            <w:tcW w:w="1660" w:type="dxa"/>
            <w:vAlign w:val="bottom"/>
            <w:tcBorders>
              <w:bottom w:val="single" w:sz="8" w:color="auto"/>
            </w:tcBorders>
          </w:tcPr>
          <w:p>
            <w:pPr>
              <w:jc w:val="center"/>
              <w:ind w:left="114"/>
              <w:spacing w:after="0"/>
              <w:rPr>
                <w:sz w:val="20"/>
                <w:szCs w:val="20"/>
                <w:color w:val="auto"/>
              </w:rPr>
            </w:pPr>
            <w:r>
              <w:rPr>
                <w:rFonts w:ascii="Arial" w:cs="Arial" w:eastAsia="Arial" w:hAnsi="Arial"/>
                <w:sz w:val="13"/>
                <w:szCs w:val="13"/>
                <w:b w:val="1"/>
                <w:bCs w:val="1"/>
                <w:color w:val="auto"/>
                <w:w w:val="97"/>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77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$0.0001 per share</w:t>
            </w:r>
          </w:p>
        </w:tc>
        <w:tc>
          <w:tcPr>
            <w:tcW w:w="1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86,250,000</w:t>
            </w:r>
          </w:p>
        </w:tc>
        <w:tc>
          <w:tcPr>
            <w:tcW w:w="1660" w:type="dxa"/>
            <w:vAlign w:val="bottom"/>
            <w:tcBorders>
              <w:bottom w:val="single" w:sz="8" w:color="auto"/>
            </w:tcBorders>
          </w:tcPr>
          <w:p>
            <w:pPr>
              <w:jc w:val="center"/>
              <w:ind w:left="94"/>
              <w:spacing w:after="0" w:line="142" w:lineRule="exact"/>
              <w:rPr>
                <w:sz w:val="20"/>
                <w:szCs w:val="20"/>
                <w:color w:val="auto"/>
              </w:rPr>
            </w:pPr>
            <w:r>
              <w:rPr>
                <w:rFonts w:ascii="Arial" w:cs="Arial" w:eastAsia="Arial" w:hAnsi="Arial"/>
                <w:sz w:val="14"/>
                <w:szCs w:val="14"/>
                <w:color w:val="auto"/>
                <w:w w:val="90"/>
              </w:rPr>
              <w:t>$10,739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4"/>
          <w:szCs w:val="2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offering price of shares that the underwriters may purchase pursuant to an option to purchase additional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8" w:lineRule="exact"/>
        <w:rPr>
          <w:sz w:val="24"/>
          <w:szCs w:val="24"/>
          <w:color w:val="auto"/>
        </w:rPr>
      </w:pPr>
    </w:p>
    <w:p>
      <w:pPr>
        <w:ind w:left="200" w:right="300"/>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39370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82550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40"/>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DE1A1E"/>
        </w:rPr>
        <w:t>SUBJECT TO COMPLETION, MAY 25, 2018</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DE1A1E"/>
        </w:rPr>
        <w:t>PRELIMINARY PROSPECTUS</w:t>
      </w:r>
    </w:p>
    <w:p>
      <w:pPr>
        <w:spacing w:after="0" w:line="258" w:lineRule="exact"/>
        <w:rPr>
          <w:sz w:val="20"/>
          <w:szCs w:val="20"/>
          <w:color w:val="auto"/>
        </w:rPr>
      </w:pPr>
    </w:p>
    <w:p>
      <w:pPr>
        <w:ind w:left="592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95885</wp:posOffset>
            </wp:positionV>
            <wp:extent cx="155194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9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230505</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200"/>
        <w:spacing w:after="0"/>
        <w:tabs>
          <w:tab w:leader="none" w:pos="2060" w:val="left"/>
        </w:tabs>
        <w:rPr>
          <w:sz w:val="20"/>
          <w:szCs w:val="20"/>
          <w:color w:val="auto"/>
        </w:rPr>
      </w:pPr>
      <w:r>
        <w:rPr>
          <w:rFonts w:ascii="Arial" w:cs="Arial" w:eastAsia="Arial" w:hAnsi="Arial"/>
          <w:sz w:val="18"/>
          <w:szCs w:val="18"/>
          <w:b w:val="1"/>
          <w:bCs w:val="1"/>
          <w:i w:val="1"/>
          <w:iCs w:val="1"/>
          <w:color w:val="auto"/>
        </w:rPr>
        <w:t>We are offering</w:t>
      </w:r>
      <w:r>
        <w:rPr>
          <w:sz w:val="20"/>
          <w:szCs w:val="20"/>
          <w:color w:val="auto"/>
        </w:rPr>
        <w:tab/>
      </w:r>
      <w:r>
        <w:rPr>
          <w:rFonts w:ascii="Arial" w:cs="Arial" w:eastAsia="Arial" w:hAnsi="Arial"/>
          <w:sz w:val="15"/>
          <w:szCs w:val="15"/>
          <w:b w:val="1"/>
          <w:bCs w:val="1"/>
          <w:i w:val="1"/>
          <w:iCs w:val="1"/>
          <w:color w:val="auto"/>
        </w:rPr>
        <w:t>shares of our common stock. This is our initial public offering and no public market currently exists for our common</w:t>
      </w:r>
    </w:p>
    <w:p>
      <w:pPr>
        <w:spacing w:after="0" w:line="23" w:lineRule="exact"/>
        <w:rPr>
          <w:sz w:val="20"/>
          <w:szCs w:val="20"/>
          <w:color w:val="auto"/>
        </w:rPr>
      </w:pPr>
    </w:p>
    <w:p>
      <w:pPr>
        <w:ind w:left="200"/>
        <w:spacing w:after="0"/>
        <w:tabs>
          <w:tab w:leader="none" w:pos="5260" w:val="left"/>
          <w:tab w:leader="none" w:pos="6040" w:val="left"/>
        </w:tabs>
        <w:rPr>
          <w:sz w:val="20"/>
          <w:szCs w:val="20"/>
          <w:color w:val="auto"/>
        </w:rPr>
      </w:pPr>
      <w:r>
        <w:rPr>
          <w:rFonts w:ascii="Arial" w:cs="Arial" w:eastAsia="Arial" w:hAnsi="Arial"/>
          <w:sz w:val="18"/>
          <w:szCs w:val="18"/>
          <w:b w:val="1"/>
          <w:bCs w:val="1"/>
          <w:i w:val="1"/>
          <w:iCs w:val="1"/>
          <w:color w:val="auto"/>
        </w:rPr>
        <w:t>stock. We expect the initial public offering price to be between $</w:t>
      </w:r>
      <w:r>
        <w:rPr>
          <w:sz w:val="20"/>
          <w:szCs w:val="20"/>
          <w:color w:val="auto"/>
        </w:rPr>
        <w:tab/>
      </w:r>
      <w:r>
        <w:rPr>
          <w:rFonts w:ascii="Arial" w:cs="Arial" w:eastAsia="Arial" w:hAnsi="Arial"/>
          <w:sz w:val="18"/>
          <w:szCs w:val="18"/>
          <w:b w:val="1"/>
          <w:bCs w:val="1"/>
          <w:i w:val="1"/>
          <w:iCs w:val="1"/>
          <w:color w:val="auto"/>
        </w:rPr>
        <w:t>and $</w:t>
      </w:r>
      <w:r>
        <w:rPr>
          <w:sz w:val="20"/>
          <w:szCs w:val="20"/>
          <w:color w:val="auto"/>
        </w:rPr>
        <w:tab/>
      </w:r>
      <w:r>
        <w:rPr>
          <w:rFonts w:ascii="Arial" w:cs="Arial" w:eastAsia="Arial" w:hAnsi="Arial"/>
          <w:sz w:val="15"/>
          <w:szCs w:val="15"/>
          <w:b w:val="1"/>
          <w:bCs w:val="1"/>
          <w:i w:val="1"/>
          <w:iCs w:val="1"/>
          <w:color w:val="auto"/>
        </w:rPr>
        <w:t>per share. We intend to apply to list our common stock on The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Nasdaq Global Market under the symbol “AVRO.”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00" w:right="5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as defined in Section 2(a) of the Securities Act of 1933 and will be subject to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196215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0" w:right="460"/>
        <w:spacing w:after="0" w:line="251"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Investing in our common stock involves a high degree of risk. Please read “</w:t>
      </w:r>
      <w:hyperlink w:anchor="page13">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10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209550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5820" w:type="dxa"/>
            <w:vAlign w:val="bottom"/>
          </w:tcPr>
          <w:p>
            <w:pPr>
              <w:spacing w:after="0"/>
              <w:rPr>
                <w:sz w:val="14"/>
                <w:szCs w:val="14"/>
                <w:color w:val="auto"/>
              </w:rPr>
            </w:pPr>
          </w:p>
        </w:tc>
        <w:tc>
          <w:tcPr>
            <w:tcW w:w="3820" w:type="dxa"/>
            <w:vAlign w:val="bottom"/>
            <w:gridSpan w:val="3"/>
          </w:tcPr>
          <w:p>
            <w:pPr>
              <w:ind w:left="2500"/>
              <w:spacing w:after="0"/>
              <w:rPr>
                <w:sz w:val="20"/>
                <w:szCs w:val="20"/>
                <w:color w:val="auto"/>
              </w:rPr>
            </w:pPr>
            <w:r>
              <w:rPr>
                <w:rFonts w:ascii="Arial" w:cs="Arial" w:eastAsia="Arial" w:hAnsi="Arial"/>
                <w:sz w:val="14"/>
                <w:szCs w:val="14"/>
                <w:b w:val="1"/>
                <w:bCs w:val="1"/>
                <w:i w:val="1"/>
                <w:iCs w:val="1"/>
                <w:color w:val="auto"/>
              </w:rPr>
              <w:t>PER SHARE</w:t>
            </w:r>
          </w:p>
        </w:tc>
        <w:tc>
          <w:tcPr>
            <w:tcW w:w="1080" w:type="dxa"/>
            <w:vAlign w:val="bottom"/>
            <w:gridSpan w:val="3"/>
          </w:tcPr>
          <w:p>
            <w:pPr>
              <w:ind w:left="620"/>
              <w:spacing w:after="0"/>
              <w:rPr>
                <w:sz w:val="20"/>
                <w:szCs w:val="20"/>
                <w:color w:val="auto"/>
              </w:rPr>
            </w:pPr>
            <w:r>
              <w:rPr>
                <w:rFonts w:ascii="Arial" w:cs="Arial" w:eastAsia="Arial" w:hAnsi="Arial"/>
                <w:sz w:val="14"/>
                <w:szCs w:val="14"/>
                <w:b w:val="1"/>
                <w:bCs w:val="1"/>
                <w:i w:val="1"/>
                <w:iCs w:val="1"/>
                <w:color w:val="auto"/>
                <w:w w:val="94"/>
              </w:rPr>
              <w:t>TOTAL</w:t>
            </w:r>
          </w:p>
        </w:tc>
      </w:tr>
      <w:tr>
        <w:trPr>
          <w:trHeight w:val="182"/>
        </w:trPr>
        <w:tc>
          <w:tcPr>
            <w:tcW w:w="5820" w:type="dxa"/>
            <w:vAlign w:val="bottom"/>
          </w:tcPr>
          <w:p>
            <w:pPr>
              <w:spacing w:after="0" w:line="182" w:lineRule="exact"/>
              <w:rPr>
                <w:sz w:val="20"/>
                <w:szCs w:val="20"/>
                <w:color w:val="auto"/>
              </w:rPr>
            </w:pPr>
            <w:r>
              <w:rPr>
                <w:rFonts w:ascii="Arial" w:cs="Arial" w:eastAsia="Arial" w:hAnsi="Arial"/>
                <w:sz w:val="18"/>
                <w:szCs w:val="18"/>
                <w:i w:val="1"/>
                <w:iCs w:val="1"/>
                <w:color w:val="auto"/>
              </w:rPr>
              <w:t>Public Offering Price</w:t>
            </w:r>
          </w:p>
        </w:tc>
        <w:tc>
          <w:tcPr>
            <w:tcW w:w="2500" w:type="dxa"/>
            <w:vAlign w:val="bottom"/>
          </w:tcPr>
          <w:p>
            <w:pPr>
              <w:spacing w:after="0"/>
              <w:rPr>
                <w:sz w:val="15"/>
                <w:szCs w:val="15"/>
                <w:color w:val="auto"/>
              </w:rPr>
            </w:pPr>
          </w:p>
        </w:tc>
        <w:tc>
          <w:tcPr>
            <w:tcW w:w="800" w:type="dxa"/>
            <w:vAlign w:val="bottom"/>
            <w:tcBorders>
              <w:top w:val="single" w:sz="8" w:color="auto"/>
            </w:tcBorders>
          </w:tcPr>
          <w:p>
            <w:pPr>
              <w:jc w:val="right"/>
              <w:ind w:right="570"/>
              <w:spacing w:after="0" w:line="182" w:lineRule="exact"/>
              <w:rPr>
                <w:sz w:val="20"/>
                <w:szCs w:val="20"/>
                <w:color w:val="auto"/>
              </w:rPr>
            </w:pPr>
            <w:r>
              <w:rPr>
                <w:rFonts w:ascii="Arial" w:cs="Arial" w:eastAsia="Arial" w:hAnsi="Arial"/>
                <w:sz w:val="18"/>
                <w:szCs w:val="18"/>
                <w:i w:val="1"/>
                <w:iCs w:val="1"/>
                <w:color w:val="auto"/>
              </w:rPr>
              <w:t>$</w:t>
            </w:r>
          </w:p>
        </w:tc>
        <w:tc>
          <w:tcPr>
            <w:tcW w:w="52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i w:val="1"/>
                <w:iCs w:val="1"/>
                <w:color w:val="auto"/>
              </w:rPr>
              <w:t>$</w:t>
            </w:r>
          </w:p>
        </w:tc>
        <w:tc>
          <w:tcPr>
            <w:tcW w:w="4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i w:val="1"/>
                <w:iCs w:val="1"/>
                <w:color w:val="auto"/>
              </w:rPr>
              <w:t>Underwriting Discounts and Commissions (1)</w:t>
            </w:r>
          </w:p>
        </w:tc>
        <w:tc>
          <w:tcPr>
            <w:tcW w:w="2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i w:val="1"/>
                <w:iCs w:val="1"/>
                <w:color w:val="auto"/>
              </w:rPr>
              <w:t>Proceeds to us, before expenses</w:t>
            </w:r>
          </w:p>
        </w:tc>
        <w:tc>
          <w:tcPr>
            <w:tcW w:w="2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See “Underwriters” in this prospectus for a description of compensation payable to the underwriters.</w:t>
      </w:r>
    </w:p>
    <w:p>
      <w:pPr>
        <w:sectPr>
          <w:pgSz w:w="11900" w:h="16838" w:orient="portrait"/>
          <w:cols w:equalWidth="0" w:num="1">
            <w:col w:w="11220"/>
          </w:cols>
          <w:pgMar w:left="240" w:top="459" w:right="439" w:bottom="1440" w:gutter="0" w:footer="0" w:header="0"/>
        </w:sectPr>
      </w:pPr>
    </w:p>
    <w:p>
      <w:pPr>
        <w:spacing w:after="0" w:line="225"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i w:val="1"/>
          <w:iCs w:val="1"/>
          <w:color w:val="auto"/>
        </w:rPr>
        <w:t>We have granted the underwriters an option for a period of 30 days to purchase an additional exercise the option in full, the total underwriting discounts and commissions payable by us will be $</w:t>
      </w:r>
    </w:p>
    <w:p>
      <w:pPr>
        <w:ind w:left="200"/>
        <w:spacing w:after="0"/>
        <w:tabs>
          <w:tab w:leader="none" w:pos="1160" w:val="left"/>
        </w:tabs>
        <w:rPr>
          <w:sz w:val="20"/>
          <w:szCs w:val="20"/>
          <w:color w:val="auto"/>
        </w:rPr>
      </w:pPr>
      <w:r>
        <w:rPr>
          <w:rFonts w:ascii="Arial" w:cs="Arial" w:eastAsia="Arial" w:hAnsi="Arial"/>
          <w:sz w:val="18"/>
          <w:szCs w:val="18"/>
          <w:i w:val="1"/>
          <w:iCs w:val="1"/>
          <w:color w:val="auto"/>
        </w:rPr>
        <w:t>will be $</w:t>
      </w:r>
      <w:r>
        <w:rPr>
          <w:sz w:val="20"/>
          <w:szCs w:val="20"/>
          <w:color w:val="auto"/>
        </w:rPr>
        <w:tab/>
      </w:r>
      <w:r>
        <w:rPr>
          <w:rFonts w:ascii="Arial" w:cs="Arial" w:eastAsia="Arial" w:hAnsi="Arial"/>
          <w:sz w:val="14"/>
          <w:szCs w:val="14"/>
          <w:i w:val="1"/>
          <w:iCs w:val="1"/>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80"/>
        <w:spacing w:after="0" w:line="381" w:lineRule="auto"/>
        <w:rPr>
          <w:sz w:val="20"/>
          <w:szCs w:val="20"/>
          <w:color w:val="auto"/>
        </w:rPr>
      </w:pPr>
      <w:r>
        <w:rPr>
          <w:rFonts w:ascii="Arial" w:cs="Arial" w:eastAsia="Arial" w:hAnsi="Arial"/>
          <w:sz w:val="15"/>
          <w:szCs w:val="15"/>
          <w:i w:val="1"/>
          <w:iCs w:val="1"/>
          <w:color w:val="auto"/>
        </w:rPr>
        <w:t>shares of our common stock. If the underwriters , and the total proceeds to us, before expenses,</w:t>
      </w:r>
    </w:p>
    <w:p>
      <w:pPr>
        <w:spacing w:after="0" w:line="305" w:lineRule="exact"/>
        <w:rPr>
          <w:sz w:val="20"/>
          <w:szCs w:val="20"/>
          <w:color w:val="auto"/>
        </w:rPr>
      </w:pPr>
    </w:p>
    <w:p>
      <w:pPr>
        <w:sectPr>
          <w:pgSz w:w="11900" w:h="16838" w:orient="portrait"/>
          <w:cols w:equalWidth="0" w:num="2">
            <w:col w:w="7400" w:space="280"/>
            <w:col w:w="3540"/>
          </w:cols>
          <w:pgMar w:left="240" w:top="459" w:right="439" w:bottom="1440" w:gutter="0" w:footer="0" w:header="0"/>
          <w:type w:val="continuous"/>
        </w:sectPr>
      </w:pPr>
    </w:p>
    <w:p>
      <w:pPr>
        <w:spacing w:after="0" w:line="119"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18"/>
                <w:szCs w:val="18"/>
                <w:i w:val="1"/>
                <w:iCs w:val="1"/>
                <w:color w:val="auto"/>
                <w:w w:val="95"/>
              </w:rPr>
              <w:t>Delivery of the shares of common stock is expected to be made on or about</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222885</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spacing w:after="0"/>
        <w:tabs>
          <w:tab w:leader="none" w:pos="5200" w:val="left"/>
          <w:tab w:leader="none" w:pos="8800" w:val="left"/>
        </w:tabs>
        <w:rPr>
          <w:sz w:val="20"/>
          <w:szCs w:val="20"/>
          <w:color w:val="auto"/>
        </w:rPr>
      </w:pPr>
      <w:r>
        <w:rPr>
          <w:rFonts w:ascii="Arial" w:cs="Arial" w:eastAsia="Arial" w:hAnsi="Arial"/>
          <w:sz w:val="20"/>
          <w:szCs w:val="20"/>
          <w:i w:val="1"/>
          <w:iCs w:val="1"/>
          <w:color w:val="auto"/>
        </w:rPr>
        <w:t>MORGAN STANLEY</w:t>
      </w:r>
      <w:r>
        <w:rPr>
          <w:sz w:val="20"/>
          <w:szCs w:val="20"/>
          <w:color w:val="auto"/>
        </w:rPr>
        <w:tab/>
      </w:r>
      <w:r>
        <w:rPr>
          <w:rFonts w:ascii="Arial" w:cs="Arial" w:eastAsia="Arial" w:hAnsi="Arial"/>
          <w:sz w:val="20"/>
          <w:szCs w:val="20"/>
          <w:i w:val="1"/>
          <w:iCs w:val="1"/>
          <w:color w:val="auto"/>
        </w:rPr>
        <w:t>COWEN</w:t>
      </w:r>
      <w:r>
        <w:rPr>
          <w:sz w:val="20"/>
          <w:szCs w:val="20"/>
          <w:color w:val="auto"/>
        </w:rPr>
        <w:tab/>
      </w:r>
      <w:r>
        <w:rPr>
          <w:rFonts w:ascii="Arial" w:cs="Arial" w:eastAsia="Arial" w:hAnsi="Arial"/>
          <w:sz w:val="16"/>
          <w:szCs w:val="16"/>
          <w:i w:val="1"/>
          <w:iCs w:val="1"/>
          <w:color w:val="auto"/>
        </w:rPr>
        <w:t>WELLS FARGO SECURITIES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WEDBUSH PACGROW</w:t>
      </w:r>
    </w:p>
    <w:p>
      <w:pPr>
        <w:spacing w:after="0" w:line="218" w:lineRule="exact"/>
        <w:rPr>
          <w:sz w:val="20"/>
          <w:szCs w:val="20"/>
          <w:color w:val="auto"/>
        </w:rPr>
      </w:pPr>
    </w:p>
    <w:p>
      <w:pPr>
        <w:ind w:left="200"/>
        <w:spacing w:after="0"/>
        <w:tabs>
          <w:tab w:leader="none" w:pos="2180" w:val="left"/>
        </w:tabs>
        <w:rPr>
          <w:sz w:val="20"/>
          <w:szCs w:val="20"/>
          <w:color w:val="auto"/>
        </w:rPr>
      </w:pPr>
      <w:r>
        <w:rPr>
          <w:rFonts w:ascii="Arial" w:cs="Arial" w:eastAsia="Arial" w:hAnsi="Arial"/>
          <w:sz w:val="18"/>
          <w:szCs w:val="18"/>
          <w:i w:val="1"/>
          <w:iCs w:val="1"/>
          <w:color w:val="auto"/>
        </w:rPr>
        <w:t>Prospectus dated</w:t>
      </w:r>
      <w:r>
        <w:rPr>
          <w:sz w:val="20"/>
          <w:szCs w:val="20"/>
          <w:color w:val="auto"/>
        </w:rPr>
        <w:tab/>
      </w:r>
      <w:r>
        <w:rPr>
          <w:rFonts w:ascii="Arial" w:cs="Arial" w:eastAsia="Arial" w:hAnsi="Arial"/>
          <w:sz w:val="16"/>
          <w:szCs w:val="16"/>
          <w:i w:val="1"/>
          <w:iCs w:val="1"/>
          <w:color w:val="auto"/>
        </w:rPr>
        <w:t>, 2018</w:t>
      </w:r>
    </w:p>
    <w:p>
      <w:pPr>
        <w:sectPr>
          <w:pgSz w:w="11900" w:h="16838" w:orient="portrait"/>
          <w:cols w:equalWidth="0" w:num="1">
            <w:col w:w="1122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256540</wp:posOffset>
            </wp:positionV>
            <wp:extent cx="14662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80" w:type="dxa"/>
            <w:vAlign w:val="bottom"/>
            <w:gridSpan w:val="10"/>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PROSPECTUS SUMMARY</w:t>
              </w:r>
            </w:hyperlink>
          </w:p>
        </w:tc>
        <w:tc>
          <w:tcPr>
            <w:tcW w:w="2420" w:type="dxa"/>
            <w:vAlign w:val="bottom"/>
            <w:gridSpan w:val="7"/>
            <w:vMerge w:val="restart"/>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80" w:type="dxa"/>
            <w:vAlign w:val="bottom"/>
            <w:tcBorders>
              <w:bottom w:val="single" w:sz="8" w:color="0000EE"/>
            </w:tcBorders>
            <w:gridSpan w:val="10"/>
            <w:vMerge w:val="continue"/>
          </w:tcPr>
          <w:p>
            <w:pPr>
              <w:spacing w:after="0"/>
              <w:rPr>
                <w:sz w:val="14"/>
                <w:szCs w:val="14"/>
                <w:color w:val="auto"/>
              </w:rPr>
            </w:pPr>
          </w:p>
        </w:tc>
        <w:tc>
          <w:tcPr>
            <w:tcW w:w="2420" w:type="dxa"/>
            <w:vAlign w:val="bottom"/>
            <w:gridSpan w:val="7"/>
            <w:vMerge w:val="continue"/>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RISK FACTORS</w:t>
              </w:r>
            </w:hyperlink>
          </w:p>
        </w:tc>
        <w:tc>
          <w:tcPr>
            <w:tcW w:w="3260" w:type="dxa"/>
            <w:vAlign w:val="bottom"/>
            <w:gridSpan w:val="13"/>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SPECIAL NOTE REGARDING FORWARD-LOOKING</w:t>
              </w:r>
            </w:hyperlink>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39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STATEMENTS</w:t>
              </w:r>
            </w:hyperlink>
          </w:p>
        </w:tc>
        <w:tc>
          <w:tcPr>
            <w:tcW w:w="360" w:type="dxa"/>
            <w:vAlign w:val="bottom"/>
            <w:gridSpan w:val="2"/>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USE OF PROCEEDS</w:t>
              </w:r>
            </w:hyperlink>
          </w:p>
        </w:tc>
        <w:tc>
          <w:tcPr>
            <w:tcW w:w="2920" w:type="dxa"/>
            <w:vAlign w:val="bottom"/>
            <w:gridSpan w:val="8"/>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DIVIDEND POLICY</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CAPITALIZATION</w:t>
              </w:r>
            </w:hyperlink>
          </w:p>
        </w:tc>
        <w:tc>
          <w:tcPr>
            <w:tcW w:w="2940" w:type="dxa"/>
            <w:vAlign w:val="bottom"/>
            <w:gridSpan w:val="9"/>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9"/>
              </w:rPr>
            </w:pPr>
            <w:hyperlink w:anchor="page66">
              <w:r>
                <w:rPr>
                  <w:rFonts w:ascii="Arial" w:cs="Arial" w:eastAsia="Arial" w:hAnsi="Arial"/>
                  <w:sz w:val="18"/>
                  <w:szCs w:val="18"/>
                  <w:color w:val="0000EE"/>
                  <w:w w:val="99"/>
                </w:rPr>
                <w:t>DILUTION</w:t>
              </w:r>
            </w:hyperlink>
          </w:p>
        </w:tc>
        <w:tc>
          <w:tcPr>
            <w:tcW w:w="580" w:type="dxa"/>
            <w:vAlign w:val="bottom"/>
            <w:tcBorders>
              <w:top w:val="single" w:sz="8" w:color="0000EE"/>
            </w:tcBorders>
            <w:gridSpan w:val="4"/>
          </w:tcPr>
          <w:p>
            <w:pPr>
              <w:spacing w:after="0"/>
              <w:rPr>
                <w:sz w:val="17"/>
                <w:szCs w:val="17"/>
                <w:color w:val="auto"/>
              </w:rPr>
            </w:pPr>
          </w:p>
        </w:tc>
        <w:tc>
          <w:tcPr>
            <w:tcW w:w="3060" w:type="dxa"/>
            <w:vAlign w:val="bottom"/>
            <w:gridSpan w:val="10"/>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SELECTED FINANCIAL DATA</w:t>
              </w:r>
            </w:hyperlink>
          </w:p>
        </w:tc>
        <w:tc>
          <w:tcPr>
            <w:tcW w:w="2080" w:type="dxa"/>
            <w:vAlign w:val="bottom"/>
            <w:gridSpan w:val="5"/>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MANAGEMENT’S DISCUSSION AND ANALYSIS OF</w:t>
              </w:r>
            </w:hyperlink>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40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FINANCIAL CONDITION AND RESULTS OF</w:t>
              </w:r>
            </w:hyperlink>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5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OPERATIONS</w:t>
              </w:r>
            </w:hyperlink>
          </w:p>
        </w:tc>
        <w:tc>
          <w:tcPr>
            <w:tcW w:w="800" w:type="dxa"/>
            <w:vAlign w:val="bottom"/>
            <w:gridSpan w:val="3"/>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BUSINESS</w:t>
              </w:r>
            </w:hyperlink>
          </w:p>
        </w:tc>
        <w:tc>
          <w:tcPr>
            <w:tcW w:w="3660" w:type="dxa"/>
            <w:vAlign w:val="bottom"/>
            <w:gridSpan w:val="15"/>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MANAGEMENT</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1280" w:type="dxa"/>
            <w:vAlign w:val="bottom"/>
            <w:gridSpan w:val="6"/>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37">
              <w:r>
                <w:rPr>
                  <w:rFonts w:ascii="Arial" w:cs="Arial" w:eastAsia="Arial" w:hAnsi="Arial"/>
                  <w:sz w:val="18"/>
                  <w:szCs w:val="18"/>
                  <w:color w:val="0000EE"/>
                  <w:w w:val="95"/>
                </w:rPr>
                <w:t>EXECUTIVE COMPENSATION</w:t>
              </w:r>
            </w:hyperlink>
          </w:p>
        </w:tc>
        <w:tc>
          <w:tcPr>
            <w:tcW w:w="2060" w:type="dxa"/>
            <w:vAlign w:val="bottom"/>
            <w:gridSpan w:val="4"/>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DIRECTOR COMPENSATION</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960" w:type="dxa"/>
            <w:vAlign w:val="bottom"/>
            <w:gridSpan w:val="15"/>
            <w:vMerge w:val="restart"/>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CERTAIN RELATIONSHIPS AND RELATED PARTY</w:t>
              </w:r>
            </w:hyperlink>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56"/>
        </w:trPr>
        <w:tc>
          <w:tcPr>
            <w:tcW w:w="4960" w:type="dxa"/>
            <w:vAlign w:val="bottom"/>
            <w:gridSpan w:val="15"/>
            <w:vMerge w:val="continue"/>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147">
              <w:r>
                <w:rPr>
                  <w:rFonts w:ascii="Arial" w:cs="Arial" w:eastAsia="Arial" w:hAnsi="Arial"/>
                  <w:sz w:val="18"/>
                  <w:szCs w:val="18"/>
                  <w:color w:val="0000EE"/>
                  <w:w w:val="96"/>
                </w:rPr>
                <w:t>TRANSACTIONS</w:t>
              </w:r>
            </w:hyperlink>
          </w:p>
        </w:tc>
        <w:tc>
          <w:tcPr>
            <w:tcW w:w="2500" w:type="dxa"/>
            <w:vAlign w:val="bottom"/>
            <w:tcBorders>
              <w:top w:val="single" w:sz="8" w:color="0000EE"/>
            </w:tcBorders>
            <w:gridSpan w:val="7"/>
          </w:tcPr>
          <w:p>
            <w:pPr>
              <w:spacing w:after="0"/>
              <w:rPr>
                <w:sz w:val="17"/>
                <w:szCs w:val="17"/>
                <w:color w:val="auto"/>
              </w:rPr>
            </w:pPr>
          </w:p>
        </w:tc>
        <w:tc>
          <w:tcPr>
            <w:tcW w:w="9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PRINCIPAL STOCKHOLDERS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154">
              <w:r>
                <w:rPr>
                  <w:rFonts w:ascii="Arial" w:cs="Arial" w:eastAsia="Arial" w:hAnsi="Arial"/>
                  <w:sz w:val="18"/>
                  <w:szCs w:val="18"/>
                  <w:color w:val="0000EE"/>
                  <w:w w:val="95"/>
                </w:rPr>
                <w:t>DESCRIPTION OF CAPITAL STOCK</w:t>
              </w:r>
            </w:hyperlink>
          </w:p>
        </w:tc>
        <w:tc>
          <w:tcPr>
            <w:tcW w:w="208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SHARES ELIGIBLE FOR FUTURE SALE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162">
              <w:r>
                <w:rPr>
                  <w:rFonts w:ascii="Arial" w:cs="Arial" w:eastAsia="Arial" w:hAnsi="Arial"/>
                  <w:sz w:val="18"/>
                  <w:szCs w:val="18"/>
                  <w:color w:val="0000EE"/>
                  <w:w w:val="97"/>
                </w:rPr>
                <w:t>MATERIAL U.S. FEDERAL INCOME TAX</w:t>
              </w:r>
            </w:hyperlink>
          </w:p>
        </w:tc>
        <w:tc>
          <w:tcPr>
            <w:tcW w:w="166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780" w:type="dxa"/>
            <w:vAlign w:val="bottom"/>
            <w:gridSpan w:val="14"/>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CONSIDERATIONS FOR NON-U.S. HOLDERS OF</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162">
              <w:r>
                <w:rPr>
                  <w:rFonts w:ascii="Arial" w:cs="Arial" w:eastAsia="Arial" w:hAnsi="Arial"/>
                  <w:sz w:val="18"/>
                  <w:szCs w:val="18"/>
                  <w:color w:val="0000EE"/>
                  <w:w w:val="96"/>
                </w:rPr>
                <w:t>COMMON STOCK</w:t>
              </w:r>
            </w:hyperlink>
          </w:p>
        </w:tc>
        <w:tc>
          <w:tcPr>
            <w:tcW w:w="2420" w:type="dxa"/>
            <w:vAlign w:val="bottom"/>
            <w:tcBorders>
              <w:top w:val="single" w:sz="8" w:color="0000EE"/>
            </w:tcBorders>
            <w:gridSpan w:val="7"/>
          </w:tcPr>
          <w:p>
            <w:pPr>
              <w:spacing w:after="0"/>
              <w:rPr>
                <w:sz w:val="17"/>
                <w:szCs w:val="17"/>
                <w:color w:val="auto"/>
              </w:rPr>
            </w:pPr>
          </w:p>
        </w:tc>
        <w:tc>
          <w:tcPr>
            <w:tcW w:w="8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UNDERWRITERS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LEGAL MATTERS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72">
              <w:r>
                <w:rPr>
                  <w:rFonts w:ascii="Arial" w:cs="Arial" w:eastAsia="Arial" w:hAnsi="Arial"/>
                  <w:sz w:val="18"/>
                  <w:szCs w:val="18"/>
                  <w:color w:val="0000EE"/>
                  <w:w w:val="90"/>
                </w:rPr>
                <w:t>EXPERTS</w:t>
              </w:r>
            </w:hyperlink>
          </w:p>
        </w:tc>
        <w:tc>
          <w:tcPr>
            <w:tcW w:w="680" w:type="dxa"/>
            <w:vAlign w:val="bottom"/>
            <w:tcBorders>
              <w:top w:val="single" w:sz="8" w:color="0000EE"/>
            </w:tcBorders>
            <w:gridSpan w:val="2"/>
          </w:tcPr>
          <w:p>
            <w:pPr>
              <w:spacing w:after="0"/>
              <w:rPr>
                <w:sz w:val="17"/>
                <w:szCs w:val="17"/>
                <w:color w:val="auto"/>
              </w:rPr>
            </w:pPr>
          </w:p>
        </w:tc>
        <w:tc>
          <w:tcPr>
            <w:tcW w:w="35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WHERE YOU CAN FIND MORE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3820" w:type="dxa"/>
            <w:vAlign w:val="bottom"/>
            <w:gridSpan w:val="11"/>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INDEX TO CONSOLIDATED FINANCIAL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754380</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861" w:lineRule="exact"/>
        <w:rPr>
          <w:sz w:val="20"/>
          <w:szCs w:val="20"/>
          <w:color w:val="auto"/>
        </w:rPr>
      </w:pPr>
    </w:p>
    <w:p>
      <w:pPr>
        <w:sectPr>
          <w:pgSz w:w="11900" w:h="16838" w:orient="portrait"/>
          <w:cols w:equalWidth="0" w:num="2">
            <w:col w:w="5440" w:space="380"/>
            <w:col w:w="5380"/>
          </w:cols>
          <w:pgMar w:left="240" w:top="459" w:right="45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640"/>
        <w:spacing w:after="0"/>
        <w:tabs>
          <w:tab w:leader="none" w:pos="2980" w:val="left"/>
        </w:tabs>
        <w:rPr>
          <w:sz w:val="20"/>
          <w:szCs w:val="20"/>
          <w:color w:val="auto"/>
        </w:rPr>
      </w:pPr>
      <w:r>
        <w:rPr>
          <w:rFonts w:ascii="Arial" w:cs="Arial" w:eastAsia="Arial" w:hAnsi="Arial"/>
          <w:sz w:val="18"/>
          <w:szCs w:val="18"/>
          <w:b w:val="1"/>
          <w:bCs w:val="1"/>
          <w:color w:val="auto"/>
        </w:rPr>
        <w:t>Through and including</w:t>
      </w:r>
      <w:r>
        <w:rPr>
          <w:sz w:val="20"/>
          <w:szCs w:val="20"/>
          <w:color w:val="auto"/>
        </w:rPr>
        <w:tab/>
      </w:r>
      <w:r>
        <w:rPr>
          <w:rFonts w:ascii="Arial" w:cs="Arial" w:eastAsia="Arial" w:hAnsi="Arial"/>
          <w:sz w:val="15"/>
          <w:szCs w:val="15"/>
          <w:b w:val="1"/>
          <w:bCs w:val="1"/>
          <w:color w:val="auto"/>
        </w:rPr>
        <w:t>, 2018 (25 days after the date of this prospectus), all dealers effecting transactions in these securities,</w:t>
      </w:r>
    </w:p>
    <w:p>
      <w:pPr>
        <w:spacing w:after="0" w:line="27" w:lineRule="exact"/>
        <w:rPr>
          <w:sz w:val="20"/>
          <w:szCs w:val="20"/>
          <w:color w:val="auto"/>
        </w:rPr>
      </w:pPr>
    </w:p>
    <w:p>
      <w:pPr>
        <w:ind w:left="200" w:right="80"/>
        <w:spacing w:after="0" w:line="290" w:lineRule="auto"/>
        <w:rPr>
          <w:sz w:val="20"/>
          <w:szCs w:val="20"/>
          <w:color w:val="auto"/>
        </w:rPr>
      </w:pPr>
      <w:r>
        <w:rPr>
          <w:rFonts w:ascii="Arial" w:cs="Arial" w:eastAsia="Arial" w:hAnsi="Arial"/>
          <w:sz w:val="17"/>
          <w:szCs w:val="17"/>
          <w:b w:val="1"/>
          <w:bCs w:val="1"/>
          <w:color w:val="auto"/>
        </w:rPr>
        <w:t>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You should rely only on the information contained in this prospectus or in any free writing prospectus we file with the Securities and Exchange Commission. Neither we nor the underwriters have authorized anyone to provide you with information other than that contained in this prospectus or any free writing prospectus prepared by or on behalf of us or to which we have referred you. We take no responsibility for, and can provide no assurance as to the reliability of, any other information that others may give you. We and the underwriters are offering to sell, and seeking offers to buy, common stock only in jurisdictions where offers and sales are permitted. The information contained in this prospectus is accurate only as of the date on the front cover page of this prospectus, or other earlier date stated in this prospectus, regardless of the time of delivery of this prospectus or of any sale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223520</wp:posOffset>
            </wp:positionV>
            <wp:extent cx="14662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market data and certain other statistical information used throughout this prospectus are based on independent industry publications, governmental publications, reports by market research firms, or other independent sources that we believe to be reliable sources. We are responsible for all of the disclosure contained in this prospectus, and we believe that these sources are reliable; however, we have not independently verified the information contained in such publications.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“Risk Factors” and elsewhere in this prospectus. Some data are also based on our good faith estimates.</w:t>
      </w:r>
    </w:p>
    <w:p>
      <w:pPr>
        <w:sectPr>
          <w:pgSz w:w="11900" w:h="16838" w:orient="portrait"/>
          <w:cols w:equalWidth="0" w:num="1">
            <w:col w:w="11200"/>
          </w:cols>
          <w:pgMar w:left="240" w:top="459" w:right="4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24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63246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60" w:firstLine="426"/>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included elsewhere in this prospectus. You should also consider, among other things, the matters described under “Risk Factors” and “Management’s Discussion and Analysis of Financial Condition and Results of Operations,” in each case appearing elsewhere in this prospectus. As used in this prospectus, unless the context otherwise requires, references to the “company,” “we,” “us” and “our” refer to AVROBIO, Inc.</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80" w:right="60" w:firstLine="426"/>
        <w:spacing w:after="0" w:line="272" w:lineRule="auto"/>
        <w:rPr>
          <w:sz w:val="20"/>
          <w:szCs w:val="20"/>
          <w:color w:val="auto"/>
        </w:rPr>
      </w:pPr>
      <w:r>
        <w:rPr>
          <w:rFonts w:ascii="Arial" w:cs="Arial" w:eastAsia="Arial" w:hAnsi="Arial"/>
          <w:sz w:val="17"/>
          <w:szCs w:val="17"/>
          <w:color w:val="auto"/>
        </w:rPr>
        <w:t xml:space="preserve">We are a clinical stage gene therapy company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rare diseases following a single dose. Our gene therapies employ hematopoietic stem cells that are extracted from the patient and then modified with lentiviral vectors to insert a functional copy of the gene that is defective in the target disease. We believe that our approach, which transforms stem cells from patients into therapeutic products, has the potential to provide curative benefit for a range of diseases in an outpatient setting. Our initial focus is on a group of rare genetic diseases referred to as lysosomal storage diseases, which today are primarily managed with enzyme replacement therapies, or ERTs. These lysosomal storage diseases have well understood biologies, identified patient populations and represent large market opportunities with approximately $4.0 billion in worldwide net sales in 2017.</w:t>
      </w:r>
    </w:p>
    <w:p>
      <w:pPr>
        <w:spacing w:after="0" w:line="178"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Our initial pipeline is comprised of four lentiviral-based gene therapies, including AVR-RD-01 for the treatment of Fabry disease, AVR-RD-02 for the treatment of Gaucher disease, AVR-RD-03 for the treatment of Pompe disease and AVR-RD-04 for the treatment of cystinosis. AVR-RD-01 is currently being evaluated in a Phase 1 clinical trial to assess safety and toxicity, as well as preliminary efficacy. We expect to initiate our Phase 2 clinical trial of AVR-RD-01 in mid-2018. In addition, Phase 1/2 clinical trials for both AVR-RD-02 and AVR-RD-04 are being planned and we expect patients will be dosed in 2019.</w:t>
      </w:r>
    </w:p>
    <w:p>
      <w:pPr>
        <w:spacing w:after="0" w:line="188" w:lineRule="exact"/>
        <w:rPr>
          <w:sz w:val="20"/>
          <w:szCs w:val="20"/>
          <w:color w:val="auto"/>
        </w:rPr>
      </w:pPr>
    </w:p>
    <w:p>
      <w:pPr>
        <w:ind w:left="380" w:right="220" w:firstLine="426"/>
        <w:spacing w:after="0" w:line="254" w:lineRule="auto"/>
        <w:rPr>
          <w:sz w:val="20"/>
          <w:szCs w:val="20"/>
          <w:color w:val="auto"/>
        </w:rPr>
      </w:pPr>
      <w:r>
        <w:rPr>
          <w:rFonts w:ascii="Arial" w:cs="Arial" w:eastAsia="Arial" w:hAnsi="Arial"/>
          <w:sz w:val="18"/>
          <w:szCs w:val="18"/>
          <w:color w:val="auto"/>
        </w:rPr>
        <w:t>The first two patients in the ongoing clinical trial of AVR-RD-01 have been dosed. The primary goal for this clinical trial is to assess the safety and toxicity of AVR-RD-01. In this trial, safety and toxicity are measured by the frequency of clinically notable abnormal vital signs and laboratory results and the frequency of treatment-related adverse events. A secondary objective for this clinical trial is to obtain preliminary efficacy signals of AVR-RD-01 therapy as assessed by a-galactosidase enzyme activity compared to baseline. Enrollment in this clinical trial is ongoing, with up to six patients with Fabry disease who have been treated with ERT expected to be enrolled. Because this is a Phase 1 trial, the currently approved standard of care, ERT, is suspended for enrolled patients one month prior to receiving AVR-RD-01 and is then resumed one month after AVR-RD-01 treatment. We believe the preliminary results from this trial support the potential of AVR-RD-01 to drive active enzyme production for long durations.</w:t>
      </w:r>
    </w:p>
    <w:p>
      <w:pPr>
        <w:spacing w:after="0" w:line="192" w:lineRule="exact"/>
        <w:rPr>
          <w:sz w:val="20"/>
          <w:szCs w:val="20"/>
          <w:color w:val="auto"/>
        </w:rPr>
      </w:pPr>
    </w:p>
    <w:p>
      <w:pPr>
        <w:ind w:left="380" w:right="40" w:firstLine="426"/>
        <w:spacing w:after="0" w:line="255" w:lineRule="auto"/>
        <w:rPr>
          <w:sz w:val="20"/>
          <w:szCs w:val="20"/>
          <w:color w:val="auto"/>
        </w:rPr>
      </w:pPr>
      <w:r>
        <w:rPr>
          <w:rFonts w:ascii="Arial" w:cs="Arial" w:eastAsia="Arial" w:hAnsi="Arial"/>
          <w:sz w:val="18"/>
          <w:szCs w:val="18"/>
          <w:color w:val="auto"/>
        </w:rPr>
        <w:t xml:space="preserve">Lentiviral-based gene therapy has been observed to be well-tolerated in third parties’ ongoing clinical trials for rare diseases such as beta thalassemia, ALD and ADA-SCID. To date, over 200 patients have been treated with lentiviral-based gene therapies in third parties’ rare disease clinical trials. Historically, the use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therapies has been restricted primarily to the most acutely severe diseases where risks of the typical requirement for heavily ablating the patients’ bone marrow and thus significantly impairing these patients’ immune systems had an acceptable risk/benefit profile. The ablation procedure, also known as the conditioning regimen, is administered prior to the gene therapy. The more intensive the conditioning regimen, the greater the risk of toxicity and thus the need for more intensive in-patient monitoring and potential for lengthy hospitalization.</w:t>
      </w:r>
    </w:p>
    <w:p>
      <w:pPr>
        <w:spacing w:after="0" w:line="189" w:lineRule="exact"/>
        <w:rPr>
          <w:sz w:val="20"/>
          <w:szCs w:val="20"/>
          <w:color w:val="auto"/>
        </w:rPr>
      </w:pPr>
    </w:p>
    <w:p>
      <w:pPr>
        <w:ind w:left="380" w:right="320" w:firstLine="426"/>
        <w:spacing w:after="0" w:line="277" w:lineRule="auto"/>
        <w:rPr>
          <w:sz w:val="20"/>
          <w:szCs w:val="20"/>
          <w:color w:val="auto"/>
        </w:rPr>
      </w:pPr>
      <w:r>
        <w:rPr>
          <w:rFonts w:ascii="Arial" w:cs="Arial" w:eastAsia="Arial" w:hAnsi="Arial"/>
          <w:sz w:val="18"/>
          <w:szCs w:val="18"/>
          <w:color w:val="auto"/>
        </w:rPr>
        <w:t>Our goal is to broaden the applicability of lentiviral-based gene therapy by initially targeting diseases where we generally believe durable effects can be achieved following a milder conditioning regimen that allows for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10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67106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720"/>
        <w:spacing w:after="0" w:line="277" w:lineRule="auto"/>
        <w:rPr>
          <w:sz w:val="20"/>
          <w:szCs w:val="20"/>
          <w:color w:val="auto"/>
        </w:rPr>
      </w:pPr>
      <w:r>
        <w:rPr>
          <w:rFonts w:ascii="Arial" w:cs="Arial" w:eastAsia="Arial" w:hAnsi="Arial"/>
          <w:sz w:val="18"/>
          <w:szCs w:val="18"/>
          <w:color w:val="auto"/>
        </w:rPr>
        <w:t>outpatient treatment. We believe our approach of choosing diseases where the conditioning regimen can be milder, thus improving patient tolerability, will extend the reach of our gene therapies to a broad range of diseases as first-line therapies.</w:t>
      </w:r>
    </w:p>
    <w:p>
      <w:pPr>
        <w:spacing w:after="0" w:line="170" w:lineRule="exact"/>
        <w:rPr>
          <w:sz w:val="20"/>
          <w:szCs w:val="20"/>
          <w:color w:val="auto"/>
        </w:rPr>
      </w:pPr>
    </w:p>
    <w:p>
      <w:pPr>
        <w:ind w:left="380" w:right="100" w:firstLine="426"/>
        <w:spacing w:after="0" w:line="289" w:lineRule="auto"/>
        <w:rPr>
          <w:sz w:val="20"/>
          <w:szCs w:val="20"/>
          <w:color w:val="auto"/>
        </w:rPr>
      </w:pPr>
      <w:r>
        <w:rPr>
          <w:rFonts w:ascii="Arial" w:cs="Arial" w:eastAsia="Arial" w:hAnsi="Arial"/>
          <w:sz w:val="16"/>
          <w:szCs w:val="16"/>
          <w:color w:val="auto"/>
        </w:rPr>
        <w:t>We are initially targeting rare diseases in which current standard of care provides the mechanistic proof that the enzymes or other proteins produced endogenously following treatment with our gene therapies can offer benefit to patients. Typically in lysosomal storage diseases, a gene mutation results in the deficiency or malfunction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the diseases continue to progress. Further, the frequent, periodic and life-long dosing schedule required for ERTs results in significant costs for the healthcare system and is burdensome for the patient.</w:t>
      </w:r>
    </w:p>
    <w:p>
      <w:pPr>
        <w:spacing w:after="0" w:line="167"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We believe our gene therapies leverage the well 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cure these diseases while also providing significant health economic advantages.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380" w:right="520" w:firstLine="426"/>
        <w:spacing w:after="0" w:line="277" w:lineRule="auto"/>
        <w:rPr>
          <w:sz w:val="20"/>
          <w:szCs w:val="20"/>
          <w:color w:val="auto"/>
        </w:rPr>
      </w:pPr>
      <w:r>
        <w:rPr>
          <w:rFonts w:ascii="Arial" w:cs="Arial" w:eastAsia="Arial" w:hAnsi="Arial"/>
          <w:sz w:val="18"/>
          <w:szCs w:val="18"/>
          <w:color w:val="auto"/>
        </w:rPr>
        <w:t>Our programs leverage years of extensive preclinical and early clinical research by leading researchers, as well as our internal research efforts. The status of our lentiviral-based gene therapy programs is reflected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80" w:right="140" w:firstLine="426"/>
        <w:spacing w:after="0" w:line="264" w:lineRule="auto"/>
        <w:rPr>
          <w:sz w:val="20"/>
          <w:szCs w:val="20"/>
          <w:color w:val="auto"/>
        </w:rPr>
      </w:pPr>
      <w:r>
        <w:rPr>
          <w:rFonts w:ascii="Arial" w:cs="Arial" w:eastAsia="Arial" w:hAnsi="Arial"/>
          <w:sz w:val="18"/>
          <w:szCs w:val="18"/>
          <w:b w:val="1"/>
          <w:bCs w:val="1"/>
          <w:i w:val="1"/>
          <w:iCs w:val="1"/>
          <w:color w:val="auto"/>
        </w:rPr>
        <w:t xml:space="preserve">AVR-RD-01. </w:t>
      </w:r>
      <w:r>
        <w:rPr>
          <w:rFonts w:ascii="Arial" w:cs="Arial" w:eastAsia="Arial" w:hAnsi="Arial"/>
          <w:sz w:val="18"/>
          <w:szCs w:val="18"/>
          <w:color w:val="auto"/>
        </w:rPr>
        <w:t>Our lead product candidate, AVR-RD-01 for the treatment of Fabry disease, is derived from hematopoietic stem cells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gene encoding the enzyme a-galactosidase A, or AGA, is added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process using a lentiviral vector. In an ongoing Phase 1 clinical trial of patients with Fabry disease,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42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6642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spacing w:after="0" w:line="276" w:lineRule="auto"/>
        <w:rPr>
          <w:sz w:val="20"/>
          <w:szCs w:val="20"/>
          <w:color w:val="auto"/>
        </w:rPr>
      </w:pPr>
      <w:r>
        <w:rPr>
          <w:rFonts w:ascii="Arial" w:cs="Arial" w:eastAsia="Arial" w:hAnsi="Arial"/>
          <w:sz w:val="17"/>
          <w:szCs w:val="17"/>
          <w:color w:val="auto"/>
        </w:rPr>
        <w:t>AVR-RD-01 has led to the production of active AGA enzyme in the two patients treated to date. In both patients, within days of receiving AVR-RD-01, the level of AGA enzyme activity began to rise from nearly undetectable levels before treatment to levels above the range for males with classic Fabry disease. As of twelve months after receiving AVR-RD-01, the first patient’s plasma AGA enzyme activity levels continued to be above the range for males with classic Fabry disease. Plasma AGA enzyme activity levels in the second patient remained above the range for males with classic Fabry disease, defined as less than 1 nmol/hr/ml, as of one month after treatment.</w:t>
      </w:r>
    </w:p>
    <w:p>
      <w:pPr>
        <w:spacing w:after="0" w:line="2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Plasma AGA Activity (nmol/hr/ml) Following Treatment with AVR-RD-01</w:t>
      </w:r>
    </w:p>
    <w:p>
      <w:pPr>
        <w:spacing w:after="0" w:line="251" w:lineRule="exact"/>
        <w:rPr>
          <w:sz w:val="20"/>
          <w:szCs w:val="20"/>
          <w:color w:val="auto"/>
        </w:rPr>
      </w:pPr>
    </w:p>
    <w:tbl>
      <w:tblPr>
        <w:tblLayout w:type="fixed"/>
        <w:tblInd w:w="390" w:type="dxa"/>
        <w:tblCellMar>
          <w:top w:w="0" w:type="dxa"/>
          <w:left w:w="0" w:type="dxa"/>
          <w:bottom w:w="0" w:type="dxa"/>
          <w:right w:w="0" w:type="dxa"/>
        </w:tblCellMar>
      </w:tblPr>
      <w:tr>
        <w:trPr>
          <w:trHeight w:val="139"/>
        </w:trPr>
        <w:tc>
          <w:tcPr>
            <w:tcW w:w="2440" w:type="dxa"/>
            <w:vAlign w:val="bottom"/>
            <w:tcBorders>
              <w:top w:val="single" w:sz="8" w:color="auto"/>
              <w:left w:val="single" w:sz="8" w:color="auto"/>
              <w:right w:val="single" w:sz="8" w:color="auto"/>
            </w:tcBorders>
          </w:tcPr>
          <w:p>
            <w:pPr>
              <w:spacing w:after="0"/>
              <w:rPr>
                <w:sz w:val="12"/>
                <w:szCs w:val="12"/>
                <w:color w:val="auto"/>
              </w:rPr>
            </w:pPr>
          </w:p>
        </w:tc>
        <w:tc>
          <w:tcPr>
            <w:tcW w:w="3360" w:type="dxa"/>
            <w:vAlign w:val="bottom"/>
            <w:tcBorders>
              <w:top w:val="single" w:sz="8" w:color="auto"/>
              <w:right w:val="single" w:sz="8" w:color="auto"/>
            </w:tcBorders>
          </w:tcPr>
          <w:p>
            <w:pPr>
              <w:jc w:val="center"/>
              <w:ind w:left="1579"/>
              <w:spacing w:after="0" w:line="139" w:lineRule="exact"/>
              <w:rPr>
                <w:sz w:val="20"/>
                <w:szCs w:val="20"/>
                <w:color w:val="auto"/>
              </w:rPr>
            </w:pPr>
            <w:r>
              <w:rPr>
                <w:rFonts w:ascii="Arial" w:cs="Arial" w:eastAsia="Arial" w:hAnsi="Arial"/>
                <w:sz w:val="14"/>
                <w:szCs w:val="14"/>
                <w:b w:val="1"/>
                <w:bCs w:val="1"/>
                <w:color w:val="auto"/>
                <w:w w:val="90"/>
              </w:rPr>
              <w:t>Day 0</w:t>
            </w:r>
          </w:p>
        </w:tc>
        <w:tc>
          <w:tcPr>
            <w:tcW w:w="2360" w:type="dxa"/>
            <w:vAlign w:val="bottom"/>
            <w:tcBorders>
              <w:top w:val="single" w:sz="8" w:color="auto"/>
              <w:right w:val="single" w:sz="8" w:color="auto"/>
            </w:tcBorders>
          </w:tcPr>
          <w:p>
            <w:pPr>
              <w:jc w:val="right"/>
              <w:ind w:right="76"/>
              <w:spacing w:after="0" w:line="139" w:lineRule="exact"/>
              <w:rPr>
                <w:sz w:val="20"/>
                <w:szCs w:val="20"/>
                <w:color w:val="auto"/>
              </w:rPr>
            </w:pPr>
            <w:r>
              <w:rPr>
                <w:rFonts w:ascii="Arial" w:cs="Arial" w:eastAsia="Arial" w:hAnsi="Arial"/>
                <w:sz w:val="14"/>
                <w:szCs w:val="14"/>
                <w:b w:val="1"/>
                <w:bCs w:val="1"/>
                <w:color w:val="auto"/>
              </w:rPr>
              <w:t>1 Month</w:t>
            </w:r>
          </w:p>
        </w:tc>
        <w:tc>
          <w:tcPr>
            <w:tcW w:w="2500" w:type="dxa"/>
            <w:vAlign w:val="bottom"/>
            <w:tcBorders>
              <w:top w:val="single" w:sz="8" w:color="auto"/>
              <w:right w:val="single" w:sz="8" w:color="auto"/>
            </w:tcBorders>
          </w:tcPr>
          <w:p>
            <w:pPr>
              <w:ind w:left="1660"/>
              <w:spacing w:after="0" w:line="139" w:lineRule="exact"/>
              <w:rPr>
                <w:sz w:val="20"/>
                <w:szCs w:val="20"/>
                <w:color w:val="auto"/>
              </w:rPr>
            </w:pPr>
            <w:r>
              <w:rPr>
                <w:rFonts w:ascii="Arial" w:cs="Arial" w:eastAsia="Arial" w:hAnsi="Arial"/>
                <w:sz w:val="14"/>
                <w:szCs w:val="14"/>
                <w:b w:val="1"/>
                <w:bCs w:val="1"/>
                <w:color w:val="auto"/>
              </w:rPr>
              <w:t>12 Months</w:t>
            </w:r>
          </w:p>
        </w:tc>
      </w:tr>
      <w:tr>
        <w:trPr>
          <w:trHeight w:val="185"/>
        </w:trPr>
        <w:tc>
          <w:tcPr>
            <w:tcW w:w="2440" w:type="dxa"/>
            <w:vAlign w:val="bottom"/>
            <w:tcBorders>
              <w:left w:val="single" w:sz="8" w:color="auto"/>
              <w:bottom w:val="single" w:sz="8" w:color="auto"/>
              <w:right w:val="single" w:sz="8" w:color="auto"/>
            </w:tcBorders>
          </w:tcPr>
          <w:p>
            <w:pPr>
              <w:spacing w:after="0"/>
              <w:rPr>
                <w:sz w:val="16"/>
                <w:szCs w:val="16"/>
                <w:color w:val="auto"/>
              </w:rPr>
            </w:pPr>
          </w:p>
        </w:tc>
        <w:tc>
          <w:tcPr>
            <w:tcW w:w="3360" w:type="dxa"/>
            <w:vAlign w:val="bottom"/>
            <w:tcBorders>
              <w:bottom w:val="single" w:sz="8" w:color="auto"/>
              <w:right w:val="single" w:sz="8" w:color="auto"/>
            </w:tcBorders>
          </w:tcPr>
          <w:p>
            <w:pPr>
              <w:ind w:left="1680"/>
              <w:spacing w:after="0"/>
              <w:rPr>
                <w:sz w:val="20"/>
                <w:szCs w:val="20"/>
                <w:color w:val="auto"/>
              </w:rPr>
            </w:pPr>
            <w:r>
              <w:rPr>
                <w:rFonts w:ascii="Arial" w:cs="Arial" w:eastAsia="Arial" w:hAnsi="Arial"/>
                <w:sz w:val="14"/>
                <w:szCs w:val="14"/>
                <w:b w:val="1"/>
                <w:bCs w:val="1"/>
                <w:color w:val="auto"/>
              </w:rPr>
              <w:t>(Infusion of AVR-RD-01)</w:t>
            </w:r>
          </w:p>
        </w:tc>
        <w:tc>
          <w:tcPr>
            <w:tcW w:w="2360" w:type="dxa"/>
            <w:vAlign w:val="bottom"/>
            <w:tcBorders>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spacing w:after="0"/>
              <w:rPr>
                <w:sz w:val="16"/>
                <w:szCs w:val="16"/>
                <w:color w:val="auto"/>
              </w:rPr>
            </w:pPr>
          </w:p>
        </w:tc>
      </w:tr>
      <w:tr>
        <w:trPr>
          <w:trHeight w:val="210"/>
        </w:trPr>
        <w:tc>
          <w:tcPr>
            <w:tcW w:w="244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Patient 1</w:t>
            </w:r>
          </w:p>
        </w:tc>
        <w:tc>
          <w:tcPr>
            <w:tcW w:w="3360" w:type="dxa"/>
            <w:vAlign w:val="bottom"/>
            <w:tcBorders>
              <w:bottom w:val="single" w:sz="8" w:color="auto"/>
              <w:right w:val="single" w:sz="8" w:color="auto"/>
            </w:tcBorders>
            <w:shd w:val="clear" w:color="auto" w:fill="CCEEFF"/>
          </w:tcPr>
          <w:p>
            <w:pPr>
              <w:jc w:val="center"/>
              <w:ind w:left="1579"/>
              <w:spacing w:after="0"/>
              <w:rPr>
                <w:sz w:val="20"/>
                <w:szCs w:val="20"/>
                <w:color w:val="auto"/>
              </w:rPr>
            </w:pPr>
            <w:r>
              <w:rPr>
                <w:rFonts w:ascii="Arial" w:cs="Arial" w:eastAsia="Arial" w:hAnsi="Arial"/>
                <w:sz w:val="18"/>
                <w:szCs w:val="18"/>
                <w:color w:val="auto"/>
                <w:w w:val="87"/>
              </w:rPr>
              <w:t>0.1</w:t>
            </w:r>
          </w:p>
        </w:tc>
        <w:tc>
          <w:tcPr>
            <w:tcW w:w="2360" w:type="dxa"/>
            <w:vAlign w:val="bottom"/>
            <w:tcBorders>
              <w:bottom w:val="single" w:sz="8" w:color="auto"/>
              <w:right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5.1</w:t>
            </w:r>
          </w:p>
        </w:tc>
        <w:tc>
          <w:tcPr>
            <w:tcW w:w="2500" w:type="dxa"/>
            <w:vAlign w:val="bottom"/>
            <w:tcBorders>
              <w:bottom w:val="single" w:sz="8" w:color="auto"/>
              <w:right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5.8</w:t>
            </w:r>
          </w:p>
        </w:tc>
      </w:tr>
      <w:tr>
        <w:trPr>
          <w:trHeight w:val="210"/>
        </w:trPr>
        <w:tc>
          <w:tcPr>
            <w:tcW w:w="24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Patient 2</w:t>
            </w:r>
          </w:p>
        </w:tc>
        <w:tc>
          <w:tcPr>
            <w:tcW w:w="3360" w:type="dxa"/>
            <w:vAlign w:val="bottom"/>
            <w:tcBorders>
              <w:bottom w:val="single" w:sz="8" w:color="auto"/>
              <w:right w:val="single" w:sz="8" w:color="auto"/>
            </w:tcBorders>
          </w:tcPr>
          <w:p>
            <w:pPr>
              <w:jc w:val="center"/>
              <w:ind w:left="1579"/>
              <w:spacing w:after="0"/>
              <w:rPr>
                <w:sz w:val="20"/>
                <w:szCs w:val="20"/>
                <w:color w:val="auto"/>
              </w:rPr>
            </w:pPr>
            <w:r>
              <w:rPr>
                <w:rFonts w:ascii="Arial" w:cs="Arial" w:eastAsia="Arial" w:hAnsi="Arial"/>
                <w:sz w:val="18"/>
                <w:szCs w:val="18"/>
                <w:color w:val="auto"/>
                <w:w w:val="87"/>
              </w:rPr>
              <w:t>0.2</w:t>
            </w:r>
          </w:p>
        </w:tc>
        <w:tc>
          <w:tcPr>
            <w:tcW w:w="2360" w:type="dxa"/>
            <w:vAlign w:val="bottom"/>
            <w:tcBorders>
              <w:bottom w:val="single" w:sz="8" w:color="auto"/>
              <w:right w:val="single" w:sz="8" w:color="auto"/>
            </w:tcBorders>
          </w:tcPr>
          <w:p>
            <w:pPr>
              <w:jc w:val="right"/>
              <w:ind w:right="196"/>
              <w:spacing w:after="0"/>
              <w:rPr>
                <w:sz w:val="20"/>
                <w:szCs w:val="20"/>
                <w:color w:val="auto"/>
              </w:rPr>
            </w:pPr>
            <w:r>
              <w:rPr>
                <w:rFonts w:ascii="Arial" w:cs="Arial" w:eastAsia="Arial" w:hAnsi="Arial"/>
                <w:sz w:val="18"/>
                <w:szCs w:val="18"/>
                <w:color w:val="auto"/>
              </w:rPr>
              <w:t>4.4</w:t>
            </w:r>
          </w:p>
        </w:tc>
        <w:tc>
          <w:tcPr>
            <w:tcW w:w="2500" w:type="dxa"/>
            <w:vAlign w:val="bottom"/>
            <w:tcBorders>
              <w:bottom w:val="single" w:sz="8" w:color="auto"/>
              <w:right w:val="single" w:sz="8" w:color="auto"/>
            </w:tcBorders>
          </w:tcPr>
          <w:p>
            <w:pPr>
              <w:jc w:val="center"/>
              <w:ind w:left="1496"/>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380" w:right="40" w:firstLine="426"/>
        <w:spacing w:after="0" w:line="277" w:lineRule="auto"/>
        <w:rPr>
          <w:sz w:val="20"/>
          <w:szCs w:val="20"/>
          <w:color w:val="auto"/>
        </w:rPr>
      </w:pPr>
      <w:r>
        <w:rPr>
          <w:rFonts w:ascii="Arial" w:cs="Arial" w:eastAsia="Arial" w:hAnsi="Arial"/>
          <w:sz w:val="18"/>
          <w:szCs w:val="18"/>
          <w:color w:val="auto"/>
        </w:rPr>
        <w:t>We believe these preliminary results support the potential of AVR-RD-01 to drive active enzyme production for long durations. We anticipate initiating our Phase 2 clinical trial of AVR-RD-01 in mid-2018.</w:t>
      </w:r>
    </w:p>
    <w:p>
      <w:pPr>
        <w:spacing w:after="0" w:line="170" w:lineRule="exact"/>
        <w:rPr>
          <w:sz w:val="20"/>
          <w:szCs w:val="20"/>
          <w:color w:val="auto"/>
        </w:rPr>
      </w:pPr>
    </w:p>
    <w:p>
      <w:pPr>
        <w:ind w:left="380" w:right="60" w:firstLine="426"/>
        <w:spacing w:after="0" w:line="259" w:lineRule="auto"/>
        <w:rPr>
          <w:sz w:val="20"/>
          <w:szCs w:val="20"/>
          <w:color w:val="auto"/>
        </w:rPr>
      </w:pPr>
      <w:r>
        <w:rPr>
          <w:rFonts w:ascii="Arial" w:cs="Arial" w:eastAsia="Arial" w:hAnsi="Arial"/>
          <w:sz w:val="18"/>
          <w:szCs w:val="18"/>
          <w:b w:val="1"/>
          <w:bCs w:val="1"/>
          <w:i w:val="1"/>
          <w:iCs w:val="1"/>
          <w:color w:val="auto"/>
        </w:rPr>
        <w:t xml:space="preserve">AVR-RD-02. </w:t>
      </w:r>
      <w:r>
        <w:rPr>
          <w:rFonts w:ascii="Arial" w:cs="Arial" w:eastAsia="Arial" w:hAnsi="Arial"/>
          <w:sz w:val="18"/>
          <w:szCs w:val="18"/>
          <w:color w:val="auto"/>
        </w:rPr>
        <w:t>We are developing AVR-RD-02 for the treatment of Type 1 Gaucher disease. We will manufacture AVR-RD-02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hematopoietic stem cells that are first extracted from the patient, modified to add the gene that encodes for glucocerebrosidase, or GCase, and then infused into the patient. We plan to initiate a Phase 1/2 clinical trial for AVR-RD-02 in patients with Type 1 Gaucher disease and expect to dose the first patient in this clinical trial in 2019.</w:t>
      </w:r>
    </w:p>
    <w:p>
      <w:pPr>
        <w:spacing w:after="0" w:line="187"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b w:val="1"/>
          <w:bCs w:val="1"/>
          <w:i w:val="1"/>
          <w:iCs w:val="1"/>
          <w:color w:val="auto"/>
        </w:rPr>
        <w:t xml:space="preserve">AVR-RD-03. </w:t>
      </w:r>
      <w:r>
        <w:rPr>
          <w:rFonts w:ascii="Arial" w:cs="Arial" w:eastAsia="Arial" w:hAnsi="Arial"/>
          <w:sz w:val="18"/>
          <w:szCs w:val="18"/>
          <w:color w:val="auto"/>
        </w:rPr>
        <w:t>We are developing AVR-RD-03 for the treatment of Pompe disease. We will manufacture AVR-RD-03 from hematopoietic 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cells that are first extracted from the patient, modified to add the gene that encodes for acid alpha glucosidase A, or GAA, attached to a peptide sequence known as a glycosylation-independent lysosomal targeting, or GILT, tag and then infused into the patient. AVR-RD-03 will incorporate a GILT tag because the addition of a GILT tag has been shown to increase the uptake of GAA into cells, especially in muscle cells, which is a particularly important target tissue for patients with Pompe disease.</w:t>
      </w:r>
    </w:p>
    <w:p>
      <w:pPr>
        <w:spacing w:after="0" w:line="188" w:lineRule="exact"/>
        <w:rPr>
          <w:sz w:val="20"/>
          <w:szCs w:val="20"/>
          <w:color w:val="auto"/>
        </w:rPr>
      </w:pPr>
    </w:p>
    <w:p>
      <w:pPr>
        <w:ind w:left="380" w:right="340" w:firstLine="426"/>
        <w:spacing w:after="0" w:line="286" w:lineRule="auto"/>
        <w:rPr>
          <w:sz w:val="20"/>
          <w:szCs w:val="20"/>
          <w:color w:val="auto"/>
        </w:rPr>
      </w:pPr>
      <w:r>
        <w:rPr>
          <w:rFonts w:ascii="Arial" w:cs="Arial" w:eastAsia="Arial" w:hAnsi="Arial"/>
          <w:sz w:val="17"/>
          <w:szCs w:val="17"/>
          <w:b w:val="1"/>
          <w:bCs w:val="1"/>
          <w:i w:val="1"/>
          <w:iCs w:val="1"/>
          <w:color w:val="auto"/>
        </w:rPr>
        <w:t xml:space="preserve">AVR-RD-04. </w:t>
      </w:r>
      <w:r>
        <w:rPr>
          <w:rFonts w:ascii="Arial" w:cs="Arial" w:eastAsia="Arial" w:hAnsi="Arial"/>
          <w:sz w:val="17"/>
          <w:szCs w:val="17"/>
          <w:color w:val="auto"/>
        </w:rPr>
        <w:t>We are developing AVR-RD-04 for the treatment of patients with cystinosis. We will manufacture AVR-RD-04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hematopoietic stem cells that are first extracted from the patient, modified to add the gene that encodes for cystinosin, and then infused into the patient. In a planned academic sponsored Phase 1/2 clinical trial, we expect the first patient will be dosed in 2019.</w:t>
      </w:r>
    </w:p>
    <w:p>
      <w:pPr>
        <w:spacing w:after="0" w:line="166" w:lineRule="exact"/>
        <w:rPr>
          <w:sz w:val="20"/>
          <w:szCs w:val="20"/>
          <w:color w:val="auto"/>
        </w:rPr>
      </w:pPr>
    </w:p>
    <w:p>
      <w:pPr>
        <w:ind w:left="380" w:right="60" w:firstLine="426"/>
        <w:spacing w:after="0" w:line="308" w:lineRule="auto"/>
        <w:rPr>
          <w:sz w:val="20"/>
          <w:szCs w:val="20"/>
          <w:color w:val="auto"/>
        </w:rPr>
      </w:pPr>
      <w:r>
        <w:rPr>
          <w:rFonts w:ascii="Arial" w:cs="Arial" w:eastAsia="Arial" w:hAnsi="Arial"/>
          <w:sz w:val="17"/>
          <w:szCs w:val="17"/>
          <w:color w:val="auto"/>
        </w:rPr>
        <w:t>We continue to seek opportunities to expand our approach to other rare and non-rare diseases. We plan to identify and develop future product candidates through our own internal research efforts as well as through collaborations with leading researchers worldwide.</w:t>
      </w:r>
    </w:p>
    <w:p>
      <w:pPr>
        <w:spacing w:after="0" w:line="147"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We have developed a detailed plan for the more cost efficient and scalable manufacturing of our product candidates. We are establishing global manufacturing capabilities to support all aspects of the development and, if approved, the eventual commercialization of our gene therapies, from lentiviral vector production to cell processing. We are currently executing on our plans to move to a closed, automated manufacturing system. We also utilize a cryopreservation process that we believe will allow for the global distribution and, if approved, commercialization of our gene therapies.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Expertise</w:t>
      </w:r>
    </w:p>
    <w:p>
      <w:pPr>
        <w:spacing w:after="0" w:line="121" w:lineRule="exact"/>
        <w:rPr>
          <w:sz w:val="20"/>
          <w:szCs w:val="20"/>
          <w:color w:val="auto"/>
        </w:rPr>
      </w:pPr>
    </w:p>
    <w:p>
      <w:pPr>
        <w:ind w:left="380" w:right="200" w:firstLine="426"/>
        <w:spacing w:after="0" w:line="302" w:lineRule="auto"/>
        <w:rPr>
          <w:sz w:val="20"/>
          <w:szCs w:val="20"/>
          <w:color w:val="auto"/>
        </w:rPr>
      </w:pPr>
      <w:r>
        <w:rPr>
          <w:rFonts w:ascii="Arial" w:cs="Arial" w:eastAsia="Arial" w:hAnsi="Arial"/>
          <w:sz w:val="16"/>
          <w:szCs w:val="16"/>
          <w:color w:val="auto"/>
        </w:rPr>
        <w:t>We are led by biopharmaceutical experts with extensive experience in gene and cellular therapy and rare diseases. Our team has broad expertise in the clinical, regulatory and commercialization aspects of rare diseases as well as process development and manufacturing for cellular therapies. Members of our management team have held senior positions at Shire, Genzyme, Novartis, Lonza and other companies pursuing development, manufacturing and commercialization of gene and cellular therapies and therapies to treat rare diseases.</w:t>
      </w:r>
    </w:p>
    <w:p>
      <w:pPr>
        <w:spacing w:after="0" w:line="200" w:lineRule="exact"/>
        <w:rPr>
          <w:sz w:val="20"/>
          <w:szCs w:val="20"/>
          <w:color w:val="auto"/>
        </w:rPr>
      </w:pPr>
    </w:p>
    <w:p>
      <w:pPr>
        <w:spacing w:after="0" w:line="38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278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6727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80" w:right="40" w:firstLine="426"/>
        <w:spacing w:after="0" w:line="277" w:lineRule="auto"/>
        <w:rPr>
          <w:sz w:val="20"/>
          <w:szCs w:val="20"/>
          <w:color w:val="auto"/>
        </w:rPr>
      </w:pPr>
      <w:r>
        <w:rPr>
          <w:rFonts w:ascii="Arial" w:cs="Arial" w:eastAsia="Arial" w:hAnsi="Arial"/>
          <w:sz w:val="18"/>
          <w:szCs w:val="18"/>
          <w:color w:val="auto"/>
        </w:rPr>
        <w:t>Our goal is to develop and commercialize potentially curative lentiviral-based gene therapies for patients and expand the use of this approach to treat a number of diseases. Key elements of our strategy to achieve our goal include:</w:t>
      </w:r>
    </w:p>
    <w:p>
      <w:pPr>
        <w:spacing w:after="0" w:line="76" w:lineRule="exact"/>
        <w:rPr>
          <w:sz w:val="20"/>
          <w:szCs w:val="20"/>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Rapidly advance our initial gene therapies;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first-line gene therapies for lysosomal storage diseases;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Globally develop, manufacture and commercialize our gene therapies;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Industrialize lentiviral-based gene therapy;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our approach beyond our initial indications.</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80" w:right="160" w:firstLine="426"/>
        <w:spacing w:after="0" w:line="342" w:lineRule="auto"/>
        <w:rPr>
          <w:sz w:val="20"/>
          <w:szCs w:val="20"/>
          <w:color w:val="auto"/>
        </w:rPr>
      </w:pPr>
      <w:r>
        <w:rPr>
          <w:rFonts w:ascii="Arial" w:cs="Arial" w:eastAsia="Arial" w:hAnsi="Arial"/>
          <w:sz w:val="16"/>
          <w:szCs w:val="16"/>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29" w:lineRule="exact"/>
        <w:rPr>
          <w:sz w:val="20"/>
          <w:szCs w:val="20"/>
          <w:color w:val="auto"/>
        </w:rPr>
      </w:pPr>
    </w:p>
    <w:p>
      <w:pPr>
        <w:ind w:left="1220" w:right="60" w:hanging="415"/>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net losses since inception. We expect to incur net losses for the foreseeable future and may never achieve or maintain profitability.</w:t>
      </w:r>
    </w:p>
    <w:p>
      <w:pPr>
        <w:spacing w:after="0" w:line="75" w:lineRule="exact"/>
        <w:rPr>
          <w:rFonts w:ascii="Arial" w:cs="Arial" w:eastAsia="Arial" w:hAnsi="Arial"/>
          <w:sz w:val="18"/>
          <w:szCs w:val="18"/>
          <w:color w:val="auto"/>
        </w:rPr>
      </w:pPr>
    </w:p>
    <w:p>
      <w:pPr>
        <w:ind w:left="1220" w:right="180" w:hanging="415"/>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75" w:lineRule="exact"/>
        <w:rPr>
          <w:rFonts w:ascii="Arial" w:cs="Arial" w:eastAsia="Arial" w:hAnsi="Arial"/>
          <w:sz w:val="18"/>
          <w:szCs w:val="18"/>
          <w:color w:val="auto"/>
        </w:rPr>
      </w:pPr>
    </w:p>
    <w:p>
      <w:pPr>
        <w:ind w:left="1220" w:right="480" w:hanging="415"/>
        <w:spacing w:after="0" w:line="264"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86" w:lineRule="exact"/>
        <w:rPr>
          <w:rFonts w:ascii="Arial" w:cs="Arial" w:eastAsia="Arial" w:hAnsi="Arial"/>
          <w:sz w:val="18"/>
          <w:szCs w:val="18"/>
          <w:color w:val="auto"/>
        </w:rPr>
      </w:pPr>
    </w:p>
    <w:p>
      <w:pPr>
        <w:ind w:left="1220" w:right="20" w:hanging="415"/>
        <w:spacing w:after="0" w:line="264"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AVR-RD-01 is being investigated in an ongoing Phase 1 clinical trial, in which two patients have been dosed to date, and we have not commenced clinical trials for any of our other product candidates. We have never conducted pivotal clinical trials, and may be unable to do so for any product candidates we may develop, including AVR-RD-01.</w:t>
      </w:r>
    </w:p>
    <w:p>
      <w:pPr>
        <w:spacing w:after="0" w:line="86" w:lineRule="exact"/>
        <w:rPr>
          <w:rFonts w:ascii="Arial" w:cs="Arial" w:eastAsia="Arial" w:hAnsi="Arial"/>
          <w:sz w:val="18"/>
          <w:szCs w:val="18"/>
          <w:color w:val="auto"/>
        </w:rPr>
      </w:pPr>
    </w:p>
    <w:p>
      <w:pPr>
        <w:ind w:left="1220" w:right="240" w:hanging="415"/>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us from proceeding with clinical trials of our product candidates.</w:t>
      </w:r>
    </w:p>
    <w:p>
      <w:pPr>
        <w:spacing w:after="0" w:line="75" w:lineRule="exact"/>
        <w:rPr>
          <w:rFonts w:ascii="Arial" w:cs="Arial" w:eastAsia="Arial" w:hAnsi="Arial"/>
          <w:sz w:val="18"/>
          <w:szCs w:val="18"/>
          <w:color w:val="auto"/>
        </w:rPr>
      </w:pPr>
    </w:p>
    <w:p>
      <w:pPr>
        <w:ind w:left="1220" w:hanging="415"/>
        <w:spacing w:after="0" w:line="279"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76" w:lineRule="exact"/>
        <w:rPr>
          <w:rFonts w:ascii="Arial" w:cs="Arial" w:eastAsia="Arial" w:hAnsi="Arial"/>
          <w:sz w:val="17"/>
          <w:szCs w:val="17"/>
          <w:color w:val="auto"/>
        </w:rPr>
      </w:pPr>
    </w:p>
    <w:p>
      <w:pPr>
        <w:ind w:left="1220" w:right="980" w:hanging="415"/>
        <w:spacing w:after="0" w:line="342" w:lineRule="auto"/>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29" w:lineRule="exact"/>
        <w:rPr>
          <w:rFonts w:ascii="Arial" w:cs="Arial" w:eastAsia="Arial" w:hAnsi="Arial"/>
          <w:sz w:val="16"/>
          <w:szCs w:val="16"/>
          <w:color w:val="auto"/>
        </w:rPr>
      </w:pPr>
    </w:p>
    <w:p>
      <w:pPr>
        <w:ind w:left="1220" w:right="200" w:hanging="415"/>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production problems that result in delays in our development or commercialization programs or otherwise adversely affect our business.</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Third-party claims of intellectual property infringement may prevent or delay our development and commercialization efforts.</w:t>
      </w:r>
    </w:p>
    <w:p>
      <w:pPr>
        <w:spacing w:after="0" w:line="142" w:lineRule="exact"/>
        <w:rPr>
          <w:rFonts w:ascii="Arial" w:cs="Arial" w:eastAsia="Arial" w:hAnsi="Arial"/>
          <w:sz w:val="17"/>
          <w:szCs w:val="17"/>
          <w:color w:val="auto"/>
        </w:rPr>
      </w:pPr>
    </w:p>
    <w:p>
      <w:pPr>
        <w:ind w:left="1220" w:right="40" w:hanging="415"/>
        <w:spacing w:after="0" w:line="259"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in part, to the terms and conditions of licenses granted to us by others. In particular, we have in-licensed certain intellectual property rights and know-how relevant to AVR-RD-01 for our Fabry program and AVR-RD-02 for our Gaucher program, but do not own or license any patents or patent applications covering these product candidates.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38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6238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140" w:hanging="415"/>
        <w:spacing w:after="0" w:line="264"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aware of issued patents in the United States that cover the lentiviral vectors used in the manufacture of our product candidates. While we believe that we have reasonable defenses against a claim of infringement, there can be no assurance that we will prevail in any such action by the holder of these patents.</w:t>
      </w:r>
    </w:p>
    <w:p>
      <w:pPr>
        <w:spacing w:after="0" w:line="86" w:lineRule="exact"/>
        <w:rPr>
          <w:rFonts w:ascii="Arial" w:cs="Arial" w:eastAsia="Arial" w:hAnsi="Arial"/>
          <w:sz w:val="18"/>
          <w:szCs w:val="18"/>
          <w:color w:val="auto"/>
        </w:rPr>
      </w:pPr>
    </w:p>
    <w:p>
      <w:pPr>
        <w:ind w:left="1220" w:right="300" w:hanging="415"/>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and our independent registered public accounting firm have identified material weaknesses in our internal control over financial reporting which will require remediation.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were formed as a corporation under the laws of the State of Delaware in November 2015 under the name AvroBio, Inc. Our corporate name was changed to AVROBIO, Inc. in June 2017. Our executive offices are located at One Kendall Square, Building 300, Suite 201, Cambridge, MA 02139 and our telephone number is (617) 914-8420. Our website address is www.avrobio.com. We do not incorporate the information on or accessible through our website into this prospectus, and you should not consider any information on, or that can be accessed through, our website as part of this prospectus.</w:t>
      </w:r>
    </w:p>
    <w:p>
      <w:pPr>
        <w:spacing w:after="0" w:line="188" w:lineRule="exact"/>
        <w:rPr>
          <w:sz w:val="20"/>
          <w:szCs w:val="20"/>
          <w:color w:val="auto"/>
        </w:rPr>
      </w:pPr>
    </w:p>
    <w:p>
      <w:pPr>
        <w:ind w:left="380" w:right="280" w:firstLine="426"/>
        <w:spacing w:after="0" w:line="312" w:lineRule="auto"/>
        <w:rPr>
          <w:sz w:val="20"/>
          <w:szCs w:val="20"/>
          <w:color w:val="auto"/>
        </w:rPr>
      </w:pPr>
      <w:r>
        <w:rPr>
          <w:rFonts w:ascii="Arial" w:cs="Arial" w:eastAsia="Arial" w:hAnsi="Arial"/>
          <w:sz w:val="16"/>
          <w:szCs w:val="16"/>
          <w:color w:val="auto"/>
        </w:rPr>
        <w:t xml:space="preserve">The trademarks, trade names and service marks appearing in this prospectus are the property of their respective owners. Solely for convenience, the trademarks and trade names in this prospectus are referred to without the symbols </w:t>
      </w:r>
      <w:r>
        <w:rPr>
          <w:rFonts w:ascii="Arial" w:cs="Arial" w:eastAsia="Arial" w:hAnsi="Arial"/>
          <w:sz w:val="13"/>
          <w:szCs w:val="13"/>
          <w:color w:val="auto"/>
        </w:rPr>
        <w:t>®</w:t>
      </w:r>
      <w:r>
        <w:rPr>
          <w:rFonts w:ascii="Arial" w:cs="Arial" w:eastAsia="Arial" w:hAnsi="Arial"/>
          <w:sz w:val="16"/>
          <w:szCs w:val="16"/>
          <w:color w:val="auto"/>
        </w:rPr>
        <w:t xml:space="preserve"> and ™, but such references should not be construed as any indicator that their respective owners will not assert, to the fullest extent under applicable law, their rights thereto.</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jc w:val="both"/>
        <w:ind w:left="380" w:right="140" w:firstLine="426"/>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As an emerging growth company, we may take advantage of specified reduced disclosure and other requirements that are otherwise applicable generally to public companies. These provisions include:</w:t>
      </w:r>
    </w:p>
    <w:p>
      <w:pPr>
        <w:spacing w:after="0" w:line="87" w:lineRule="exact"/>
        <w:rPr>
          <w:sz w:val="20"/>
          <w:szCs w:val="20"/>
          <w:color w:val="auto"/>
        </w:rPr>
      </w:pPr>
    </w:p>
    <w:p>
      <w:pPr>
        <w:ind w:left="1220" w:right="100" w:hanging="415"/>
        <w:spacing w:after="0" w:line="308" w:lineRule="auto"/>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advisory votes on executive compensation or golden parachute arrangements;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30" w:lineRule="exact"/>
        <w:rPr>
          <w:rFonts w:ascii="Arial" w:cs="Arial" w:eastAsia="Arial" w:hAnsi="Arial"/>
          <w:sz w:val="18"/>
          <w:szCs w:val="18"/>
          <w:color w:val="auto"/>
        </w:rPr>
      </w:pPr>
    </w:p>
    <w:p>
      <w:pPr>
        <w:ind w:left="1220" w:right="240" w:hanging="415"/>
        <w:spacing w:after="0" w:line="342"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24"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$1.07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Securities and Exchange Commission, or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will not be subject to the same new or revised accounting standards as other public companies that are not emerging growth companies.</w:t>
      </w:r>
    </w:p>
    <w:p>
      <w:pPr>
        <w:spacing w:after="0" w:line="200" w:lineRule="exact"/>
        <w:rPr>
          <w:sz w:val="20"/>
          <w:szCs w:val="20"/>
          <w:color w:val="auto"/>
        </w:rPr>
      </w:pPr>
    </w:p>
    <w:p>
      <w:pPr>
        <w:spacing w:after="0" w:line="39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4820" w:type="dxa"/>
            <w:vAlign w:val="bottom"/>
            <w:tcBorders>
              <w:top w:val="single" w:sz="8" w:color="auto"/>
              <w:left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THE OFFERING</w:t>
            </w: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1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4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stock offered by us</w:t>
            </w:r>
          </w:p>
        </w:tc>
        <w:tc>
          <w:tcPr>
            <w:tcW w:w="168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1"/>
              </w:rPr>
              <w:t>Common stock to be outstanding immediately after this offering</w:t>
            </w:r>
          </w:p>
        </w:tc>
        <w:tc>
          <w:tcPr>
            <w:tcW w:w="1680" w:type="dxa"/>
            <w:vAlign w:val="bottom"/>
          </w:tcPr>
          <w:p>
            <w:pPr>
              <w:spacing w:after="0"/>
              <w:rPr>
                <w:sz w:val="24"/>
                <w:szCs w:val="24"/>
                <w:color w:val="auto"/>
              </w:rPr>
            </w:pP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shares (</w:t>
            </w:r>
          </w:p>
        </w:tc>
        <w:tc>
          <w:tcPr>
            <w:tcW w:w="240" w:type="dxa"/>
            <w:vAlign w:val="bottom"/>
          </w:tcPr>
          <w:p>
            <w:pPr>
              <w:spacing w:after="0"/>
              <w:rPr>
                <w:sz w:val="24"/>
                <w:szCs w:val="24"/>
                <w:color w:val="auto"/>
              </w:rPr>
            </w:pPr>
          </w:p>
        </w:tc>
        <w:tc>
          <w:tcPr>
            <w:tcW w:w="318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90"/>
              </w:rPr>
              <w:t>shares if the underwriters exercise their</w:t>
            </w:r>
          </w:p>
        </w:tc>
        <w:tc>
          <w:tcPr>
            <w:tcW w:w="0" w:type="dxa"/>
            <w:vAlign w:val="bottom"/>
          </w:tcPr>
          <w:p>
            <w:pPr>
              <w:spacing w:after="0"/>
              <w:rPr>
                <w:sz w:val="1"/>
                <w:szCs w:val="1"/>
                <w:color w:val="auto"/>
              </w:rPr>
            </w:pPr>
          </w:p>
        </w:tc>
      </w:tr>
      <w:tr>
        <w:trPr>
          <w:trHeight w:val="202"/>
        </w:trPr>
        <w:tc>
          <w:tcPr>
            <w:tcW w:w="4820" w:type="dxa"/>
            <w:vAlign w:val="bottom"/>
            <w:tcBorders>
              <w:left w:val="single" w:sz="8" w:color="auto"/>
            </w:tcBorders>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1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Borders>
              <w:left w:val="single" w:sz="8" w:color="auto"/>
            </w:tcBorders>
          </w:tcPr>
          <w:p>
            <w:pPr>
              <w:spacing w:after="0"/>
              <w:rPr>
                <w:sz w:val="20"/>
                <w:szCs w:val="20"/>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option to purchase additional shares in full)</w:t>
            </w:r>
          </w:p>
        </w:tc>
        <w:tc>
          <w:tcPr>
            <w:tcW w:w="0" w:type="dxa"/>
            <w:vAlign w:val="bottom"/>
          </w:tcPr>
          <w:p>
            <w:pPr>
              <w:spacing w:after="0"/>
              <w:rPr>
                <w:sz w:val="1"/>
                <w:szCs w:val="1"/>
                <w:color w:val="auto"/>
              </w:rPr>
            </w:pPr>
          </w:p>
        </w:tc>
      </w:tr>
      <w:tr>
        <w:trPr>
          <w:trHeight w:val="269"/>
        </w:trPr>
        <w:tc>
          <w:tcPr>
            <w:tcW w:w="4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Underwriters’ option to purchase additional shares</w:t>
            </w:r>
          </w:p>
        </w:tc>
        <w:tc>
          <w:tcPr>
            <w:tcW w:w="6220" w:type="dxa"/>
            <w:vAlign w:val="bottom"/>
            <w:tcBorders>
              <w:right w:val="single" w:sz="8" w:color="auto"/>
            </w:tcBorders>
            <w:gridSpan w:val="4"/>
          </w:tcPr>
          <w:p>
            <w:pPr>
              <w:ind w:left="1020"/>
              <w:spacing w:after="0"/>
              <w:rPr>
                <w:sz w:val="20"/>
                <w:szCs w:val="20"/>
                <w:color w:val="auto"/>
              </w:rPr>
            </w:pPr>
            <w:r>
              <w:rPr>
                <w:rFonts w:ascii="Arial" w:cs="Arial" w:eastAsia="Arial" w:hAnsi="Arial"/>
                <w:sz w:val="18"/>
                <w:szCs w:val="18"/>
                <w:color w:val="auto"/>
                <w:w w:val="94"/>
              </w:rPr>
              <w:t>We have granted a 30-day option to the underwriters to purchase up</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2800" w:type="dxa"/>
            <w:vAlign w:val="bottom"/>
            <w:gridSpan w:val="2"/>
          </w:tcPr>
          <w:p>
            <w:pPr>
              <w:ind w:left="1200"/>
              <w:spacing w:after="0"/>
              <w:rPr>
                <w:sz w:val="20"/>
                <w:szCs w:val="20"/>
                <w:color w:val="auto"/>
              </w:rPr>
            </w:pPr>
            <w:r>
              <w:rPr>
                <w:rFonts w:ascii="Arial" w:cs="Arial" w:eastAsia="Arial" w:hAnsi="Arial"/>
                <w:sz w:val="18"/>
                <w:szCs w:val="18"/>
                <w:color w:val="auto"/>
              </w:rPr>
              <w:t>to an aggregate of</w:t>
            </w:r>
          </w:p>
        </w:tc>
        <w:tc>
          <w:tcPr>
            <w:tcW w:w="240" w:type="dxa"/>
            <w:vAlign w:val="bottom"/>
          </w:tcPr>
          <w:p>
            <w:pPr>
              <w:spacing w:after="0"/>
              <w:rPr>
                <w:sz w:val="18"/>
                <w:szCs w:val="18"/>
                <w:color w:val="auto"/>
              </w:rPr>
            </w:pPr>
          </w:p>
        </w:tc>
        <w:tc>
          <w:tcPr>
            <w:tcW w:w="318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w w:val="99"/>
              </w:rPr>
              <w:t>additional shares of common stock</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from us at the public offering price, less underwriting discounts</w:t>
            </w:r>
          </w:p>
        </w:tc>
        <w:tc>
          <w:tcPr>
            <w:tcW w:w="0" w:type="dxa"/>
            <w:vAlign w:val="bottom"/>
          </w:tcPr>
          <w:p>
            <w:pPr>
              <w:spacing w:after="0"/>
              <w:rPr>
                <w:sz w:val="1"/>
                <w:szCs w:val="1"/>
                <w:color w:val="auto"/>
              </w:rPr>
            </w:pPr>
          </w:p>
        </w:tc>
      </w:tr>
      <w:tr>
        <w:trPr>
          <w:trHeight w:val="230"/>
        </w:trPr>
        <w:tc>
          <w:tcPr>
            <w:tcW w:w="4820" w:type="dxa"/>
            <w:vAlign w:val="bottom"/>
            <w:tcBorders>
              <w:left w:val="single" w:sz="8" w:color="auto"/>
            </w:tcBorders>
          </w:tcPr>
          <w:p>
            <w:pPr>
              <w:spacing w:after="0"/>
              <w:rPr>
                <w:sz w:val="20"/>
                <w:szCs w:val="20"/>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2"/>
              </w:rPr>
              <w:t>and commissions on the same terms as set forth in this prospectus.</w:t>
            </w:r>
          </w:p>
        </w:tc>
        <w:tc>
          <w:tcPr>
            <w:tcW w:w="0" w:type="dxa"/>
            <w:vAlign w:val="bottom"/>
          </w:tcPr>
          <w:p>
            <w:pPr>
              <w:spacing w:after="0"/>
              <w:rPr>
                <w:sz w:val="1"/>
                <w:szCs w:val="1"/>
                <w:color w:val="auto"/>
              </w:rPr>
            </w:pPr>
          </w:p>
        </w:tc>
      </w:tr>
      <w:tr>
        <w:trPr>
          <w:trHeight w:val="269"/>
        </w:trPr>
        <w:tc>
          <w:tcPr>
            <w:tcW w:w="4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6220" w:type="dxa"/>
            <w:vAlign w:val="bottom"/>
            <w:tcBorders>
              <w:right w:val="single" w:sz="8" w:color="auto"/>
            </w:tcBorders>
            <w:gridSpan w:val="4"/>
          </w:tcPr>
          <w:p>
            <w:pPr>
              <w:ind w:left="1020"/>
              <w:spacing w:after="0"/>
              <w:rPr>
                <w:sz w:val="20"/>
                <w:szCs w:val="20"/>
                <w:color w:val="auto"/>
              </w:rPr>
            </w:pPr>
            <w:r>
              <w:rPr>
                <w:rFonts w:ascii="Arial" w:cs="Arial" w:eastAsia="Arial" w:hAnsi="Arial"/>
                <w:sz w:val="18"/>
                <w:szCs w:val="18"/>
                <w:color w:val="auto"/>
                <w:w w:val="93"/>
              </w:rPr>
              <w:t>We estimate that we will receive net proceeds from the sale of shares</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of our common stock in this offering of approximately</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1680" w:type="dxa"/>
            <w:vAlign w:val="bottom"/>
          </w:tcPr>
          <w:p>
            <w:pPr>
              <w:ind w:left="1200"/>
              <w:spacing w:after="0"/>
              <w:rPr>
                <w:sz w:val="20"/>
                <w:szCs w:val="20"/>
                <w:color w:val="auto"/>
              </w:rPr>
            </w:pPr>
            <w:r>
              <w:rPr>
                <w:rFonts w:ascii="Arial" w:cs="Arial" w:eastAsia="Arial" w:hAnsi="Arial"/>
                <w:sz w:val="18"/>
                <w:szCs w:val="18"/>
                <w:color w:val="auto"/>
              </w:rPr>
              <w:t>$</w:t>
            </w:r>
          </w:p>
        </w:tc>
        <w:tc>
          <w:tcPr>
            <w:tcW w:w="1120" w:type="dxa"/>
            <w:vAlign w:val="bottom"/>
          </w:tcPr>
          <w:p>
            <w:pPr>
              <w:ind w:left="20"/>
              <w:spacing w:after="0"/>
              <w:rPr>
                <w:sz w:val="20"/>
                <w:szCs w:val="20"/>
                <w:color w:val="auto"/>
              </w:rPr>
            </w:pPr>
            <w:r>
              <w:rPr>
                <w:rFonts w:ascii="Arial" w:cs="Arial" w:eastAsia="Arial" w:hAnsi="Arial"/>
                <w:sz w:val="18"/>
                <w:szCs w:val="18"/>
                <w:color w:val="auto"/>
              </w:rPr>
              <w:t>million, or $</w:t>
            </w:r>
          </w:p>
        </w:tc>
        <w:tc>
          <w:tcPr>
            <w:tcW w:w="3420" w:type="dxa"/>
            <w:vAlign w:val="bottom"/>
            <w:tcBorders>
              <w:right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8"/>
              </w:rPr>
              <w:t>million if the underwriters exercise their</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option to purchase additional shares in full, assuming an initial</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3040" w:type="dxa"/>
            <w:vAlign w:val="bottom"/>
            <w:gridSpan w:val="3"/>
          </w:tcPr>
          <w:p>
            <w:pPr>
              <w:ind w:left="1200"/>
              <w:spacing w:after="0"/>
              <w:rPr>
                <w:sz w:val="20"/>
                <w:szCs w:val="20"/>
                <w:color w:val="auto"/>
              </w:rPr>
            </w:pPr>
            <w:r>
              <w:rPr>
                <w:rFonts w:ascii="Arial" w:cs="Arial" w:eastAsia="Arial" w:hAnsi="Arial"/>
                <w:sz w:val="18"/>
                <w:szCs w:val="18"/>
                <w:color w:val="auto"/>
                <w:w w:val="95"/>
              </w:rPr>
              <w:t>public offering price of $</w:t>
            </w:r>
          </w:p>
        </w:tc>
        <w:tc>
          <w:tcPr>
            <w:tcW w:w="31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per share, the midpoint of the price</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range set forth on the cover page of this prospectus, and after</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4"/>
              </w:rPr>
              <w:t>deducting estimated underwriting discounts and commissions and</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6"/>
              </w:rPr>
              <w:t>estimated offering expenses payable by us. We intend to use the</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net proceeds from this offering, together with our existing cash</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3"/>
              </w:rPr>
              <w:t>and cash equivalents, to advance our lead product candidate AVR-</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3"/>
              </w:rPr>
              <w:t>RD-01; to advance our other product candidates and programs; for</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4"/>
              </w:rPr>
              <w:t>our external and internal manufacturing and process development</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5"/>
              </w:rPr>
              <w:t>activities; for research and development activities that relate to all</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of our clinical and preclinical activities; and the remainder for</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planned general and administrative expenses, the costs of</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5"/>
              </w:rPr>
              <w:t>operating as a public company, working capital and other general</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corporate purposes. For a more complete description of our</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intended use of the proceeds from this offering, see “Use of</w:t>
            </w:r>
          </w:p>
        </w:tc>
        <w:tc>
          <w:tcPr>
            <w:tcW w:w="0" w:type="dxa"/>
            <w:vAlign w:val="bottom"/>
          </w:tcPr>
          <w:p>
            <w:pPr>
              <w:spacing w:after="0"/>
              <w:rPr>
                <w:sz w:val="1"/>
                <w:szCs w:val="1"/>
                <w:color w:val="auto"/>
              </w:rPr>
            </w:pPr>
          </w:p>
        </w:tc>
      </w:tr>
      <w:tr>
        <w:trPr>
          <w:trHeight w:val="230"/>
        </w:trPr>
        <w:tc>
          <w:tcPr>
            <w:tcW w:w="4820" w:type="dxa"/>
            <w:vAlign w:val="bottom"/>
            <w:tcBorders>
              <w:left w:val="single" w:sz="8" w:color="auto"/>
            </w:tcBorders>
          </w:tcPr>
          <w:p>
            <w:pPr>
              <w:spacing w:after="0"/>
              <w:rPr>
                <w:sz w:val="20"/>
                <w:szCs w:val="20"/>
                <w:color w:val="auto"/>
              </w:rPr>
            </w:pPr>
          </w:p>
        </w:tc>
        <w:tc>
          <w:tcPr>
            <w:tcW w:w="2800" w:type="dxa"/>
            <w:vAlign w:val="bottom"/>
            <w:gridSpan w:val="2"/>
          </w:tcPr>
          <w:p>
            <w:pPr>
              <w:ind w:left="1200"/>
              <w:spacing w:after="0"/>
              <w:rPr>
                <w:sz w:val="20"/>
                <w:szCs w:val="20"/>
                <w:color w:val="auto"/>
              </w:rPr>
            </w:pPr>
            <w:r>
              <w:rPr>
                <w:rFonts w:ascii="Arial" w:cs="Arial" w:eastAsia="Arial" w:hAnsi="Arial"/>
                <w:sz w:val="18"/>
                <w:szCs w:val="18"/>
                <w:color w:val="auto"/>
              </w:rPr>
              <w:t>Proceeds.”</w:t>
            </w:r>
          </w:p>
        </w:tc>
        <w:tc>
          <w:tcPr>
            <w:tcW w:w="240" w:type="dxa"/>
            <w:vAlign w:val="bottom"/>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6220" w:type="dxa"/>
            <w:vAlign w:val="bottom"/>
            <w:tcBorders>
              <w:right w:val="single" w:sz="8" w:color="auto"/>
            </w:tcBorders>
            <w:gridSpan w:val="4"/>
          </w:tcPr>
          <w:p>
            <w:pPr>
              <w:ind w:left="1020"/>
              <w:spacing w:after="0"/>
              <w:rPr>
                <w:sz w:val="20"/>
                <w:szCs w:val="20"/>
                <w:color w:val="auto"/>
              </w:rPr>
            </w:pPr>
            <w:r>
              <w:rPr>
                <w:rFonts w:ascii="Arial" w:cs="Arial" w:eastAsia="Arial" w:hAnsi="Arial"/>
                <w:sz w:val="18"/>
                <w:szCs w:val="18"/>
                <w:color w:val="auto"/>
              </w:rPr>
              <w:t>You should carefully read the “Risk Factors” section of this</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prospectus for a discussion of factors that you should consider</w:t>
            </w:r>
          </w:p>
        </w:tc>
        <w:tc>
          <w:tcPr>
            <w:tcW w:w="0" w:type="dxa"/>
            <w:vAlign w:val="bottom"/>
          </w:tcPr>
          <w:p>
            <w:pPr>
              <w:spacing w:after="0"/>
              <w:rPr>
                <w:sz w:val="1"/>
                <w:szCs w:val="1"/>
                <w:color w:val="auto"/>
              </w:rPr>
            </w:pPr>
          </w:p>
        </w:tc>
      </w:tr>
      <w:tr>
        <w:trPr>
          <w:trHeight w:val="230"/>
        </w:trPr>
        <w:tc>
          <w:tcPr>
            <w:tcW w:w="4820" w:type="dxa"/>
            <w:vAlign w:val="bottom"/>
            <w:tcBorders>
              <w:left w:val="single" w:sz="8" w:color="auto"/>
            </w:tcBorders>
          </w:tcPr>
          <w:p>
            <w:pPr>
              <w:spacing w:after="0"/>
              <w:rPr>
                <w:sz w:val="20"/>
                <w:szCs w:val="20"/>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before deciding to invest in our common stock.</w:t>
            </w:r>
          </w:p>
        </w:tc>
        <w:tc>
          <w:tcPr>
            <w:tcW w:w="0" w:type="dxa"/>
            <w:vAlign w:val="bottom"/>
          </w:tcPr>
          <w:p>
            <w:pPr>
              <w:spacing w:after="0"/>
              <w:rPr>
                <w:sz w:val="1"/>
                <w:szCs w:val="1"/>
                <w:color w:val="auto"/>
              </w:rPr>
            </w:pPr>
          </w:p>
        </w:tc>
      </w:tr>
      <w:tr>
        <w:trPr>
          <w:trHeight w:val="284"/>
        </w:trPr>
        <w:tc>
          <w:tcPr>
            <w:tcW w:w="4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Proposed Nasdaq Global Market symbol</w:t>
            </w:r>
          </w:p>
        </w:tc>
        <w:tc>
          <w:tcPr>
            <w:tcW w:w="1680" w:type="dxa"/>
            <w:vAlign w:val="bottom"/>
          </w:tcPr>
          <w:p>
            <w:pPr>
              <w:ind w:left="1020"/>
              <w:spacing w:after="0"/>
              <w:rPr>
                <w:sz w:val="20"/>
                <w:szCs w:val="20"/>
                <w:color w:val="auto"/>
              </w:rPr>
            </w:pPr>
            <w:r>
              <w:rPr>
                <w:rFonts w:ascii="Arial" w:cs="Arial" w:eastAsia="Arial" w:hAnsi="Arial"/>
                <w:sz w:val="18"/>
                <w:szCs w:val="18"/>
                <w:color w:val="auto"/>
              </w:rPr>
              <w:t>“AVRO”</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820" w:type="dxa"/>
            <w:vAlign w:val="bottom"/>
            <w:tcBorders>
              <w:left w:val="single" w:sz="8" w:color="auto"/>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4820" w:type="dxa"/>
            <w:vAlign w:val="bottom"/>
          </w:tcPr>
          <w:p>
            <w:pPr>
              <w:spacing w:after="0"/>
              <w:rPr>
                <w:sz w:val="24"/>
                <w:szCs w:val="24"/>
                <w:color w:val="auto"/>
              </w:rPr>
            </w:pPr>
          </w:p>
        </w:tc>
        <w:tc>
          <w:tcPr>
            <w:tcW w:w="1680" w:type="dxa"/>
            <w:vAlign w:val="bottom"/>
          </w:tcPr>
          <w:p>
            <w:pPr>
              <w:ind w:left="640"/>
              <w:spacing w:after="0"/>
              <w:rPr>
                <w:sz w:val="20"/>
                <w:szCs w:val="20"/>
                <w:color w:val="auto"/>
              </w:rPr>
            </w:pPr>
            <w:r>
              <w:rPr>
                <w:rFonts w:ascii="Arial" w:cs="Arial" w:eastAsia="Arial" w:hAnsi="Arial"/>
                <w:sz w:val="18"/>
                <w:szCs w:val="18"/>
                <w:color w:val="auto"/>
              </w:rPr>
              <w:t>6</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215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42151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right="860" w:firstLine="426"/>
        <w:spacing w:after="0" w:line="264" w:lineRule="auto"/>
        <w:rPr>
          <w:sz w:val="20"/>
          <w:szCs w:val="20"/>
          <w:color w:val="auto"/>
        </w:rPr>
      </w:pPr>
      <w:r>
        <w:rPr>
          <w:rFonts w:ascii="Arial" w:cs="Arial" w:eastAsia="Arial" w:hAnsi="Arial"/>
          <w:sz w:val="18"/>
          <w:szCs w:val="18"/>
          <w:color w:val="auto"/>
        </w:rPr>
        <w:t>The number of shares of our common stock to be outstanding after this offering is based on 10,666,667 shares of our common stock outstanding as of March 31, 2018, and gives effect to the conversion of all of our outstanding preferred stock into 63,303,154 shares of our common stock immediately prior to the closing of this offering, and excludes:</w:t>
      </w:r>
    </w:p>
    <w:p>
      <w:pPr>
        <w:spacing w:after="0" w:line="87" w:lineRule="exact"/>
        <w:rPr>
          <w:sz w:val="20"/>
          <w:szCs w:val="20"/>
          <w:color w:val="auto"/>
        </w:rPr>
      </w:pPr>
    </w:p>
    <w:p>
      <w:pPr>
        <w:ind w:left="1220" w:right="640" w:hanging="41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7,391,214 shares of common stock issuable upon the exercise of stock options outstanding as of March 31, 2018, with a weighted-average exercise price of $0.62 per share;</w:t>
      </w:r>
    </w:p>
    <w:p>
      <w:pPr>
        <w:spacing w:after="0" w:line="75" w:lineRule="exact"/>
        <w:rPr>
          <w:rFonts w:ascii="Arial" w:cs="Arial" w:eastAsia="Arial" w:hAnsi="Arial"/>
          <w:sz w:val="18"/>
          <w:szCs w:val="18"/>
          <w:color w:val="auto"/>
        </w:rPr>
      </w:pPr>
    </w:p>
    <w:p>
      <w:pPr>
        <w:ind w:left="1220" w:right="440" w:hanging="415"/>
        <w:spacing w:after="0" w:line="264"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28,305 shares of common stock issuable upon the exercise of a warrant to purchase preferred stock outstanding as of March 31, 2018 that will automatically become a warrant to purchase common stock upon the completion of this offering, with an exercise price of $0.7949 per share;</w:t>
      </w:r>
    </w:p>
    <w:p>
      <w:pPr>
        <w:spacing w:after="0" w:line="86" w:lineRule="exact"/>
        <w:rPr>
          <w:rFonts w:ascii="Arial" w:cs="Arial" w:eastAsia="Arial" w:hAnsi="Arial"/>
          <w:sz w:val="18"/>
          <w:szCs w:val="18"/>
          <w:color w:val="auto"/>
        </w:rPr>
      </w:pPr>
    </w:p>
    <w:p>
      <w:pPr>
        <w:ind w:left="1220" w:right="440" w:hanging="41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additional 241,506 shares of common stock available for future issuance under our Amended and Restated 2015 Stock Option and Grant Plan as of March 31, 2018;</w:t>
      </w:r>
    </w:p>
    <w:p>
      <w:pPr>
        <w:sectPr>
          <w:pgSz w:w="11900" w:h="16838" w:orient="portrait"/>
          <w:cols w:equalWidth="0" w:num="1">
            <w:col w:w="11240"/>
          </w:cols>
          <w:pgMar w:left="240" w:top="459" w:right="419" w:bottom="1440" w:gutter="0" w:footer="0" w:header="0"/>
        </w:sectPr>
      </w:pPr>
    </w:p>
    <w:p>
      <w:pPr>
        <w:spacing w:after="0" w:line="7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 additional shares of common stock that will be made available for future issuance under our 2018 Stock Option and Grant Plan upon the effectiveness of the registration statement of which this prospectus forms a part; and</w:t>
      </w:r>
    </w:p>
    <w:p>
      <w:pPr>
        <w:spacing w:after="0" w:line="76" w:lineRule="exact"/>
        <w:rPr>
          <w:sz w:val="20"/>
          <w:szCs w:val="20"/>
          <w:color w:val="auto"/>
        </w:rPr>
      </w:pPr>
    </w:p>
    <w:p>
      <w:pPr>
        <w:sectPr>
          <w:pgSz w:w="11900" w:h="16838" w:orient="portrait"/>
          <w:cols w:equalWidth="0" w:num="2">
            <w:col w:w="860" w:space="360"/>
            <w:col w:w="10020"/>
          </w:cols>
          <w:pgMar w:left="240" w:top="459" w:right="419" w:bottom="1440" w:gutter="0" w:footer="0" w:header="0"/>
          <w:type w:val="continuous"/>
        </w:sectPr>
      </w:pPr>
    </w:p>
    <w:p>
      <w:pPr>
        <w:ind w:left="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840"/>
        <w:spacing w:after="0" w:line="277" w:lineRule="auto"/>
        <w:rPr>
          <w:sz w:val="20"/>
          <w:szCs w:val="20"/>
          <w:color w:val="auto"/>
        </w:rPr>
      </w:pPr>
      <w:r>
        <w:rPr>
          <w:rFonts w:ascii="Arial" w:cs="Arial" w:eastAsia="Arial" w:hAnsi="Arial"/>
          <w:sz w:val="18"/>
          <w:szCs w:val="18"/>
          <w:color w:val="auto"/>
        </w:rPr>
        <w:t>an additional shares of common stock that will be made available for future issuance under our 2018 Employee Stock Purchase Plan upon the effectiveness of the registration statement of which this prospectus forms a part.</w:t>
      </w:r>
    </w:p>
    <w:p>
      <w:pPr>
        <w:spacing w:after="0" w:line="170" w:lineRule="exact"/>
        <w:rPr>
          <w:sz w:val="20"/>
          <w:szCs w:val="20"/>
          <w:color w:val="auto"/>
        </w:rPr>
      </w:pPr>
    </w:p>
    <w:p>
      <w:pPr>
        <w:sectPr>
          <w:pgSz w:w="11900" w:h="16838" w:orient="portrait"/>
          <w:cols w:equalWidth="0" w:num="2">
            <w:col w:w="860" w:space="360"/>
            <w:col w:w="10020"/>
          </w:cols>
          <w:pgMar w:left="240" w:top="459" w:right="419" w:bottom="1440" w:gutter="0" w:footer="0" w:header="0"/>
          <w:type w:val="continuous"/>
        </w:sectPr>
      </w:pPr>
    </w:p>
    <w:p>
      <w:pPr>
        <w:ind w:left="820"/>
        <w:spacing w:after="0"/>
        <w:rPr>
          <w:sz w:val="20"/>
          <w:szCs w:val="20"/>
          <w:color w:val="auto"/>
        </w:rPr>
      </w:pPr>
      <w:r>
        <w:rPr>
          <w:rFonts w:ascii="Arial" w:cs="Arial" w:eastAsia="Arial" w:hAnsi="Arial"/>
          <w:sz w:val="18"/>
          <w:szCs w:val="18"/>
          <w:color w:val="auto"/>
        </w:rPr>
        <w:t>Unless otherwise indicated, all information in this prospectus reflects or assumes the following:</w:t>
      </w:r>
    </w:p>
    <w:p>
      <w:pPr>
        <w:spacing w:after="0" w:line="131" w:lineRule="exact"/>
        <w:rPr>
          <w:sz w:val="20"/>
          <w:szCs w:val="20"/>
          <w:color w:val="auto"/>
        </w:rPr>
      </w:pPr>
    </w:p>
    <w:p>
      <w:pPr>
        <w:ind w:left="1220" w:right="40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upon the closing of this offering;</w:t>
      </w:r>
    </w:p>
    <w:p>
      <w:pPr>
        <w:spacing w:after="0" w:line="75" w:lineRule="exact"/>
        <w:rPr>
          <w:rFonts w:ascii="Arial" w:cs="Arial" w:eastAsia="Arial" w:hAnsi="Arial"/>
          <w:sz w:val="18"/>
          <w:szCs w:val="18"/>
          <w:color w:val="auto"/>
        </w:rPr>
      </w:pPr>
    </w:p>
    <w:p>
      <w:pPr>
        <w:ind w:left="1220" w:right="50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automatic conversion of all of our outstanding shares of preferred stock into an aggregate of 63,303,154 shares of common stock upon the closing of this offering;</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issuance or exercise of outstanding options or warrants after March 31, 2018;</w:t>
      </w:r>
    </w:p>
    <w:p>
      <w:pPr>
        <w:spacing w:after="0" w:line="13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1000" w:type="dxa"/>
            <w:vAlign w:val="bottom"/>
          </w:tcPr>
          <w:p>
            <w:pPr>
              <w:ind w:left="180"/>
              <w:spacing w:after="0"/>
              <w:rPr>
                <w:sz w:val="20"/>
                <w:szCs w:val="20"/>
                <w:color w:val="auto"/>
              </w:rPr>
            </w:pPr>
            <w:r>
              <w:rPr>
                <w:rFonts w:ascii="Arial" w:cs="Arial" w:eastAsia="Arial" w:hAnsi="Arial"/>
                <w:sz w:val="18"/>
                <w:szCs w:val="18"/>
                <w:color w:val="auto"/>
              </w:rPr>
              <w:t>a 1-for-</w:t>
            </w:r>
          </w:p>
        </w:tc>
        <w:tc>
          <w:tcPr>
            <w:tcW w:w="4080" w:type="dxa"/>
            <w:vAlign w:val="bottom"/>
          </w:tcPr>
          <w:p>
            <w:pPr>
              <w:jc w:val="right"/>
              <w:ind w:right="390"/>
              <w:spacing w:after="0"/>
              <w:rPr>
                <w:sz w:val="20"/>
                <w:szCs w:val="20"/>
                <w:color w:val="auto"/>
              </w:rPr>
            </w:pPr>
            <w:r>
              <w:rPr>
                <w:rFonts w:ascii="Arial" w:cs="Arial" w:eastAsia="Arial" w:hAnsi="Arial"/>
                <w:sz w:val="18"/>
                <w:szCs w:val="18"/>
                <w:color w:val="auto"/>
                <w:w w:val="98"/>
              </w:rPr>
              <w:t>reverse split of our common stock effected on</w:t>
            </w:r>
          </w:p>
        </w:tc>
        <w:tc>
          <w:tcPr>
            <w:tcW w:w="5120" w:type="dxa"/>
            <w:vAlign w:val="bottom"/>
          </w:tcPr>
          <w:p>
            <w:pPr>
              <w:ind w:left="280"/>
              <w:spacing w:after="0"/>
              <w:rPr>
                <w:sz w:val="20"/>
                <w:szCs w:val="20"/>
                <w:color w:val="auto"/>
              </w:rPr>
            </w:pPr>
            <w:r>
              <w:rPr>
                <w:rFonts w:ascii="Arial" w:cs="Arial" w:eastAsia="Arial" w:hAnsi="Arial"/>
                <w:sz w:val="18"/>
                <w:szCs w:val="18"/>
                <w:color w:val="auto"/>
              </w:rPr>
              <w:t>; and</w:t>
            </w:r>
          </w:p>
        </w:tc>
      </w:tr>
      <w:tr>
        <w:trPr>
          <w:trHeight w:val="338"/>
        </w:trPr>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5080" w:type="dxa"/>
            <w:vAlign w:val="bottom"/>
            <w:gridSpan w:val="2"/>
          </w:tcPr>
          <w:p>
            <w:pPr>
              <w:ind w:left="180"/>
              <w:spacing w:after="0"/>
              <w:rPr>
                <w:sz w:val="20"/>
                <w:szCs w:val="20"/>
                <w:color w:val="auto"/>
              </w:rPr>
            </w:pPr>
            <w:r>
              <w:rPr>
                <w:rFonts w:ascii="Arial" w:cs="Arial" w:eastAsia="Arial" w:hAnsi="Arial"/>
                <w:sz w:val="18"/>
                <w:szCs w:val="18"/>
                <w:color w:val="auto"/>
                <w:w w:val="96"/>
              </w:rPr>
              <w:t>no exercise by the underwriters of their option to purchase up to</w:t>
            </w:r>
          </w:p>
        </w:tc>
        <w:tc>
          <w:tcPr>
            <w:tcW w:w="5120" w:type="dxa"/>
            <w:vAlign w:val="bottom"/>
          </w:tcPr>
          <w:p>
            <w:pPr>
              <w:ind w:left="460"/>
              <w:spacing w:after="0"/>
              <w:rPr>
                <w:sz w:val="20"/>
                <w:szCs w:val="20"/>
                <w:color w:val="auto"/>
              </w:rPr>
            </w:pPr>
            <w:r>
              <w:rPr>
                <w:rFonts w:ascii="Arial" w:cs="Arial" w:eastAsia="Arial" w:hAnsi="Arial"/>
                <w:sz w:val="18"/>
                <w:szCs w:val="18"/>
                <w:color w:val="auto"/>
              </w:rPr>
              <w:t>additional shares of common stock in this offering.</w:t>
            </w:r>
          </w:p>
        </w:tc>
      </w:tr>
      <w:tr>
        <w:trPr>
          <w:trHeight w:val="240"/>
        </w:trPr>
        <w:tc>
          <w:tcPr>
            <w:tcW w:w="8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r>
      <w:tr>
        <w:trPr>
          <w:trHeight w:val="604"/>
        </w:trPr>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80" w:type="dxa"/>
            <w:vAlign w:val="bottom"/>
          </w:tcPr>
          <w:p>
            <w:pPr>
              <w:jc w:val="right"/>
              <w:ind w:right="270"/>
              <w:spacing w:after="0"/>
              <w:rPr>
                <w:sz w:val="20"/>
                <w:szCs w:val="20"/>
                <w:color w:val="auto"/>
              </w:rPr>
            </w:pPr>
            <w:r>
              <w:rPr>
                <w:rFonts w:ascii="Arial" w:cs="Arial" w:eastAsia="Arial" w:hAnsi="Arial"/>
                <w:sz w:val="18"/>
                <w:szCs w:val="18"/>
                <w:color w:val="auto"/>
              </w:rPr>
              <w:t>7</w:t>
            </w:r>
          </w:p>
        </w:tc>
        <w:tc>
          <w:tcPr>
            <w:tcW w:w="5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67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66675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80" w:right="60" w:firstLine="426"/>
        <w:spacing w:after="0" w:line="289" w:lineRule="auto"/>
        <w:rPr>
          <w:sz w:val="20"/>
          <w:szCs w:val="20"/>
          <w:color w:val="auto"/>
        </w:rPr>
      </w:pPr>
      <w:r>
        <w:rPr>
          <w:rFonts w:ascii="Arial" w:cs="Arial" w:eastAsia="Arial" w:hAnsi="Arial"/>
          <w:sz w:val="16"/>
          <w:szCs w:val="16"/>
          <w:color w:val="auto"/>
        </w:rPr>
        <w:t>The summary consolidated statements of operations data presented below for the years ended December 31, 2016 and 2017 are derived from our audited consolidated financial statements included elsewhere in this prospectus. The consolidated statements of operations data for the three months ended March 31, 2017 and 2018 and the consolidated balance sheet data as of March 31, 2018 have been derived from our unaudited condensed consolidated financial statements included elsewhere in this prospectus and have been prepared on the same basis as the audited consolidated financial statements. In the opinion of management, the unaudited data reflects all adjustments, consisting only of normal recurring adjustments, necessary for a fair presentation of the financial information contained in those statements. Our historical results are not necessarily indicative of the results that may be expected in any future period. You should read the following summary consolidated financial data together with the information in the sections titled “Selected Consolidated Financial Data” and “Management’s Discussion and Analysis of Financial Condition and Results of Operations” and our consolidated financial statements and related notes included elsewhere in this prospectus.</w:t>
      </w:r>
    </w:p>
    <w:p>
      <w:pPr>
        <w:spacing w:after="0" w:line="17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vMerge w:val="restart"/>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2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60" w:type="dxa"/>
            <w:vAlign w:val="bottom"/>
            <w:gridSpan w:val="7"/>
          </w:tcPr>
          <w:p>
            <w:pPr>
              <w:jc w:val="right"/>
              <w:ind w:right="160"/>
              <w:spacing w:after="0" w:line="142" w:lineRule="exact"/>
              <w:rPr>
                <w:sz w:val="20"/>
                <w:szCs w:val="20"/>
                <w:color w:val="auto"/>
              </w:rPr>
            </w:pPr>
            <w:r>
              <w:rPr>
                <w:rFonts w:ascii="Arial" w:cs="Arial" w:eastAsia="Arial" w:hAnsi="Arial"/>
                <w:sz w:val="14"/>
                <w:szCs w:val="14"/>
                <w:b w:val="1"/>
                <w:bCs w:val="1"/>
                <w:color w:val="auto"/>
                <w:w w:val="93"/>
              </w:rPr>
              <w:t>(in thousands, except share and per share data)</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 of Operations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15,191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16"/>
        </w:trPr>
        <w:tc>
          <w:tcPr>
            <w:tcW w:w="55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1,962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18,386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(18,386)</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fair value of preferred stock warrant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500" w:type="dxa"/>
            <w:vAlign w:val="bottom"/>
          </w:tcPr>
          <w:p>
            <w:pPr>
              <w:ind w:left="380"/>
              <w:spacing w:after="0"/>
              <w:rPr>
                <w:sz w:val="20"/>
                <w:szCs w:val="20"/>
                <w:color w:val="auto"/>
              </w:rPr>
            </w:pPr>
            <w:r>
              <w:rPr>
                <w:rFonts w:ascii="Arial" w:cs="Arial" w:eastAsia="Arial" w:hAnsi="Arial"/>
                <w:sz w:val="18"/>
                <w:szCs w:val="18"/>
                <w:color w:val="auto"/>
              </w:rPr>
              <w:t>Change in fair value of derivative liability</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500" w:type="dxa"/>
            <w:vAlign w:val="bottom"/>
          </w:tcPr>
          <w:p>
            <w:pPr>
              <w:ind w:left="74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20"/>
              <w:spacing w:after="0"/>
              <w:rPr>
                <w:sz w:val="20"/>
                <w:szCs w:val="20"/>
                <w:color w:val="auto"/>
              </w:rPr>
            </w:pPr>
            <w:r>
              <w:rPr>
                <w:rFonts w:ascii="Arial" w:cs="Arial" w:eastAsia="Arial" w:hAnsi="Arial"/>
                <w:sz w:val="18"/>
                <w:szCs w:val="18"/>
                <w:color w:val="auto"/>
              </w:rPr>
              <w:t>Reconciliation of net loss to net loss attributable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02"/>
        </w:trPr>
        <w:tc>
          <w:tcPr>
            <w:tcW w:w="5500" w:type="dxa"/>
            <w:vAlign w:val="bottom"/>
          </w:tcPr>
          <w:p>
            <w:pPr>
              <w:ind w:left="20"/>
              <w:spacing w:after="0" w:line="201" w:lineRule="exact"/>
              <w:rPr>
                <w:sz w:val="20"/>
                <w:szCs w:val="20"/>
                <w:color w:val="auto"/>
              </w:rPr>
            </w:pPr>
            <w:r>
              <w:rPr>
                <w:rFonts w:ascii="Arial" w:cs="Arial" w:eastAsia="Arial" w:hAnsi="Arial"/>
                <w:sz w:val="18"/>
                <w:szCs w:val="18"/>
                <w:color w:val="auto"/>
              </w:rPr>
              <w:t>Accretion of redeemable convertible preferred stock to redemption</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20"/>
              <w:spacing w:after="0"/>
              <w:rPr>
                <w:sz w:val="20"/>
                <w:szCs w:val="20"/>
                <w:color w:val="auto"/>
              </w:rPr>
            </w:pPr>
            <w:r>
              <w:rPr>
                <w:rFonts w:ascii="Arial" w:cs="Arial" w:eastAsia="Arial" w:hAnsi="Arial"/>
                <w:sz w:val="18"/>
                <w:szCs w:val="18"/>
                <w:color w:val="auto"/>
              </w:rPr>
              <w:t>Net loss per share attributable to common stockholders—basic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(0.59)</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Weighted-average common shares outstanding—basic and diluted</w:t>
            </w:r>
            <w:r>
              <w:rPr>
                <w:rFonts w:ascii="Arial" w:cs="Arial" w:eastAsia="Arial" w:hAnsi="Arial"/>
                <w:sz w:val="15"/>
                <w:szCs w:val="15"/>
                <w:color w:val="auto"/>
                <w:w w:val="99"/>
              </w:rPr>
              <w:t>(1)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8,421,130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9,238,612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9,014,861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9,606,064</w:t>
            </w:r>
          </w:p>
        </w:tc>
        <w:tc>
          <w:tcPr>
            <w:tcW w:w="0" w:type="dxa"/>
            <w:vAlign w:val="bottom"/>
          </w:tcPr>
          <w:p>
            <w:pPr>
              <w:spacing w:after="0"/>
              <w:rPr>
                <w:sz w:val="1"/>
                <w:szCs w:val="1"/>
                <w:color w:val="auto"/>
              </w:rPr>
            </w:pPr>
          </w:p>
        </w:tc>
      </w:tr>
      <w:tr>
        <w:trPr>
          <w:trHeight w:val="202"/>
        </w:trPr>
        <w:tc>
          <w:tcPr>
            <w:tcW w:w="5500" w:type="dxa"/>
            <w:vAlign w:val="bottom"/>
          </w:tcPr>
          <w:p>
            <w:pPr>
              <w:ind w:left="20"/>
              <w:spacing w:after="0" w:line="201" w:lineRule="exact"/>
              <w:rPr>
                <w:sz w:val="20"/>
                <w:szCs w:val="20"/>
                <w:color w:val="auto"/>
              </w:rPr>
            </w:pPr>
            <w:r>
              <w:rPr>
                <w:rFonts w:ascii="Arial" w:cs="Arial" w:eastAsia="Arial" w:hAnsi="Arial"/>
                <w:sz w:val="18"/>
                <w:szCs w:val="18"/>
                <w:color w:val="auto"/>
              </w:rPr>
              <w:t>Pro forma net loss per share attributable to common stockholders—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8"/>
              </w:rPr>
              <w:t>Pro forma weighted-average common shares outstanding—basic and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28,602,468</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66,888,472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00" w:right="200" w:hanging="414"/>
        <w:spacing w:after="0" w:line="312"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 Notes 2 and 13 to our audited consolidated financial statements and Note 12 to our unaudited condensed consolidated financial statements appearing elsewhere in this prospectus for further details on the calculation of basic and diluted net loss per share attributable to common stockholders and on the calculation of pro forma basic and diluted net loss per share attributable to common stockholders.</w:t>
      </w:r>
    </w:p>
    <w:p>
      <w:pPr>
        <w:spacing w:after="0" w:line="200" w:lineRule="exact"/>
        <w:rPr>
          <w:sz w:val="20"/>
          <w:szCs w:val="20"/>
          <w:color w:val="auto"/>
        </w:rPr>
      </w:pP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514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45148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As of March 31, 2018</w:t>
            </w:r>
          </w:p>
        </w:tc>
        <w:tc>
          <w:tcPr>
            <w:tcW w:w="10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20" w:type="dxa"/>
            <w:vAlign w:val="bottom"/>
          </w:tcPr>
          <w:p>
            <w:pPr>
              <w:spacing w:after="0"/>
              <w:rPr>
                <w:sz w:val="10"/>
                <w:szCs w:val="10"/>
                <w:color w:val="auto"/>
              </w:rPr>
            </w:pPr>
          </w:p>
        </w:tc>
        <w:tc>
          <w:tcPr>
            <w:tcW w:w="9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Actual</w:t>
            </w:r>
          </w:p>
        </w:tc>
        <w:tc>
          <w:tcPr>
            <w:tcW w:w="174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(2)</w:t>
            </w:r>
          </w:p>
        </w:tc>
        <w:tc>
          <w:tcPr>
            <w:tcW w:w="1060" w:type="dxa"/>
            <w:vAlign w:val="bottom"/>
          </w:tcPr>
          <w:p>
            <w:pPr>
              <w:jc w:val="center"/>
              <w:ind w:left="131"/>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0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3"/>
              </w:rPr>
              <w:t>As Adjusted</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(in thousands)</w:t>
            </w:r>
          </w:p>
        </w:tc>
        <w:tc>
          <w:tcPr>
            <w:tcW w:w="10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9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w w:val="88"/>
              </w:rPr>
              <w:t>$ 57,928</w:t>
            </w:r>
          </w:p>
        </w:tc>
        <w:tc>
          <w:tcPr>
            <w:tcW w:w="1740" w:type="dxa"/>
            <w:vAlign w:val="bottom"/>
          </w:tcPr>
          <w:p>
            <w:pPr>
              <w:jc w:val="right"/>
              <w:ind w:right="415"/>
              <w:spacing w:after="0"/>
              <w:rPr>
                <w:sz w:val="20"/>
                <w:szCs w:val="20"/>
                <w:color w:val="auto"/>
              </w:rPr>
            </w:pPr>
            <w:r>
              <w:rPr>
                <w:rFonts w:ascii="Arial" w:cs="Arial" w:eastAsia="Arial" w:hAnsi="Arial"/>
                <w:sz w:val="18"/>
                <w:szCs w:val="18"/>
                <w:color w:val="auto"/>
              </w:rPr>
              <w:t>$   57,928</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53,420</w:t>
            </w:r>
          </w:p>
        </w:tc>
        <w:tc>
          <w:tcPr>
            <w:tcW w:w="174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53,420</w:t>
            </w: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60,216</w:t>
            </w:r>
          </w:p>
        </w:tc>
        <w:tc>
          <w:tcPr>
            <w:tcW w:w="1740" w:type="dxa"/>
            <w:vAlign w:val="bottom"/>
          </w:tcPr>
          <w:p>
            <w:pPr>
              <w:jc w:val="right"/>
              <w:ind w:right="415"/>
              <w:spacing w:after="0"/>
              <w:rPr>
                <w:sz w:val="20"/>
                <w:szCs w:val="20"/>
                <w:color w:val="auto"/>
              </w:rPr>
            </w:pPr>
            <w:r>
              <w:rPr>
                <w:rFonts w:ascii="Arial" w:cs="Arial" w:eastAsia="Arial" w:hAnsi="Arial"/>
                <w:sz w:val="18"/>
                <w:szCs w:val="18"/>
                <w:color w:val="auto"/>
              </w:rPr>
              <w:t>60,216</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to purchase redeemable convertible preferred stock</w:t>
            </w: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47</w:t>
            </w:r>
          </w:p>
        </w:tc>
        <w:tc>
          <w:tcPr>
            <w:tcW w:w="174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Derivative liability</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958</w:t>
            </w:r>
          </w:p>
        </w:tc>
        <w:tc>
          <w:tcPr>
            <w:tcW w:w="1740" w:type="dxa"/>
            <w:vAlign w:val="bottom"/>
          </w:tcPr>
          <w:p>
            <w:pPr>
              <w:jc w:val="right"/>
              <w:ind w:right="415"/>
              <w:spacing w:after="0"/>
              <w:rPr>
                <w:sz w:val="20"/>
                <w:szCs w:val="20"/>
                <w:color w:val="auto"/>
              </w:rPr>
            </w:pPr>
            <w:r>
              <w:rPr>
                <w:rFonts w:ascii="Arial" w:cs="Arial" w:eastAsia="Arial" w:hAnsi="Arial"/>
                <w:sz w:val="18"/>
                <w:szCs w:val="18"/>
                <w:color w:val="auto"/>
              </w:rPr>
              <w:t>958</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87,500</w:t>
            </w:r>
          </w:p>
        </w:tc>
        <w:tc>
          <w:tcPr>
            <w:tcW w:w="174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Total stockholders’ (deficit) equity</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(33,511)</w:t>
            </w:r>
          </w:p>
        </w:tc>
        <w:tc>
          <w:tcPr>
            <w:tcW w:w="1740" w:type="dxa"/>
            <w:vAlign w:val="bottom"/>
          </w:tcPr>
          <w:p>
            <w:pPr>
              <w:jc w:val="right"/>
              <w:ind w:right="415"/>
              <w:spacing w:after="0"/>
              <w:rPr>
                <w:sz w:val="20"/>
                <w:szCs w:val="20"/>
                <w:color w:val="auto"/>
              </w:rPr>
            </w:pPr>
            <w:r>
              <w:rPr>
                <w:rFonts w:ascii="Arial" w:cs="Arial" w:eastAsia="Arial" w:hAnsi="Arial"/>
                <w:sz w:val="18"/>
                <w:szCs w:val="18"/>
                <w:color w:val="auto"/>
              </w:rPr>
              <w:t>54,036</w:t>
            </w: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00" w:hanging="414"/>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3" w:lineRule="exact"/>
        <w:rPr>
          <w:rFonts w:ascii="Arial" w:cs="Arial" w:eastAsia="Arial" w:hAnsi="Arial"/>
          <w:sz w:val="18"/>
          <w:szCs w:val="18"/>
          <w:color w:val="auto"/>
        </w:rPr>
      </w:pPr>
    </w:p>
    <w:p>
      <w:pPr>
        <w:jc w:val="both"/>
        <w:ind w:left="800" w:right="60" w:hanging="414"/>
        <w:spacing w:after="0" w:line="281"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pro forma balance sheet data gives effect to (i) the conversion of all outstanding shares of redeemable convertible preferred stock into an aggregate of 63,303,154 shares of common stock upon the closing of this offering; and (ii) the outstanding warrant to purchase shares of our redeemable convertible preferred stock becoming a warrant to purchase shares of our common stock upon the closing of this offering.</w:t>
      </w:r>
    </w:p>
    <w:p>
      <w:pPr>
        <w:spacing w:after="0" w:line="2" w:lineRule="exact"/>
        <w:rPr>
          <w:rFonts w:ascii="Arial" w:cs="Arial" w:eastAsia="Arial" w:hAnsi="Arial"/>
          <w:sz w:val="16"/>
          <w:szCs w:val="16"/>
          <w:color w:val="auto"/>
        </w:rPr>
      </w:pPr>
    </w:p>
    <w:p>
      <w:pPr>
        <w:ind w:left="800" w:hanging="414"/>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pro forma as adjusted balance sheet data gives effect to the pro forma adjustments described in footnote (2) above, as well as (i) our</w:t>
      </w:r>
    </w:p>
    <w:p>
      <w:pPr>
        <w:spacing w:after="0" w:line="32" w:lineRule="exact"/>
        <w:rPr>
          <w:sz w:val="20"/>
          <w:szCs w:val="20"/>
          <w:color w:val="auto"/>
        </w:rPr>
      </w:pPr>
    </w:p>
    <w:p>
      <w:pPr>
        <w:ind w:left="800" w:right="60"/>
        <w:spacing w:after="0" w:line="281" w:lineRule="auto"/>
        <w:rPr>
          <w:sz w:val="20"/>
          <w:szCs w:val="20"/>
          <w:color w:val="auto"/>
        </w:rPr>
      </w:pPr>
      <w:r>
        <w:rPr>
          <w:rFonts w:ascii="Arial" w:cs="Arial" w:eastAsia="Arial" w:hAnsi="Arial"/>
          <w:sz w:val="16"/>
          <w:szCs w:val="16"/>
          <w:color w:val="auto"/>
        </w:rPr>
        <w:t>issuance and sale of shares of common stock in this offering at an assumed initial public offering price of $ per share, the midpoint of the price range set forth on the cover page of this prospectus, after deducting estimated underwriting discounts and commissions and estimated offering expenses payable by us and (ii) the payment by us of an aggregate of $2.0 million to University Health Network pursuant to the Stock Purchase Agreement, dated as of January 27, 2016, between us and University Health Network, in connection with this</w:t>
      </w:r>
    </w:p>
    <w:p>
      <w:pPr>
        <w:spacing w:after="0" w:line="3" w:lineRule="exact"/>
        <w:rPr>
          <w:sz w:val="20"/>
          <w:szCs w:val="20"/>
          <w:color w:val="auto"/>
        </w:rPr>
      </w:pPr>
    </w:p>
    <w:p>
      <w:pPr>
        <w:ind w:left="800" w:right="120"/>
        <w:spacing w:after="0" w:line="281" w:lineRule="auto"/>
        <w:rPr>
          <w:sz w:val="20"/>
          <w:szCs w:val="20"/>
          <w:color w:val="auto"/>
        </w:rPr>
      </w:pPr>
      <w:r>
        <w:rPr>
          <w:rFonts w:ascii="Arial" w:cs="Arial" w:eastAsia="Arial" w:hAnsi="Arial"/>
          <w:sz w:val="16"/>
          <w:szCs w:val="16"/>
          <w:color w:val="auto"/>
        </w:rPr>
        <w:t>offering. Each $1.00 increase (decrease) in the assumed initial public offering price of $ per share, the midpoint of the price range set forth on the cover page of this prospectus, would increase (decrease) the pro forma as adjusted amount of each of cash and cash equivalents,</w:t>
      </w:r>
    </w:p>
    <w:p>
      <w:pPr>
        <w:spacing w:after="0" w:line="1" w:lineRule="exact"/>
        <w:rPr>
          <w:sz w:val="20"/>
          <w:szCs w:val="20"/>
          <w:color w:val="auto"/>
        </w:rPr>
      </w:pPr>
    </w:p>
    <w:p>
      <w:pPr>
        <w:ind w:left="800" w:right="20"/>
        <w:spacing w:after="0" w:line="281" w:lineRule="auto"/>
        <w:rPr>
          <w:sz w:val="20"/>
          <w:szCs w:val="20"/>
          <w:color w:val="auto"/>
        </w:rPr>
      </w:pPr>
      <w:r>
        <w:rPr>
          <w:rFonts w:ascii="Arial" w:cs="Arial" w:eastAsia="Arial" w:hAnsi="Arial"/>
          <w:sz w:val="16"/>
          <w:szCs w:val="16"/>
          <w:color w:val="auto"/>
        </w:rPr>
        <w:t>working capital, total assets and total stockholders’ equity by $ million, assuming that the number of shares offered by 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 page of this prospectus, would increase (decrease) the pro forma as adjusted amount of each of cash and cash equivalents, working capital,</w:t>
      </w:r>
    </w:p>
    <w:p>
      <w:pPr>
        <w:spacing w:after="0" w:line="3" w:lineRule="exact"/>
        <w:rPr>
          <w:sz w:val="20"/>
          <w:szCs w:val="20"/>
          <w:color w:val="auto"/>
        </w:rPr>
      </w:pPr>
    </w:p>
    <w:p>
      <w:pPr>
        <w:ind w:left="800"/>
        <w:spacing w:after="0" w:line="254" w:lineRule="auto"/>
        <w:rPr>
          <w:sz w:val="20"/>
          <w:szCs w:val="20"/>
          <w:color w:val="auto"/>
        </w:rPr>
      </w:pPr>
      <w:r>
        <w:rPr>
          <w:rFonts w:ascii="Arial" w:cs="Arial" w:eastAsia="Arial" w:hAnsi="Arial"/>
          <w:sz w:val="18"/>
          <w:szCs w:val="18"/>
          <w:color w:val="auto"/>
        </w:rPr>
        <w:t>total assets and total stockholders’ equity by $ million, assuming no change in the assumed initial public offering price per share and after deducting estimated underwriting discounts and commissions and estimated offering expenses payable by us. This pro forma as adjusted information is illustrative only and will depend on the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following risks and uncertainties, together with all other information in this prospectus, including our consolidated financial statements and related notes and “Management’s Discussion and Analysis of Financial Condition and Results of Operations,”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“Special Note Regarding Forward-Looking Statements” in this prospectus.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left="640" w:right="540"/>
        <w:spacing w:after="0" w:line="277" w:lineRule="auto"/>
        <w:rPr>
          <w:sz w:val="20"/>
          <w:szCs w:val="20"/>
          <w:color w:val="auto"/>
        </w:rPr>
      </w:pPr>
      <w:r>
        <w:rPr>
          <w:rFonts w:ascii="Arial" w:cs="Arial" w:eastAsia="Arial" w:hAnsi="Arial"/>
          <w:sz w:val="18"/>
          <w:szCs w:val="18"/>
          <w:b w:val="1"/>
          <w:bCs w:val="1"/>
          <w:i w:val="1"/>
          <w:iCs w:val="1"/>
          <w:color w:val="auto"/>
        </w:rPr>
        <w:t>We have incurred net losses since inception. We expect to incur net losses for the foreseeable future and may never achieve or maintain profitability.</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Since inception, we have incurred net losses. We incurred net losses of $4.7 million, $18.6 million and $8.2 million for the years ended December 31, 2016 and 2017, and the three months ended March 31, 2018, respectively. We historically have financed our operations primarily through private placements of our preferred stock.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99" w:lineRule="exact"/>
        <w:rPr>
          <w:sz w:val="20"/>
          <w:szCs w:val="20"/>
          <w:color w:val="auto"/>
        </w:rPr>
      </w:pPr>
    </w:p>
    <w:p>
      <w:pPr>
        <w:ind w:left="1060" w:hanging="424"/>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continue our development of our product candidates, including initiating and conducting our planned Phase 2 clinical trial for AVR-RD-01;</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1060" w:right="360" w:hanging="424"/>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including adding equipment and physical infrastructure to support our research and development;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transition our organization to being a public company.</w:t>
      </w:r>
    </w:p>
    <w:p>
      <w:pPr>
        <w:spacing w:after="0" w:line="225"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 continue our operations. A decline in the value of our company also could cause you to lose all or part of your investment.</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92" w:lineRule="exact"/>
        <w:rPr>
          <w:sz w:val="20"/>
          <w:szCs w:val="20"/>
          <w:color w:val="auto"/>
        </w:rPr>
      </w:pPr>
    </w:p>
    <w:p>
      <w:pPr>
        <w:ind w:left="1060" w:right="22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 and identifying new lentiviral-based gene therapy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30"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30" w:lineRule="exact"/>
        <w:rPr>
          <w:rFonts w:ascii="Arial" w:cs="Arial" w:eastAsia="Arial" w:hAnsi="Arial"/>
          <w:sz w:val="18"/>
          <w:szCs w:val="18"/>
          <w:color w:val="auto"/>
        </w:rPr>
      </w:pPr>
    </w:p>
    <w:p>
      <w:pPr>
        <w:ind w:left="1060" w:right="160" w:hanging="424"/>
        <w:spacing w:after="0" w:line="342" w:lineRule="auto"/>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62" w:lineRule="exact"/>
        <w:rPr>
          <w:sz w:val="20"/>
          <w:szCs w:val="20"/>
          <w:color w:val="auto"/>
        </w:rPr>
      </w:pPr>
    </w:p>
    <w:p>
      <w:pPr>
        <w:ind w:left="640" w:right="20"/>
        <w:spacing w:after="0" w:line="342" w:lineRule="auto"/>
        <w:rPr>
          <w:sz w:val="20"/>
          <w:szCs w:val="20"/>
          <w:color w:val="auto"/>
        </w:rPr>
      </w:pPr>
      <w:r>
        <w:rPr>
          <w:rFonts w:ascii="Arial" w:cs="Arial" w:eastAsia="Arial" w:hAnsi="Arial"/>
          <w:sz w:val="16"/>
          <w:szCs w:val="16"/>
          <w:b w:val="1"/>
          <w:bCs w:val="1"/>
          <w:i w:val="1"/>
          <w:iCs w:val="1"/>
          <w:color w:val="auto"/>
        </w:rPr>
        <w:t>Even if this offering is successful, we will need additional funding, which may not be available on acceptable terms, or at all. Failure to obtain this necessary capital when needed may force us to delay, limit or terminate our product development efforts or other operations.</w:t>
      </w:r>
    </w:p>
    <w:p>
      <w:pPr>
        <w:spacing w:after="0" w:line="1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In addition, if we obtain marketing approval for any of our product candidates, we expect to incur significant expenses related to product sales, medical affairs, marketing, manufacturing and distribution.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1060" w:right="20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other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revenue, if any, received from commercial sale of our products, should any of our product candidates receive marketing approval;</w:t>
      </w:r>
    </w:p>
    <w:p>
      <w:pPr>
        <w:spacing w:after="0" w:line="142" w:lineRule="exact"/>
        <w:rPr>
          <w:rFonts w:ascii="Arial" w:cs="Arial" w:eastAsia="Arial" w:hAnsi="Arial"/>
          <w:sz w:val="17"/>
          <w:szCs w:val="17"/>
          <w:color w:val="auto"/>
        </w:rPr>
      </w:pPr>
    </w:p>
    <w:p>
      <w:pPr>
        <w:ind w:left="1060" w:right="22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cause us to relinquish valuable rights.</w:t>
      </w:r>
    </w:p>
    <w:p>
      <w:pPr>
        <w:spacing w:after="0" w:line="14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you to evaluate the success of our business to date and to assess our future viability.</w:t>
      </w:r>
    </w:p>
    <w:p>
      <w:pPr>
        <w:spacing w:after="0" w:line="15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are a development-stage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clinical trials of our product candidates and establishing research and development and manufacturing capabilities. We have not yet demonstrated the ability to complete clinical trials of our product candidates, obtain marketing approvals, manufacture products on a clinical or commercial scale or conduct sales and marketing activities necessary for successful commercialization.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62"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the transition to LV2 or of our cell processing to an industrialized, automated closed system using all disposable supplies may not be successful or may experience unforeseen delays, which may cause shortages or delays in the supply of our products available for clinical trials and future commercial sales, if any. In addition, there is no assurance that products using our proprietary LV2 or manufactured using this automated system will achieve the same favorable preliminary results observed to date in the Phase 1 clinical trial of AVR-RD-01.</w:t>
      </w:r>
    </w:p>
    <w:p>
      <w:pPr>
        <w:spacing w:after="0" w:line="16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either the United States, Canada or other major markets or how long it will take to commercialize our product candidates, if any are approved. Approvals by foreign regulatory authorities may not be indicative of what the FDA may require for approval, and vice versa.</w:t>
      </w:r>
    </w:p>
    <w:p>
      <w:pPr>
        <w:spacing w:after="0" w:line="16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Regulatory requirements governing gene and cell therapy products have changed frequently and may continue to change in the future. The FDA has established the Office of Tissues and Advanced Therapies within its Center for Biologics Evaluation and Research, or CBER, to consolidate the review of gene therapy and related products, and has established the Cellular, Tissue and Gene Therapies Advisory Committee to advise the CBER in its review. Gene therapy clinical trials conducted at institutions that receive funding for recombinant DNA research from the United States National Institutes of Health, or NIH, also are potentially subject to review by the NIH Office of Science Policy’s Recombinant DNA Advisory Committee, or the RAC, in limited circumstances. Although the FDA decides whether individual gene therapy protocols may proceed, the RAC public review process, if undertaken, can delay the initiation of a clinical trial, even if the FDA has reviewed the trial design and details and authorized its initiation. Conversely, the FDA can put an investigational new drug application, or IND, on clinical hold even if the RAC has provided a favorable review or an exemption from in-depth, public review. If we were to engage an NIH-funded institution, to conduct a clinical trial, that institution’s institutional biosafety committee, or IBC, as well as its institutional review board, or IRB, would need to review the proposed clinical trial to assess the safety of the trial and may determine that RAC review is needed. In addition, adverse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86" w:lineRule="auto"/>
        <w:rPr>
          <w:sz w:val="20"/>
          <w:szCs w:val="20"/>
          <w:color w:val="auto"/>
        </w:rPr>
      </w:pPr>
      <w:r>
        <w:rPr>
          <w:rFonts w:ascii="Arial" w:cs="Arial" w:eastAsia="Arial" w:hAnsi="Arial"/>
          <w:sz w:val="17"/>
          <w:szCs w:val="17"/>
          <w:color w:val="auto"/>
        </w:rPr>
        <w:t>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66"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8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7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FDA recently announced that it is preparing to release a series of draft guidance regarding potential accelerated approval endpoints for certain gene therapy products and other clinical and manufacturing issues related to gene therapy products. We cannot be certain when such guidance will be issued or whether any such guidance will address accelerated approval endpoints or other clinical or manufacturing issues that will be relevant to or have an impact on our gene therapy candidates or the duration or expense of any applicable regulatory review processes.</w:t>
      </w:r>
    </w:p>
    <w:p>
      <w:pPr>
        <w:spacing w:after="0" w:line="280" w:lineRule="exact"/>
        <w:rPr>
          <w:sz w:val="20"/>
          <w:szCs w:val="20"/>
          <w:color w:val="auto"/>
        </w:rPr>
      </w:pPr>
    </w:p>
    <w:p>
      <w:pPr>
        <w:jc w:val="both"/>
        <w:ind w:left="640" w:right="80"/>
        <w:spacing w:after="0" w:line="264"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3"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During the conduct of clinical trials, patients may experience changes in their health, including illnesses, injuries, discomforts or a fatal outcome. It is possible that as we test AVR-RD-01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If additional clinical experience indicates that AVR-RD-01 or any other product candidate has side effects or causes serious or life-threatening side effects, the development of the product candidate may fail or be delayed, or, if the product candidate has received regulatory approval, such approval may be revoked or limited.</w:t>
      </w:r>
    </w:p>
    <w:p>
      <w:pPr>
        <w:spacing w:after="0" w:line="178"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There have been several significant adverse side effects in gene therapy treatments in the past, including reported cases of leukemia and death seen in other clinical trials. Gene therapy is still a relatively new approach to disease treatment and additional adverse side effects could develop. Possible adverse side effects that may occur with treatment with gene therapy products include an immunologic reaction early after administration that</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could substantially limit the effectiveness of the treatment or represent safety risks for patients. Another traditional safety concern for gene therapies using viral vectors has been the possibility of insertional mutagenesis by the vectors, leading to malignant transformation of transduced cells. While our lentiviral gene therapy approach is designed to avoid immunogenicity after administration, there can be no assurance that patients would not create antibodies that may impair treatment. If any of our gene therapy product candidates demonstrates adverse side effects, we may decide or be required to halt or delay clinical development of such product candidates.</w:t>
      </w:r>
    </w:p>
    <w:p>
      <w:pPr>
        <w:spacing w:after="0" w:line="18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addition to side effects caused by our product candidates, the conditioning, administration process or related procedures also can cause adverse side effects. A gene therapy patient is generally administered cytotoxic drugs to remove stem cells from the bone marrow to create sufficient space in the bone marrow for the modified stem cells to engraft and produce their progeny. This procedure compromises the patient’s immune system. While certain of our product candidates are designed to utilize outpatient, milder conditioning regimens that are intended to require only limited removal of a patient’s bone marrow cells, our conditioning regimens may not be successful or may nevertheless result in adverse side effects. For example, in the ongoing Phase 1 clinical trial of AVR-RD-01, several adverse events, including where white blood cell and platelet counts were suppressed following the conditioning process, were observed. If in the future any such adverse events caused by the conditioning process or related procedures continue at unacceptable rates or degrees of severity, the FDA or other foreign regulatory authorities could order us to cease development of, or deny approval of, AVR-RD-01 or our other product candidates for any or all targeted indications. Even if we are able to demonstrate that adverse events are not product-related, such occurrences could affect patient recruitment or the ability of enrolled patients to complete the clinical trial.</w:t>
      </w:r>
    </w:p>
    <w:p>
      <w:pPr>
        <w:spacing w:after="0" w:line="169"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AVR-RD-01 or our other product candidates, several potentially significant negative consequences could result, including:</w:t>
      </w:r>
    </w:p>
    <w:p>
      <w:pPr>
        <w:spacing w:after="0" w:line="94" w:lineRule="exact"/>
        <w:rPr>
          <w:sz w:val="20"/>
          <w:szCs w:val="20"/>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be required to change the way a product candidate is distributed, dispensed, or administered or conduct additional clinical trials;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279" w:lineRule="exact"/>
        <w:rPr>
          <w:sz w:val="20"/>
          <w:szCs w:val="20"/>
          <w:color w:val="auto"/>
        </w:rPr>
      </w:pPr>
    </w:p>
    <w:p>
      <w:pPr>
        <w:jc w:val="both"/>
        <w:ind w:left="640" w:right="100"/>
        <w:spacing w:after="0" w:line="264" w:lineRule="auto"/>
        <w:rPr>
          <w:sz w:val="20"/>
          <w:szCs w:val="20"/>
          <w:color w:val="auto"/>
        </w:rPr>
      </w:pPr>
      <w:r>
        <w:rPr>
          <w:rFonts w:ascii="Arial" w:cs="Arial" w:eastAsia="Arial" w:hAnsi="Arial"/>
          <w:sz w:val="18"/>
          <w:szCs w:val="18"/>
          <w:b w:val="1"/>
          <w:bCs w:val="1"/>
          <w:i w:val="1"/>
          <w:iCs w:val="1"/>
          <w:color w:val="auto"/>
        </w:rPr>
        <w:t>AVR-RD-01 is being investigated in an ongoing Phase 1 clinical trial and we have not commenced clinical trials for any of our other product candidates. We have never conducted pivotal clinical trials, and may be unable to do so for any product candidates we may develop, including AVR-RD-01.</w:t>
      </w:r>
    </w:p>
    <w:p>
      <w:pPr>
        <w:spacing w:after="0" w:line="7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are at a very early stage of development for all of our product candidates including AVR-RD-01. As of March 1, 2018, our product candidate AVR-RD-01 has been administered to only two patients. The ongoing Phase 1 clinical trial for AVR-RD-01 must be completed and we need to initiate and complete our planned Phase 2 clinical trial of AVR-RD-01, as well as potentially additional pivotal clinical trials in order to obtain FDA approval to market AVR-RD-01. Carrying out later-stage clinical trials is a complicated process. AVR-RD-01 is being evaluated in an investigator-sponsored Phase 1 clinical trial and, as an organization, we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have not conducted any clinical trials, have limited experience in preparing, submitting and prosecuting regulatory filings, and have not previously submitted a biologics license application, or BLA, for any product candidate.</w:t>
      </w:r>
    </w:p>
    <w:p>
      <w:pPr>
        <w:spacing w:after="0" w:line="170"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In addition, we have not yet conducted clinical trials of any our product candidates in the United States, our interactions with the FDA are expected to be limited for the near future, and we cannot be certain how many additional clinical trials of AVR-RD-01 or any of our other product candidates will be required or how such trials should be designed. In order to commence a clinical trial in the United States, including our planned Phase 2 clinical trial for AVR-RD-01, we will be required to seek FDA acceptance of an IND for each of our product candidates. We cannot be sure any IND we submit to the FDA, or any similar clinical trial application we submit in other countries, will be accepted.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AVR-RD-01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AVR-RD-01.</w:t>
      </w:r>
    </w:p>
    <w:p>
      <w:pPr>
        <w:spacing w:after="0" w:line="17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ongoing Phase 1 clinical trial of AVR-RD-01 is an investigator-sponsored trial being conducted by University Health Network. In addition, the planned Phase 1/2 clinical trial of AVR-RD-04 will be conducted by our collaborators at the University of California, San Diego.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1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Results from preclinical studies or early clinical trials are not necessarily predictive of future clinical trial results and are not necessarily indicative of final results. 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 To date, we have not received definitive guidance from the FDA or other foreign regulatory bodies regarding the necessary endpoints for approval of any of our product candidates, including AVR-RD-01. There are no assurances that the FDA or other foreign regulatory bodies will find the efficacy endpoints we propose in future pivotal trials to be sufficiently validated and clinically meaningful, or that our product candidates will achieve the pre-specified endpoints in future pivotal trials to a degree of statistical significance. We also may experience regulatory delays or rejections as a result of many factors, including due to changes in regulatory policy during the period of our product candidate development. Our AVR-</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RD-02, AVR-RD-03 and AVR-RD-04 product candidates have not yet been tested in humans. Any of our other product candidates may fail to show the desired safety and efficacy in clinical development despite positive results in preclinical studies. Any such failure would cause us to abandon the product candidate.</w:t>
      </w:r>
    </w:p>
    <w:p>
      <w:pPr>
        <w:spacing w:after="0" w:line="289"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6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which could result in increased costs, delays in advancing our product candidates, delays in testing the effectiveness of our product candidates or termination of the clinical trials altogether.</w:t>
      </w:r>
    </w:p>
    <w:p>
      <w:pPr>
        <w:spacing w:after="0" w:line="1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trials in a timely manner. For example, in 2017, the ongoing investigator-sponsored Phase 1 clinical trial of AVR-RD-01 encountered delays in the enrollment of patients due to delays in identifying patients for enrollment and the evaluation of information from screened potential trial participants. Patient enrollment and trial completion is affected by factors including the:</w:t>
      </w:r>
    </w:p>
    <w:p>
      <w:pPr>
        <w:spacing w:after="0" w:line="92" w:lineRule="exact"/>
        <w:rPr>
          <w:sz w:val="20"/>
          <w:szCs w:val="20"/>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subjects;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subjects;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monitor subjects adequately during and after treatment.</w:t>
      </w:r>
    </w:p>
    <w:p>
      <w:pPr>
        <w:spacing w:after="0" w:line="225"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60"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30"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32" w:lineRule="exact"/>
        <w:rPr>
          <w:sz w:val="20"/>
          <w:szCs w:val="20"/>
          <w:color w:val="auto"/>
        </w:rPr>
      </w:pPr>
    </w:p>
    <w:p>
      <w:pPr>
        <w:ind w:left="640" w:right="30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77" w:lineRule="exact"/>
        <w:rPr>
          <w:sz w:val="20"/>
          <w:szCs w:val="20"/>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while we are currently utilizing the LV1 version of the lentiviral vector in the ongoing Phase 1 clinical trial of AVR-RD-01, we plan to transition our AVR-RD-01 lentiviral vectors to an LV2 version. While LV2 is intended to confer improvements in safety and efficiency in viral production, there is no guarantee that we can realize these intended benefits. In addition, the transition from LV1 to LV2 will likely require updates to our clinical trial</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the results of our clinical studies are inconclusive or if there are safety concerns or adverse events associated with our product candidates, we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w:t>
      </w:r>
    </w:p>
    <w:p>
      <w:pPr>
        <w:spacing w:after="0" w:line="116" w:lineRule="exact"/>
        <w:rPr>
          <w:sz w:val="20"/>
          <w:szCs w:val="20"/>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have regulatory authorities withdraw their approval of the product or impose restrictions on its distribution in the form of a REMS;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279" w:lineRule="exact"/>
        <w:rPr>
          <w:sz w:val="20"/>
          <w:szCs w:val="20"/>
          <w:color w:val="auto"/>
        </w:rPr>
      </w:pPr>
    </w:p>
    <w:p>
      <w:pPr>
        <w:ind w:left="640" w:right="76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preclinical and clinical studies, we cannot predict when or if we will obtain regulatory approval to commercialize a product candidate and the approval may be for a more narrow indication than we seek.</w:t>
      </w:r>
    </w:p>
    <w:p>
      <w:pPr>
        <w:spacing w:after="0" w:line="3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290" w:lineRule="exact"/>
        <w:rPr>
          <w:sz w:val="20"/>
          <w:szCs w:val="20"/>
          <w:color w:val="auto"/>
        </w:rPr>
      </w:pPr>
    </w:p>
    <w:p>
      <w:pPr>
        <w:ind w:left="640" w:right="100"/>
        <w:spacing w:after="0" w:line="279" w:lineRule="auto"/>
        <w:rPr>
          <w:sz w:val="20"/>
          <w:szCs w:val="20"/>
          <w:color w:val="auto"/>
        </w:rPr>
      </w:pPr>
      <w:r>
        <w:rPr>
          <w:rFonts w:ascii="Arial" w:cs="Arial" w:eastAsia="Arial" w:hAnsi="Arial"/>
          <w:sz w:val="17"/>
          <w:szCs w:val="17"/>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63"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FDA and comparable foreign regulatory authorities offer certain designations for product candidates that are designed to encourage the research and development of product candidates that are intended to address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For example, 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8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78"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w:t>
      </w:r>
    </w:p>
    <w:p>
      <w:pPr>
        <w:spacing w:after="0" w:line="5" w:lineRule="exact"/>
        <w:rPr>
          <w:sz w:val="20"/>
          <w:szCs w:val="20"/>
          <w:color w:val="auto"/>
        </w:rPr>
      </w:pPr>
    </w:p>
    <w:p>
      <w:pPr>
        <w:ind w:left="200" w:firstLine="4"/>
        <w:spacing w:after="0" w:line="268" w:lineRule="auto"/>
        <w:tabs>
          <w:tab w:leader="none" w:pos="4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18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Outside of the United States, we intend to develop AVR-RD-01 in Japan under the purview of the Japanese Pharmaceutical and Medical Device Agency, or PMDA. Pursuant to Japan’s regenerative medicine law, an expedited path to conditional approval may exist for regenerative medicine products that show sufficient safety evidence and signals of efficacy in a Phase 2 clinical trial. However, there can be no assurance that the results of our planned Phase 2 clinical trial will demonstrate the safety evidence and efficacy signals required for such conditional approval. In addition, this conditional approval is time-limited, and there must be an agreement as to follow-up collection of information to confirm efficacy and safety, similar to a post-marketing commitment in the United States.</w:t>
      </w:r>
    </w:p>
    <w:p>
      <w:pPr>
        <w:spacing w:after="0" w:line="301" w:lineRule="exact"/>
        <w:rPr>
          <w:sz w:val="20"/>
          <w:szCs w:val="20"/>
          <w:color w:val="auto"/>
        </w:rPr>
      </w:pPr>
    </w:p>
    <w:p>
      <w:pPr>
        <w:ind w:left="640" w:right="140"/>
        <w:spacing w:after="0" w:line="342" w:lineRule="auto"/>
        <w:rPr>
          <w:sz w:val="20"/>
          <w:szCs w:val="20"/>
          <w:color w:val="auto"/>
        </w:rPr>
      </w:pPr>
      <w:r>
        <w:rPr>
          <w:rFonts w:ascii="Arial" w:cs="Arial" w:eastAsia="Arial" w:hAnsi="Arial"/>
          <w:sz w:val="16"/>
          <w:szCs w:val="16"/>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7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If we request orphan drug designation (or the foreign equivalent) for AVR-RD-01 or any of our other product candidates, there can be no assurances that the FDA or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94" w:lineRule="exact"/>
        <w:rPr>
          <w:sz w:val="20"/>
          <w:szCs w:val="20"/>
          <w:color w:val="auto"/>
        </w:rPr>
      </w:pPr>
    </w:p>
    <w:p>
      <w:pPr>
        <w:ind w:left="1060" w:right="38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75" w:lineRule="exact"/>
        <w:rPr>
          <w:rFonts w:ascii="Arial" w:cs="Arial" w:eastAsia="Arial" w:hAnsi="Arial"/>
          <w:sz w:val="18"/>
          <w:szCs w:val="18"/>
          <w:color w:val="auto"/>
        </w:rPr>
      </w:pPr>
    </w:p>
    <w:p>
      <w:pPr>
        <w:ind w:left="1060" w:right="74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95"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we fail to comply with applicable regulatory requirements following approval of any of our product candidates, a regulatory authority may:</w:t>
      </w:r>
    </w:p>
    <w:p>
      <w:pPr>
        <w:spacing w:after="0" w:line="142" w:lineRule="exact"/>
        <w:rPr>
          <w:sz w:val="20"/>
          <w:szCs w:val="20"/>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1"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87" w:lineRule="exact"/>
        <w:rPr>
          <w:sz w:val="20"/>
          <w:szCs w:val="20"/>
          <w:color w:val="auto"/>
        </w:rPr>
      </w:pPr>
    </w:p>
    <w:p>
      <w:pPr>
        <w:ind w:left="640" w:right="280"/>
        <w:spacing w:after="0" w:line="340" w:lineRule="auto"/>
        <w:rPr>
          <w:sz w:val="20"/>
          <w:szCs w:val="20"/>
          <w:color w:val="auto"/>
        </w:rPr>
      </w:pPr>
      <w:r>
        <w:rPr>
          <w:rFonts w:ascii="Arial" w:cs="Arial" w:eastAsia="Arial" w:hAnsi="Arial"/>
          <w:sz w:val="15"/>
          <w:szCs w:val="15"/>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2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9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anticipate competing with the largest pharmaceutical companies in the world. For example, Sanofi and Shire market the enzyme replacement therapies, or ERTs, that represent the standard of care for Fabry patients. Recently, Amicus secured regulatory approval in Europe for its oral therapy for Fabry disease. For Gaucher disease, we expect to compete with existing enzyme replacement therapies marketed by Sanofi, Shire, Protalix and Pfizer, as well as oral therapies marketed by Actelion and Sanofi. Sanofi also markets an enzyme replacement therapy for Pompe disease. Cystinosis is currently treated by therapies marketed by Horizon Orphan, Mylan and Sigma Tau Pharmaceuticals. In addition, we may compete with other gene therapy companies in our industry such as bluebird bio and Spark Therapeutics.</w:t>
      </w:r>
    </w:p>
    <w:p>
      <w:pPr>
        <w:spacing w:after="0" w:line="178"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62" w:lineRule="exact"/>
        <w:rPr>
          <w:sz w:val="20"/>
          <w:szCs w:val="20"/>
          <w:color w:val="auto"/>
        </w:rPr>
      </w:pPr>
    </w:p>
    <w:p>
      <w:pPr>
        <w:ind w:left="640" w:right="48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As part of our growth strategy, we intend to identify, develop and market additional product candidates beyond our existing product candidates for Fabry disease, Gaucher disease, Pompe disease and cystinosis.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AVR-RD-01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1"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For example, although we have evaluated AVR-RD-02, AVR-RD-03 and AVR-RD-04 in preclinical studies and have evaluated AVR-RD-01 in an early-stage clinical trial, we have not yet advanced AVR-RD-02, AVR-RD-03 and AVR-RD-04 into clinical trials or AVR-RD-01 into Phase 2 clinical development, nor have we obtained regulatory approval to sell any product based on our therapeutic approaches. Accordingly, our focus on treating these diseases may not result in the discovery and development of commercially viable products.</w:t>
      </w:r>
    </w:p>
    <w:p>
      <w:pPr>
        <w:spacing w:after="0" w:line="17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640" w:right="46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3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For example, we are moving our cell processing to an automated, closed system with a single third party supplier.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Any of these third parties may terminate their engagements with us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88" w:lineRule="exact"/>
        <w:rPr>
          <w:sz w:val="20"/>
          <w:szCs w:val="20"/>
          <w:color w:val="auto"/>
        </w:rPr>
      </w:pPr>
    </w:p>
    <w:p>
      <w:pPr>
        <w:jc w:val="both"/>
        <w:ind w:left="200" w:right="100" w:firstLine="441"/>
        <w:spacing w:after="0" w:line="297" w:lineRule="auto"/>
        <w:rPr>
          <w:sz w:val="20"/>
          <w:szCs w:val="20"/>
          <w:color w:val="auto"/>
        </w:rPr>
      </w:pPr>
      <w:r>
        <w:rPr>
          <w:rFonts w:ascii="Arial" w:cs="Arial" w:eastAsia="Arial" w:hAnsi="Arial"/>
          <w:sz w:val="16"/>
          <w:szCs w:val="16"/>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2017, the ongoing investigator-sponsored Phase 1 clinical trial of AVR-RD-01 encountered delays in the enrollment of patients due to delays in identifying patients for enrollment and the evaluation of information from screened potential trial participants.</w:t>
      </w:r>
    </w:p>
    <w:p>
      <w:pPr>
        <w:spacing w:after="0" w:line="158"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the product candidates ourselves, including:</w:t>
      </w:r>
    </w:p>
    <w:p>
      <w:pPr>
        <w:spacing w:after="0" w:line="76" w:lineRule="exact"/>
        <w:rPr>
          <w:sz w:val="20"/>
          <w:szCs w:val="20"/>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42" w:lineRule="exact"/>
        <w:rPr>
          <w:rFonts w:ascii="Arial" w:cs="Arial" w:eastAsia="Arial" w:hAnsi="Arial"/>
          <w:sz w:val="17"/>
          <w:szCs w:val="17"/>
          <w:color w:val="auto"/>
        </w:rPr>
      </w:pPr>
    </w:p>
    <w:p>
      <w:pPr>
        <w:ind w:left="1060" w:right="42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70"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289" w:lineRule="exact"/>
        <w:rPr>
          <w:sz w:val="20"/>
          <w:szCs w:val="20"/>
          <w:color w:val="auto"/>
        </w:rPr>
      </w:pPr>
    </w:p>
    <w:p>
      <w:pPr>
        <w:ind w:left="640" w:right="420"/>
        <w:spacing w:after="0" w:line="308"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38"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We currently have relationships with a limited number of suppliers for the manufacturing of our viral vectors and product candidates.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66"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good manufacturing practices, or 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GMP regulations enforced by the FDA through its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w:t>
      </w:r>
    </w:p>
    <w:p>
      <w:pPr>
        <w:spacing w:after="0" w:line="165"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3"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are dependent on a limited number of suppliers for some of our components and materials used in our product candidates.</w:t>
      </w:r>
    </w:p>
    <w:p>
      <w:pPr>
        <w:spacing w:after="0" w:line="129"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We currently depend on a limited number of suppliers for some of the components necessary for our product candidates. We cannot be sure that these suppliers will remain in business, or that they will not be purchased by one of our competitors or another company that is not interested in continuing to produce these materials for our intended purpose. Our use of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66"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we are required to switch to a replacement supplier, the manufacture and delivery of our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could require additional supplemental data and clinical trial data if we rely upon a new supplier.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could impair our ability to conduct our clinical trials and, if our product candidates are approved, to meet the demand of our customers and cause them to cancel orders.</w:t>
      </w:r>
    </w:p>
    <w:p>
      <w:pPr>
        <w:spacing w:after="0" w:line="17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76" w:lineRule="exact"/>
        <w:rPr>
          <w:sz w:val="20"/>
          <w:szCs w:val="20"/>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production delays related to the evaluation and testing of products from alternative suppliers, and corresponding regulatory qualifications;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 based upon defects in components produced by our suppliers;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279"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78"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In addition, these agreements typically restrict the ability of our collaborators, advisors, employees and consultants to publish data potentially relating to our trade secrets. Our academic collaborators typically have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AVR-RD-01 and our other product candidates, we will be unable to generate any product revenue.</w:t>
      </w:r>
    </w:p>
    <w:p>
      <w:pPr>
        <w:spacing w:after="0" w:line="62"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281"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62"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We focus our research and product development on treatments for serious lysosomal storage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287"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94" w:lineRule="exact"/>
        <w:rPr>
          <w:sz w:val="20"/>
          <w:szCs w:val="20"/>
          <w:color w:val="auto"/>
        </w:rPr>
      </w:pPr>
    </w:p>
    <w:p>
      <w:pPr>
        <w:ind w:left="5620" w:right="4780" w:hanging="4984"/>
        <w:spacing w:after="0" w:line="536" w:lineRule="auto"/>
        <w:tabs>
          <w:tab w:leader="none" w:pos="106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potential efficacy and potential advantages over alternative treatments; 28</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prevalence and severity of any side effects, including any limitations or warnings contained in a product’s approved labeling;</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prevalence and severity of any side effects resulting from the conditioning regimen for the administration of our product candidates;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225"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1"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6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currently plan to conduct clinical trials for our product candidates outside of the United States, including in Canada, Australia, Japan, Europe and Israel.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92" w:lineRule="exact"/>
        <w:rPr>
          <w:sz w:val="20"/>
          <w:szCs w:val="20"/>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240" w:top="459"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80"/>
        <w:spacing w:after="0" w:line="264"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Failure to obtain or maintain adequate coverage and reimbursement for any of our product candidates, if approved, could limit our ability to market those products and decrease our ability to generate revenue.</w:t>
      </w:r>
    </w:p>
    <w:p>
      <w:pPr>
        <w:spacing w:after="0" w:line="73"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such as stem cell transplants.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67"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as the CMS decides whether and to what extent a new medicine will be covered and reimbursed under Medicare. Private payors tend to follow the CMS to a substantial degree. It is difficult to predict what the CMS will decide with respect to reimbursement for fundamentally novel products such as ours, as there is no body of established practices and precedents for these new products.</w:t>
      </w:r>
    </w:p>
    <w:p>
      <w:pPr>
        <w:spacing w:after="0" w:line="193"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92"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Moreover,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87"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reimbursement for such services may lead to physician resistance and adversely affect our ability to market or sell our product candidates, if approved.</w:t>
      </w:r>
    </w:p>
    <w:p>
      <w:pPr>
        <w:spacing w:after="0" w:line="356" w:lineRule="exact"/>
        <w:rPr>
          <w:sz w:val="20"/>
          <w:szCs w:val="20"/>
          <w:color w:val="auto"/>
        </w:rPr>
      </w:pPr>
    </w:p>
    <w:p>
      <w:pPr>
        <w:ind w:left="640" w:right="68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6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1"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273"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62"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Third-party payors, whether domestic or foreign, or governmental or private, are developing increasingly sophisticated methods of controlling healthcare costs. In both the United States and certain foreign jurisdictions, there have been a number of legislative and regulatory changes to the health care system that could impact our ability to sell our products profitably. In particular, in 2010, the Patient Protection and Affordable Care Act or ACA or PPACA, as amended by the Health Care and Education Reconciliation Act of 2010, or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 Some of the provisions of the ACA have yet to be fully implemented, while certain provisions have been subject to judicial and Congressional challenges.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the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Congress may consider other legislation to replace elements of the ACA.</w:t>
      </w:r>
    </w:p>
    <w:p>
      <w:pPr>
        <w:spacing w:after="0" w:line="165"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exercise tax on non-exempt medical devices. Further, the Bipartisan Budget Act of 2018, or the BBA, among other things, amends the ACA, effective January 1, 2019, to reduce the coverage gap in most Medicare drug plans, commonly referred to as the “donut hole.” Congress also could consider subsequent legislation to replace elements of the ACA that are repealed. Thus, the full impact of the ACA, any law replacing elements of it, and the political uncertainty surrounding any repeal or replacement legislation on our business remains unclear. 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2027 unless additional Congressional action is taken.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9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92"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demand for our drug product candidates, if we obtain regulatory approval;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spacing w:after="0" w:line="264" w:lineRule="auto"/>
        <w:rPr>
          <w:sz w:val="20"/>
          <w:szCs w:val="20"/>
          <w:color w:val="auto"/>
        </w:rPr>
      </w:pPr>
      <w:r>
        <w:rPr>
          <w:rFonts w:ascii="Arial" w:cs="Arial" w:eastAsia="Arial" w:hAnsi="Arial"/>
          <w:sz w:val="18"/>
          <w:szCs w:val="18"/>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7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8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left="640"/>
        <w:spacing w:after="0" w:line="340" w:lineRule="auto"/>
        <w:rPr>
          <w:sz w:val="20"/>
          <w:szCs w:val="20"/>
          <w:color w:val="auto"/>
        </w:rPr>
      </w:pPr>
      <w:r>
        <w:rPr>
          <w:rFonts w:ascii="Arial" w:cs="Arial" w:eastAsia="Arial" w:hAnsi="Arial"/>
          <w:sz w:val="15"/>
          <w:szCs w:val="15"/>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23"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and death seen in other trials using other vectors. Adverse events in our clinical studies, even if not ultimately attributable to our product candidates (such as the many adverse events that typically arise from the conditioning process), or adverse events in other lentiviral gene therapy trials,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281"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consultants and advisors and to attract, retain and motivate qualified personnel.</w:t>
      </w:r>
    </w:p>
    <w:p>
      <w:pPr>
        <w:spacing w:after="0" w:line="62"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We are highly dependent on principal members of our executive team and key employees, including our Chief Executive Officer, Chief Financial Officer, Head of Operations, Chief Science Officer, Chief Business Officer, and Chief Medical Officer,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9" w:lineRule="auto"/>
        <w:rPr>
          <w:sz w:val="20"/>
          <w:szCs w:val="20"/>
          <w:color w:val="auto"/>
        </w:rPr>
      </w:pPr>
      <w:r>
        <w:rPr>
          <w:rFonts w:ascii="Arial" w:cs="Arial" w:eastAsia="Arial" w:hAnsi="Arial"/>
          <w:sz w:val="17"/>
          <w:szCs w:val="17"/>
          <w:color w:val="auto"/>
        </w:rPr>
        <w:t>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We will need to expand our operations and we may experience difficulties in managing this growth, which could disrupt our operations.</w:t>
      </w:r>
    </w:p>
    <w:p>
      <w:pPr>
        <w:spacing w:after="0" w:line="140"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As of March 31, 2018, we had 24 full-time employees. As we mature, we expect to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30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spacing w:after="0" w:line="259" w:lineRule="auto"/>
        <w:rPr>
          <w:sz w:val="20"/>
          <w:szCs w:val="20"/>
          <w:color w:val="auto"/>
        </w:rPr>
      </w:pPr>
      <w:r>
        <w:rPr>
          <w:rFonts w:ascii="Arial" w:cs="Arial" w:eastAsia="Arial" w:hAnsi="Arial"/>
          <w:sz w:val="18"/>
          <w:szCs w:val="18"/>
          <w:color w:val="auto"/>
        </w:rPr>
        <w:t>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5" w:lineRule="exact"/>
        <w:rPr>
          <w:sz w:val="20"/>
          <w:szCs w:val="20"/>
          <w:color w:val="auto"/>
        </w:rPr>
      </w:pPr>
    </w:p>
    <w:p>
      <w:pPr>
        <w:ind w:left="640" w:right="64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United States Foreign Corrupt Practices Act’s accounting provisions.</w:t>
      </w:r>
    </w:p>
    <w:p>
      <w:pPr>
        <w:spacing w:after="0" w:line="277"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73"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99" w:lineRule="exact"/>
        <w:rPr>
          <w:sz w:val="20"/>
          <w:szCs w:val="20"/>
          <w:color w:val="auto"/>
        </w:rPr>
      </w:pPr>
    </w:p>
    <w:p>
      <w:pPr>
        <w:ind w:left="1060" w:right="20" w:hanging="424"/>
        <w:spacing w:after="0" w:line="291" w:lineRule="auto"/>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72" w:lineRule="exact"/>
        <w:rPr>
          <w:rFonts w:ascii="Arial" w:cs="Arial" w:eastAsia="Arial" w:hAnsi="Arial"/>
          <w:sz w:val="16"/>
          <w:szCs w:val="16"/>
          <w:color w:val="auto"/>
        </w:rPr>
      </w:pPr>
    </w:p>
    <w:p>
      <w:pPr>
        <w:jc w:val="both"/>
        <w:ind w:left="1060" w:right="260" w:hanging="424"/>
        <w:spacing w:after="0" w:line="264"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80" w:right="180"/>
        <w:spacing w:after="0" w:line="312" w:lineRule="auto"/>
        <w:rPr>
          <w:sz w:val="20"/>
          <w:szCs w:val="20"/>
          <w:color w:val="auto"/>
        </w:rPr>
      </w:pPr>
      <w:r>
        <w:rPr>
          <w:rFonts w:ascii="Arial" w:cs="Arial" w:eastAsia="Arial" w:hAnsi="Arial"/>
          <w:sz w:val="16"/>
          <w:szCs w:val="16"/>
          <w:color w:val="auto"/>
        </w:rPr>
        <w:t>presented, to the federal government, claims for payment that are false or fraudulent;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w:t>
      </w:r>
    </w:p>
    <w:p>
      <w:pPr>
        <w:spacing w:after="0" w:line="52" w:lineRule="exact"/>
        <w:rPr>
          <w:sz w:val="20"/>
          <w:szCs w:val="20"/>
          <w:color w:val="auto"/>
        </w:rPr>
      </w:pPr>
    </w:p>
    <w:p>
      <w:pPr>
        <w:ind w:left="1060" w:right="160" w:hanging="424"/>
        <w:spacing w:after="0" w:line="259"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92" w:lineRule="exact"/>
        <w:rPr>
          <w:rFonts w:ascii="Arial" w:cs="Arial" w:eastAsia="Arial" w:hAnsi="Arial"/>
          <w:sz w:val="18"/>
          <w:szCs w:val="18"/>
          <w:color w:val="auto"/>
        </w:rPr>
      </w:pPr>
    </w:p>
    <w:p>
      <w:pPr>
        <w:ind w:left="1060" w:hanging="424"/>
        <w:spacing w:after="0" w:line="291"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2" w:lineRule="exact"/>
        <w:rPr>
          <w:rFonts w:ascii="Arial" w:cs="Arial" w:eastAsia="Arial" w:hAnsi="Arial"/>
          <w:sz w:val="16"/>
          <w:szCs w:val="16"/>
          <w:color w:val="auto"/>
        </w:rPr>
      </w:pPr>
    </w:p>
    <w:p>
      <w:pPr>
        <w:ind w:left="1060" w:right="140" w:hanging="424"/>
        <w:spacing w:after="0" w:line="302"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59" w:lineRule="exact"/>
        <w:rPr>
          <w:rFonts w:ascii="Arial" w:cs="Arial" w:eastAsia="Arial" w:hAnsi="Arial"/>
          <w:sz w:val="16"/>
          <w:szCs w:val="16"/>
          <w:color w:val="auto"/>
        </w:rPr>
      </w:pPr>
    </w:p>
    <w:p>
      <w:pPr>
        <w:ind w:left="1060" w:right="160" w:hanging="424"/>
        <w:spacing w:after="0" w:line="255"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transparency requirements under the Affordable Care Act,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98"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Additionally, we are subject to state and foreign equivalents of each of the healthcare laws described above, among others, some of which may be broader in scope and may apply regardless of the payer. Many U.S. states have adopted laws similar to the federal Anti-Kickback Statute, some of which apply to the referral of patients for healthcare services reimbursed by any source, not just governmental payers,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Finally, there are state and foreign laws governing the privacy and security of health information, many of which differ from each other in significant ways and often are not preempted by HIPAA, thus complicating compliance efforts.</w:t>
      </w:r>
    </w:p>
    <w:p>
      <w:pPr>
        <w:spacing w:after="0" w:line="170"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66" w:lineRule="exact"/>
        <w:rPr>
          <w:sz w:val="20"/>
          <w:szCs w:val="20"/>
          <w:color w:val="auto"/>
        </w:rPr>
      </w:pPr>
    </w:p>
    <w:p>
      <w:pPr>
        <w:ind w:left="640" w:right="200"/>
        <w:spacing w:after="0" w:line="259" w:lineRule="auto"/>
        <w:rPr>
          <w:sz w:val="20"/>
          <w:szCs w:val="20"/>
          <w:color w:val="auto"/>
        </w:rPr>
      </w:pPr>
      <w:r>
        <w:rPr>
          <w:rFonts w:ascii="Arial" w:cs="Arial" w:eastAsia="Arial" w:hAnsi="Arial"/>
          <w:sz w:val="18"/>
          <w:szCs w:val="18"/>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7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94" w:lineRule="exact"/>
        <w:rPr>
          <w:sz w:val="20"/>
          <w:szCs w:val="20"/>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carry product liability insurance of $5.0 million per occurrence and $5.0 million in the aggregate.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6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81"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300"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On December 22, 2017, President Trump signed into law the TCJA that significantly reforms the Internal Revenue Code of 1986, as amended, or the Code. The TCJA, among other things, contains significant changes to corporate taxation, including the reduction of the corporate tax rate from a top marginal rate of 35% to a flat rate of 21%, the limitation of the tax deduction for interest expense to 30% of adjusted earnings (except for certain small businesses), the limitation of the deduction for net operating losses to 80% of current year taxable income and the elimination of net operating loss carrybacks and modification or repeal of many business deductions and credits (including the reduction of the business tax credit for certain clinical testing expenses incurred in the testing of certain drugs for rare diseases or conditions generally referred to as “orphan drugs”). We continue to examine the impact this tax reform legislation may have on our business. However, the effect of the TCJA on our business, whether adverse or favorable, is uncertain, and may not become evident for some period of time. We urge investors to consult with their legal and tax advisers regarding the implications of the TCJA on an investment in our common stock.</w:t>
      </w:r>
    </w:p>
    <w:p>
      <w:pPr>
        <w:spacing w:after="0" w:line="290" w:lineRule="exact"/>
        <w:rPr>
          <w:sz w:val="20"/>
          <w:szCs w:val="20"/>
          <w:color w:val="auto"/>
        </w:rPr>
      </w:pPr>
    </w:p>
    <w:p>
      <w:pPr>
        <w:ind w:left="640" w:right="740"/>
        <w:spacing w:after="0" w:line="277" w:lineRule="auto"/>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 and research and development tax credit carryforwards.</w:t>
      </w:r>
    </w:p>
    <w:p>
      <w:pPr>
        <w:spacing w:after="0" w:line="62"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of December 31, 2017, we had federal and state net operating loss carryforwards of $19.0 million and $18.9 million, respectively, and state research and development tax credit carryforwards of approximately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$119,000. If not utilized, the net operating loss carryforwards and research and development credits will generally expire at various dates through 2037. These net operating loss and tax credit carryforwards could expire unused and be unavailable to offset future income tax liabilities.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including this offering,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The reduction of the corporate tax rate under the TCJA may cause a reduction in the economic benefit of our net operating loss carryforwards and other deferred tax assets available to us. Under the TCJA, net operating losses generated after December 31, 2017 will not be subject to expiration.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development and commercialization efforts.</w:t>
      </w:r>
    </w:p>
    <w:p>
      <w:pPr>
        <w:spacing w:after="0" w:line="1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reexamination proceedings before the U.S. Patent and Trademark Office, or U.S. 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8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60"/>
          </w:cols>
          <w:pgMar w:left="24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75"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w:t>
      </w:r>
    </w:p>
    <w:p>
      <w:pPr>
        <w:spacing w:after="0" w:line="62"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and affiliates of Lund University (relevant to AVR-RD-02 and our Gaucher program). In addition, we have in-licensed patents and patent applications from BioMarin Pharmaceutical Inc., or Biomarin (relevant to AVR-RD-03 and our Pompe program), and GenStem Therapeutics Inc., or GenStem (relevant to AVR-RD-04 and our cystinosis program), directed to compositions and methods related to the manufacture and use of AVR-RD-03 and AVR-RD-04, respectively. Any termination of these licenses could result in the loss of significant rights and could harm or prevent our ability to commercialize our product candidates.</w:t>
      </w:r>
    </w:p>
    <w:p>
      <w:pPr>
        <w:spacing w:after="0" w:line="179"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Each of our existing licenses are exclusive but are limited to particular fields, such as Fabry disease, Gaucher disease, Pompe disease, or cystinosis,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9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GenStem, BioMarin, and the rights holders associated with Lund University,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78"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current license agreements impose, and we expect that future license agreements that we may enter into will impose, various obligations, including diligence and certain payment obligations. If we fail to satisfy our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266" w:lineRule="exact"/>
        <w:rPr>
          <w:sz w:val="20"/>
          <w:szCs w:val="20"/>
          <w:color w:val="auto"/>
        </w:rPr>
      </w:pPr>
    </w:p>
    <w:p>
      <w:pPr>
        <w:ind w:left="640" w:right="22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93"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We currently have no owned or inlicensed patents or patent applications covering AVR-RD-01 or AVR-RD-02, and the patent application that we in-licensed related to AVR-RD-04 is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93"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0"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62"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United States Patent and Trademark Office, or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7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62" w:lineRule="exact"/>
        <w:rPr>
          <w:sz w:val="20"/>
          <w:szCs w:val="20"/>
          <w:color w:val="auto"/>
        </w:rPr>
      </w:pPr>
    </w:p>
    <w:p>
      <w:pPr>
        <w:ind w:left="640" w:right="220"/>
        <w:spacing w:after="0" w:line="342" w:lineRule="auto"/>
        <w:rPr>
          <w:sz w:val="20"/>
          <w:szCs w:val="20"/>
          <w:color w:val="auto"/>
        </w:rPr>
      </w:pPr>
      <w:r>
        <w:rPr>
          <w:rFonts w:ascii="Arial" w:cs="Arial" w:eastAsia="Arial" w:hAnsi="Arial"/>
          <w:sz w:val="16"/>
          <w:szCs w:val="16"/>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6"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6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the patents and other intellectual property that we own or license.</w:t>
      </w:r>
    </w:p>
    <w:p>
      <w:pPr>
        <w:spacing w:after="0" w:line="152"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74" w:lineRule="exact"/>
        <w:rPr>
          <w:sz w:val="20"/>
          <w:szCs w:val="20"/>
          <w:color w:val="auto"/>
        </w:rPr>
      </w:pPr>
    </w:p>
    <w:p>
      <w:pPr>
        <w:ind w:left="640" w:right="140"/>
        <w:spacing w:after="0" w:line="312" w:lineRule="auto"/>
        <w:rPr>
          <w:sz w:val="20"/>
          <w:szCs w:val="20"/>
          <w:color w:val="auto"/>
        </w:rPr>
      </w:pPr>
      <w:r>
        <w:rPr>
          <w:rFonts w:ascii="Arial" w:cs="Arial" w:eastAsia="Arial" w:hAnsi="Arial"/>
          <w:sz w:val="16"/>
          <w:szCs w:val="16"/>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3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Some of the intellectual property rights we have licensed, including rights licensed to us by GenStem, may have been generated through the use of U.S. government and California state funding and may therefore be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5" w:lineRule="auto"/>
        <w:rPr>
          <w:sz w:val="20"/>
          <w:szCs w:val="20"/>
          <w:color w:val="auto"/>
        </w:rPr>
      </w:pPr>
      <w:r>
        <w:rPr>
          <w:rFonts w:ascii="Arial" w:cs="Arial" w:eastAsia="Arial" w:hAnsi="Arial"/>
          <w:sz w:val="16"/>
          <w:szCs w:val="16"/>
          <w:color w:val="auto"/>
        </w:rPr>
        <w:t>subject to certain federal and state laws and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 candidates.</w:t>
      </w:r>
    </w:p>
    <w:p>
      <w:pPr>
        <w:spacing w:after="0" w:line="14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 Services v. Prometheus Laboratories, Inc., or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8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8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5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materially harmed.</w:t>
      </w:r>
    </w:p>
    <w:p>
      <w:pPr>
        <w:spacing w:after="0" w:line="12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86"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currently do not have trademarks or trademark applications with the USPTO for the mark “AVRO” and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60" w:right="32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75"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it is possible that our pending licensed patent applications or those that we may own or license in the future will not lead to issued patents;</w:t>
      </w:r>
    </w:p>
    <w:p>
      <w:pPr>
        <w:spacing w:after="0" w:line="153" w:lineRule="exact"/>
        <w:rPr>
          <w:rFonts w:ascii="Arial" w:cs="Arial" w:eastAsia="Arial" w:hAnsi="Arial"/>
          <w:sz w:val="16"/>
          <w:szCs w:val="16"/>
          <w:color w:val="auto"/>
        </w:rPr>
      </w:pPr>
    </w:p>
    <w:p>
      <w:pPr>
        <w:ind w:left="1060" w:right="22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60" w:hanging="424"/>
        <w:spacing w:after="0" w:line="308"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30" w:lineRule="exact"/>
        <w:rPr>
          <w:rFonts w:ascii="Arial" w:cs="Arial" w:eastAsia="Arial" w:hAnsi="Arial"/>
          <w:sz w:val="18"/>
          <w:szCs w:val="18"/>
          <w:color w:val="auto"/>
        </w:rPr>
      </w:pPr>
    </w:p>
    <w:p>
      <w:pPr>
        <w:ind w:left="1060" w:right="60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initial public offering price.</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92" w:lineRule="exact"/>
        <w:rPr>
          <w:sz w:val="20"/>
          <w:szCs w:val="20"/>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30"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In addition, companies trading in the stock market in general, and The Nasdaq Global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 active trading market for our common stock may not develop.</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for our common stock will be determined through negotiations with the underwriters. Although we intend to apply to have our common stock listed on The Nasdaq Global Market, an active trading market for our shares may never develop or be sustained following this offering. If an active market for our common stock does not develop or is not sustained, it may be difficult for you to sell shares you purchase in this offering without depressing the market price for the shares, or at all.</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9"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or our business. We do not have any control over these analysts. We do not currently have research coverage, and there can be no assurance that analysts will cover us, or provide favorable coverage. Securities or industry analysts may elect not to provide research coverage of our common stock after this offering, and such lack of research coverage may negatively impact the market price of our common stock. In the event we do have analyst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97"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Our executive officers, directors, five percent stockholders and their affiliates beneficially own approximately % of our voting stock and, upon closing of this offering, that same group will beneficially own approximately % of our outstanding voting stock. As a result, if these stockholders were to act together, they would be able to control all matters submitted to our stockholders for approval, as well as our management and affair. For example, these stockholders, acting together, may be able to control elections of directors, amendments of our organizational documents, or approval of any merger, sale of assets, or other major corporate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price at which shares are being sold in this offering and have held their shares for a longer period, they may be more interested in selling our company to an acquirer than other investors or they may want us to pursue strategies that deviate from the interests of other stockholders.</w:t>
      </w:r>
    </w:p>
    <w:p>
      <w:pPr>
        <w:spacing w:after="0" w:line="296"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83" w:lineRule="exact"/>
        <w:rPr>
          <w:sz w:val="20"/>
          <w:szCs w:val="20"/>
          <w:color w:val="auto"/>
        </w:rPr>
      </w:pPr>
    </w:p>
    <w:p>
      <w:pPr>
        <w:ind w:left="1060" w:hanging="424"/>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or Section 404;</w:t>
      </w:r>
    </w:p>
    <w:p>
      <w:pPr>
        <w:spacing w:after="0" w:line="142" w:lineRule="exact"/>
        <w:rPr>
          <w:rFonts w:ascii="Arial" w:cs="Arial" w:eastAsia="Arial" w:hAnsi="Arial"/>
          <w:sz w:val="17"/>
          <w:szCs w:val="17"/>
          <w:color w:val="auto"/>
        </w:rPr>
      </w:pPr>
    </w:p>
    <w:p>
      <w:pPr>
        <w:ind w:left="1060" w:right="340" w:hanging="424"/>
        <w:spacing w:after="0" w:line="264"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6" w:lineRule="exact"/>
        <w:rPr>
          <w:rFonts w:ascii="Arial" w:cs="Arial" w:eastAsia="Arial" w:hAnsi="Arial"/>
          <w:sz w:val="18"/>
          <w:szCs w:val="18"/>
          <w:color w:val="auto"/>
        </w:rPr>
      </w:pPr>
    </w:p>
    <w:p>
      <w:pPr>
        <w:ind w:left="1060" w:hanging="424"/>
        <w:spacing w:after="0" w:line="342" w:lineRule="auto"/>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jc w:val="both"/>
        <w:ind w:left="200" w:right="40" w:firstLine="441"/>
        <w:spacing w:after="0" w:line="302" w:lineRule="auto"/>
        <w:rPr>
          <w:sz w:val="20"/>
          <w:szCs w:val="20"/>
          <w:color w:val="auto"/>
        </w:rPr>
      </w:pPr>
      <w:r>
        <w:rPr>
          <w:rFonts w:ascii="Arial" w:cs="Arial" w:eastAsia="Arial" w:hAnsi="Arial"/>
          <w:sz w:val="16"/>
          <w:szCs w:val="16"/>
          <w:color w:val="auto"/>
        </w:rPr>
        <w:t>We may choose to take advantage of some, but not all, of the available exemptions. We have taken advantage of reduced reporting burdens in this prospectus.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54"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280"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73"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91" w:lineRule="exact"/>
        <w:rPr>
          <w:sz w:val="20"/>
          <w:szCs w:val="20"/>
          <w:color w:val="auto"/>
        </w:rPr>
      </w:pPr>
    </w:p>
    <w:p>
      <w:pPr>
        <w:jc w:val="both"/>
        <w:ind w:left="640" w:right="28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78"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We will be required to disclose changes made in our internal controls and procedures on a quarterly basis and our management will be required to assess the effectiveness of these controls annually. However, for as long as we are an EGC, our independent registered public accounting firm will not be required to attest to the effectiveness of our internal controls over financial reporting pursuant to Section 404. We could be an EGC for up to five years.</w:t>
      </w:r>
    </w:p>
    <w:p>
      <w:pPr>
        <w:ind w:left="200" w:right="280"/>
        <w:spacing w:after="0" w:line="255" w:lineRule="auto"/>
        <w:rPr>
          <w:sz w:val="20"/>
          <w:szCs w:val="20"/>
          <w:color w:val="auto"/>
        </w:rPr>
      </w:pPr>
      <w:r>
        <w:rPr>
          <w:rFonts w:ascii="Arial" w:cs="Arial" w:eastAsia="Arial" w:hAnsi="Arial"/>
          <w:sz w:val="18"/>
          <w:szCs w:val="18"/>
          <w:color w:val="auto"/>
        </w:rPr>
        <w:t>An independent assessment of the effectiveness of our internal controls over financial reporting could detect problems that our management’s assessment might not. Undetected material weaknesses in our internal controls over financial reporting could lead to financial statement restatements and require us to incur the expense of remediation.</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00"/>
        <w:spacing w:after="0" w:line="279" w:lineRule="auto"/>
        <w:rPr>
          <w:sz w:val="20"/>
          <w:szCs w:val="20"/>
          <w:color w:val="auto"/>
        </w:rPr>
      </w:pPr>
      <w:r>
        <w:rPr>
          <w:rFonts w:ascii="Arial" w:cs="Arial" w:eastAsia="Arial" w:hAnsi="Arial"/>
          <w:sz w:val="17"/>
          <w:szCs w:val="17"/>
          <w:b w:val="1"/>
          <w:bCs w:val="1"/>
          <w:i w:val="1"/>
          <w:iCs w:val="1"/>
          <w:color w:val="auto"/>
        </w:rPr>
        <w:t>We and our independent registered public accounting firm have identified material weaknesses in our internal control over financial reporting.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63"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In connection with the audit of our consolidated financial statements for the years ended December 31, 2016 and 2017, we and our independent registered public accounting firm identified material weaknesses in our internal control over financial reporting related to deficiencies in our controls over the financial statement close and cash disbursement processes. Specifically, there was a lack of controls over the identification and review of complex accounting issues involving significant judgment or estimates as well as the cutoff and classification of certain expenses between general and administrative and research and development. In addition, our internal controls related to the cash disbursements process were not adequately designed to identify unauthorized payment requests. Specifically, in 2017 we were subject to a cyberattack by a third party. This deficiency in our controls resulted in the theft of a portion of our funds.</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are implementing measures designed to improve our internal control over financial reporting to remediate these material weaknesses, including formalizing our processes and internal control documentation and strengthening supervisory reviews by our financial management; hiring additional qualified accounting and finance personnel and engaging financial consultants to enable the implementation of internal control over financial reporting and segregating duties amongst accounting and finance personnel; and planning to implement certain accounting systems to automate manual processes, such as tracking and accounting for stock-based awards.</w:t>
      </w:r>
    </w:p>
    <w:p>
      <w:pPr>
        <w:spacing w:after="0" w:line="1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expect to incur additional costs to remediate these control deficiencies, though there can be no assurance that our efforts will be successful or avoid potential future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Securities and Exchange Commission, or SEC, or other regulatory authorities.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Upon completion of this offering, we will become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If you purchase our common stock in this offering, you will incur immediate and substantial dilution in the book value of your shares.</w:t>
      </w:r>
    </w:p>
    <w:p>
      <w:pPr>
        <w:spacing w:after="0" w:line="14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Investors purchasing shares of common stock in this offering will pay a price per share that substantially exceeds the pro forma book value per share of our tangible assets after subtracting our liabilities. As a result,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60"/>
          </w:cols>
          <w:pgMar w:left="240" w:top="459" w:right="4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519"/>
        </w:trPr>
        <w:tc>
          <w:tcPr>
            <w:tcW w:w="7280" w:type="dxa"/>
            <w:vAlign w:val="bottom"/>
            <w:gridSpan w:val="4"/>
          </w:tcPr>
          <w:p>
            <w:pPr>
              <w:ind w:left="200"/>
              <w:spacing w:after="0"/>
              <w:rPr>
                <w:sz w:val="20"/>
                <w:szCs w:val="20"/>
                <w:color w:val="auto"/>
              </w:rPr>
            </w:pPr>
            <w:r>
              <w:rPr>
                <w:rFonts w:ascii="Arial" w:cs="Arial" w:eastAsia="Arial" w:hAnsi="Arial"/>
                <w:sz w:val="18"/>
                <w:szCs w:val="18"/>
                <w:color w:val="auto"/>
                <w:w w:val="95"/>
              </w:rPr>
              <w:t>investors purchasing shares of common stock in this offering will incur immediate dilution of $</w:t>
            </w:r>
          </w:p>
        </w:tc>
        <w:tc>
          <w:tcPr>
            <w:tcW w:w="3900" w:type="dxa"/>
            <w:vAlign w:val="bottom"/>
          </w:tcPr>
          <w:p>
            <w:pPr>
              <w:ind w:left="200"/>
              <w:spacing w:after="0"/>
              <w:rPr>
                <w:sz w:val="20"/>
                <w:szCs w:val="20"/>
                <w:color w:val="auto"/>
              </w:rPr>
            </w:pPr>
            <w:r>
              <w:rPr>
                <w:rFonts w:ascii="Arial" w:cs="Arial" w:eastAsia="Arial" w:hAnsi="Arial"/>
                <w:sz w:val="18"/>
                <w:szCs w:val="18"/>
                <w:color w:val="auto"/>
                <w:w w:val="92"/>
              </w:rPr>
              <w:t>per share, based on the initial public offering price</w:t>
            </w:r>
          </w:p>
        </w:tc>
      </w:tr>
      <w:tr>
        <w:trPr>
          <w:trHeight w:val="230"/>
        </w:trPr>
        <w:tc>
          <w:tcPr>
            <w:tcW w:w="700" w:type="dxa"/>
            <w:vAlign w:val="bottom"/>
          </w:tcPr>
          <w:p>
            <w:pPr>
              <w:ind w:left="200"/>
              <w:spacing w:after="0"/>
              <w:rPr>
                <w:sz w:val="20"/>
                <w:szCs w:val="20"/>
                <w:color w:val="auto"/>
              </w:rPr>
            </w:pPr>
            <w:r>
              <w:rPr>
                <w:rFonts w:ascii="Arial" w:cs="Arial" w:eastAsia="Arial" w:hAnsi="Arial"/>
                <w:sz w:val="18"/>
                <w:szCs w:val="18"/>
                <w:color w:val="auto"/>
              </w:rPr>
              <w:t>of $</w:t>
            </w:r>
          </w:p>
        </w:tc>
        <w:tc>
          <w:tcPr>
            <w:tcW w:w="4700" w:type="dxa"/>
            <w:vAlign w:val="bottom"/>
            <w:gridSpan w:val="2"/>
          </w:tcPr>
          <w:p>
            <w:pPr>
              <w:ind w:left="200"/>
              <w:spacing w:after="0"/>
              <w:rPr>
                <w:sz w:val="20"/>
                <w:szCs w:val="20"/>
                <w:color w:val="auto"/>
              </w:rPr>
            </w:pPr>
            <w:r>
              <w:rPr>
                <w:rFonts w:ascii="Arial" w:cs="Arial" w:eastAsia="Arial" w:hAnsi="Arial"/>
                <w:sz w:val="18"/>
                <w:szCs w:val="18"/>
                <w:color w:val="auto"/>
                <w:w w:val="97"/>
              </w:rPr>
              <w:t>per share and our pro forma net tangible book value as of</w:t>
            </w:r>
          </w:p>
        </w:tc>
        <w:tc>
          <w:tcPr>
            <w:tcW w:w="5780" w:type="dxa"/>
            <w:vAlign w:val="bottom"/>
            <w:gridSpan w:val="2"/>
          </w:tcPr>
          <w:p>
            <w:pPr>
              <w:ind w:left="380"/>
              <w:spacing w:after="0"/>
              <w:rPr>
                <w:sz w:val="20"/>
                <w:szCs w:val="20"/>
                <w:color w:val="auto"/>
              </w:rPr>
            </w:pPr>
            <w:r>
              <w:rPr>
                <w:rFonts w:ascii="Arial" w:cs="Arial" w:eastAsia="Arial" w:hAnsi="Arial"/>
                <w:sz w:val="18"/>
                <w:szCs w:val="18"/>
                <w:color w:val="auto"/>
                <w:w w:val="88"/>
              </w:rPr>
              <w:t>, 2018. Further, based on these assumptions, investors purchasing shares of</w:t>
            </w:r>
          </w:p>
        </w:tc>
      </w:tr>
    </w:tbl>
    <w:p>
      <w:pPr>
        <w:ind w:left="200" w:right="280"/>
        <w:spacing w:after="0" w:line="32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in this offering will contribute approximately % of the total amount invested by stockholders since our inception, but will own only approximately % of the shares of common stock outstanding. For information on how the foregoing amounts were calculated, see “Dilution.”</w:t>
      </w:r>
    </w:p>
    <w:p>
      <w:pPr>
        <w:spacing w:after="0" w:line="247"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62"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w:t>
      </w:r>
    </w:p>
    <w:p>
      <w:pPr>
        <w:ind w:left="200"/>
        <w:spacing w:after="0"/>
        <w:tabs>
          <w:tab w:leader="none" w:pos="5300" w:val="left"/>
        </w:tabs>
        <w:rPr>
          <w:sz w:val="20"/>
          <w:szCs w:val="20"/>
          <w:color w:val="auto"/>
        </w:rPr>
      </w:pPr>
      <w:r>
        <w:rPr>
          <w:rFonts w:ascii="Arial" w:cs="Arial" w:eastAsia="Arial" w:hAnsi="Arial"/>
          <w:sz w:val="18"/>
          <w:szCs w:val="18"/>
          <w:color w:val="auto"/>
        </w:rPr>
        <w:t>common stock. After this offering, we will have outstanding</w:t>
      </w:r>
      <w:r>
        <w:rPr>
          <w:sz w:val="20"/>
          <w:szCs w:val="20"/>
          <w:color w:val="auto"/>
        </w:rPr>
        <w:tab/>
      </w:r>
      <w:r>
        <w:rPr>
          <w:rFonts w:ascii="Arial" w:cs="Arial" w:eastAsia="Arial" w:hAnsi="Arial"/>
          <w:sz w:val="15"/>
          <w:szCs w:val="15"/>
          <w:color w:val="auto"/>
        </w:rPr>
        <w:t>shares of common stock based on the number of shares outstanding as of</w:t>
      </w:r>
    </w:p>
    <w:p>
      <w:pPr>
        <w:spacing w:after="0" w:line="9" w:lineRule="exact"/>
        <w:rPr>
          <w:sz w:val="20"/>
          <w:szCs w:val="20"/>
          <w:color w:val="auto"/>
        </w:rPr>
      </w:pPr>
    </w:p>
    <w:p>
      <w:pPr>
        <w:ind w:left="920"/>
        <w:spacing w:after="0"/>
        <w:tabs>
          <w:tab w:leader="none" w:pos="8200" w:val="left"/>
        </w:tabs>
        <w:rPr>
          <w:sz w:val="20"/>
          <w:szCs w:val="20"/>
          <w:color w:val="auto"/>
        </w:rPr>
      </w:pPr>
      <w:r>
        <w:rPr>
          <w:rFonts w:ascii="Arial" w:cs="Arial" w:eastAsia="Arial" w:hAnsi="Arial"/>
          <w:sz w:val="18"/>
          <w:szCs w:val="18"/>
          <w:color w:val="auto"/>
        </w:rPr>
        <w:t>, 2018 assuming the conversion of our preferred stock upon the closing of this offering, (or</w:t>
      </w:r>
      <w:r>
        <w:rPr>
          <w:sz w:val="20"/>
          <w:szCs w:val="20"/>
          <w:color w:val="auto"/>
        </w:rPr>
        <w:tab/>
      </w:r>
      <w:r>
        <w:rPr>
          <w:rFonts w:ascii="Arial" w:cs="Arial" w:eastAsia="Arial" w:hAnsi="Arial"/>
          <w:sz w:val="16"/>
          <w:szCs w:val="16"/>
          <w:color w:val="auto"/>
        </w:rPr>
        <w:t>shares if the underwriters exercise their</w:t>
      </w:r>
    </w:p>
    <w:p>
      <w:pPr>
        <w:spacing w:after="0" w:line="9" w:lineRule="exact"/>
        <w:rPr>
          <w:sz w:val="20"/>
          <w:szCs w:val="20"/>
          <w:color w:val="auto"/>
        </w:rPr>
      </w:pPr>
    </w:p>
    <w:p>
      <w:pPr>
        <w:ind w:left="200"/>
        <w:spacing w:after="0"/>
        <w:tabs>
          <w:tab w:leader="none" w:pos="5400" w:val="left"/>
          <w:tab w:leader="none" w:pos="9340" w:val="left"/>
        </w:tabs>
        <w:rPr>
          <w:sz w:val="20"/>
          <w:szCs w:val="20"/>
          <w:color w:val="auto"/>
        </w:rPr>
      </w:pPr>
      <w:r>
        <w:rPr>
          <w:rFonts w:ascii="Arial" w:cs="Arial" w:eastAsia="Arial" w:hAnsi="Arial"/>
          <w:sz w:val="18"/>
          <w:szCs w:val="18"/>
          <w:color w:val="auto"/>
        </w:rPr>
        <w:t>option to purchase additional shares in full). This includes the</w:t>
      </w:r>
      <w:r>
        <w:rPr>
          <w:sz w:val="20"/>
          <w:szCs w:val="20"/>
          <w:color w:val="auto"/>
        </w:rPr>
        <w:tab/>
      </w:r>
      <w:r>
        <w:rPr>
          <w:rFonts w:ascii="Arial" w:cs="Arial" w:eastAsia="Arial" w:hAnsi="Arial"/>
          <w:sz w:val="18"/>
          <w:szCs w:val="18"/>
          <w:color w:val="auto"/>
        </w:rPr>
        <w:t>shares that we are selling in this offering (or</w:t>
      </w:r>
      <w:r>
        <w:rPr>
          <w:sz w:val="20"/>
          <w:szCs w:val="20"/>
          <w:color w:val="auto"/>
        </w:rPr>
        <w:tab/>
      </w:r>
      <w:r>
        <w:rPr>
          <w:rFonts w:ascii="Arial" w:cs="Arial" w:eastAsia="Arial" w:hAnsi="Arial"/>
          <w:sz w:val="16"/>
          <w:szCs w:val="16"/>
          <w:color w:val="auto"/>
        </w:rPr>
        <w:t>shares if the underwriters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exercise their option to purchase additional shares in full), which may be resold in the public market immediately without restriction, unless purchased</w:t>
      </w:r>
    </w:p>
    <w:p>
      <w:pPr>
        <w:spacing w:after="0" w:line="32" w:lineRule="exact"/>
        <w:rPr>
          <w:sz w:val="20"/>
          <w:szCs w:val="20"/>
          <w:color w:val="auto"/>
        </w:rPr>
      </w:pPr>
    </w:p>
    <w:p>
      <w:pPr>
        <w:ind w:left="200"/>
        <w:spacing w:after="0" w:line="251" w:lineRule="auto"/>
        <w:rPr>
          <w:sz w:val="20"/>
          <w:szCs w:val="20"/>
          <w:color w:val="auto"/>
        </w:rPr>
      </w:pPr>
      <w:r>
        <w:rPr>
          <w:rFonts w:ascii="Arial" w:cs="Arial" w:eastAsia="Arial" w:hAnsi="Arial"/>
          <w:sz w:val="18"/>
          <w:szCs w:val="18"/>
          <w:color w:val="auto"/>
        </w:rPr>
        <w:t>by our affiliates. The remaining shares currently are restricted as a result of securities laws or lock-up agreements but will be able to be sold after the offering as described in the “Shares eligible for future sale” and “Underwriters” sections of this prospectus. Moreover, after this offering, holders of an aggregate of approximately 63.3 million shares of our common stock will have rights, subject to certain conditions, to require us to file registration statements covering their shares or to include their shares in registration statements that we may file for ourselves or other stockholders. In addition, 7,391,214 shares reserved for issuance upon the exercise of existing stock options outstanding as of March 31, 2018 under our current equity incentive plan will become eligible for sale in the public market in the future, subject to certain legal and contractual limitations. We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“Underwriters” section of this prospectus.</w:t>
      </w:r>
    </w:p>
    <w:p>
      <w:pPr>
        <w:spacing w:after="0" w:line="198"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In addition, Morgan Stanley &amp; Co. LLC and Cowen and Company, LLC may, in their sole discretion, release all or some portion of the shares subject to lock-up agreements at any time and for any reason.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46"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loan and security agreement with Silicon Valley Bank restricts our ability to pay any dividends or making any distributions on account of our capital stock. As a result, capital appreciation, if any, of our common stock will be your sole source of gain for the foreseeable future.</w:t>
      </w:r>
    </w:p>
    <w:p>
      <w:pPr>
        <w:spacing w:after="0" w:line="296" w:lineRule="exact"/>
        <w:rPr>
          <w:sz w:val="20"/>
          <w:szCs w:val="20"/>
          <w:color w:val="auto"/>
        </w:rPr>
      </w:pPr>
    </w:p>
    <w:p>
      <w:pPr>
        <w:ind w:left="640" w:right="240"/>
        <w:spacing w:after="0" w:line="264"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which will become effective upon the closing of this offering, include provisions that:</w:t>
      </w:r>
    </w:p>
    <w:p>
      <w:pPr>
        <w:spacing w:after="0" w:line="87" w:lineRule="exact"/>
        <w:rPr>
          <w:sz w:val="20"/>
          <w:szCs w:val="20"/>
          <w:color w:val="auto"/>
        </w:rPr>
      </w:pPr>
    </w:p>
    <w:p>
      <w:pPr>
        <w:ind w:left="1060" w:right="34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30"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amended and restated certificate of incorporation and amended and restated by-laws.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w:t>
      </w:r>
    </w:p>
    <w:p>
      <w:pPr>
        <w:spacing w:after="0" w:line="237"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24"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24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spacing w:after="0" w:line="342" w:lineRule="auto"/>
        <w:rPr>
          <w:sz w:val="20"/>
          <w:szCs w:val="20"/>
          <w:color w:val="auto"/>
        </w:rPr>
      </w:pPr>
      <w:r>
        <w:rPr>
          <w:rFonts w:ascii="Arial" w:cs="Arial" w:eastAsia="Arial" w:hAnsi="Arial"/>
          <w:sz w:val="16"/>
          <w:szCs w:val="16"/>
          <w:b w:val="1"/>
          <w:bCs w:val="1"/>
          <w:i w:val="1"/>
          <w:iCs w:val="1"/>
          <w:color w:val="auto"/>
        </w:rPr>
        <w:t>Our amended and restated bylaws limit the exclusive forum for certain litigation that may be initiated by our stockholders, which could limit our stockholders’ ability to obtain a favorable judicial forum for disputes with us or our directors, officers or employees.</w:t>
      </w:r>
    </w:p>
    <w:p>
      <w:pPr>
        <w:spacing w:after="0" w:line="16"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Our amended and restated bylaws provide that the Court of Chancery of the State of Delaware is the exclusive forum for (i) any derivative action or proceeding brought on our behalf, (ii) any action asserting a claim of breach of or based on a fiduciary duty owed by any of our current or former directors, officers or other employee to us or our stockholders, (iii) any action asserting a claim against us or any of our current or former directors, officers, employees or stockholders arising pursuant to any provision of the Delaware General Corporation Law, our certificate of incorporation or bylaws or (iv) any action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an adverse effect on our business, financial condition or results of operations. In addition, our amended and restated bylaws contain a provision by virtue of which unless we consent in writing to the selection of an alternative forum, the United States District Court for the District of Massachusetts will be the exclusive forum for any complaint asserting a cause of action arising under the Securities Act. We have chosen the United States Court for the District of Massachusetts as the exclusive forum for such causes of action because our principal executive offices are located in Cambridge, Massachusetts. The U.S. District Court in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In addition, some companies that have adopted similar federal district court forum selection provisions are currently subject to a suit in the Court of Chancery of the State of Delaware brought by stockholders who assert that the federal district court forum selection provision is not enforceable. We recognize that the federal district court forum selection clause may impose additional litigation costs on stockholders who assert the provision is not enforceable and may impose more general additional litigation costs in pursuing any such claims, particularly if the stockholders do not reside in or near the Commonwealth of Massachusetts. See “Description of Capital Stock—Choice of Forum.”</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This prospectus, including the sections entitled “Prospectus Summary,” “Risk Factors,” “Management’s Discussion and Analysis of Financial Condition and Results of Operations” and “Business,”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w:t>
      </w:r>
    </w:p>
    <w:p>
      <w:pPr>
        <w:spacing w:after="0" w:line="83" w:lineRule="exact"/>
        <w:rPr>
          <w:sz w:val="20"/>
          <w:szCs w:val="20"/>
          <w:color w:val="auto"/>
        </w:rPr>
      </w:pPr>
    </w:p>
    <w:p>
      <w:pPr>
        <w:ind w:left="1060" w:right="40" w:hanging="424"/>
        <w:spacing w:after="0" w:line="26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and technology, including our transition to LV2 and our use of a milder conditioning regimen;</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 including our plans to move to a closed, automated system;</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 candidates, in particular, and gene therapy, in general;</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30"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60"/>
          </w:cols>
          <w:pgMar w:left="24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Securities and Exchange Commission as exhibits to the registration statement, of which this prospectus is a part, completely and with the understanding that our actual future results may be materially different from any future results expressed or implied by these forward-looking statements.</w:t>
      </w:r>
    </w:p>
    <w:p>
      <w:pPr>
        <w:spacing w:after="0" w:line="169" w:lineRule="exact"/>
        <w:rPr>
          <w:sz w:val="20"/>
          <w:szCs w:val="20"/>
          <w:color w:val="auto"/>
        </w:rPr>
      </w:pPr>
    </w:p>
    <w:p>
      <w:pPr>
        <w:jc w:val="both"/>
        <w:ind w:left="200" w:right="40" w:firstLine="441"/>
        <w:spacing w:after="0" w:line="279" w:lineRule="auto"/>
        <w:rPr>
          <w:sz w:val="20"/>
          <w:szCs w:val="20"/>
          <w:color w:val="auto"/>
        </w:rPr>
      </w:pPr>
      <w:r>
        <w:rPr>
          <w:rFonts w:ascii="Arial" w:cs="Arial" w:eastAsia="Arial" w:hAnsi="Arial"/>
          <w:sz w:val="17"/>
          <w:szCs w:val="17"/>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80"/>
          </w:cols>
          <w:pgMar w:left="240" w:top="459" w:right="47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5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8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7800" w:type="dxa"/>
            <w:vAlign w:val="bottom"/>
          </w:tcPr>
          <w:p>
            <w:pPr>
              <w:ind w:left="3320"/>
              <w:spacing w:after="0"/>
              <w:rPr>
                <w:sz w:val="20"/>
                <w:szCs w:val="20"/>
                <w:color w:val="auto"/>
              </w:rPr>
            </w:pPr>
            <w:r>
              <w:rPr>
                <w:rFonts w:ascii="Arial" w:cs="Arial" w:eastAsia="Arial" w:hAnsi="Arial"/>
                <w:sz w:val="18"/>
                <w:szCs w:val="18"/>
                <w:b w:val="1"/>
                <w:bCs w:val="1"/>
                <w:color w:val="auto"/>
              </w:rPr>
              <w:t>USE OF PROCEEDS</w:t>
            </w:r>
          </w:p>
        </w:tc>
        <w:tc>
          <w:tcPr>
            <w:tcW w:w="1380" w:type="dxa"/>
            <w:vAlign w:val="bottom"/>
          </w:tcPr>
          <w:p>
            <w:pPr>
              <w:spacing w:after="0"/>
              <w:rPr>
                <w:sz w:val="24"/>
                <w:szCs w:val="24"/>
                <w:color w:val="auto"/>
              </w:rPr>
            </w:pPr>
          </w:p>
        </w:tc>
      </w:tr>
      <w:tr>
        <w:trPr>
          <w:trHeight w:val="418"/>
        </w:trPr>
        <w:tc>
          <w:tcPr>
            <w:tcW w:w="9360" w:type="dxa"/>
            <w:vAlign w:val="bottom"/>
            <w:gridSpan w:val="3"/>
          </w:tcPr>
          <w:p>
            <w:pPr>
              <w:ind w:left="640"/>
              <w:spacing w:after="0"/>
              <w:rPr>
                <w:sz w:val="20"/>
                <w:szCs w:val="20"/>
                <w:color w:val="auto"/>
              </w:rPr>
            </w:pPr>
            <w:r>
              <w:rPr>
                <w:rFonts w:ascii="Arial" w:cs="Arial" w:eastAsia="Arial" w:hAnsi="Arial"/>
                <w:sz w:val="18"/>
                <w:szCs w:val="18"/>
                <w:color w:val="auto"/>
                <w:w w:val="92"/>
              </w:rPr>
              <w:t>We estimate that the net proceeds from our issuance and sale of common stock in this offering will be approximately $</w:t>
            </w:r>
          </w:p>
        </w:tc>
        <w:tc>
          <w:tcPr>
            <w:tcW w:w="1380" w:type="dxa"/>
            <w:vAlign w:val="bottom"/>
          </w:tcPr>
          <w:p>
            <w:pPr>
              <w:ind w:left="180"/>
              <w:spacing w:after="0"/>
              <w:rPr>
                <w:sz w:val="20"/>
                <w:szCs w:val="20"/>
                <w:color w:val="auto"/>
              </w:rPr>
            </w:pPr>
            <w:r>
              <w:rPr>
                <w:rFonts w:ascii="Arial" w:cs="Arial" w:eastAsia="Arial" w:hAnsi="Arial"/>
                <w:sz w:val="18"/>
                <w:szCs w:val="18"/>
                <w:color w:val="auto"/>
              </w:rPr>
              <w:t>million, or</w:t>
            </w:r>
          </w:p>
        </w:tc>
      </w:tr>
      <w:tr>
        <w:trPr>
          <w:trHeight w:val="230"/>
        </w:trPr>
        <w:tc>
          <w:tcPr>
            <w:tcW w:w="1560" w:type="dxa"/>
            <w:vAlign w:val="bottom"/>
            <w:gridSpan w:val="2"/>
          </w:tcPr>
          <w:p>
            <w:pPr>
              <w:ind w:left="200"/>
              <w:spacing w:after="0"/>
              <w:rPr>
                <w:sz w:val="20"/>
                <w:szCs w:val="20"/>
                <w:color w:val="auto"/>
              </w:rPr>
            </w:pPr>
            <w:r>
              <w:rPr>
                <w:rFonts w:ascii="Arial" w:cs="Arial" w:eastAsia="Arial" w:hAnsi="Arial"/>
                <w:sz w:val="18"/>
                <w:szCs w:val="18"/>
                <w:color w:val="auto"/>
              </w:rPr>
              <w:t>approximately $</w:t>
            </w:r>
          </w:p>
        </w:tc>
        <w:tc>
          <w:tcPr>
            <w:tcW w:w="9180" w:type="dxa"/>
            <w:vAlign w:val="bottom"/>
            <w:gridSpan w:val="2"/>
          </w:tcPr>
          <w:p>
            <w:pPr>
              <w:ind w:left="180"/>
              <w:spacing w:after="0"/>
              <w:rPr>
                <w:sz w:val="20"/>
                <w:szCs w:val="20"/>
                <w:color w:val="auto"/>
              </w:rPr>
            </w:pPr>
            <w:r>
              <w:rPr>
                <w:rFonts w:ascii="Arial" w:cs="Arial" w:eastAsia="Arial" w:hAnsi="Arial"/>
                <w:sz w:val="18"/>
                <w:szCs w:val="18"/>
                <w:color w:val="auto"/>
                <w:w w:val="92"/>
              </w:rPr>
              <w:t>million if the underwriters exercise their over-allotment option in full, based upon the assumed initial public offering price of</w:t>
            </w:r>
          </w:p>
        </w:tc>
      </w:tr>
    </w:tbl>
    <w:p>
      <w:pPr>
        <w:ind w:left="200" w:right="340" w:firstLine="4"/>
        <w:spacing w:after="0" w:line="261"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 share, the midpoint of the price range set forth on the cover page of this prospectus, after deducting estimated underwriting discounts and commissions and estimated offering expenses payable by us.</w:t>
      </w:r>
    </w:p>
    <w:p>
      <w:pPr>
        <w:spacing w:after="0" w:line="18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 per share, the midpoint of the price range set forth on the cover page of this prospectus, would increase (decrease) the net proceeds to us from this offering by $ million, assuming the number of shares offered by</w:t>
      </w:r>
    </w:p>
    <w:p>
      <w:pPr>
        <w:ind w:left="200" w:right="100"/>
        <w:spacing w:after="0" w:line="300" w:lineRule="auto"/>
        <w:rPr>
          <w:sz w:val="20"/>
          <w:szCs w:val="20"/>
          <w:color w:val="auto"/>
        </w:rPr>
      </w:pPr>
      <w:r>
        <w:rPr>
          <w:rFonts w:ascii="Arial" w:cs="Arial" w:eastAsia="Arial" w:hAnsi="Arial"/>
          <w:sz w:val="15"/>
          <w:szCs w:val="15"/>
          <w:color w:val="auto"/>
        </w:rPr>
        <w:t>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w:t>
      </w:r>
    </w:p>
    <w:p>
      <w:pPr>
        <w:spacing w:after="0" w:line="1" w:lineRule="exact"/>
        <w:rPr>
          <w:sz w:val="20"/>
          <w:szCs w:val="20"/>
          <w:color w:val="auto"/>
        </w:rPr>
      </w:pPr>
    </w:p>
    <w:p>
      <w:pPr>
        <w:ind w:left="200" w:right="220"/>
        <w:spacing w:after="0" w:line="302" w:lineRule="auto"/>
        <w:rPr>
          <w:sz w:val="20"/>
          <w:szCs w:val="20"/>
          <w:color w:val="auto"/>
        </w:rPr>
      </w:pPr>
      <w:r>
        <w:rPr>
          <w:rFonts w:ascii="Arial" w:cs="Arial" w:eastAsia="Arial" w:hAnsi="Arial"/>
          <w:sz w:val="16"/>
          <w:szCs w:val="16"/>
          <w:color w:val="auto"/>
        </w:rPr>
        <w:t>page of this prospectus, would increase (decrease) our net proceeds from this offering by $ million, assuming no change in the assumed initial public offering price per share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currently estimate that we will use the net proceeds from this offering, together with our existing cash and cash equivalents, as follows:</w:t>
      </w:r>
    </w:p>
    <w:p>
      <w:pPr>
        <w:spacing w:after="0" w:line="142" w:lineRule="exact"/>
        <w:rPr>
          <w:sz w:val="20"/>
          <w:szCs w:val="20"/>
          <w:color w:val="auto"/>
        </w:rPr>
      </w:pPr>
    </w:p>
    <w:p>
      <w:pPr>
        <w:ind w:left="1060" w:right="16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 million to fund expenses to advance our lead product candidate, AVR-RD-01, for the treatment of Fabry disease into Phase 2 clinical trials and to support the ongoing investigator-sponsored Phase 1 clinical trial;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expenses to advance AVR-RD-02 for the treatment of Gaucher disease into Phase 1/2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expenses to advance AVR-RD-03 for Pompe disease further into preclinical development;</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 million to fund expenses to advance AVR-RD-04 for the treatment of cystinosis, including to support the planned initial investigator-sponsored Phase 1/2 clinical trial;</w:t>
      </w:r>
    </w:p>
    <w:p>
      <w:pPr>
        <w:spacing w:after="0" w:line="75"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 million to fund expenses for our external and internal manufacturing and process development activities related to the advancement of our product candidates;</w:t>
      </w:r>
    </w:p>
    <w:p>
      <w:pPr>
        <w:spacing w:after="0" w:line="75"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 million to fund research and development activities that relate to all of our clinical and preclinical activities, including the cost of research and development personnel; and</w:t>
      </w:r>
    </w:p>
    <w:p>
      <w:pPr>
        <w:spacing w:after="0" w:line="75"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remainder for planned general and administrative expenses, the costs of operating as a public company, working capital and other general corporate purposes.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Based on our current plans, we believe our existing cash and cash equivalents, together with the net proceeds from this offering, will be sufficient</w:t>
      </w:r>
    </w:p>
    <w:p>
      <w:pPr>
        <w:spacing w:after="0" w:line="46" w:lineRule="exact"/>
        <w:rPr>
          <w:sz w:val="20"/>
          <w:szCs w:val="20"/>
          <w:color w:val="auto"/>
        </w:rPr>
      </w:pPr>
    </w:p>
    <w:p>
      <w:pPr>
        <w:ind w:left="200"/>
        <w:spacing w:after="0"/>
        <w:tabs>
          <w:tab w:leader="none" w:pos="3880" w:val="left"/>
        </w:tabs>
        <w:rPr>
          <w:sz w:val="20"/>
          <w:szCs w:val="20"/>
          <w:color w:val="auto"/>
        </w:rPr>
      </w:pPr>
      <w:r>
        <w:rPr>
          <w:rFonts w:ascii="Arial" w:cs="Arial" w:eastAsia="Arial" w:hAnsi="Arial"/>
          <w:sz w:val="18"/>
          <w:szCs w:val="18"/>
          <w:color w:val="auto"/>
        </w:rPr>
        <w:t>to fund our operations through at least</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This expected use of the net proceeds from this offering represents our intentions based upon our current plans and business conditions. For example, we may use a portion of the net proceeds for the acquisition of businesses or technologies to continue to build our pipeline, our research and development capabilities and our intellectual property position, although we currently have no agreements, commitments or understandings with respect to any such transaction. We cannot predict with certainty all of the particular uses for the net proceeds to be received upon the completion of this offering or the amounts that we will actually spend on the uses set forth above. The amounts and timing of our actual expenditures may vary significantly depending on numerous factors, including the timing and plans for initiation of our planned clinical trials, the progress of our research and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46"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color w:val="auto"/>
        </w:rPr>
        <w:t>development, the status of and results from non-clinical studies or clinical trials we may commence in the future, as well as any collaborations that we may enter into with third parties for our product candidates or strategic opportunities that become available to us, and any unforeseen cash needs.</w:t>
      </w:r>
    </w:p>
    <w:p>
      <w:pPr>
        <w:spacing w:after="0" w:line="124"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investors will be relying on the judgment of our management regarding the application of the net proceeds from this offering. The timing and amount of our actual expenditures will be based on many factors, including cash flows from operations and the anticipated growth of our business. Pending these uses, we plan to hold these net proceeds in non-interest bearing accounts, with the goal of capital preservation and liquidity so that such funds are readily available to fund our operations.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our board of directors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 In addition, under our loan and security agreement with Silicon Valley Bank, we are restricted from paying any dividends or making any distributions on account of our capital stock. Moreover, the terms of any future indebtedness that we may incur could restrict our ability to pay dividends. See “Management’s Discussion and Analysis of Financial Condition and Results of Operations—Liquidity and Capital Resources” for a description of the restrictions on our ability to pay dividends.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2018:</w:t>
      </w:r>
    </w:p>
    <w:p>
      <w:pPr>
        <w:spacing w:after="0" w:line="131" w:lineRule="exact"/>
        <w:rPr>
          <w:sz w:val="20"/>
          <w:szCs w:val="20"/>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basis to give effect to:</w:t>
      </w:r>
    </w:p>
    <w:p>
      <w:pPr>
        <w:spacing w:after="0" w:line="130" w:lineRule="exact"/>
        <w:rPr>
          <w:rFonts w:ascii="Arial" w:cs="Arial" w:eastAsia="Arial" w:hAnsi="Arial"/>
          <w:sz w:val="18"/>
          <w:szCs w:val="18"/>
          <w:color w:val="auto"/>
        </w:rPr>
      </w:pPr>
    </w:p>
    <w:p>
      <w:pPr>
        <w:ind w:left="1620" w:right="80" w:hanging="538"/>
        <w:spacing w:after="0" w:line="277"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conversion of all outstanding shares of preferred stock into an aggregate of 63,303,154 shares of common stock upon the closing of this offering;</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conversion of our warrant to purchase preferred stock into a warrant to purchase common stock upon the closing of this offering;</w:t>
      </w:r>
    </w:p>
    <w:p>
      <w:pPr>
        <w:spacing w:after="0" w:line="153" w:lineRule="exact"/>
        <w:rPr>
          <w:rFonts w:ascii="Arial" w:cs="Arial" w:eastAsia="Arial" w:hAnsi="Arial"/>
          <w:sz w:val="16"/>
          <w:szCs w:val="16"/>
          <w:color w:val="auto"/>
        </w:rPr>
      </w:pPr>
    </w:p>
    <w:p>
      <w:pPr>
        <w:ind w:left="1620" w:hanging="538"/>
        <w:spacing w:after="0"/>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upon the closing of this offering;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a pro forma as adjusted basis giving effect to the pro forma adjustments set forth above and to give further effect (i) to our issuance and</w:t>
      </w:r>
    </w:p>
    <w:p>
      <w:pPr>
        <w:spacing w:after="0" w:line="46" w:lineRule="exact"/>
        <w:rPr>
          <w:sz w:val="20"/>
          <w:szCs w:val="20"/>
          <w:color w:val="auto"/>
        </w:rPr>
      </w:pPr>
    </w:p>
    <w:p>
      <w:pPr>
        <w:ind w:left="1060" w:right="140"/>
        <w:spacing w:after="0" w:line="295" w:lineRule="auto"/>
        <w:rPr>
          <w:sz w:val="20"/>
          <w:szCs w:val="20"/>
          <w:color w:val="auto"/>
        </w:rPr>
      </w:pPr>
      <w:r>
        <w:rPr>
          <w:rFonts w:ascii="Arial" w:cs="Arial" w:eastAsia="Arial" w:hAnsi="Arial"/>
          <w:sz w:val="16"/>
          <w:szCs w:val="16"/>
          <w:color w:val="auto"/>
        </w:rPr>
        <w:t>sale of shares of common stock in this offering at the assumed initial public offering price of $ per share, the midpoint of the price range set forth on the cover page of this prospectus, after deducting estimated underwriting discounts and commissions and estimated offering expenses payable by us, and (ii) the payment by us of an aggregate of $2.0 million to University Health Network pursuant to the Stock Purchase Agreement, dated as of January 27, 2016, between us and University Health Network, in connection with this offering.</w:t>
      </w:r>
    </w:p>
    <w:p>
      <w:pPr>
        <w:spacing w:after="0" w:line="16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pro forma as adjusted information below is illustrative only, and our capitalization following the closing of this offering will be adjusted based on the actual initial public offering price and other terms of this offering determined at pricing. You should read the following table in conjunction with our consolidated financial statements and the related notes appearing elsewhere in this prospectus, and the sections of this prospectus titled “Use of Proceeds,” “Selected Consolidated Financial Data,” “Management’s Discussion and Analysis of Financial Condition and Results of Operations” and “Description of Share Capital.”</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7"/>
          </w:tcPr>
          <w:p>
            <w:pPr>
              <w:jc w:val="center"/>
              <w:ind w:right="820"/>
              <w:spacing w:after="0"/>
              <w:rPr>
                <w:sz w:val="20"/>
                <w:szCs w:val="20"/>
                <w:color w:val="auto"/>
              </w:rPr>
            </w:pPr>
            <w:r>
              <w:rPr>
                <w:rFonts w:ascii="Arial" w:cs="Arial" w:eastAsia="Arial" w:hAnsi="Arial"/>
                <w:sz w:val="14"/>
                <w:szCs w:val="14"/>
                <w:b w:val="1"/>
                <w:bCs w:val="1"/>
                <w:color w:val="auto"/>
                <w:w w:val="93"/>
              </w:rPr>
              <w:t>As of March 31,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Actual</w:t>
            </w:r>
          </w:p>
        </w:tc>
        <w:tc>
          <w:tcPr>
            <w:tcW w:w="1100" w:type="dxa"/>
            <w:vAlign w:val="bottom"/>
            <w:tcBorders>
              <w:top w:val="single" w:sz="8" w:color="auto"/>
            </w:tcBorders>
            <w:gridSpan w:val="4"/>
            <w:vMerge w:val="restart"/>
          </w:tcPr>
          <w:p>
            <w:pPr>
              <w:ind w:left="240"/>
              <w:spacing w:after="0"/>
              <w:rPr>
                <w:sz w:val="20"/>
                <w:szCs w:val="20"/>
                <w:color w:val="auto"/>
              </w:rPr>
            </w:pPr>
            <w:r>
              <w:rPr>
                <w:rFonts w:ascii="Arial" w:cs="Arial" w:eastAsia="Arial" w:hAnsi="Arial"/>
                <w:sz w:val="14"/>
                <w:szCs w:val="14"/>
                <w:b w:val="1"/>
                <w:bCs w:val="1"/>
                <w:color w:val="auto"/>
              </w:rPr>
              <w:t>Pro Forma</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w w:val="97"/>
              </w:rPr>
              <w:t>As Adjusted</w:t>
            </w:r>
            <w:r>
              <w:rPr>
                <w:rFonts w:ascii="Arial" w:cs="Arial" w:eastAsia="Arial" w:hAnsi="Arial"/>
                <w:sz w:val="12"/>
                <w:szCs w:val="12"/>
                <w:b w:val="1"/>
                <w:bCs w:val="1"/>
                <w:color w:val="auto"/>
                <w:w w:val="97"/>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140" w:type="dxa"/>
            <w:vAlign w:val="bottom"/>
            <w:tcBorders>
              <w:top w:val="single" w:sz="8" w:color="auto"/>
            </w:tcBorders>
            <w:gridSpan w:val="6"/>
          </w:tcPr>
          <w:p>
            <w:pPr>
              <w:jc w:val="center"/>
              <w:ind w:right="682"/>
              <w:spacing w:after="0" w:line="119" w:lineRule="exact"/>
              <w:rPr>
                <w:sz w:val="20"/>
                <w:szCs w:val="20"/>
                <w:color w:val="auto"/>
              </w:rPr>
            </w:pPr>
            <w:r>
              <w:rPr>
                <w:rFonts w:ascii="Arial" w:cs="Arial" w:eastAsia="Arial" w:hAnsi="Arial"/>
                <w:sz w:val="13"/>
                <w:szCs w:val="13"/>
                <w:b w:val="1"/>
                <w:bCs w:val="1"/>
                <w:color w:val="auto"/>
                <w:w w:val="97"/>
              </w:rPr>
              <w:t>(in thousands, except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92"/>
              </w:rPr>
              <w:t>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57,928</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gridSpan w:val="3"/>
            <w:vMerge w:val="restart"/>
          </w:tcPr>
          <w:p>
            <w:pPr>
              <w:spacing w:after="0"/>
              <w:rPr>
                <w:sz w:val="20"/>
                <w:szCs w:val="20"/>
                <w:color w:val="auto"/>
              </w:rPr>
            </w:pPr>
            <w:r>
              <w:rPr>
                <w:rFonts w:ascii="Arial" w:cs="Arial" w:eastAsia="Arial" w:hAnsi="Arial"/>
                <w:sz w:val="18"/>
                <w:szCs w:val="18"/>
                <w:color w:val="auto"/>
                <w:w w:val="92"/>
              </w:rPr>
              <w:t>Warrant to purchase redeemable preferred stock</w:t>
            </w:r>
          </w:p>
        </w:tc>
        <w:tc>
          <w:tcPr>
            <w:tcW w:w="2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20" w:type="dxa"/>
            <w:vAlign w:val="bottom"/>
            <w:gridSpan w:val="3"/>
            <w:vMerge w:val="continue"/>
          </w:tcPr>
          <w:p>
            <w:pPr>
              <w:spacing w:after="0"/>
              <w:rPr>
                <w:sz w:val="19"/>
                <w:szCs w:val="19"/>
                <w:color w:val="auto"/>
              </w:rPr>
            </w:pPr>
          </w:p>
        </w:tc>
        <w:tc>
          <w:tcPr>
            <w:tcW w:w="2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w w:val="99"/>
              </w:rPr>
              <w:t>Redeemable convertible preferred stock (Series Seed, A and B), $0.0001 par value; 63,491,857 shares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w w:val="93"/>
              </w:rPr>
              <w:t>authorized, 63,303,154 shares issued and outstanding, actual; no shares authorized, issued or outstanding,</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 forma and pro forma as adjusted</w:t>
            </w:r>
          </w:p>
        </w:tc>
        <w:tc>
          <w:tcPr>
            <w:tcW w:w="24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87,500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Stockholders’ (deficit) equity:</w:t>
            </w:r>
          </w:p>
        </w:tc>
        <w:tc>
          <w:tcPr>
            <w:tcW w:w="2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rPr>
              <w:t>Preferred stock, $0.0001 par value, no share authorized, issued or outstanding, actual;</w:t>
            </w:r>
          </w:p>
        </w:tc>
        <w:tc>
          <w:tcPr>
            <w:tcW w:w="900" w:type="dxa"/>
            <w:vAlign w:val="bottom"/>
            <w:gridSpan w:val="3"/>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w w:val="88"/>
              </w:rPr>
              <w:t>shares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w w:val="99"/>
              </w:rPr>
              <w:t>authorized and no shares issued or outstanding, pro forma and pro forma as adjusted</w:t>
            </w: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89"/>
              </w:rPr>
              <w:t>Common stock, $0.0001 par value; 82,000,000 shares authorized, 10,666,667 shares issued and</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520"/>
              <w:spacing w:after="0"/>
              <w:rPr>
                <w:sz w:val="20"/>
                <w:szCs w:val="20"/>
                <w:color w:val="auto"/>
              </w:rPr>
            </w:pPr>
            <w:r>
              <w:rPr>
                <w:rFonts w:ascii="Arial" w:cs="Arial" w:eastAsia="Arial" w:hAnsi="Arial"/>
                <w:sz w:val="18"/>
                <w:szCs w:val="18"/>
                <w:color w:val="auto"/>
              </w:rPr>
              <w:t>9,652,082 shares outstanding, actual;</w:t>
            </w:r>
          </w:p>
        </w:tc>
        <w:tc>
          <w:tcPr>
            <w:tcW w:w="3680" w:type="dxa"/>
            <w:vAlign w:val="bottom"/>
            <w:gridSpan w:val="2"/>
          </w:tcPr>
          <w:p>
            <w:pPr>
              <w:ind w:left="40"/>
              <w:spacing w:after="0"/>
              <w:rPr>
                <w:sz w:val="20"/>
                <w:szCs w:val="20"/>
                <w:color w:val="auto"/>
              </w:rPr>
            </w:pPr>
            <w:r>
              <w:rPr>
                <w:rFonts w:ascii="Arial" w:cs="Arial" w:eastAsia="Arial" w:hAnsi="Arial"/>
                <w:sz w:val="18"/>
                <w:szCs w:val="18"/>
                <w:color w:val="auto"/>
                <w:w w:val="91"/>
              </w:rPr>
              <w:t>shares authorized, 73,969,821 shares issued and</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520"/>
              <w:spacing w:after="0"/>
              <w:rPr>
                <w:sz w:val="20"/>
                <w:szCs w:val="20"/>
                <w:color w:val="auto"/>
              </w:rPr>
            </w:pPr>
            <w:r>
              <w:rPr>
                <w:rFonts w:ascii="Arial" w:cs="Arial" w:eastAsia="Arial" w:hAnsi="Arial"/>
                <w:sz w:val="18"/>
                <w:szCs w:val="18"/>
                <w:color w:val="auto"/>
                <w:w w:val="90"/>
              </w:rPr>
              <w:t>73,553,154 shares outstanding, pro forma;</w:t>
            </w:r>
          </w:p>
        </w:tc>
        <w:tc>
          <w:tcPr>
            <w:tcW w:w="2480" w:type="dxa"/>
            <w:vAlign w:val="bottom"/>
          </w:tcPr>
          <w:p>
            <w:pPr>
              <w:ind w:left="780"/>
              <w:spacing w:after="0"/>
              <w:rPr>
                <w:sz w:val="20"/>
                <w:szCs w:val="20"/>
                <w:color w:val="auto"/>
              </w:rPr>
            </w:pPr>
            <w:r>
              <w:rPr>
                <w:rFonts w:ascii="Arial" w:cs="Arial" w:eastAsia="Arial" w:hAnsi="Arial"/>
                <w:sz w:val="18"/>
                <w:szCs w:val="18"/>
                <w:color w:val="auto"/>
              </w:rPr>
              <w:t>shares authorized,</w:t>
            </w:r>
          </w:p>
        </w:tc>
        <w:tc>
          <w:tcPr>
            <w:tcW w:w="2100" w:type="dxa"/>
            <w:vAlign w:val="bottom"/>
            <w:gridSpan w:val="4"/>
          </w:tcPr>
          <w:p>
            <w:pPr>
              <w:jc w:val="right"/>
              <w:ind w:right="390"/>
              <w:spacing w:after="0"/>
              <w:rPr>
                <w:sz w:val="20"/>
                <w:szCs w:val="20"/>
                <w:color w:val="auto"/>
              </w:rPr>
            </w:pPr>
            <w:r>
              <w:rPr>
                <w:rFonts w:ascii="Arial" w:cs="Arial" w:eastAsia="Arial" w:hAnsi="Arial"/>
                <w:sz w:val="18"/>
                <w:szCs w:val="18"/>
                <w:color w:val="auto"/>
              </w:rPr>
              <w:t>shares issued and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tcPr>
          <w:p>
            <w:pPr>
              <w:ind w:left="520"/>
              <w:spacing w:after="0"/>
              <w:rPr>
                <w:sz w:val="20"/>
                <w:szCs w:val="20"/>
                <w:color w:val="auto"/>
              </w:rPr>
            </w:pPr>
            <w:r>
              <w:rPr>
                <w:rFonts w:ascii="Arial" w:cs="Arial" w:eastAsia="Arial" w:hAnsi="Arial"/>
                <w:sz w:val="18"/>
                <w:szCs w:val="18"/>
                <w:color w:val="auto"/>
              </w:rPr>
              <w:t>outstanding, pro forma as adjusted</w:t>
            </w:r>
          </w:p>
        </w:tc>
        <w:tc>
          <w:tcPr>
            <w:tcW w:w="2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340"/>
              <w:spacing w:after="0"/>
              <w:rPr>
                <w:sz w:val="20"/>
                <w:szCs w:val="20"/>
                <w:color w:val="auto"/>
              </w:rPr>
            </w:pPr>
            <w:r>
              <w:rPr>
                <w:rFonts w:ascii="Arial" w:cs="Arial" w:eastAsia="Arial" w:hAnsi="Arial"/>
                <w:sz w:val="18"/>
                <w:szCs w:val="18"/>
                <w:color w:val="auto"/>
              </w:rPr>
              <w:t>Accumulated deficit</w:t>
            </w:r>
          </w:p>
        </w:tc>
        <w:tc>
          <w:tcPr>
            <w:tcW w:w="2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(33,621)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(33,621)</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stockholders’ (deficit) equity</w:t>
            </w:r>
          </w:p>
        </w:tc>
        <w:tc>
          <w:tcPr>
            <w:tcW w:w="2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(33,511)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2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54,036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ectPr>
          <w:pgSz w:w="11900" w:h="16838" w:orient="portrait"/>
          <w:cols w:equalWidth="0" w:num="1">
            <w:col w:w="11240"/>
          </w:cols>
          <w:pgMar w:left="240" w:top="459" w:right="419" w:bottom="1440" w:gutter="0" w:footer="0" w:header="0"/>
        </w:sectPr>
      </w:pPr>
    </w:p>
    <w:p>
      <w:pPr>
        <w:ind w:left="640" w:hanging="439"/>
        <w:spacing w:after="0" w:line="308" w:lineRule="auto"/>
        <w:tabs>
          <w:tab w:leader="none" w:pos="620" w:val="left"/>
        </w:tabs>
        <w:rPr>
          <w:sz w:val="20"/>
          <w:szCs w:val="20"/>
          <w:color w:val="auto"/>
        </w:rPr>
      </w:pPr>
      <w:r>
        <w:rPr>
          <w:rFonts w:ascii="Arial" w:cs="Arial" w:eastAsia="Arial" w:hAnsi="Arial"/>
          <w:sz w:val="17"/>
          <w:szCs w:val="17"/>
          <w:color w:val="auto"/>
        </w:rPr>
        <w:t>(1)</w:t>
        <w:tab/>
        <w:t>Each $1.00 increase (decrease) in the assumed initial public offering price of $ page of this prospectus, would increase (decrease) the pro forma 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per share, the midpoint of the price range set forth on the cover</w:t>
      </w:r>
    </w:p>
    <w:p>
      <w:pPr>
        <w:spacing w:after="0" w:line="396" w:lineRule="exact"/>
        <w:rPr>
          <w:sz w:val="20"/>
          <w:szCs w:val="20"/>
          <w:color w:val="auto"/>
        </w:rPr>
      </w:pPr>
    </w:p>
    <w:p>
      <w:pPr>
        <w:sectPr>
          <w:pgSz w:w="11900" w:h="16838" w:orient="portrait"/>
          <w:cols w:equalWidth="0" w:num="2">
            <w:col w:w="6300" w:space="360"/>
            <w:col w:w="4580"/>
          </w:cols>
          <w:pgMar w:left="240" w:top="459" w:right="41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240" w:top="459" w:right="41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7360" w:val="left"/>
        </w:tabs>
        <w:rPr>
          <w:sz w:val="20"/>
          <w:szCs w:val="20"/>
          <w:color w:val="auto"/>
        </w:rPr>
      </w:pPr>
      <w:r>
        <w:rPr>
          <w:rFonts w:ascii="Arial" w:cs="Arial" w:eastAsia="Arial" w:hAnsi="Arial"/>
          <w:sz w:val="18"/>
          <w:szCs w:val="18"/>
          <w:color w:val="auto"/>
        </w:rPr>
        <w:t>adjusted amount of each of cash and cash equivalents and total stockholders’ equity by $</w:t>
      </w:r>
      <w:r>
        <w:rPr>
          <w:sz w:val="20"/>
          <w:szCs w:val="20"/>
          <w:color w:val="auto"/>
        </w:rPr>
        <w:tab/>
      </w:r>
      <w:r>
        <w:rPr>
          <w:rFonts w:ascii="Arial" w:cs="Arial" w:eastAsia="Arial" w:hAnsi="Arial"/>
          <w:sz w:val="16"/>
          <w:szCs w:val="16"/>
          <w:color w:val="auto"/>
        </w:rPr>
        <w:t>million, assuming that the number of shares offered</w:t>
      </w:r>
    </w:p>
    <w:p>
      <w:pPr>
        <w:spacing w:after="0" w:line="23" w:lineRule="exact"/>
        <w:rPr>
          <w:sz w:val="20"/>
          <w:szCs w:val="20"/>
          <w:color w:val="auto"/>
        </w:rPr>
      </w:pPr>
    </w:p>
    <w:p>
      <w:pPr>
        <w:ind w:left="640"/>
        <w:spacing w:after="0" w:line="281" w:lineRule="auto"/>
        <w:rPr>
          <w:sz w:val="20"/>
          <w:szCs w:val="20"/>
          <w:color w:val="auto"/>
        </w:rPr>
      </w:pPr>
      <w:r>
        <w:rPr>
          <w:rFonts w:ascii="Arial" w:cs="Arial" w:eastAsia="Arial" w:hAnsi="Arial"/>
          <w:sz w:val="16"/>
          <w:szCs w:val="16"/>
          <w:color w:val="auto"/>
        </w:rPr>
        <w:t>by 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 page of this prospectus, would increase (decrease) the pro forma as adjusted amount of each of cash and cash equivalents and total</w:t>
      </w:r>
    </w:p>
    <w:p>
      <w:pPr>
        <w:spacing w:after="0" w:line="2" w:lineRule="exact"/>
        <w:rPr>
          <w:sz w:val="20"/>
          <w:szCs w:val="20"/>
          <w:color w:val="auto"/>
        </w:rPr>
      </w:pPr>
    </w:p>
    <w:p>
      <w:pPr>
        <w:ind w:left="640" w:right="100"/>
        <w:spacing w:after="0" w:line="255" w:lineRule="auto"/>
        <w:rPr>
          <w:sz w:val="20"/>
          <w:szCs w:val="20"/>
          <w:color w:val="auto"/>
        </w:rPr>
      </w:pPr>
      <w:r>
        <w:rPr>
          <w:rFonts w:ascii="Arial" w:cs="Arial" w:eastAsia="Arial" w:hAnsi="Arial"/>
          <w:sz w:val="18"/>
          <w:szCs w:val="18"/>
          <w:color w:val="auto"/>
        </w:rPr>
        <w:t>stockholders’ equity by $ million, assuming no change in the assumed initial public offering price per share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shares of common stock outstanding in the table above does not include:</w:t>
      </w:r>
    </w:p>
    <w:p>
      <w:pPr>
        <w:spacing w:after="0" w:line="131" w:lineRule="exact"/>
        <w:rPr>
          <w:sz w:val="20"/>
          <w:szCs w:val="20"/>
          <w:color w:val="auto"/>
        </w:rPr>
      </w:pPr>
    </w:p>
    <w:p>
      <w:pPr>
        <w:ind w:left="1060" w:right="120" w:hanging="424"/>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7,391,214 shares of common stock issuable upon the exercise of stock options outstanding as of March 31, 2018, with a weighted average exercise price of $0.62 per share;</w:t>
      </w:r>
    </w:p>
    <w:p>
      <w:pPr>
        <w:spacing w:after="0" w:line="75" w:lineRule="exact"/>
        <w:rPr>
          <w:rFonts w:ascii="Arial" w:cs="Arial" w:eastAsia="Arial" w:hAnsi="Arial"/>
          <w:sz w:val="18"/>
          <w:szCs w:val="18"/>
          <w:color w:val="auto"/>
        </w:rPr>
      </w:pPr>
    </w:p>
    <w:p>
      <w:pPr>
        <w:ind w:left="1060" w:right="60" w:hanging="424"/>
        <w:spacing w:after="0" w:line="264"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28,305 shares of common stock issuable upon the exercise of a warrant to purchase preferred stock outstanding as of March 31, 2018 that will automatically become a warrant to purchase common stock upon the completion of this offering, with an exercise price of $0.7949 per share;</w:t>
      </w:r>
    </w:p>
    <w:p>
      <w:pPr>
        <w:spacing w:after="0" w:line="86"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additional 241,506 shares of common stock available for future issuance under our Amended and Restated 2015 Stock Option and Grant Plan as of March 31, 2018;</w:t>
      </w:r>
    </w:p>
    <w:p>
      <w:pPr>
        <w:sectPr>
          <w:pgSz w:w="11900" w:h="16838" w:orient="portrait"/>
          <w:cols w:equalWidth="0" w:num="1">
            <w:col w:w="11140"/>
          </w:cols>
          <w:pgMar w:left="240" w:top="459" w:right="519" w:bottom="1440" w:gutter="0" w:footer="0" w:header="0"/>
        </w:sectPr>
      </w:pPr>
    </w:p>
    <w:p>
      <w:pPr>
        <w:spacing w:after="0" w:line="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 additional shares of common stock that will be made available for future issuance under our 2018 Stock Option and Grant Plan upon the effectiveness of the registration statement of which this prospectus forms a part; and</w:t>
      </w:r>
    </w:p>
    <w:p>
      <w:pPr>
        <w:spacing w:after="0" w:line="76" w:lineRule="exact"/>
        <w:rPr>
          <w:sz w:val="20"/>
          <w:szCs w:val="20"/>
          <w:color w:val="auto"/>
        </w:rPr>
      </w:pPr>
    </w:p>
    <w:p>
      <w:pPr>
        <w:sectPr>
          <w:pgSz w:w="11900" w:h="16838" w:orient="portrait"/>
          <w:cols w:equalWidth="0" w:num="2">
            <w:col w:w="700" w:space="360"/>
            <w:col w:w="10080"/>
          </w:cols>
          <w:pgMar w:left="240" w:top="459" w:right="519" w:bottom="1440" w:gutter="0" w:footer="0" w:header="0"/>
          <w:type w:val="continuous"/>
        </w:sect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an additional shares of common stock that will be made available for future issuance under our 2018 Employee Stock Purchase Plan upon the effectiveness of the registration statement of which this prospectus forms a part.</w:t>
      </w:r>
    </w:p>
    <w:p>
      <w:pPr>
        <w:spacing w:after="0" w:line="103" w:lineRule="exact"/>
        <w:rPr>
          <w:sz w:val="20"/>
          <w:szCs w:val="20"/>
          <w:color w:val="auto"/>
        </w:rPr>
      </w:pPr>
    </w:p>
    <w:p>
      <w:pPr>
        <w:sectPr>
          <w:pgSz w:w="11900" w:h="16838" w:orient="portrait"/>
          <w:cols w:equalWidth="0" w:num="2">
            <w:col w:w="700" w:space="360"/>
            <w:col w:w="10080"/>
          </w:cols>
          <w:pgMar w:left="240" w:top="459" w:right="519" w:bottom="1440" w:gutter="0" w:footer="0" w:header="0"/>
          <w:type w:val="continuous"/>
        </w:sectPr>
      </w:pPr>
    </w:p>
    <w:p>
      <w:pPr>
        <w:jc w:val="center"/>
        <w:ind w:right="-27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140"/>
          </w:cols>
          <w:pgMar w:left="240" w:top="459" w:right="51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common share immediately after this offering.</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historical net tangible book (deficit) as of March 31, 2018 was $33.5 million, or $(3.14) per share of common stock. Our historical net tangible book (deficit) is the amount of our total tangible assets less our total liabilities and the carrying value of redeemable convertible preferred stock, which is not included within shareholders’ (deficit). Historical net tangible book (deficit) per share represents historical net tangible book (deficit) divided by the 10,666,667 shares of our common stock outstanding as of March 31, 2018.</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pro forma net tangible book value as of March 31, 2018 was $54.0 million, or $0.73 per share of common stock. Pro forma net tangible book value represents the amount of our total tangible assets less our total liabilities, after giving effect to:</w:t>
      </w:r>
    </w:p>
    <w:p>
      <w:pPr>
        <w:spacing w:after="0" w:line="76" w:lineRule="exact"/>
        <w:rPr>
          <w:sz w:val="20"/>
          <w:szCs w:val="20"/>
          <w:color w:val="auto"/>
        </w:rPr>
      </w:pPr>
    </w:p>
    <w:p>
      <w:pPr>
        <w:ind w:left="1060" w:right="140" w:hanging="424"/>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conversion of all outstanding shares of redeemable convertible preferred stock into an aggregate of 63,303,154 shares of common stock upon the closing of this offering;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conversion of our warrant to purchase preferred stock into a warrant to purchase common stock upon the closing of this offering.</w:t>
      </w:r>
    </w:p>
    <w:p>
      <w:pPr>
        <w:spacing w:after="0" w:line="23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Pro forma net tangible book value per share represents our pro forma net tangible book value divided by the total number of shares of our common stock outstanding as of March 31, 2018, after giving effect to the pro forma adjustments described above.</w:t>
      </w:r>
    </w:p>
    <w:p>
      <w:pPr>
        <w:spacing w:after="0" w:line="170" w:lineRule="exact"/>
        <w:rPr>
          <w:sz w:val="20"/>
          <w:szCs w:val="20"/>
          <w:color w:val="auto"/>
        </w:rPr>
      </w:pPr>
    </w:p>
    <w:p>
      <w:pPr>
        <w:ind w:left="200" w:right="140" w:firstLine="441"/>
        <w:spacing w:after="0" w:line="274" w:lineRule="auto"/>
        <w:rPr>
          <w:sz w:val="20"/>
          <w:szCs w:val="20"/>
          <w:color w:val="auto"/>
        </w:rPr>
      </w:pPr>
      <w:r>
        <w:rPr>
          <w:rFonts w:ascii="Arial" w:cs="Arial" w:eastAsia="Arial" w:hAnsi="Arial"/>
          <w:sz w:val="17"/>
          <w:szCs w:val="17"/>
          <w:color w:val="auto"/>
        </w:rPr>
        <w:t>After giving further effect to (i) our issuance and sale of shares of common stock in this offering at the assumed initial public offering price of $ per share, the midpoint of the price range set forth on the cover page of this prospectus, after deducting estimated underwriting discounts</w:t>
      </w:r>
    </w:p>
    <w:p>
      <w:pPr>
        <w:ind w:left="200" w:right="200"/>
        <w:spacing w:after="0" w:line="280" w:lineRule="auto"/>
        <w:rPr>
          <w:sz w:val="20"/>
          <w:szCs w:val="20"/>
          <w:color w:val="auto"/>
        </w:rPr>
      </w:pPr>
      <w:r>
        <w:rPr>
          <w:rFonts w:ascii="Arial" w:cs="Arial" w:eastAsia="Arial" w:hAnsi="Arial"/>
          <w:sz w:val="16"/>
          <w:szCs w:val="16"/>
          <w:color w:val="auto"/>
        </w:rPr>
        <w:t>and commissions and estimated offering expenses payable by us, and (ii) the payment by us of an aggregate of $2.0 million to University Health Network pursuant to the Stock Purchase Agreement, dated as of January 27, 2016, between us and University Health Network, in connection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right="160"/>
        <w:spacing w:after="0" w:line="288" w:lineRule="auto"/>
        <w:rPr>
          <w:sz w:val="20"/>
          <w:szCs w:val="20"/>
          <w:color w:val="auto"/>
        </w:rPr>
      </w:pPr>
      <w:r>
        <w:rPr>
          <w:rFonts w:ascii="Arial" w:cs="Arial" w:eastAsia="Arial" w:hAnsi="Arial"/>
          <w:sz w:val="16"/>
          <w:szCs w:val="16"/>
          <w:color w:val="auto"/>
        </w:rPr>
        <w:t>offering, our pro forma as adjusted net tangible book value as of March 31, 2018 would have been $ million, or $ per share. This represents an immediate increase in pro forma as adjusted net tangible book value per share of $ to existing shareholders and immediate dilution in pro forma as adjusted net tangible book value per share of $ to new investors purchasing common stock in this offering. Dilution per share to new investors is</w:t>
      </w:r>
    </w:p>
    <w:p>
      <w:pPr>
        <w:ind w:left="200" w:right="120"/>
        <w:spacing w:after="0" w:line="261" w:lineRule="auto"/>
        <w:rPr>
          <w:sz w:val="20"/>
          <w:szCs w:val="20"/>
          <w:color w:val="auto"/>
        </w:rPr>
      </w:pPr>
      <w:r>
        <w:rPr>
          <w:rFonts w:ascii="Arial" w:cs="Arial" w:eastAsia="Arial" w:hAnsi="Arial"/>
          <w:sz w:val="18"/>
          <w:szCs w:val="18"/>
          <w:color w:val="auto"/>
        </w:rPr>
        <w:t>determined by subtracting pro forma as adjusted net tangible book value per share after this offering from the initial public offering price per share paid by new investors. The following table illustrates this dilution on a per share basis:</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47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Historical net tangible book value (deficit) per share as of March 31, 2018</w:t>
            </w:r>
          </w:p>
        </w:tc>
        <w:tc>
          <w:tcPr>
            <w:tcW w:w="4060" w:type="dxa"/>
            <w:vAlign w:val="bottom"/>
            <w:gridSpan w:val="3"/>
          </w:tcPr>
          <w:p>
            <w:pPr>
              <w:jc w:val="right"/>
              <w:ind w:right="600"/>
              <w:spacing w:after="0"/>
              <w:rPr>
                <w:sz w:val="20"/>
                <w:szCs w:val="20"/>
                <w:color w:val="auto"/>
              </w:rPr>
            </w:pPr>
            <w:r>
              <w:rPr>
                <w:rFonts w:ascii="Arial" w:cs="Arial" w:eastAsia="Arial" w:hAnsi="Arial"/>
                <w:sz w:val="18"/>
                <w:szCs w:val="18"/>
                <w:color w:val="auto"/>
              </w:rPr>
              <w:t>$(3.14)</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Increase per share attributable to the pro forma adjustments described above</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 as of March 31, 2018</w:t>
            </w:r>
          </w:p>
        </w:tc>
        <w:tc>
          <w:tcPr>
            <w:tcW w:w="294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1020" w:type="dxa"/>
            <w:vAlign w:val="bottom"/>
            <w:gridSpan w:val="6"/>
            <w:shd w:val="clear" w:color="auto" w:fill="CCEEFF"/>
          </w:tcPr>
          <w:p>
            <w:pPr>
              <w:ind w:left="340"/>
              <w:spacing w:after="0" w:line="201" w:lineRule="exact"/>
              <w:rPr>
                <w:sz w:val="20"/>
                <w:szCs w:val="20"/>
                <w:color w:val="auto"/>
              </w:rPr>
            </w:pPr>
            <w:r>
              <w:rPr>
                <w:rFonts w:ascii="Arial" w:cs="Arial" w:eastAsia="Arial" w:hAnsi="Arial"/>
                <w:sz w:val="18"/>
                <w:szCs w:val="18"/>
                <w:color w:val="auto"/>
              </w:rPr>
              <w:t>Increase in pro forma as adjusted net tangible book value per share attributable to new investors purchasing</w:t>
            </w:r>
          </w:p>
        </w:tc>
      </w:tr>
      <w:tr>
        <w:trPr>
          <w:trHeight w:val="230"/>
        </w:trPr>
        <w:tc>
          <w:tcPr>
            <w:tcW w:w="20" w:type="dxa"/>
            <w:vAlign w:val="bottom"/>
          </w:tcPr>
          <w:p>
            <w:pPr>
              <w:spacing w:after="0"/>
              <w:rPr>
                <w:sz w:val="20"/>
                <w:szCs w:val="20"/>
                <w:color w:val="auto"/>
              </w:rPr>
            </w:pPr>
          </w:p>
        </w:tc>
        <w:tc>
          <w:tcPr>
            <w:tcW w:w="6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common stock in this offering</w:t>
            </w:r>
          </w:p>
        </w:tc>
        <w:tc>
          <w:tcPr>
            <w:tcW w:w="294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102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Dilution in pro forma as adjusted net tangible book value per share to new investors purchasing common stock in this</w:t>
            </w:r>
          </w:p>
        </w:tc>
      </w:tr>
      <w:tr>
        <w:trPr>
          <w:trHeight w:val="230"/>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offering</w:t>
            </w:r>
          </w:p>
        </w:tc>
        <w:tc>
          <w:tcPr>
            <w:tcW w:w="47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w w:val="93"/>
              </w:rPr>
              <w:t>Each $1.00 increase (decrease) in the assumed initial public offering price of $</w:t>
            </w:r>
          </w:p>
        </w:tc>
        <w:tc>
          <w:tcPr>
            <w:tcW w:w="4760" w:type="dxa"/>
            <w:vAlign w:val="bottom"/>
            <w:gridSpan w:val="5"/>
          </w:tcPr>
          <w:p>
            <w:pPr>
              <w:ind w:left="180"/>
              <w:spacing w:after="0"/>
              <w:rPr>
                <w:sz w:val="20"/>
                <w:szCs w:val="20"/>
                <w:color w:val="auto"/>
              </w:rPr>
            </w:pPr>
            <w:r>
              <w:rPr>
                <w:rFonts w:ascii="Arial" w:cs="Arial" w:eastAsia="Arial" w:hAnsi="Arial"/>
                <w:sz w:val="18"/>
                <w:szCs w:val="18"/>
                <w:color w:val="auto"/>
                <w:w w:val="90"/>
              </w:rPr>
              <w:t>per share, the midpoint of the price range set forth on the cover</w:t>
            </w: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page of this prospectus, would increase (decrease) the pro forma as</w:t>
            </w:r>
          </w:p>
        </w:tc>
        <w:tc>
          <w:tcPr>
            <w:tcW w:w="2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5"/>
        </w:trPr>
        <w:tc>
          <w:tcPr>
            <w:tcW w:w="6280" w:type="dxa"/>
            <w:vAlign w:val="bottom"/>
            <w:gridSpan w:val="2"/>
          </w:tcPr>
          <w:p>
            <w:pPr>
              <w:jc w:val="right"/>
              <w:ind w:right="590"/>
              <w:spacing w:after="0"/>
              <w:rPr>
                <w:sz w:val="20"/>
                <w:szCs w:val="20"/>
                <w:color w:val="auto"/>
              </w:rPr>
            </w:pPr>
            <w:r>
              <w:rPr>
                <w:rFonts w:ascii="Arial" w:cs="Arial" w:eastAsia="Arial" w:hAnsi="Arial"/>
                <w:sz w:val="18"/>
                <w:szCs w:val="18"/>
                <w:color w:val="auto"/>
              </w:rPr>
              <w:t>63</w:t>
            </w:r>
          </w:p>
        </w:tc>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5280" w:val="left"/>
        </w:tabs>
        <w:rPr>
          <w:sz w:val="20"/>
          <w:szCs w:val="20"/>
          <w:color w:val="auto"/>
        </w:rPr>
      </w:pPr>
      <w:r>
        <w:rPr>
          <w:rFonts w:ascii="Arial" w:cs="Arial" w:eastAsia="Arial" w:hAnsi="Arial"/>
          <w:sz w:val="18"/>
          <w:szCs w:val="18"/>
          <w:color w:val="auto"/>
        </w:rPr>
        <w:t>adjusted net tangible book value per share after this offering by $</w:t>
      </w:r>
      <w:r>
        <w:rPr>
          <w:sz w:val="20"/>
          <w:szCs w:val="20"/>
          <w:color w:val="auto"/>
        </w:rPr>
        <w:tab/>
      </w:r>
      <w:r>
        <w:rPr>
          <w:rFonts w:ascii="Arial" w:cs="Arial" w:eastAsia="Arial" w:hAnsi="Arial"/>
          <w:sz w:val="16"/>
          <w:szCs w:val="16"/>
          <w:color w:val="auto"/>
        </w:rPr>
        <w:t>and dilution per share to new investors purchasing shares in this offering by</w:t>
      </w:r>
    </w:p>
    <w:p>
      <w:pPr>
        <w:spacing w:after="0" w:line="23" w:lineRule="exact"/>
        <w:rPr>
          <w:sz w:val="20"/>
          <w:szCs w:val="20"/>
          <w:color w:val="auto"/>
        </w:rPr>
      </w:pPr>
    </w:p>
    <w:p>
      <w:pPr>
        <w:jc w:val="center"/>
        <w:ind w:left="200" w:right="180" w:firstLine="4"/>
        <w:spacing w:after="0" w:line="281" w:lineRule="auto"/>
        <w:tabs>
          <w:tab w:leader="none" w:pos="65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assuming that the number of shares offered by 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 page of this prospectus, would increase (decrease) the pro forma as adjusted net tangible book</w:t>
      </w:r>
    </w:p>
    <w:p>
      <w:pPr>
        <w:spacing w:after="0" w:line="2" w:lineRule="exact"/>
        <w:rPr>
          <w:sz w:val="20"/>
          <w:szCs w:val="20"/>
          <w:color w:val="auto"/>
        </w:rPr>
      </w:pPr>
    </w:p>
    <w:p>
      <w:pPr>
        <w:ind w:left="200" w:right="200"/>
        <w:spacing w:after="0" w:line="254" w:lineRule="auto"/>
        <w:rPr>
          <w:sz w:val="20"/>
          <w:szCs w:val="20"/>
          <w:color w:val="auto"/>
        </w:rPr>
      </w:pPr>
      <w:r>
        <w:rPr>
          <w:rFonts w:ascii="Arial" w:cs="Arial" w:eastAsia="Arial" w:hAnsi="Arial"/>
          <w:sz w:val="18"/>
          <w:szCs w:val="18"/>
          <w:color w:val="auto"/>
        </w:rPr>
        <w:t>value per share after this offering by $ and dilution per share to new investors purchasing shares in this offering by $ , assuming no change in the assumed initial public offering price per share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the underwriters exercise their over-allotment option in this offering in full, the pro forma as adjusted net tangible book value per share after this</w:t>
      </w:r>
    </w:p>
    <w:p>
      <w:pPr>
        <w:spacing w:after="0" w:line="46" w:lineRule="exact"/>
        <w:rPr>
          <w:sz w:val="20"/>
          <w:szCs w:val="20"/>
          <w:color w:val="auto"/>
        </w:rPr>
      </w:pPr>
    </w:p>
    <w:p>
      <w:pPr>
        <w:ind w:left="200"/>
        <w:spacing w:after="0"/>
        <w:tabs>
          <w:tab w:leader="none" w:pos="2020" w:val="left"/>
        </w:tabs>
        <w:rPr>
          <w:sz w:val="20"/>
          <w:szCs w:val="20"/>
          <w:color w:val="auto"/>
        </w:rPr>
      </w:pPr>
      <w:r>
        <w:rPr>
          <w:rFonts w:ascii="Arial" w:cs="Arial" w:eastAsia="Arial" w:hAnsi="Arial"/>
          <w:sz w:val="18"/>
          <w:szCs w:val="18"/>
          <w:color w:val="auto"/>
        </w:rPr>
        <w:t>offering would be $</w:t>
      </w:r>
      <w:r>
        <w:rPr>
          <w:sz w:val="20"/>
          <w:szCs w:val="20"/>
          <w:color w:val="auto"/>
        </w:rPr>
        <w:tab/>
      </w:r>
      <w:r>
        <w:rPr>
          <w:rFonts w:ascii="Arial" w:cs="Arial" w:eastAsia="Arial" w:hAnsi="Arial"/>
          <w:sz w:val="16"/>
          <w:szCs w:val="16"/>
          <w:color w:val="auto"/>
        </w:rPr>
        <w:t>per share, and the dilution in pro forma as adjusted net tangible book value per share to new investors purchasing common</w:t>
      </w:r>
    </w:p>
    <w:p>
      <w:pPr>
        <w:spacing w:after="0" w:line="9" w:lineRule="exact"/>
        <w:rPr>
          <w:sz w:val="20"/>
          <w:szCs w:val="20"/>
          <w:color w:val="auto"/>
        </w:rPr>
      </w:pPr>
    </w:p>
    <w:p>
      <w:pPr>
        <w:ind w:left="200" w:right="320"/>
        <w:spacing w:after="0" w:line="261" w:lineRule="auto"/>
        <w:rPr>
          <w:sz w:val="20"/>
          <w:szCs w:val="20"/>
          <w:color w:val="auto"/>
        </w:rPr>
      </w:pPr>
      <w:r>
        <w:rPr>
          <w:rFonts w:ascii="Arial" w:cs="Arial" w:eastAsia="Arial" w:hAnsi="Arial"/>
          <w:sz w:val="18"/>
          <w:szCs w:val="18"/>
          <w:color w:val="auto"/>
        </w:rPr>
        <w:t>shares in this offering would be $ per share, after deducting estimated underwriting discounts and commissions and estimated offering expenses payable by us.</w:t>
      </w:r>
    </w:p>
    <w:p>
      <w:pPr>
        <w:spacing w:after="0" w:line="184"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following table summarizes, on the pro forma as adjusted basis described above as of March 31, 2018, the total number of shares of common stock purchased from us, the total consideration paid or to be paid, and the average price per share paid or to be paid by existing shareholders and by</w:t>
      </w:r>
    </w:p>
    <w:p>
      <w:pPr>
        <w:ind w:left="200" w:right="180"/>
        <w:spacing w:after="0" w:line="290" w:lineRule="auto"/>
        <w:rPr>
          <w:sz w:val="20"/>
          <w:szCs w:val="20"/>
          <w:color w:val="auto"/>
        </w:rPr>
      </w:pPr>
      <w:r>
        <w:rPr>
          <w:rFonts w:ascii="Arial" w:cs="Arial" w:eastAsia="Arial" w:hAnsi="Arial"/>
          <w:sz w:val="17"/>
          <w:szCs w:val="17"/>
          <w:color w:val="auto"/>
        </w:rPr>
        <w:t>new investors in this offering at the assumed initial public offering price of $ per share, the midpoint of the price range set forth on the cover page of this prospectus, before deducting estimated underwriting discounts and commissions and estimated offering expenses payable by us:</w:t>
      </w:r>
    </w:p>
    <w:p>
      <w:pPr>
        <w:spacing w:after="0" w:line="18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320" w:type="dxa"/>
            <w:vAlign w:val="bottom"/>
            <w:gridSpan w:val="5"/>
          </w:tcPr>
          <w:p>
            <w:pPr>
              <w:jc w:val="right"/>
              <w:ind w:right="710"/>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14"/>
                <w:szCs w:val="14"/>
                <w:color w:val="auto"/>
              </w:rPr>
            </w:pPr>
          </w:p>
        </w:tc>
        <w:tc>
          <w:tcPr>
            <w:tcW w:w="2360" w:type="dxa"/>
            <w:vAlign w:val="bottom"/>
            <w:gridSpan w:val="5"/>
          </w:tcPr>
          <w:p>
            <w:pPr>
              <w:jc w:val="right"/>
              <w:ind w:right="670"/>
              <w:spacing w:after="0"/>
              <w:rPr>
                <w:sz w:val="20"/>
                <w:szCs w:val="20"/>
                <w:color w:val="auto"/>
              </w:rPr>
            </w:pPr>
            <w:r>
              <w:rPr>
                <w:rFonts w:ascii="Arial" w:cs="Arial" w:eastAsia="Arial" w:hAnsi="Arial"/>
                <w:sz w:val="14"/>
                <w:szCs w:val="14"/>
                <w:b w:val="1"/>
                <w:bCs w:val="1"/>
                <w:color w:val="auto"/>
              </w:rPr>
              <w:t>Total Consideration</w:t>
            </w:r>
          </w:p>
        </w:tc>
        <w:tc>
          <w:tcPr>
            <w:tcW w:w="11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Average Price</w:t>
            </w: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Number</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Amount</w:t>
            </w:r>
          </w:p>
        </w:tc>
        <w:tc>
          <w:tcPr>
            <w:tcW w:w="11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Per Share</w:t>
            </w: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7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73,969,821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$88,183,696</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New investors</w:t>
            </w:r>
          </w:p>
        </w:tc>
        <w:tc>
          <w:tcPr>
            <w:tcW w:w="17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88"/>
              </w:rPr>
              <w:t>100.0%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040" w:type="dxa"/>
            <w:vAlign w:val="bottom"/>
            <w:gridSpan w:val="4"/>
          </w:tcPr>
          <w:p>
            <w:pPr>
              <w:ind w:left="420"/>
              <w:spacing w:after="0"/>
              <w:rPr>
                <w:sz w:val="20"/>
                <w:szCs w:val="20"/>
                <w:color w:val="auto"/>
              </w:rPr>
            </w:pPr>
            <w:r>
              <w:rPr>
                <w:rFonts w:ascii="Arial" w:cs="Arial" w:eastAsia="Arial" w:hAnsi="Arial"/>
                <w:sz w:val="18"/>
                <w:szCs w:val="18"/>
                <w:color w:val="auto"/>
                <w:w w:val="94"/>
              </w:rPr>
              <w:t>A $1.00 increase (decrease) in the assumed initial public offering price of $</w:t>
            </w:r>
          </w:p>
        </w:tc>
        <w:tc>
          <w:tcPr>
            <w:tcW w:w="4980" w:type="dxa"/>
            <w:vAlign w:val="bottom"/>
            <w:gridSpan w:val="13"/>
          </w:tcPr>
          <w:p>
            <w:pPr>
              <w:ind w:left="180"/>
              <w:spacing w:after="0"/>
              <w:rPr>
                <w:sz w:val="20"/>
                <w:szCs w:val="20"/>
                <w:color w:val="auto"/>
              </w:rPr>
            </w:pPr>
            <w:r>
              <w:rPr>
                <w:rFonts w:ascii="Arial" w:cs="Arial" w:eastAsia="Arial" w:hAnsi="Arial"/>
                <w:sz w:val="18"/>
                <w:szCs w:val="18"/>
                <w:color w:val="auto"/>
                <w:w w:val="94"/>
              </w:rPr>
              <w:t>per share, the midpoint of the price range set forth on the cover</w:t>
            </w:r>
          </w:p>
        </w:tc>
      </w:tr>
      <w:tr>
        <w:trPr>
          <w:trHeight w:val="230"/>
        </w:trPr>
        <w:tc>
          <w:tcPr>
            <w:tcW w:w="9120" w:type="dxa"/>
            <w:vAlign w:val="bottom"/>
            <w:gridSpan w:val="12"/>
          </w:tcPr>
          <w:p>
            <w:pPr>
              <w:spacing w:after="0"/>
              <w:rPr>
                <w:sz w:val="20"/>
                <w:szCs w:val="20"/>
                <w:color w:val="auto"/>
              </w:rPr>
            </w:pPr>
            <w:r>
              <w:rPr>
                <w:rFonts w:ascii="Arial" w:cs="Arial" w:eastAsia="Arial" w:hAnsi="Arial"/>
                <w:sz w:val="18"/>
                <w:szCs w:val="18"/>
                <w:color w:val="auto"/>
                <w:w w:val="90"/>
              </w:rPr>
              <w:t>page of this prospectus, would increase (decrease) the total consideration paid by investors in this offering by approximately $</w:t>
            </w:r>
          </w:p>
        </w:tc>
        <w:tc>
          <w:tcPr>
            <w:tcW w:w="1920" w:type="dxa"/>
            <w:vAlign w:val="bottom"/>
            <w:gridSpan w:val="6"/>
          </w:tcPr>
          <w:p>
            <w:pPr>
              <w:ind w:left="340"/>
              <w:spacing w:after="0"/>
              <w:rPr>
                <w:sz w:val="20"/>
                <w:szCs w:val="20"/>
                <w:color w:val="auto"/>
              </w:rPr>
            </w:pPr>
            <w:r>
              <w:rPr>
                <w:rFonts w:ascii="Arial" w:cs="Arial" w:eastAsia="Arial" w:hAnsi="Arial"/>
                <w:sz w:val="18"/>
                <w:szCs w:val="18"/>
                <w:color w:val="auto"/>
                <w:w w:val="92"/>
              </w:rPr>
              <w:t>million, assuming the</w:t>
            </w:r>
          </w:p>
        </w:tc>
      </w:tr>
    </w:tbl>
    <w:p>
      <w:pPr>
        <w:ind w:left="200" w:right="60"/>
        <w:spacing w:after="0" w:line="280" w:lineRule="auto"/>
        <w:rPr>
          <w:sz w:val="20"/>
          <w:szCs w:val="20"/>
          <w:color w:val="auto"/>
        </w:rPr>
      </w:pPr>
      <w:r>
        <w:rPr>
          <w:rFonts w:ascii="Arial" w:cs="Arial" w:eastAsia="Arial" w:hAnsi="Arial"/>
          <w:sz w:val="16"/>
          <w:szCs w:val="16"/>
          <w:color w:val="auto"/>
        </w:rPr>
        <w:t>number of shares offered by us, as set forth on the cover page of this prospectus, remains the same and after deducting estimated underwriting discounts and commissions and estimated offering expenses payable by us. Similarly, each increase (decrease) of 1,000,000 shares in the number of shares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by us in this offering would increase (decrease) the total consideration paid by investors in this offering by approximately $ million, assuming the assumed initial public offering price of $ per share, the midpoint of the price range set forth on the cover page of this prospectus, remains the same,</w:t>
      </w:r>
    </w:p>
    <w:p>
      <w:pPr>
        <w:ind w:left="200" w:right="240"/>
        <w:spacing w:after="0" w:line="290" w:lineRule="auto"/>
        <w:rPr>
          <w:sz w:val="20"/>
          <w:szCs w:val="20"/>
          <w:color w:val="auto"/>
        </w:rPr>
      </w:pPr>
      <w:r>
        <w:rPr>
          <w:rFonts w:ascii="Arial" w:cs="Arial" w:eastAsia="Arial" w:hAnsi="Arial"/>
          <w:sz w:val="17"/>
          <w:szCs w:val="17"/>
          <w:color w:val="auto"/>
        </w:rPr>
        <w:t>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62"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The table above assumes no exercise of the underwriters’ over-allotment option in this offering. If the underwriters’ over-allotment option is exercised in full, the number of shares of common stock held by new investors purchasing common stock in this offering would be increased to % of the total number of shares of common stock outstanding after this offering, and the number of shares held by existing shareholders would be reduced to</w:t>
      </w:r>
    </w:p>
    <w:p>
      <w:pPr>
        <w:ind w:left="380"/>
        <w:spacing w:after="0"/>
        <w:rPr>
          <w:sz w:val="20"/>
          <w:szCs w:val="20"/>
          <w:color w:val="auto"/>
        </w:rPr>
      </w:pPr>
      <w:r>
        <w:rPr>
          <w:rFonts w:ascii="Arial" w:cs="Arial" w:eastAsia="Arial" w:hAnsi="Arial"/>
          <w:sz w:val="18"/>
          <w:szCs w:val="18"/>
          <w:color w:val="auto"/>
        </w:rPr>
        <w:t>% of the total number of shares of common stock outstanding after this offering.</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tables and discussion above do not include:</w:t>
      </w:r>
    </w:p>
    <w:p>
      <w:pPr>
        <w:spacing w:after="0" w:line="131" w:lineRule="exact"/>
        <w:rPr>
          <w:sz w:val="20"/>
          <w:szCs w:val="20"/>
          <w:color w:val="auto"/>
        </w:rPr>
      </w:pPr>
    </w:p>
    <w:p>
      <w:pPr>
        <w:ind w:left="1060" w:right="220" w:hanging="424"/>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7,391,214 shares of common stock issuable upon the exercise of stock options outstanding as of March 31, 2018, with a weighted average exercise price of $0.62 per share;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80" w:hanging="424"/>
        <w:spacing w:after="0" w:line="264"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28,305 shares of common stock issuable upon the exercise of a warrant to purchase preferred stock outstanding as of March 31, 2018 that will automatically become a warrant to purchase common stock upon the completion of this offering, with an exercise price of $0.7949 per share;</w:t>
      </w:r>
    </w:p>
    <w:p>
      <w:pPr>
        <w:spacing w:after="0" w:line="86"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additional 241,506 shares of common stock available for future issuance under our Amended and Restated 2015 Stock Option and Grant Plan as of March 31, 2018;</w:t>
      </w:r>
    </w:p>
    <w:p>
      <w:pPr>
        <w:sectPr>
          <w:pgSz w:w="11900" w:h="16838" w:orient="portrait"/>
          <w:cols w:equalWidth="0" w:num="1">
            <w:col w:w="11160"/>
          </w:cols>
          <w:pgMar w:left="240" w:top="459" w:right="499" w:bottom="1440" w:gutter="0" w:footer="0" w:header="0"/>
        </w:sectPr>
      </w:pPr>
    </w:p>
    <w:p>
      <w:pPr>
        <w:spacing w:after="0" w:line="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additional shares of common stock that will be made available for future issuance under our 2018 Stock Option and Grant Plan upon the effectiveness of the registration statement of which this prospectus forms a part; and</w:t>
      </w:r>
    </w:p>
    <w:p>
      <w:pPr>
        <w:spacing w:after="0" w:line="76" w:lineRule="exact"/>
        <w:rPr>
          <w:sz w:val="20"/>
          <w:szCs w:val="20"/>
          <w:color w:val="auto"/>
        </w:rPr>
      </w:pPr>
    </w:p>
    <w:p>
      <w:pPr>
        <w:sectPr>
          <w:pgSz w:w="11900" w:h="16838" w:orient="portrait"/>
          <w:cols w:equalWidth="0" w:num="2">
            <w:col w:w="700" w:space="360"/>
            <w:col w:w="10100"/>
          </w:cols>
          <w:pgMar w:left="240" w:top="459" w:right="499" w:bottom="1440" w:gutter="0" w:footer="0" w:header="0"/>
          <w:type w:val="continuous"/>
        </w:sect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an additional shares of common stock that will be made available for future issuance under our 2018 Employee Stock Purchase Plan upon the effectiveness of the registration statement of which this prospectus forms a part.</w:t>
      </w:r>
    </w:p>
    <w:p>
      <w:pPr>
        <w:spacing w:after="0" w:line="170" w:lineRule="exact"/>
        <w:rPr>
          <w:sz w:val="20"/>
          <w:szCs w:val="20"/>
          <w:color w:val="auto"/>
        </w:rPr>
      </w:pPr>
    </w:p>
    <w:p>
      <w:pPr>
        <w:sectPr>
          <w:pgSz w:w="11900" w:h="16838" w:orient="portrait"/>
          <w:cols w:equalWidth="0" w:num="2">
            <w:col w:w="700" w:space="360"/>
            <w:col w:w="10100"/>
          </w:cols>
          <w:pgMar w:left="240" w:top="459" w:right="499" w:bottom="1440" w:gutter="0" w:footer="0" w:header="0"/>
          <w:type w:val="continuous"/>
        </w:sectPr>
      </w:pPr>
    </w:p>
    <w:p>
      <w:pPr>
        <w:ind w:left="200" w:right="240" w:firstLine="441"/>
        <w:spacing w:after="0" w:line="257" w:lineRule="auto"/>
        <w:rPr>
          <w:sz w:val="20"/>
          <w:szCs w:val="20"/>
          <w:color w:val="auto"/>
        </w:rPr>
      </w:pPr>
      <w:r>
        <w:rPr>
          <w:rFonts w:ascii="Arial" w:cs="Arial" w:eastAsia="Arial" w:hAnsi="Arial"/>
          <w:sz w:val="18"/>
          <w:szCs w:val="18"/>
          <w:color w:val="auto"/>
        </w:rPr>
        <w:t>To the extent that stock options or warrants are exercised, new stock options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60"/>
          </w:cols>
          <w:pgMar w:left="240" w:top="459" w:right="49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selected consolidated statements of operations data for the years ended December 31, 2016 and 2017 and the selected consolidated balance sheet data as of December 31, 2016 and 2017 are derived from our audited financial statements included elsewhere in this prospectus. The consolidated statements of operations data for the three months ended March 31, 2017 and 2018 and the consolidated balance sheet data as of March 31, 2018 have been derived from our unaudited condensed consolidated financial statements included elsewhere in this prospectus and have been prepared on the same basis as the audited consolidated financial statements. In the opinion of management, the unaudited data reflects all adjustments, consisting only of normal recurring adjustments, necessary for a fair presentation of the financial information contained in those statements. Our historical results are not necessarily indicative of the results that may be expected in any future period. You should read the following selected financial data together with the information in the sections titled “Management’s Discussion and Analysis of Financial Condition and Results of Operations” and our financial statements and related notes included elsewhere in this prospectus.</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00" w:type="dxa"/>
            <w:vAlign w:val="bottom"/>
            <w:gridSpan w:val="8"/>
          </w:tcPr>
          <w:p>
            <w:pPr>
              <w:jc w:val="right"/>
              <w:ind w:right="100"/>
              <w:spacing w:after="0" w:line="155" w:lineRule="exact"/>
              <w:rPr>
                <w:sz w:val="20"/>
                <w:szCs w:val="20"/>
                <w:color w:val="auto"/>
              </w:rPr>
            </w:pPr>
            <w:r>
              <w:rPr>
                <w:rFonts w:ascii="Arial" w:cs="Arial" w:eastAsia="Arial" w:hAnsi="Arial"/>
                <w:sz w:val="14"/>
                <w:szCs w:val="14"/>
                <w:b w:val="1"/>
                <w:bCs w:val="1"/>
                <w:color w:val="auto"/>
                <w:w w:val="93"/>
              </w:rPr>
              <w:t>(in thousands, except share and per share data)</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4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(4,625)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(18,386)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gridSpan w:val="2"/>
          </w:tcPr>
          <w:p>
            <w:pPr>
              <w:ind w:left="7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(18,648)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spacing w:after="0"/>
              <w:rPr>
                <w:sz w:val="20"/>
                <w:szCs w:val="20"/>
                <w:color w:val="auto"/>
              </w:rPr>
            </w:pPr>
            <w:r>
              <w:rPr>
                <w:rFonts w:ascii="Arial" w:cs="Arial" w:eastAsia="Arial" w:hAnsi="Arial"/>
                <w:sz w:val="18"/>
                <w:szCs w:val="18"/>
                <w:color w:val="auto"/>
                <w:w w:val="94"/>
              </w:rPr>
              <w:t>Reconciliation of net loss to net loss attributable to common stockholders: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(18,648)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6"/>
              </w:rPr>
              <w:t>Accretion of redeemable convertible preferred stock to redemption value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(18,733)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(0.59)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(0.24)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outstanding—basic and diluted</w:t>
            </w: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8,421,130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9,238,612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9,014,861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9,606,064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spacing w:after="0"/>
              <w:rPr>
                <w:sz w:val="20"/>
                <w:szCs w:val="20"/>
                <w:color w:val="auto"/>
              </w:rPr>
            </w:pPr>
            <w:r>
              <w:rPr>
                <w:rFonts w:ascii="Arial" w:cs="Arial" w:eastAsia="Arial" w:hAnsi="Arial"/>
                <w:sz w:val="18"/>
                <w:szCs w:val="18"/>
                <w:color w:val="auto"/>
                <w:w w:val="95"/>
              </w:rPr>
              <w:t>Pro forma net loss per share attributable to common stockholders—basic</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and diluted</w:t>
            </w:r>
            <w:r>
              <w:rPr>
                <w:rFonts w:ascii="Arial" w:cs="Arial" w:eastAsia="Arial" w:hAnsi="Arial"/>
                <w:sz w:val="15"/>
                <w:szCs w:val="15"/>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(0.65)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Pro forma weighted-average common shares outstanding—basic and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28,602,468</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66,888,472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340" w:hanging="436"/>
        <w:spacing w:after="0" w:line="312" w:lineRule="auto"/>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See Notes 2 and 13 to our audited consolidated financial statements and Note 12 to our unaudited condensed consolidated financial statements appearing elsewhere in this prospectus for further details on the calculation of basic and diluted net loss per share attributable to common stockholders and on the calculation of pro forma basic and diluted net loss per share attributable to common stockholders.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60" w:type="dxa"/>
            <w:vAlign w:val="bottom"/>
            <w:gridSpan w:val="2"/>
            <w:vMerge w:val="restart"/>
          </w:tcPr>
          <w:p>
            <w:pPr>
              <w:jc w:val="right"/>
              <w:ind w:right="154"/>
              <w:spacing w:after="0"/>
              <w:rPr>
                <w:sz w:val="20"/>
                <w:szCs w:val="20"/>
                <w:color w:val="auto"/>
              </w:rPr>
            </w:pPr>
            <w:r>
              <w:rPr>
                <w:rFonts w:ascii="Arial" w:cs="Arial" w:eastAsia="Arial" w:hAnsi="Arial"/>
                <w:sz w:val="14"/>
                <w:szCs w:val="14"/>
                <w:b w:val="1"/>
                <w:bCs w:val="1"/>
                <w:color w:val="auto"/>
              </w:rPr>
              <w:t>As of December 31,</w:t>
            </w:r>
          </w:p>
        </w:tc>
        <w:tc>
          <w:tcPr>
            <w:tcW w:w="280" w:type="dxa"/>
            <w:vAlign w:val="bottom"/>
            <w:vMerge w:val="restart"/>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62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660" w:type="dxa"/>
            <w:vAlign w:val="bottom"/>
            <w:tcBorders>
              <w:bottom w:val="single" w:sz="8" w:color="auto"/>
            </w:tcBorders>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240" w:type="dxa"/>
            <w:vAlign w:val="bottom"/>
          </w:tcPr>
          <w:p>
            <w:pPr>
              <w:spacing w:after="0"/>
              <w:rPr>
                <w:sz w:val="4"/>
                <w:szCs w:val="4"/>
                <w:color w:val="auto"/>
              </w:rPr>
            </w:pPr>
          </w:p>
        </w:tc>
        <w:tc>
          <w:tcPr>
            <w:tcW w:w="272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72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center"/>
              <w:ind w:left="35"/>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720" w:type="dxa"/>
            <w:vAlign w:val="bottom"/>
            <w:gridSpan w:val="2"/>
          </w:tcPr>
          <w:p>
            <w:pPr>
              <w:jc w:val="right"/>
              <w:ind w:right="139"/>
              <w:spacing w:after="0"/>
              <w:rPr>
                <w:sz w:val="20"/>
                <w:szCs w:val="20"/>
                <w:color w:val="auto"/>
              </w:rPr>
            </w:pPr>
            <w:r>
              <w:rPr>
                <w:rFonts w:ascii="Arial" w:cs="Arial" w:eastAsia="Arial" w:hAnsi="Arial"/>
                <w:sz w:val="18"/>
                <w:szCs w:val="18"/>
                <w:color w:val="auto"/>
              </w:rPr>
              <w:t>$ 5,357</w:t>
            </w:r>
          </w:p>
        </w:tc>
        <w:tc>
          <w:tcPr>
            <w:tcW w:w="880" w:type="dxa"/>
            <w:vAlign w:val="bottom"/>
          </w:tcPr>
          <w:p>
            <w:pPr>
              <w:jc w:val="right"/>
              <w:spacing w:after="0"/>
              <w:rPr>
                <w:sz w:val="20"/>
                <w:szCs w:val="20"/>
                <w:color w:val="auto"/>
              </w:rPr>
            </w:pPr>
            <w:r>
              <w:rPr>
                <w:rFonts w:ascii="Arial" w:cs="Arial" w:eastAsia="Arial" w:hAnsi="Arial"/>
                <w:sz w:val="18"/>
                <w:szCs w:val="18"/>
                <w:color w:val="auto"/>
              </w:rPr>
              <w:t>$  5,963</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$ 57,928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7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4,485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assets</w:t>
            </w:r>
          </w:p>
        </w:tc>
        <w:tc>
          <w:tcPr>
            <w:tcW w:w="2720" w:type="dxa"/>
            <w:vAlign w:val="bottom"/>
            <w:gridSpan w:val="2"/>
          </w:tcPr>
          <w:p>
            <w:pPr>
              <w:jc w:val="right"/>
              <w:ind w:right="139"/>
              <w:spacing w:after="0"/>
              <w:rPr>
                <w:sz w:val="20"/>
                <w:szCs w:val="20"/>
                <w:color w:val="auto"/>
              </w:rPr>
            </w:pPr>
            <w:r>
              <w:rPr>
                <w:rFonts w:ascii="Arial" w:cs="Arial" w:eastAsia="Arial" w:hAnsi="Arial"/>
                <w:sz w:val="18"/>
                <w:szCs w:val="18"/>
                <w:color w:val="auto"/>
              </w:rPr>
              <w:t>5,400</w:t>
            </w:r>
          </w:p>
        </w:tc>
        <w:tc>
          <w:tcPr>
            <w:tcW w:w="880" w:type="dxa"/>
            <w:vAlign w:val="bottom"/>
          </w:tcPr>
          <w:p>
            <w:pPr>
              <w:jc w:val="right"/>
              <w:spacing w:after="0"/>
              <w:rPr>
                <w:sz w:val="20"/>
                <w:szCs w:val="20"/>
                <w:color w:val="auto"/>
              </w:rPr>
            </w:pPr>
            <w:r>
              <w:rPr>
                <w:rFonts w:ascii="Arial" w:cs="Arial" w:eastAsia="Arial" w:hAnsi="Arial"/>
                <w:sz w:val="18"/>
                <w:szCs w:val="18"/>
                <w:color w:val="auto"/>
              </w:rPr>
              <w:t>7,022</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60,216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Warrant to purchase redeemable convertible preferred stock</w:t>
            </w:r>
          </w:p>
        </w:tc>
        <w:tc>
          <w:tcPr>
            <w:tcW w:w="19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Derivative liability</w:t>
            </w:r>
          </w:p>
        </w:tc>
        <w:tc>
          <w:tcPr>
            <w:tcW w:w="2720" w:type="dxa"/>
            <w:vAlign w:val="bottom"/>
            <w:gridSpan w:val="2"/>
          </w:tcPr>
          <w:p>
            <w:pPr>
              <w:jc w:val="right"/>
              <w:ind w:right="139"/>
              <w:spacing w:after="0"/>
              <w:rPr>
                <w:sz w:val="20"/>
                <w:szCs w:val="20"/>
                <w:color w:val="auto"/>
              </w:rPr>
            </w:pPr>
            <w:r>
              <w:rPr>
                <w:rFonts w:ascii="Arial" w:cs="Arial" w:eastAsia="Arial" w:hAnsi="Arial"/>
                <w:sz w:val="18"/>
                <w:szCs w:val="18"/>
                <w:color w:val="auto"/>
              </w:rPr>
              <w:t>88</w:t>
            </w:r>
          </w:p>
        </w:tc>
        <w:tc>
          <w:tcPr>
            <w:tcW w:w="880" w:type="dxa"/>
            <w:vAlign w:val="bottom"/>
          </w:tcPr>
          <w:p>
            <w:pPr>
              <w:jc w:val="right"/>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27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9,000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720" w:type="dxa"/>
            <w:vAlign w:val="bottom"/>
            <w:gridSpan w:val="2"/>
          </w:tcPr>
          <w:p>
            <w:pPr>
              <w:jc w:val="right"/>
              <w:ind w:right="79"/>
              <w:spacing w:after="0"/>
              <w:rPr>
                <w:sz w:val="20"/>
                <w:szCs w:val="20"/>
                <w:color w:val="auto"/>
              </w:rPr>
            </w:pPr>
            <w:r>
              <w:rPr>
                <w:rFonts w:ascii="Arial" w:cs="Arial" w:eastAsia="Arial" w:hAnsi="Arial"/>
                <w:sz w:val="18"/>
                <w:szCs w:val="18"/>
                <w:color w:val="auto"/>
              </w:rPr>
              <w:t>(4,579)</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(23,135)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(33,511)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uncertainties and assumptions. You should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 xml:space="preserve">We are a clinical stage gene therapy company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rare diseases following a single dose. Our gene therapies employ hematopoietic stem cells that are extracted from the patient and then modified with lentiviral vectors to insert a functional copy of the gene that is defective in the target disease. We believe that our approach has the potential to provide curative benefit in an outpatient setting for a range of diseases. Our initial focus is on a group of rare genetic diseases referred to as lysosomal storage diseases, which today are primarily managed with enzyme replacement therapies, or ERTs.</w:t>
      </w:r>
    </w:p>
    <w:p>
      <w:pPr>
        <w:spacing w:after="0" w:line="1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initially targeting rare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2"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seek to develop promising gene therapy programs by applying our expertise in gene and cellular therapies and clinical and regulatory strategy and execution to efficiently bring these potentially curative therapies to patients. In our initial programs, we leverage years of extensive preclinical and early clinical research by leading researchers, as well as our internal research efforts, to advance potential therapies. We plan to identify and develop future product candidates through our own internal research efforts as well as through collaborations with leading academics.</w:t>
      </w:r>
    </w:p>
    <w:p>
      <w:pPr>
        <w:spacing w:after="0" w:line="154"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We do not have any products approved for sale and have not generated any revenue from product sales. To date, we have funded our operations with proceeds from the sales of preferred stock. Through March 31, 2018, we had received gross proceeds of $87.5 million from the sales of our preferred stock. Since our inception,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$4.7 million and $18.6 million for the years ended December 31, 2016 and 2017, respectively, and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$8.2 million for the three months ended March 31, 2018. As of March 31, 2018 we had an accumulated deficit of $33.6 million. 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upon the closing of this offering, we expect to incur additional costs associated with operating as a public company, including significant legal, accounting, investor relations and other expenses that we did not incur as a private company.</w:t>
      </w:r>
    </w:p>
    <w:p>
      <w:pPr>
        <w:spacing w:after="0" w:line="18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anticipated net proceeds from this offering. We also plan to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9"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March 31, 2018, we had cash and cash equivalents of $57.9 million. We believe that the anticipated net proceeds from this offering, together</w:t>
      </w:r>
    </w:p>
    <w:p>
      <w:pPr>
        <w:spacing w:after="0" w:line="46"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with our existing cash and cash equivalents, will enable us to fund our operating expenses and capital expenditure requirements into . We have based this estimate on assumptions that may prove to be wrong, and we could exhaust our available capital resources sooner than we expect. See “— Liquidity and Capital Resources.”</w:t>
      </w:r>
    </w:p>
    <w:p>
      <w:pPr>
        <w:spacing w:after="0" w:line="19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Without giving effect to the anticipated net proceeds from this offering, we expect that our existing cash and cash equivalents will be sufficient to fund our operating expenses and capital expenditure requirements until at least the middle of 2019. To finance our operations beyond that point, we will need to raise additional capital, which cannot be assured.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in the near future. If development efforts for our product candidates are successful and result in regulatory approval or additional license agreements with third parties, we may generate revenue in the future from product sales.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include:</w:t>
      </w:r>
    </w:p>
    <w:p>
      <w:pPr>
        <w:spacing w:after="0" w:line="76" w:lineRule="exact"/>
        <w:rPr>
          <w:sz w:val="20"/>
          <w:szCs w:val="20"/>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30" w:lineRule="exact"/>
        <w:rPr>
          <w:rFonts w:ascii="Arial" w:cs="Arial" w:eastAsia="Arial" w:hAnsi="Arial"/>
          <w:sz w:val="18"/>
          <w:szCs w:val="18"/>
          <w:color w:val="auto"/>
        </w:rPr>
      </w:pPr>
    </w:p>
    <w:p>
      <w:pPr>
        <w:ind w:left="1060" w:right="60" w:hanging="424"/>
        <w:spacing w:after="0" w:line="342"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29" w:lineRule="exact"/>
        <w:rPr>
          <w:rFonts w:ascii="Arial" w:cs="Arial" w:eastAsia="Arial" w:hAnsi="Arial"/>
          <w:sz w:val="16"/>
          <w:szCs w:val="16"/>
          <w:color w:val="auto"/>
        </w:rPr>
      </w:pPr>
    </w:p>
    <w:p>
      <w:pPr>
        <w:ind w:left="1060" w:right="64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75"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summarizes our research and development expenses incurred by program:</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93"/>
              </w:rPr>
              <w:t>Year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Three Months</w:t>
            </w: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7"/>
              </w:rPr>
              <w:t>Ended March 31,</w:t>
            </w: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2016</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2017</w:t>
            </w:r>
          </w:p>
        </w:tc>
        <w:tc>
          <w:tcPr>
            <w:tcW w:w="8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center"/>
              <w:ind w:right="1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Fabry</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Gaucher</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2,612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AML</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Cystinosis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Pompe</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Unallocated research and development expenses</w:t>
            </w:r>
          </w:p>
        </w:tc>
        <w:tc>
          <w:tcPr>
            <w:tcW w:w="2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1,723</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3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research and development expenses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2,663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15,191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1,434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5,647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4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7" w:lineRule="exact"/>
        <w:rPr>
          <w:sz w:val="20"/>
          <w:szCs w:val="20"/>
          <w:color w:val="auto"/>
        </w:rPr>
      </w:pPr>
    </w:p>
    <w:p>
      <w:pPr>
        <w:ind w:left="1060" w:right="720" w:hanging="424"/>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scope, progress, outcome and costs of our preclinical development activities, clinical trials and other research and development activities;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development and timely delivery of commercial-grade drug formulations that can be used in our clinical trials and for commercial launch;</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U.S. Food and Drug Administration, or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1"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director and officer</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consists of income from bank deposits.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 consists of foreign exchange gain or loss.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connection with entering into our loan agreement, we agreed to issue a warrant to purchase shares of our preferred stock to the lender. We classify the warrant as a liability on our consolidated balance sheet and we are required to remeasure to fair value at each reporting date. We recognize changes in the fair value of the warrant liability as a component of other income (expense), net in our consolidated statements of operations and comprehensive loss. We will continue to recognize changes in the fair value of the warrant liability until the warrants are exercised, expire or qualify for equity classification.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Our stock purchase agreement with University Health Network, or UHN, provides for a payment to UHN upon completion of an initial public offering, or IPO, which includes this offering, if UHN’s fully-diluted percentage ownership of our company is reduced within a range of specified percentages. We classify the IPO dilution payment obligation as a liability on our consolidated balance sheet and we are required to remeasure to fair value at each reporting date. We recognize changes in the fair value of the derivative liability as a component of other income (expense), net in our consolidated statements of operations and comprehensive loss. We will continue to recognize changes in the fair value of the derivative liability until an IPO occurs.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Comparison of the Years Ended December 31, 2016 and 2017</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consolidated results of operations for the years ended December 31, 2016 and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7"/>
          </w:tcPr>
          <w:p>
            <w:pPr>
              <w:ind w:left="1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7"/>
          </w:tcPr>
          <w:p>
            <w:pPr>
              <w:ind w:left="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8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5"/>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460" w:type="dxa"/>
            <w:vAlign w:val="bottom"/>
            <w:gridSpan w:val="4"/>
          </w:tcPr>
          <w:p>
            <w:pPr>
              <w:jc w:val="right"/>
              <w:spacing w:after="0"/>
              <w:rPr>
                <w:sz w:val="20"/>
                <w:szCs w:val="20"/>
                <w:color w:val="auto"/>
              </w:rPr>
            </w:pPr>
            <w:r>
              <w:rPr>
                <w:rFonts w:ascii="Arial" w:cs="Arial" w:eastAsia="Arial" w:hAnsi="Arial"/>
                <w:sz w:val="18"/>
                <w:szCs w:val="18"/>
                <w:color w:val="auto"/>
              </w:rPr>
              <w:t>$ 2,663</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$ 15,191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$ 12,528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880" w:type="dxa"/>
            <w:vAlign w:val="bottom"/>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4,625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18,386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700" w:type="dxa"/>
            <w:vAlign w:val="bottom"/>
            <w:gridSpan w:val="5"/>
            <w:shd w:val="clear" w:color="auto" w:fill="CCEEFF"/>
          </w:tcPr>
          <w:p>
            <w:pPr>
              <w:jc w:val="right"/>
              <w:ind w:right="127"/>
              <w:spacing w:after="0"/>
              <w:rPr>
                <w:sz w:val="20"/>
                <w:szCs w:val="20"/>
                <w:color w:val="auto"/>
              </w:rPr>
            </w:pPr>
            <w:r>
              <w:rPr>
                <w:rFonts w:ascii="Arial" w:cs="Arial" w:eastAsia="Arial" w:hAnsi="Arial"/>
                <w:sz w:val="18"/>
                <w:szCs w:val="18"/>
                <w:color w:val="auto"/>
              </w:rPr>
              <w:t>(4,625)</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income (expense):</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2700" w:type="dxa"/>
            <w:vAlign w:val="bottom"/>
            <w:gridSpan w:val="5"/>
            <w:shd w:val="clear" w:color="auto" w:fill="CCEEFF"/>
          </w:tcPr>
          <w:p>
            <w:pPr>
              <w:jc w:val="right"/>
              <w:ind w:right="127"/>
              <w:spacing w:after="0"/>
              <w:rPr>
                <w:sz w:val="20"/>
                <w:szCs w:val="20"/>
                <w:color w:val="auto"/>
              </w:rPr>
            </w:pPr>
            <w:r>
              <w:rPr>
                <w:rFonts w:ascii="Arial" w:cs="Arial" w:eastAsia="Arial" w:hAnsi="Arial"/>
                <w:sz w:val="18"/>
                <w:szCs w:val="18"/>
                <w:color w:val="auto"/>
              </w:rPr>
              <w:t>(39)</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1880" w:type="dxa"/>
            <w:vAlign w:val="bottom"/>
          </w:tcPr>
          <w:p>
            <w:pPr>
              <w:spacing w:after="0"/>
              <w:rPr>
                <w:sz w:val="18"/>
                <w:szCs w:val="18"/>
                <w:color w:val="auto"/>
              </w:rPr>
            </w:pPr>
          </w:p>
        </w:tc>
        <w:tc>
          <w:tcPr>
            <w:tcW w:w="820" w:type="dxa"/>
            <w:vAlign w:val="bottom"/>
            <w:gridSpan w:val="4"/>
          </w:tcPr>
          <w:p>
            <w:pPr>
              <w:jc w:val="right"/>
              <w:ind w:right="127"/>
              <w:spacing w:after="0"/>
              <w:rPr>
                <w:sz w:val="20"/>
                <w:szCs w:val="20"/>
                <w:color w:val="auto"/>
              </w:rPr>
            </w:pPr>
            <w:r>
              <w:rPr>
                <w:rFonts w:ascii="Arial" w:cs="Arial" w:eastAsia="Arial" w:hAnsi="Arial"/>
                <w:sz w:val="18"/>
                <w:szCs w:val="18"/>
                <w:color w:val="auto"/>
              </w:rPr>
              <w:t>(6)</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18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7"/>
              <w:spacing w:after="0"/>
              <w:rPr>
                <w:sz w:val="20"/>
                <w:szCs w:val="20"/>
                <w:color w:val="auto"/>
              </w:rPr>
            </w:pPr>
            <w:r>
              <w:rPr>
                <w:rFonts w:ascii="Arial" w:cs="Arial" w:eastAsia="Arial" w:hAnsi="Arial"/>
                <w:sz w:val="18"/>
                <w:szCs w:val="18"/>
                <w:color w:val="auto"/>
              </w:rPr>
              <w:t>(39)</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8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(4,664</w:t>
            </w:r>
          </w:p>
        </w:tc>
        <w:tc>
          <w:tcPr>
            <w:tcW w:w="240" w:type="dxa"/>
            <w:vAlign w:val="bottom"/>
          </w:tcPr>
          <w:p>
            <w:pPr>
              <w:jc w:val="right"/>
              <w:ind w:right="127"/>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(18,648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(13,984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tcPr>
          <w:p>
            <w:pPr>
              <w:ind w:left="420"/>
              <w:spacing w:after="0"/>
              <w:rPr>
                <w:sz w:val="20"/>
                <w:szCs w:val="20"/>
                <w:color w:val="auto"/>
              </w:rPr>
            </w:pPr>
            <w:r>
              <w:rPr>
                <w:rFonts w:ascii="Arial" w:cs="Arial" w:eastAsia="Arial" w:hAnsi="Arial"/>
                <w:sz w:val="18"/>
                <w:szCs w:val="18"/>
                <w:i w:val="1"/>
                <w:iCs w:val="1"/>
                <w:color w:val="auto"/>
              </w:rPr>
              <w:t>Research and Development Expenses</w:t>
            </w:r>
          </w:p>
        </w:tc>
        <w:tc>
          <w:tcPr>
            <w:tcW w:w="1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220" w:type="dxa"/>
            <w:vAlign w:val="bottom"/>
            <w:gridSpan w:val="3"/>
          </w:tcPr>
          <w:p>
            <w:pPr>
              <w:spacing w:after="0"/>
              <w:rPr>
                <w:sz w:val="12"/>
                <w:szCs w:val="12"/>
                <w:color w:val="auto"/>
              </w:rPr>
            </w:pPr>
          </w:p>
        </w:tc>
        <w:tc>
          <w:tcPr>
            <w:tcW w:w="4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8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Fabry</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rPr>
              <w:t>$  105</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$ 6,101</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$ 5,996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Gaucher</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AML</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rPr>
              <w:t>785</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Cystinosis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Pompe</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Personnel related (including stock-based compensation)</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rPr>
              <w:t>1,298</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3,203</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Total research and development expenses</w:t>
            </w:r>
          </w:p>
        </w:tc>
        <w:tc>
          <w:tcPr>
            <w:tcW w:w="22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2,663</w:t>
            </w:r>
          </w:p>
        </w:tc>
        <w:tc>
          <w:tcPr>
            <w:tcW w:w="380" w:type="dxa"/>
            <w:vAlign w:val="bottom"/>
            <w:gridSpan w:val="2"/>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15,191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Research and development expenses were $2.7 million for the year ended December 31, 2016, compared to $15.2 million for the year ended December 31, 2017. The increase of $12.5 million was primarily due to increases of $6.0 million in direct costs for our Fabry program, $2.6 million in direct costs connected with our Gaucher program, $1.0 million in direct costs related to our Cystinosis program, $1.0 million in direct costs connected with our Pompe program, and $2.5 million in research and discovery and unallocated costs, all partially offset by a decrease of $0.6 million in direct costs for our AML program as we shifted our focus onto developing our other programs.</w:t>
      </w:r>
    </w:p>
    <w:p>
      <w:pPr>
        <w:spacing w:after="0" w:line="17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increase in direct costs for our Fabry program was primarily due to pre-clinical, clinical and process development cost of $3.1 million, as well as CMO, CRO and consulting fees of $2.5 million.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increase in direct costs for our Gaucher program was primarily due to pre-clinical and process development cost of $1.2 million, as well as CMO fees of $1.0 million.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direct costs for our Cystinosis program was primarily due to upfront license cost of $1.0 million paid to GenStem.</w:t>
      </w:r>
    </w:p>
    <w:p>
      <w:pPr>
        <w:spacing w:after="0" w:line="225"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increase in direct costs for our Pompe program was primarily due to upfront license cost of $0.5 million paid and $0.5 million payable to BioMarin.</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increase in research and discovery and unallocated costs was primarily due to an increase of $1.9 million in personnel-related costs, including stock-based compensation, as a result of hiring additional personnel in our research and development department and an increase of $0.6 million in unallocated consulting expenses and facility costs and rent expense. Personnel-related costs for the years ended December 31, 2016 and 2017 included stock-based compensation expense of less than $0.1 million.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General and administrative expenses were $2.0 million for the year ended December 31, 2016, compared to $3.2 million for the year ended December 31, 2017. The increase of $1.2 million was primarily due to increases of $0.4 million in personnel-related costs, including stock-based compensation, $0.3 million in consulting expense, $0.1 million in professional fees and $0.2 million in facility expense. The increase in personnel-related costs was due to the hiring of additional personnel in our general and administrative functions, including the hiring of our CFO in late 2017. Professional fees increased due to costs associated with the preparation of our financial statements as well as ongoing business operations. The increase in facility expense was primarily due to the addition of increased office space as a result of the continued growth of the employee headcount.</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(expense), net was not significant during either of the years ended December 31, 2016 or 2017.</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Comparison of the Three Months Ended March 31, 2017 and 2018</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consolidated results of operations for the three months ended March 31, 2017 and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Ended March 31,</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700"/>
              <w:spacing w:after="0"/>
              <w:rPr>
                <w:sz w:val="20"/>
                <w:szCs w:val="20"/>
                <w:color w:val="auto"/>
              </w:rPr>
            </w:pPr>
            <w:r>
              <w:rPr>
                <w:rFonts w:ascii="Arial" w:cs="Arial" w:eastAsia="Arial" w:hAnsi="Arial"/>
                <w:sz w:val="18"/>
                <w:szCs w:val="18"/>
                <w:color w:val="auto"/>
              </w:rPr>
              <w:t>Research and development</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$ 1,434</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$ 5,647</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$ 4,213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General and administrative</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1060"/>
              <w:spacing w:after="0"/>
              <w:rPr>
                <w:sz w:val="20"/>
                <w:szCs w:val="20"/>
                <w:color w:val="auto"/>
              </w:rPr>
            </w:pPr>
            <w:r>
              <w:rPr>
                <w:rFonts w:ascii="Arial" w:cs="Arial" w:eastAsia="Arial" w:hAnsi="Arial"/>
                <w:sz w:val="18"/>
                <w:szCs w:val="18"/>
                <w:color w:val="auto"/>
              </w:rPr>
              <w:t>Total operating expenses</w:t>
            </w:r>
          </w:p>
        </w:tc>
        <w:tc>
          <w:tcPr>
            <w:tcW w:w="35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(2,044)</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(7,788)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income (expense):</w:t>
            </w:r>
          </w:p>
        </w:tc>
        <w:tc>
          <w:tcPr>
            <w:tcW w:w="3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35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(12)</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4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Other expenses</w:t>
            </w:r>
          </w:p>
        </w:tc>
        <w:tc>
          <w:tcPr>
            <w:tcW w:w="35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3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5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(2,077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(8,242</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(6,165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500" w:type="dxa"/>
            <w:vAlign w:val="bottom"/>
            <w:vMerge w:val="restart"/>
          </w:tcPr>
          <w:p>
            <w:pPr>
              <w:jc w:val="right"/>
              <w:ind w:right="2690"/>
              <w:spacing w:after="0"/>
              <w:rPr>
                <w:sz w:val="20"/>
                <w:szCs w:val="20"/>
                <w:color w:val="auto"/>
              </w:rPr>
            </w:pPr>
            <w:r>
              <w:rPr>
                <w:rFonts w:ascii="Arial" w:cs="Arial" w:eastAsia="Arial" w:hAnsi="Arial"/>
                <w:sz w:val="18"/>
                <w:szCs w:val="18"/>
                <w:color w:val="auto"/>
              </w:rPr>
              <w:t>74</w:t>
            </w: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Ended March 31,</w:t>
            </w:r>
          </w:p>
        </w:tc>
        <w:tc>
          <w:tcPr>
            <w:tcW w:w="10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2017</w:t>
            </w:r>
          </w:p>
        </w:tc>
        <w:tc>
          <w:tcPr>
            <w:tcW w:w="8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Fabry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$1,889</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Gaucher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AML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Cystinosis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Pompe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Personnel related (including 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1,621</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700"/>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1,434</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5,647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Research and development expenses were $1.4 million for the three months ended March 31, 2017, compared to $5.6 million for the three months ended March 31, 2018. The increase of $4.2 million was primarily due to increases of $1.5 million in direct costs for our Fabry program, $0.8 million in direct costs connected with our Gaucher program, $0.1 million in direct costs related to our Cystinosis program, $0.1 million in direct costs related to our Pompe program, and $1.6 million in research and discovery and unallocated costs, all partially offset by a decrease of $0.1 million in direct costs for our AML program as we shifted our focus onto developing our other programs.</w:t>
      </w:r>
    </w:p>
    <w:p>
      <w:pPr>
        <w:spacing w:after="0" w:line="17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increase in direct costs for our Fabry program was primarily due to pre-clinical, clinical and process development cost of $1.1 million, as well as CMO, CRO and consulting fees of $0.4 million.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direct costs for our Gaucher program was primarily due to pre-clinical and process development cost of $0.8 million.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direct costs for our Cystinosis program was primarily due to consulting fees of $0.1 million.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direct costs for our Pompe program was primarily due to development costs of $0.1 million.</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increase in research and discovery and unallocated costs was primarily due to an increase of $1.0 million in personnel-related costs, including stock-based compensation, as a result of hiring additional personnel in our research and development department and an increase of $0.8 million in unallocated consulting expenses and facility costs and rent expense.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General and administrative expenses were $0.6 million for the three months ended March 31, 2017, compared to $2.1 million for the three months ended March 31, 2018. The increase of $1.5 million was primarily due to increases of $0.6 million in personnel-related costs, including stock-based compensation, $0.6 million in consulting expense, $0.2 million in professional fees and $0.1 million in legal expense. The increase in personnel-related costs was due to the hiring of additional personnel in our general and administrative functions, including the hiring of our CFO in late 2017. Professional fees increased due to costs associated with the preparation of our consolidated financial statements as well as ongoing business operations.</w:t>
      </w: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Other income (expense), net was a loss of less than $0.1 million for the three months ended March 31, 2017, compared to a loss of $0.5 million for the three months ended March 31, 2018. The increase in other expense of $0.4 million was primarily due to increase of $0.6 million in change fair value of derivative liability, partially offset by a $0.2 million increase in interest income.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We have funded our operations to date primarily with proceeds from the sale of preferred stock. Through March 31, 2018, we had received gross cash proceeds of $87.5 million from sales of our preferred stock.</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in excess of immediate requirements is invested primarily with a view to liquidity and capital preservation.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4"/>
                <w:szCs w:val="14"/>
                <w:color w:val="auto"/>
              </w:rPr>
            </w:pPr>
          </w:p>
        </w:tc>
        <w:tc>
          <w:tcPr>
            <w:tcW w:w="16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680" w:type="dxa"/>
            <w:vAlign w:val="bottom"/>
            <w:gridSpan w:val="5"/>
          </w:tcPr>
          <w:p>
            <w:pPr>
              <w:ind w:left="4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$(3,314)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(16,382)</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$(2,011)</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(5,980)</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(383)</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(55)</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(263)</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58,208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$ 5,357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$ 1,421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51,965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During the three months ended March 31, 2018, operating activities used $6.0 million of cash and cash equivalents, resulting from our net loss of $8.2 million, partially offset by non-cash charges of $0.9 million and net cash provided by changes in our operating assets and liabilities of $1.3 million. The net changes in our operating assets and liabilities was primarily due to increases in liabilities of $1.8 million due to ongoing research, development, and clinical trial efforts and partially offset by increases in assets of $0.5 million, including an increase due to a $0.2 million security deposit for a new lease that was executed in 2018.</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During the three months ended March 31, 2017, operating activities used $2.0 million of cash and cash equivalents, resulting from our net loss of $2.1 million, primarily offset by non-cash charges of $0.2 million and net cash used by changes in our operating assets and liabilities of $0.1 million. Net cash used by changes in our operating assets and liabilities for the three months ended March 31, 2017 consisted primarily of a $0.1 million increase in prepaid expenses and other current assets.</w:t>
      </w:r>
    </w:p>
    <w:p>
      <w:pPr>
        <w:spacing w:after="0" w:line="187" w:lineRule="exact"/>
        <w:rPr>
          <w:sz w:val="20"/>
          <w:szCs w:val="20"/>
          <w:color w:val="auto"/>
        </w:rPr>
      </w:pPr>
    </w:p>
    <w:p>
      <w:pPr>
        <w:ind w:left="200" w:right="400" w:firstLine="441"/>
        <w:spacing w:after="0" w:line="291" w:lineRule="auto"/>
        <w:rPr>
          <w:sz w:val="20"/>
          <w:szCs w:val="20"/>
          <w:color w:val="auto"/>
        </w:rPr>
      </w:pPr>
      <w:r>
        <w:rPr>
          <w:rFonts w:ascii="Arial" w:cs="Arial" w:eastAsia="Arial" w:hAnsi="Arial"/>
          <w:sz w:val="16"/>
          <w:szCs w:val="16"/>
          <w:color w:val="auto"/>
        </w:rPr>
        <w:t>During the year ended December 31, 2017, operating activities used $16.4 million of cash and cash equivalents, resulting from our net loss of $18.6 million, partially offset by non-cash charges of $0.7 million and net cash provided by changes in our operating assets and liabilities of</w:t>
      </w:r>
    </w:p>
    <w:p>
      <w:pPr>
        <w:ind w:left="200"/>
        <w:spacing w:after="0"/>
        <w:rPr>
          <w:sz w:val="20"/>
          <w:szCs w:val="20"/>
          <w:color w:val="auto"/>
        </w:rPr>
      </w:pPr>
      <w:r>
        <w:rPr>
          <w:rFonts w:ascii="Arial" w:cs="Arial" w:eastAsia="Arial" w:hAnsi="Arial"/>
          <w:sz w:val="17"/>
          <w:szCs w:val="17"/>
          <w:color w:val="auto"/>
        </w:rPr>
        <w:t>$1.6 million. Net cash provided by changes in our operating assets and liabilities for the year ended December 31, 2017 consisted primarily of a</w:t>
      </w:r>
    </w:p>
    <w:p>
      <w:pPr>
        <w:spacing w:after="0" w:line="21" w:lineRule="exact"/>
        <w:rPr>
          <w:sz w:val="20"/>
          <w:szCs w:val="20"/>
          <w:color w:val="auto"/>
        </w:rPr>
      </w:pPr>
    </w:p>
    <w:p>
      <w:pPr>
        <w:jc w:val="both"/>
        <w:ind w:left="200" w:right="120"/>
        <w:spacing w:after="0" w:line="255" w:lineRule="auto"/>
        <w:rPr>
          <w:sz w:val="20"/>
          <w:szCs w:val="20"/>
          <w:color w:val="auto"/>
        </w:rPr>
      </w:pPr>
      <w:r>
        <w:rPr>
          <w:rFonts w:ascii="Arial" w:cs="Arial" w:eastAsia="Arial" w:hAnsi="Arial"/>
          <w:sz w:val="18"/>
          <w:szCs w:val="18"/>
          <w:color w:val="auto"/>
        </w:rPr>
        <w:t>$1.5 million increase in accrued expenses and other current liabilities, a $0.5 million increase in other long-term liability and a $0.2 million increase in accounts payable, partially offset by a $0.2 million increase in other assets and a $0.3 million increase in prepaid expenses and other current assets. The increases in accrued expenses and other</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current liabilities were primarily due to ongoing research, development, and clinical trial work, and an increase in the incentive bonus accrual as of December 31, 2017. The increase in prepaid expenses and other current assets was primarily due to a $0.1 million increase in prepaid development costs associated with our Gaucher program and a $0.1 million increase in prepaid rent upon commencement of two new leases during 2017.</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During the year ended December 31, 2016, operating activities used $3.3 million of cash and cash equivalents, resulting from our net loss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$4.7 million, primarily offset by non-cash charges of $0.6 million and net cash provided by changes in our operating assets and liabilities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$0.8 million. Net cash provided by changes in our operating assets and liabilities for the year ended December 31, 2016 consisted primarily of a</w:t>
      </w:r>
    </w:p>
    <w:p>
      <w:pPr>
        <w:spacing w:after="0" w:line="21" w:lineRule="exact"/>
        <w:rPr>
          <w:sz w:val="20"/>
          <w:szCs w:val="20"/>
          <w:color w:val="auto"/>
        </w:rPr>
      </w:pPr>
    </w:p>
    <w:p>
      <w:pPr>
        <w:jc w:val="both"/>
        <w:ind w:left="200" w:right="180"/>
        <w:spacing w:after="0" w:line="255" w:lineRule="auto"/>
        <w:rPr>
          <w:sz w:val="20"/>
          <w:szCs w:val="20"/>
          <w:color w:val="auto"/>
        </w:rPr>
      </w:pPr>
      <w:r>
        <w:rPr>
          <w:rFonts w:ascii="Arial" w:cs="Arial" w:eastAsia="Arial" w:hAnsi="Arial"/>
          <w:sz w:val="18"/>
          <w:szCs w:val="18"/>
          <w:color w:val="auto"/>
        </w:rPr>
        <w:t>$0.6 million increase in accrued expenses and other current liabilities and $0.2 million increase in accounts payable. The increase in accrued expenses and other current liabilities was due to an increase in professional fees and personnel costs associated with establishing our Cambridge, Massachusetts operations.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During the three months ended March 31, 2018, we used $0.3 million of cash and cash equivalents in investing activities consisting of purchases of property and equipment. During the three months ended March 31, 2017, we used less than $0.1 million of cash and cash equivalents in purchases of property and equipment.</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During the year ended December 31, 2017, we used $0.4 million of cash and cash equivalents in investing activities consisting of purchases of property and equipment. During the year ended December 31, 2016, we used an insignificant amount of cash and cash equivalents in investing activities consisting of payment of a leasing deposit.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During the three months ended March 31, 2018, net cash provided by financing activities was $58.2 million, primarily consisting of net cash proceeds from our issuance of Series B preferred stock in January 2018.</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During the three months ended March 31, 2017, net cash provided by financing activities was $3.5 million, consisting of net cash proceeds from our issuance of Series A preferred stock in March 2017.</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During the year ended December 31, 2017, net cash provided by financing activities was $17.4 million, primarily consisting of net cash proceeds of $17.4 million from our issuance of Series A preferred stock in March 2017 and October 2017.</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During the year ended December 31, 2016, net cash provided by financing activities was $8.7 million, primarily consisting of net cash proceeds of $1.4 million from our issuance of Series Seed preferred stock in January 2016 and net proceeds of $7.3 million from our issuance of Series A preferred stock in July 2016.</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In June 2017, we entered into a Loan and Security Agreement, which we refer to as the Loan Agreement, with Silicon Valley Bank, or SVB, providing a senior secured non-revolving loan facility of up to an aggregate principal amount of $10.0 million, available for us to draw down in three tranches until October 31, 2018, subject to the satisfaction of certain milestones for each tranche. As of March 31, 2018, we had not drawn down from the facility and the $3.5 million first tranche was available.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first tranche of $3.5 million was made available upon entry into the Loan Agreement as we satisfied the borrowing conditions at such</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time. The second tranche of $3.5 million will be made available after the funding of the first tranche amounts and upon confirmation by SVB that either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have met certain clinical and developmental milestones, or we have subsequently obtained at least $7.5 million in cash proceeds from the sale</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of our equity securities from investors reasonably acceptable to SVB. The third tranche of $3.0 million will be made available after the funding of the first and second tranche amounts and upon confirmation by SVB that we have subsequently obtained at least an additional $6.5 million in cash proceeds from the sale of our equity securities to investors reasonably acceptable to SVB, and we have received a signed and enforceable term sheet from investors acceptable to SVB committing to provide financing on or before March 31, 2018 in an amount equal to at least 12 months of operating expenses. In January 2018, we received gross cash proceeds of $60.5 million from the sale of our Series B preferred stock.</w:t>
      </w:r>
    </w:p>
    <w:p>
      <w:pPr>
        <w:spacing w:after="0" w:line="173"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Any outstanding principal amounts under the Loan Agreement will accrue interest at a floating per annum rate equal to the greater of 1% and the “prime rate,” as published in the Wall Street Journal, minus 3%. 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w:t>
      </w:r>
    </w:p>
    <w:p>
      <w:pPr>
        <w:spacing w:after="0" w:line="188"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Pursuant to the Loan Agreement, we provided a first priority security interest in all existing and after-acquired assets, excluding intellectual property and certain other assets owned by us. The Loan Agreement contains a negative pledge on our intellectual property.</w:t>
      </w:r>
    </w:p>
    <w:p>
      <w:pPr>
        <w:spacing w:after="0" w:line="147"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auto"/>
        </w:rPr>
        <w:t>In connection with the Loan Agreement, we issued a warrant to SVB to purchase shares of our Series A preferred stock at an exercise price of $0.7949 per share. This warrant is initially exercisable for 28,305 shares of Series A preferred stock. Up to an additional 160,397 shares of Series A preferred stock may become subject to this warrant, with the proportion of such additional shares equal to the percentage of the full $10.0 million aggregate principal amount under the Loan Agreement that we draw down thereunder.</w:t>
      </w:r>
    </w:p>
    <w:p>
      <w:pPr>
        <w:spacing w:after="0" w:line="17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Loan Agreement allows us to voluntarily prepay all but not less than all the outstanding amounts thereunder. A scaling prepayment fee of 1% or 0.5% would be assessed if we prepay the amounts within the first anniversary of funding, or between the first and second anniversary of funding, respectively. No prepayment fee would be assessed if we prepay the amounts after the second anniversary of funding. A final payment fee of 6.75% multiplied by the original principal amount of each tranche drawn is due upon the earliest to occur of the maturity date of the Loan Agreement, the termination of the Loan Agreement, the acceleration of the Loan Agreement or repayment or prepayment of such borrowings.</w:t>
      </w:r>
    </w:p>
    <w:p>
      <w:pPr>
        <w:spacing w:after="0" w:line="1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Loan Agreement contains customary indemnification obligations and customary events of default, including, among other things, our failure to fulfill certain of our obligations under the Loan Agreement and the occurrence of a material adverse change in our business, operations or condition, a material impairment of the prospect of repayment of any portion of the loan, or a material impairment in the perfection or priority of the SVB’s lien in the collateral or in the value of such collateral. In the event of default by us under the Loan Agreement, SVB would be entitled to exercise its remedies thereunder, including the right to accelerate the debt, upon which we may be required to repay all amounts then outstanding under the Loan Agreement or SVB may take possession of the collateral securing the Loan Agreement.</w:t>
      </w:r>
    </w:p>
    <w:p>
      <w:pPr>
        <w:spacing w:after="0" w:line="178"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Loan Agreement includes certain restrictions on, among other things, our ability to incur additional indebtedness, change the name or location of our business, merge with or acquire other entities, pay dividends or make other distributions to holders of our capital stock, make certain investments, engage in transactions with affiliates, create liens, open new deposit accounts, sell assets or pay subordinated debt.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In addition, upon the closing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offering, we expect to incur additional costs associated with operating as a public company. Our expenses will also increase as we:</w:t>
      </w:r>
    </w:p>
    <w:p>
      <w:pPr>
        <w:spacing w:after="0" w:line="131" w:lineRule="exact"/>
        <w:rPr>
          <w:sz w:val="20"/>
          <w:szCs w:val="20"/>
          <w:color w:val="auto"/>
        </w:rPr>
      </w:pPr>
    </w:p>
    <w:p>
      <w:pPr>
        <w:ind w:left="1060" w:hanging="424"/>
        <w:spacing w:after="0"/>
        <w:tabs>
          <w:tab w:leader="none" w:pos="10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continue our development of our product candidates, including initiating and conducting our planned Phase 2 clinical trial for AVR-RD-01;</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including adding equipment and physical infrastructure to support our research and development;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transition our organization to being a public company.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believe that the anticipated net proceeds from this offering, together with our existing cash and cash equivalents, will enable us to fund our</w:t>
      </w:r>
    </w:p>
    <w:p>
      <w:pPr>
        <w:spacing w:after="0" w:line="46"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operating expenses and capital expenditure requirements into . We have based these estimates on assumptions that may prove to be wrong, and we could utilize our available capital resources sooner than we expect. If we receive regulatory approval for AVR-RD-01 or our other product candidates, we expect to incur significant commercialization expenses related to product manufacturing, sales, marketing and distribution, depending on where we choose to commercialize.</w:t>
      </w:r>
    </w:p>
    <w:p>
      <w:pPr>
        <w:spacing w:after="0" w:line="190" w:lineRule="exact"/>
        <w:rPr>
          <w:sz w:val="20"/>
          <w:szCs w:val="20"/>
          <w:color w:val="auto"/>
        </w:rPr>
      </w:pPr>
    </w:p>
    <w:p>
      <w:pPr>
        <w:ind w:left="200" w:right="200" w:firstLine="441"/>
        <w:spacing w:after="0" w:line="289"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2017 and the effects that such obligations are expected to have on our liquidity and cash flows in future periods: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460" w:type="dxa"/>
            <w:vAlign w:val="bottom"/>
          </w:tcPr>
          <w:p>
            <w:pPr>
              <w:spacing w:after="0"/>
              <w:rPr>
                <w:sz w:val="10"/>
                <w:szCs w:val="10"/>
                <w:color w:val="auto"/>
              </w:rPr>
            </w:pP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1 to 3</w:t>
            </w:r>
          </w:p>
        </w:tc>
        <w:tc>
          <w:tcPr>
            <w:tcW w:w="120" w:type="dxa"/>
            <w:vAlign w:val="bottom"/>
          </w:tcPr>
          <w:p>
            <w:pPr>
              <w:spacing w:after="0"/>
              <w:rPr>
                <w:sz w:val="10"/>
                <w:szCs w:val="10"/>
                <w:color w:val="auto"/>
              </w:rPr>
            </w:pPr>
          </w:p>
        </w:tc>
        <w:tc>
          <w:tcPr>
            <w:tcW w:w="360" w:type="dxa"/>
            <w:vAlign w:val="bottom"/>
          </w:tcPr>
          <w:p>
            <w:pPr>
              <w:ind w:left="20"/>
              <w:spacing w:after="0" w:line="119" w:lineRule="exact"/>
              <w:rPr>
                <w:sz w:val="20"/>
                <w:szCs w:val="20"/>
                <w:color w:val="auto"/>
              </w:rPr>
            </w:pPr>
            <w:r>
              <w:rPr>
                <w:rFonts w:ascii="Arial" w:cs="Arial" w:eastAsia="Arial" w:hAnsi="Arial"/>
                <w:sz w:val="13"/>
                <w:szCs w:val="13"/>
                <w:b w:val="1"/>
                <w:bCs w:val="1"/>
                <w:color w:val="auto"/>
                <w:w w:val="94"/>
              </w:rPr>
              <w:t>4 to 5</w:t>
            </w:r>
          </w:p>
        </w:tc>
        <w:tc>
          <w:tcPr>
            <w:tcW w:w="11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w w:val="90"/>
              </w:rPr>
              <w:t>1 Year</w:t>
            </w:r>
          </w:p>
        </w:tc>
        <w:tc>
          <w:tcPr>
            <w:tcW w:w="4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Years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3420" w:type="dxa"/>
            <w:vAlign w:val="bottom"/>
            <w:gridSpan w:val="2"/>
            <w:shd w:val="clear" w:color="auto" w:fill="CCEEFF"/>
          </w:tcPr>
          <w:p>
            <w:pPr>
              <w:jc w:val="center"/>
              <w:ind w:left="283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1,641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682</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1,641</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682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341</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920" w:type="dxa"/>
            <w:vAlign w:val="bottom"/>
            <w:vMerge w:val="restart"/>
          </w:tcPr>
          <w:p>
            <w:pPr>
              <w:jc w:val="right"/>
              <w:ind w:right="1010"/>
              <w:spacing w:after="0"/>
              <w:rPr>
                <w:sz w:val="20"/>
                <w:szCs w:val="20"/>
                <w:color w:val="auto"/>
              </w:rPr>
            </w:pPr>
            <w:r>
              <w:rPr>
                <w:rFonts w:ascii="Arial" w:cs="Arial" w:eastAsia="Arial" w:hAnsi="Arial"/>
                <w:sz w:val="18"/>
                <w:szCs w:val="18"/>
                <w:color w:val="auto"/>
              </w:rPr>
              <w:t>79</w:t>
            </w: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enter into contracts in the normal course of business with CROs, CMOs and other third parties for clinical trials, preclinical research studies and testing and manufacturing services. Payments due upon cancellation consist only of payments for services provided or expenses incurred, including noncancelable obligations of our service providers, up to the date of cancellation. These payments are not included in the preceding table as the amount and timing of such payments are not known.</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Additionally, the table above excludes the payment that may be due to UHN upon the closing of the sale of shares of common stock in an IPO, which includes this offering. If UHN’s fully-diluted percentage ownership of our company is reduced within a range of specified percentages in an IPO, then we are obligated to pay UHN an amount up to $2.0 million. We have not included the UHN dilution payment in the preceding table as the amount, timing and likelihood of such payments are not known.</w:t>
      </w:r>
    </w:p>
    <w:p>
      <w:pPr>
        <w:spacing w:after="0" w:line="18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In addition, pursuant to our license agreements with UHN, BioMarin, GenStem and the Lund University rights holders, we are required to make certain milestone and royalty payments to our licensors. See “Business—License Agreements” for additional details regarding our payment obligations to these licensors.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5"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appearing elsewhere in this prospectus, we believe that the following accounting policies are those most critical to the judgments and estimates used in the preparation of our consolidated financial statements.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left="200" w:right="280" w:firstLine="441"/>
        <w:spacing w:after="0" w:line="271"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84" w:lineRule="exact"/>
        <w:rPr>
          <w:sz w:val="20"/>
          <w:szCs w:val="20"/>
          <w:color w:val="auto"/>
        </w:rPr>
      </w:pPr>
    </w:p>
    <w:p>
      <w:pPr>
        <w:ind w:left="1060" w:hanging="424"/>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vendors, including central laboratories, in connection with preclinical development activities;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and clinical studies;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and clinical trial materials.</w:t>
      </w:r>
    </w:p>
    <w:p>
      <w:pPr>
        <w:spacing w:after="0" w:line="22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base our expenses related to preclinical studies and clinical trials on our estimates of the services received and efforts expended pursuant to quotes and contracts with multiple research institutions and CROs that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measure stock options and other stock-based awards granted to employees and members of our board of directors for their services as directors based on the fair value on the date of the grant and recognize the corresponding compensation expense of those awards over the requisite service period, which is generally the vesting period of the respective award. We have only issued stock options with service-based vesting conditions and record the expense for these awards using the straight-line method.</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For stock-based awards granted to consultants and non-employees, we recognize compensation expense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8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We estimate the fair value of each stock option grant using the Black-Scholes option-pricing model, which uses as inputs the estimated fair value of our common stock and assumptions we make for the volatility of our common stock, the expected term of our stock options, the risk-free interest rate for a period that approximates the expected term of our stock options and our expected dividend yield.</w:t>
      </w:r>
    </w:p>
    <w:p>
      <w:pPr>
        <w:spacing w:after="0" w:line="18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determined the assumptions for the Black-Scholes option-pricing model as discussed below. Each of these inputs is subjective and generally requires significant judgment to determine.</w:t>
      </w:r>
    </w:p>
    <w:p>
      <w:pPr>
        <w:spacing w:after="0" w:line="76" w:lineRule="exact"/>
        <w:rPr>
          <w:sz w:val="20"/>
          <w:szCs w:val="20"/>
          <w:color w:val="auto"/>
        </w:rPr>
      </w:pPr>
    </w:p>
    <w:p>
      <w:pPr>
        <w:ind w:left="1060" w:right="180" w:hanging="424"/>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Our Common Stock. </w:t>
      </w:r>
      <w:r>
        <w:rPr>
          <w:rFonts w:ascii="Arial" w:cs="Arial" w:eastAsia="Arial" w:hAnsi="Arial"/>
          <w:sz w:val="18"/>
          <w:szCs w:val="18"/>
          <w:color w:val="auto"/>
        </w:rPr>
        <w:t>Prior to this offering, our stock was not publicly traded, and therefore we estimated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as discussed in “Determination of the Fair Value of Common Stock” below.</w:t>
      </w:r>
    </w:p>
    <w:p>
      <w:pPr>
        <w:spacing w:after="0" w:line="75" w:lineRule="exact"/>
        <w:rPr>
          <w:rFonts w:ascii="Arial" w:cs="Arial" w:eastAsia="Arial" w:hAnsi="Arial"/>
          <w:sz w:val="18"/>
          <w:szCs w:val="18"/>
          <w:color w:val="auto"/>
        </w:rPr>
      </w:pPr>
    </w:p>
    <w:p>
      <w:pPr>
        <w:ind w:left="1060" w:right="220" w:hanging="424"/>
        <w:spacing w:after="0" w:line="264"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 The expected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granted has been determined using the simplified method, which uses the midpoint between the vesting date and the contractual term.</w:t>
      </w:r>
    </w:p>
    <w:p>
      <w:pPr>
        <w:spacing w:after="0" w:line="86" w:lineRule="exact"/>
        <w:rPr>
          <w:rFonts w:ascii="Arial" w:cs="Arial" w:eastAsia="Arial" w:hAnsi="Arial"/>
          <w:sz w:val="18"/>
          <w:szCs w:val="18"/>
          <w:color w:val="auto"/>
        </w:rPr>
      </w:pPr>
    </w:p>
    <w:p>
      <w:pPr>
        <w:ind w:left="1060" w:right="340" w:hanging="424"/>
        <w:spacing w:after="0" w:line="308"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curve in effect at the date of grant for zero-coupon</w:t>
      </w:r>
      <w:r>
        <w:rPr>
          <w:rFonts w:ascii="Arial" w:cs="Arial" w:eastAsia="Arial" w:hAnsi="Arial"/>
          <w:sz w:val="17"/>
          <w:szCs w:val="17"/>
          <w:i w:val="1"/>
          <w:iCs w:val="1"/>
          <w:color w:val="auto"/>
        </w:rPr>
        <w:t xml:space="preserve"> </w:t>
      </w:r>
      <w:r>
        <w:rPr>
          <w:rFonts w:ascii="Arial" w:cs="Arial" w:eastAsia="Arial" w:hAnsi="Arial"/>
          <w:sz w:val="17"/>
          <w:szCs w:val="17"/>
          <w:color w:val="auto"/>
        </w:rPr>
        <w:t>U.S. Treasury constant maturity notes with terms approximately equal to the stock-based award’s expected term.</w:t>
      </w:r>
    </w:p>
    <w:p>
      <w:pPr>
        <w:spacing w:after="0" w:line="51" w:lineRule="exact"/>
        <w:rPr>
          <w:rFonts w:ascii="Arial" w:cs="Arial" w:eastAsia="Arial" w:hAnsi="Arial"/>
          <w:sz w:val="17"/>
          <w:szCs w:val="17"/>
          <w:color w:val="auto"/>
        </w:rPr>
      </w:pPr>
    </w:p>
    <w:p>
      <w:pPr>
        <w:ind w:left="1060" w:right="140" w:hanging="424"/>
        <w:spacing w:after="0" w:line="264"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Because we do not have a trading history of our common stock, the expected volatility was derived from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stock volatilities of several public companies within our industry that we consider to be comparable to our business over a period equivalent to the expected term of the stock-based awards.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Dividend Rate. </w:t>
      </w:r>
      <w:r>
        <w:rPr>
          <w:rFonts w:ascii="Arial" w:cs="Arial" w:eastAsia="Arial" w:hAnsi="Arial"/>
          <w:sz w:val="16"/>
          <w:szCs w:val="16"/>
          <w:color w:val="auto"/>
        </w:rPr>
        <w:t>The expected dividend is zero as we have not paid and do not anticipate paying any dividends in the foreseeable future.</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any of the assumptions used in the Black-Scholes model change significantly, stock-based compensation for future awards may differ materially compared with the awards granted previously.</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weighted-average fair values of options granted during the years ended December 31, 2016 and 2017 were $0.12 and $0.36, respectively. No options were granted during the three months ended March 31, 2017. The weighted-average fair value of options granted during the three months ended March 31, 2018 was $1.09. The weighted-average assumptions utilized to determine the fair value of options granted are presented in the following table:</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8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r>
      <w:tr>
        <w:trPr>
          <w:trHeight w:val="162"/>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8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46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14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March 31, 2018</w:t>
            </w:r>
          </w:p>
        </w:tc>
      </w:tr>
      <w:tr>
        <w:trPr>
          <w:trHeight w:val="210"/>
        </w:trPr>
        <w:tc>
          <w:tcPr>
            <w:tcW w:w="20" w:type="dxa"/>
            <w:vAlign w:val="bottom"/>
          </w:tcPr>
          <w:p>
            <w:pPr>
              <w:spacing w:after="0"/>
              <w:rPr>
                <w:sz w:val="18"/>
                <w:szCs w:val="18"/>
                <w:color w:val="auto"/>
              </w:rPr>
            </w:pPr>
          </w:p>
        </w:tc>
        <w:tc>
          <w:tcPr>
            <w:tcW w:w="7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1.39%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2.72%</w:t>
            </w: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86.00%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84.54%</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84.00%</w:t>
            </w: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Stock-based Awards Granted</w:t>
      </w:r>
    </w:p>
    <w:p>
      <w:pPr>
        <w:spacing w:after="0" w:line="117"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The following table sets forth by grant date the number of shares subject to options granted since January 1, 2017, the per share exercise price of the options, the fair value of common stock per share on each grant date, and the per share estimated fair value of the options: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Per Share</w:t>
            </w:r>
          </w:p>
        </w:tc>
        <w:tc>
          <w:tcPr>
            <w:tcW w:w="64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880" w:type="dxa"/>
            <w:vAlign w:val="bottom"/>
            <w:gridSpan w:val="2"/>
          </w:tcPr>
          <w:p>
            <w:pPr>
              <w:jc w:val="center"/>
              <w:ind w:left="2872"/>
              <w:spacing w:after="0" w:line="149" w:lineRule="exact"/>
              <w:rPr>
                <w:sz w:val="20"/>
                <w:szCs w:val="20"/>
                <w:color w:val="auto"/>
              </w:rPr>
            </w:pPr>
            <w:r>
              <w:rPr>
                <w:rFonts w:ascii="Arial" w:cs="Arial" w:eastAsia="Arial" w:hAnsi="Arial"/>
                <w:sz w:val="14"/>
                <w:szCs w:val="14"/>
                <w:b w:val="1"/>
                <w:bCs w:val="1"/>
                <w:color w:val="auto"/>
                <w:w w:val="90"/>
              </w:rPr>
              <w:t>Shares Subject</w:t>
            </w:r>
          </w:p>
        </w:tc>
        <w:tc>
          <w:tcPr>
            <w:tcW w:w="6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Exercise</w:t>
            </w:r>
          </w:p>
        </w:tc>
        <w:tc>
          <w:tcPr>
            <w:tcW w:w="1520" w:type="dxa"/>
            <w:vAlign w:val="bottom"/>
            <w:gridSpan w:val="4"/>
          </w:tcPr>
          <w:p>
            <w:pPr>
              <w:ind w:left="640"/>
              <w:spacing w:after="0" w:line="149" w:lineRule="exact"/>
              <w:rPr>
                <w:sz w:val="20"/>
                <w:szCs w:val="20"/>
                <w:color w:val="auto"/>
              </w:rPr>
            </w:pPr>
            <w:r>
              <w:rPr>
                <w:rFonts w:ascii="Arial" w:cs="Arial" w:eastAsia="Arial" w:hAnsi="Arial"/>
                <w:sz w:val="14"/>
                <w:szCs w:val="14"/>
                <w:b w:val="1"/>
                <w:bCs w:val="1"/>
                <w:color w:val="auto"/>
                <w:w w:val="99"/>
              </w:rPr>
              <w:t>per Common</w:t>
            </w:r>
          </w:p>
        </w:tc>
        <w:tc>
          <w:tcPr>
            <w:tcW w:w="0" w:type="dxa"/>
            <w:vAlign w:val="bottom"/>
          </w:tcPr>
          <w:p>
            <w:pPr>
              <w:spacing w:after="0"/>
              <w:rPr>
                <w:sz w:val="1"/>
                <w:szCs w:val="1"/>
                <w:color w:val="auto"/>
              </w:rPr>
            </w:pPr>
          </w:p>
        </w:tc>
      </w:tr>
      <w:tr>
        <w:trPr>
          <w:trHeight w:val="149"/>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29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 Options</w:t>
            </w:r>
          </w:p>
        </w:tc>
        <w:tc>
          <w:tcPr>
            <w:tcW w:w="6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Price of</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Share on</w:t>
            </w:r>
          </w:p>
        </w:tc>
        <w:tc>
          <w:tcPr>
            <w:tcW w:w="0" w:type="dxa"/>
            <w:vAlign w:val="bottom"/>
          </w:tcPr>
          <w:p>
            <w:pPr>
              <w:spacing w:after="0"/>
              <w:rPr>
                <w:sz w:val="1"/>
                <w:szCs w:val="1"/>
                <w:color w:val="auto"/>
              </w:rPr>
            </w:pPr>
          </w:p>
        </w:tc>
      </w:tr>
      <w:tr>
        <w:trPr>
          <w:trHeight w:val="191"/>
        </w:trPr>
        <w:tc>
          <w:tcPr>
            <w:tcW w:w="4380" w:type="dxa"/>
            <w:vAlign w:val="bottom"/>
            <w:gridSpan w:val="3"/>
            <w:vMerge w:val="continue"/>
          </w:tcPr>
          <w:p>
            <w:pPr>
              <w:spacing w:after="0"/>
              <w:rPr>
                <w:sz w:val="16"/>
                <w:szCs w:val="16"/>
                <w:color w:val="auto"/>
              </w:rPr>
            </w:pPr>
          </w:p>
        </w:tc>
        <w:tc>
          <w:tcPr>
            <w:tcW w:w="29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66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Options</w:t>
            </w:r>
          </w:p>
        </w:tc>
        <w:tc>
          <w:tcPr>
            <w:tcW w:w="640" w:type="dxa"/>
            <w:vAlign w:val="bottom"/>
          </w:tcPr>
          <w:p>
            <w:pPr>
              <w:spacing w:after="0"/>
              <w:rPr>
                <w:sz w:val="16"/>
                <w:szCs w:val="16"/>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June 13,</w:t>
            </w:r>
          </w:p>
        </w:tc>
        <w:tc>
          <w:tcPr>
            <w:tcW w:w="3680" w:type="dxa"/>
            <w:vAlign w:val="bottom"/>
            <w:tcBorders>
              <w:top w:val="single" w:sz="8" w:color="CCEEFF"/>
            </w:tcBorders>
            <w:shd w:val="clear" w:color="auto" w:fill="CCEEFF"/>
          </w:tcPr>
          <w:p>
            <w:pPr>
              <w:jc w:val="right"/>
              <w:ind w:right="3295"/>
              <w:spacing w:after="0" w:line="189" w:lineRule="exact"/>
              <w:rPr>
                <w:sz w:val="20"/>
                <w:szCs w:val="20"/>
                <w:color w:val="auto"/>
              </w:rPr>
            </w:pPr>
            <w:r>
              <w:rPr>
                <w:rFonts w:ascii="Arial" w:cs="Arial" w:eastAsia="Arial" w:hAnsi="Arial"/>
                <w:sz w:val="17"/>
                <w:szCs w:val="17"/>
                <w:color w:val="auto"/>
                <w:w w:val="73"/>
              </w:rPr>
              <w:t>2017</w:t>
            </w:r>
          </w:p>
        </w:tc>
        <w:tc>
          <w:tcPr>
            <w:tcW w:w="29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796,822</w:t>
            </w:r>
          </w:p>
        </w:tc>
        <w:tc>
          <w:tcPr>
            <w:tcW w:w="6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0.22</w:t>
            </w:r>
          </w:p>
        </w:tc>
        <w:tc>
          <w:tcPr>
            <w:tcW w:w="6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0.22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June 26, 2017</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16,666</w:t>
            </w:r>
          </w:p>
        </w:tc>
        <w:tc>
          <w:tcPr>
            <w:tcW w:w="8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10, 2017</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35,224</w:t>
            </w:r>
          </w:p>
        </w:tc>
        <w:tc>
          <w:tcPr>
            <w:tcW w:w="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July 17, 2017</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50,320</w:t>
            </w:r>
          </w:p>
        </w:tc>
        <w:tc>
          <w:tcPr>
            <w:tcW w:w="8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28, 2017</w:t>
            </w:r>
            <w:r>
              <w:rPr>
                <w:rFonts w:ascii="Arial" w:cs="Arial" w:eastAsia="Arial" w:hAnsi="Arial"/>
                <w:sz w:val="15"/>
                <w:szCs w:val="15"/>
                <w:color w:val="auto"/>
              </w:rPr>
              <w:t>(1)</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654,170</w:t>
            </w:r>
          </w:p>
        </w:tc>
        <w:tc>
          <w:tcPr>
            <w:tcW w:w="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October 4, 2017</w:t>
            </w:r>
            <w:r>
              <w:rPr>
                <w:rFonts w:ascii="Arial" w:cs="Arial" w:eastAsia="Arial" w:hAnsi="Arial"/>
                <w:sz w:val="15"/>
                <w:szCs w:val="15"/>
                <w:color w:val="auto"/>
              </w:rPr>
              <w:t>(2)</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8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17, 2017</w:t>
            </w:r>
            <w:r>
              <w:rPr>
                <w:rFonts w:ascii="Arial" w:cs="Arial" w:eastAsia="Arial" w:hAnsi="Arial"/>
                <w:sz w:val="15"/>
                <w:szCs w:val="15"/>
                <w:color w:val="auto"/>
              </w:rPr>
              <w:t>(2)</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October 24, 2017</w:t>
            </w:r>
            <w:r>
              <w:rPr>
                <w:rFonts w:ascii="Arial" w:cs="Arial" w:eastAsia="Arial" w:hAnsi="Arial"/>
                <w:sz w:val="15"/>
                <w:szCs w:val="15"/>
                <w:color w:val="auto"/>
              </w:rPr>
              <w:t>(2)</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201,396</w:t>
            </w:r>
          </w:p>
        </w:tc>
        <w:tc>
          <w:tcPr>
            <w:tcW w:w="8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16, 2018</w:t>
            </w:r>
            <w:r>
              <w:rPr>
                <w:rFonts w:ascii="Arial" w:cs="Arial" w:eastAsia="Arial" w:hAnsi="Arial"/>
                <w:sz w:val="15"/>
                <w:szCs w:val="15"/>
                <w:color w:val="auto"/>
              </w:rPr>
              <w:t>(3)</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3,114,710</w:t>
            </w:r>
          </w:p>
        </w:tc>
        <w:tc>
          <w:tcPr>
            <w:tcW w:w="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20" w:hanging="436"/>
        <w:spacing w:after="0" w:line="254"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the time of the option grants in August 2017, our board of directors determined that the fair value of our common stock of $0.22 per share calculated in the contemporaneous valuation as of March 31, 2017 reasonably reflected the per share fair value of one share of our common stock as of the grant date. However, as described below, the fair value of our common stock at this date was adjusted to $0.53 per share in connection with a retrospective fair value assessment for financial reporting purposes.</w:t>
      </w:r>
    </w:p>
    <w:p>
      <w:pPr>
        <w:spacing w:after="0" w:line="2" w:lineRule="exact"/>
        <w:rPr>
          <w:rFonts w:ascii="Arial" w:cs="Arial" w:eastAsia="Arial" w:hAnsi="Arial"/>
          <w:sz w:val="18"/>
          <w:szCs w:val="18"/>
          <w:color w:val="auto"/>
        </w:rPr>
      </w:pPr>
    </w:p>
    <w:p>
      <w:pPr>
        <w:ind w:left="640" w:right="60" w:hanging="436"/>
        <w:spacing w:after="0" w:line="265"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At the time of the option grants in October 2017, our board of directors determined that the fair value of our common stock of $0.22 per share calculated in the contemporaneous valuation as of March 31, 2017 reasonably reflected the per share fair value of one share of our common stock as of the grant date. However, as described below, the fair value of our common stock at the date of these grants was adjusted to $0.99 per share in connection with a retrospective fair value assessment for financial reporting purposes.</w:t>
      </w:r>
    </w:p>
    <w:p>
      <w:pPr>
        <w:ind w:left="640" w:right="20" w:hanging="436"/>
        <w:spacing w:after="0" w:line="253"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the time of the option grants in March 2018, our board of directors determined that the fair value of our common stock of $1.21 per share calculated in the contemporaneous valuation as of January 31, 2018 reasonably reflected the per share fair value of one share of our common stock as of the grant date. However, in connection with the preparation of the Company’s unaudited condensed consolidated financial statements for the three months ended March 31, 2018, the fair value of our common stock at the date of these grants was adjusted to $1.46 per share as a result of a contemporaneous valuation performed as of March 31, 2018.</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Determination of the Fair Value of Common Stock</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As there has been no public market for our common stock to date, the estimated fair value of our common stock has been determined by our board of directors as of the date of each option grant, with input from management, considering third-party valuations of our common stock as well as our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Once a public trading market for our common stock has been established following the closing of this offering, it will no longer be necessary for our board of directors to estimate the fair market value of our common stock in connection with our accounting for granted equity awards.</w:t>
      </w:r>
    </w:p>
    <w:p>
      <w:pPr>
        <w:spacing w:after="0" w:line="192"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For financial reporting purposes, we performed ordinary share valuations, with the assistance of a third-party specialist, at various dates, which resulted in valuations of our common stock of $0.10 per share as of January 31, 2016, $0.29 per share as of August 31, 2016, $0.22 per share as of March 31, 2017, $0.53 per share as of August 31, 2017, $0.99 per share as of October 31, 2017, $1.21 per share as of January 31, 2018, and $1.46 as of March 31, 2018. In conducting the valuations, our board of directors, with input from management, considered various objective and subjective factors to determine the fair value of our common stock as of each grant date, including:</w:t>
      </w:r>
    </w:p>
    <w:p>
      <w:pPr>
        <w:spacing w:after="0" w:line="78" w:lineRule="exact"/>
        <w:rPr>
          <w:sz w:val="20"/>
          <w:szCs w:val="20"/>
          <w:color w:val="auto"/>
        </w:rPr>
      </w:pPr>
    </w:p>
    <w:p>
      <w:pPr>
        <w:ind w:left="1060" w:right="2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prices at which we sold preferred stock and the superior rights and preferences of the preferred stock relative to our common stock at the time of each grant;</w:t>
      </w:r>
    </w:p>
    <w:p>
      <w:pPr>
        <w:spacing w:after="0" w:line="75"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of preclinical studies and planned clinical trials for our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biotechnology industry;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a sale of our company in light of prevailing market conditions;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stock-based compensation expense could be materially different.</w:t>
      </w:r>
    </w:p>
    <w:p>
      <w:pPr>
        <w:spacing w:after="0" w:line="18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dates of our valuations have not always coincided with the dates of our stock option grants. In determining the fair value of the shares underlying options set forth in the table above, we considered, among other things, the most recent contemporaneous valuations of our ordinary shares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development and commercialization and our business strategy, our operating and financial performance and current business conditions.</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Following the closing of this offering, the fair value of our common stock will be determined based on the quoted market price of our common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common stock valuations were prepared using the option-pricing method, or OPM, which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The future value of the common stock is discounted back to the valuation date at an appropriate risk-adjusted discount rate and probability weighted to arrive at an indication of value for the common stock.</w:t>
      </w:r>
    </w:p>
    <w:p>
      <w:pPr>
        <w:spacing w:after="0" w:line="193"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Beginning with the August 23, 2017 valuation, we changed the methodology for allocating our equity value to our common stock to a hybrid method, which is a combination of a probability weighted expected return method, or PWERM and an OPM. We made this change as greater certainty developed regarding a possible liquidity event. The PWERM methodology relies on a forward-looking analysis to predict the possible future value of a company. Under this method, discrete future outcomes, such as an IPO, non-IPO scenarios, and a merger or sale are weighted based on our estimate of the probability of each scenario. In our application of the hybrid method, we considered an IPO scenario under the PWERM framework, and a non-IPO scenario modeled using an OPM to reflect the full distribution of possible non-IPO outcomes. The hybrid method is useful when certain discrete future outcomes can be predicted, but also accounts for uncertainty regarding the timing or likelihood of specific alternative exit events.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Valuation of Derivative Liability</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fair value of the derivative liability recognized in connection with our stock purchase agreement with UHN was determined based on significant inputs not observable in the market, which represents a Level 3 measurement within the fair value hierarchy. The fair value of the derivative liability was determined using the PWERM, which considered as inputs the type and probability of occurrence of an IPO dilution event, the amount of the payment, the expected timing of an IPO dilution event and a risk-adjusted discount rate.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Valuation of Warrant Liability</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connection with entering into a loan agreement, we agreed to issue a warrant to purchase shares of our Series A preferred stock to the lender. We classify the warrant as a liability on our consolidated balance sheet because the warrant represents a free-standing financial instrument that may require us to transfer assets upon exercise. The warrant liability was initially recorded at fair value upon the date of the warrant issuance and is subsequently remeasured to fair value at each reporting date. Changes in the fair value of the warrant liability are recognized as a component of other income (expense), net in the consolidated statements of operations and will continue to be recognized until the warrant is exercised, expires or qualifies for equity classification.</w:t>
      </w:r>
    </w:p>
    <w:p>
      <w:pPr>
        <w:spacing w:after="0" w:line="193" w:lineRule="exact"/>
        <w:rPr>
          <w:sz w:val="20"/>
          <w:szCs w:val="20"/>
          <w:color w:val="auto"/>
        </w:rPr>
      </w:pPr>
    </w:p>
    <w:p>
      <w:pPr>
        <w:ind w:left="200" w:right="180" w:firstLine="441"/>
        <w:spacing w:after="0" w:line="290" w:lineRule="auto"/>
        <w:rPr>
          <w:sz w:val="20"/>
          <w:szCs w:val="20"/>
          <w:color w:val="auto"/>
        </w:rPr>
      </w:pPr>
      <w:r>
        <w:rPr>
          <w:rFonts w:ascii="Arial" w:cs="Arial" w:eastAsia="Arial" w:hAnsi="Arial"/>
          <w:sz w:val="16"/>
          <w:szCs w:val="16"/>
          <w:color w:val="auto"/>
        </w:rPr>
        <w:t>We utilize the Black-Scholes option-pricing model, which incorporates assumptions and estimates, to value the warrant. We assess these assumptions and estimates on a quarterly basis as additional information impacting the assumptions is obtained. Estimates and assumptions impacting the fair value measurement include the fair value per share of the underlying equity instruments issuable upon exercise of the warrant, the remaining contractual term of the warrant, risk-free interest rate, expected dividend yield and expected volatility of the underlying preferred stock. We have historically been a private company and lack company-specific historical and implied volatility information of our stock. Therefore, we estimate expected stock volatility based on the historical volatility of publicly traded peer companies for a term equal to the remaining contractual term of the warrant. The risk-free interest rate is determined by reference to the U.S. Treasury yield curve for time periods approximately equal to the remaining contractual term of the warrant. We have estimated a 0% dividend yield based on the fact that we have never paid or declared dividends.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24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Upon the closing of this offering, the preferred stock warrant will become exercisable for common stock instead of preferred stock, and the remeasured fair value of the warrant liability will be reclassified to additional paid-in capital.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left="200" w:right="280" w:firstLine="441"/>
        <w:spacing w:after="0" w:line="286" w:lineRule="auto"/>
        <w:rPr>
          <w:sz w:val="20"/>
          <w:szCs w:val="20"/>
          <w:color w:val="auto"/>
        </w:rPr>
      </w:pPr>
      <w:r>
        <w:rPr>
          <w:rFonts w:ascii="Arial" w:cs="Arial" w:eastAsia="Arial" w:hAnsi="Arial"/>
          <w:sz w:val="17"/>
          <w:szCs w:val="17"/>
          <w:color w:val="auto"/>
        </w:rPr>
        <w:t>As of March 31, 2018, we had cash and cash equivalents of $57.9 million, which consisted of cash and money market funds. Interest income is sensitive to changes in the general level of interest rates; however, due to the nature of these investments, an immediate 10% change in interest rates would not have a material impact on our cash and cash equivalents, financial position or results of operations.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are exposed to foreign exchange rate risk. Our headquarters are located in the United States, where the majority of our general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administrative expenses and research and development costs are incurred in U.S. dollars. A portion of our research and development costs are incurred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by our subsidiaries in Australia and Canada, whose functional currencies are the U.S. dollar but engage in transactions in Australian dollars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Canadian dollars, respectively. During each of the years ended December 31, 2016 and 2017, we recognized foreign currency transaction losses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$6,000 and $19,000, respectively. During each of the three months ended March 31, 2017 and 2018, we recognized foreign currency transaction losses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 $5,000 and $13,000, respectively. These losses primarily related to unrealized and realized foreign currency gains and losses as a result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transactions entered into by our Australian and Canadian subsidiaries in currencies other than the U.S. dollar. These foreign currency transaction gains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losses were recorded in other expense, net in our consolidated statements of operations. We believe that a 10% change in the exchange rate between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U.S. dollar, Australian dollar and Canadian dollar would not have a material impact on our financial position or results of operations.</w:t>
      </w:r>
    </w:p>
    <w:p>
      <w:pPr>
        <w:spacing w:after="0" w:line="21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this offering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and results of operations is disclosed in Note 15 to our unaudited condensed consolidated financial statements appearing elsewhere in this prospectus.</w:t>
      </w:r>
    </w:p>
    <w:p>
      <w:pPr>
        <w:spacing w:after="0" w:line="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700"/>
          </w:cols>
          <w:pgMar w:left="240" w:top="459" w:right="9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 xml:space="preserve">We are a clinical stage gene therapy company focused on developing potentially curative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therapies to treat rare diseases following a single dose. Our gene therapies employ hematopoietic stem cells that are extracted from the patient and then modified with lentiviral vectors to insert a functional copy of the gene that is defective in the target disease. We believe that our approach has the potential to provide curative benefit in an outpatient setting for a range of diseases. Our initial focus is on a group of rare genetic diseases referred to as lysosomal storage diseases, which today are primarily managed with enzyme replacement therapies, or ERTs. These lysosomal storage diseases have well understood biologies, identified patient populations and represent large market opportunities with approximately $4.0 billion in worldwide net sales in 2017.</w:t>
      </w:r>
    </w:p>
    <w:p>
      <w:pPr>
        <w:spacing w:after="0" w:line="16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Our initial pipeline is comprised of four lentiviral-based gene therapies, including AVR-RD-01 for the treatment of Fabry disease, AVR-RD-02 for the treatment of Gaucher disease, AVR-RD-03 for the treatment of Pompe disease and AVR-RD-04 for the treatment of cystinosis. AVR-RD-01 is currently being evaluated in a Phase 1 clinical trial and has demonstrated clinically significant increased enzyme activity to date, with plasma a-galactosidase A, or AGA, enzyme activity levels in both patients treated to date increasing above the range for males with classic Fabry disease, defined as less than 1 nmol/hr/ml. We expect to initiate our Phase 2 clinical trial of AVR-RD-01 in mid-2018. In addition, Phase 1/2 clinical trials for both AVR-RD-02 and AVR-RD-04 are being planned and we expect patients will be dosed in 2019.</w:t>
      </w:r>
    </w:p>
    <w:p>
      <w:pPr>
        <w:spacing w:after="0" w:line="178"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 xml:space="preserve">Lentiviral-based gene therapy has been observed to be well-tolerated in third parties’ ongoing clinical trials for rare diseases such as beta thalassemia, ALD and ADA-SCID. To date, over 200 patients have been treated with lentiviral-based gene therapies in third parties’ clinical trials. Historically, the use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therapies has been restricted primarily to the most acutely severe diseases where risks of the typical requirement for heavily ablating the patients’ bone marrow and thus significantly impairing these patients’ immune systems had an acceptable risk/benefit profile. The ablation procedure, also known as the conditioning regimen, is administered prior to the gene therapy. The more intensive the conditioning regimen, the greater the risk of toxicity and thus the need for more intensive in-patient monitoring and potential for lengthy hospitalization.</w:t>
      </w:r>
    </w:p>
    <w:p>
      <w:pPr>
        <w:spacing w:after="0" w:line="165"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Our goal is to broaden the applicability of lentiviral-based gene therapy by initially targeting diseases where we generally believe durable effects can be achieved following a milder conditioning regimen that allows for outpatient treatment. We believe our approach of choosing diseases where the conditioning regimen can be milder, thus improving patient tolerability, will extend the reach of our gene therapies to a broad range of diseases as first-line therapies.</w:t>
      </w:r>
    </w:p>
    <w:p>
      <w:pPr>
        <w:spacing w:after="0" w:line="18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initially targeting rare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believe our gene therapies leverage the well 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cure these diseases while also providing significant health economic advantages.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programs leverage years of extensive preclinical and early clinical research by leading researchers, as well as our internal research efforts.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status of our initial lentiviral-based gene therapy programs is reflected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 xml:space="preserve">Our lead product candidate, AVR-RD-01 for the treatment of Fabry disease, is derived from hematopoietic stem cells to which the gene encoding AGA is added in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process using a lentiviral vector. In an ongoing Phase 1 clinical trial of patients with Fabry disease, AVR-RD-01 has been well-tolerated and has led to the production of active AGA enzyme in the two patients treated to date. The first patient dosed in this trial continues to express plasma activity levels of AGA enzyme above the range for males with classic Fabry disease twelve months after receiving AVR-RD-01. Plasma AGA enzyme activity levels in the second patient also began increasing after receiving AVR-RD-01 and remained above the range for males with classic Fabry disease one month after treatment. We anticipate initiating our Phase 2 clinical trial of AVR-RD-01 in mid-2018.</w:t>
      </w:r>
    </w:p>
    <w:p>
      <w:pPr>
        <w:spacing w:after="0" w:line="165"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Preclinical data for both our Gaucher and cystinosis programs have demonstrated positive results and we expect to begin dosing patients in Phase 1/2 clinical trials for both AVR-RD-02 (Gaucher) and AVR-RD-04 (cystinosis) in 2019. AVR-RD-03 for Pompe disease is currently in early preclinical development. We continue to seek opportunities to expand our approach to other rare and non-rare diseases. We plan to identify and develop future product candidates through our own internal research efforts as well as through collaborations with leading researchers worldwide.</w:t>
      </w:r>
    </w:p>
    <w:p>
      <w:pPr>
        <w:spacing w:after="0" w:line="154"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have developed a detailed plan for the more cost efficient and scalable manufacturing of our product candidates. We are establishing global manufacturing capabilities to support all aspects of the development and, if approved, the eventual commercialization of our gene therapies, from lentiviral vector production to cell processing. We are currently executing on our plans to move to a closed, automated manufacturing system, which we expect to complete by the end of 2019. We also utilize a cryopreservation process that we believe will allow for the global distribution and, if approved, commercialization of our gene therapies.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Expertise</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are led by biopharmaceutical experts with extensive experience in gene and cellular therapy and rare diseases. Our team has broad expertise in the clinical, regulatory and commercialization aspects of rare diseases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80"/>
          </w:cols>
          <w:pgMar w:left="24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0"/>
        <w:spacing w:after="0" w:line="264" w:lineRule="auto"/>
        <w:rPr>
          <w:sz w:val="20"/>
          <w:szCs w:val="20"/>
          <w:color w:val="auto"/>
        </w:rPr>
      </w:pPr>
      <w:r>
        <w:rPr>
          <w:rFonts w:ascii="Arial" w:cs="Arial" w:eastAsia="Arial" w:hAnsi="Arial"/>
          <w:sz w:val="18"/>
          <w:szCs w:val="18"/>
          <w:color w:val="auto"/>
        </w:rPr>
        <w:t>as well as process development and manufacturing for cellular therapies. Members of our management team have held senior positions at Shire, Genzyme, Novartis, Lonza and other companies pursuing development, manufacturing and commercialization of gene and cellular therapies and therapies to treat rare diseases.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goal is to develop and commercialize potentially curative lentiviral-based gene therapies for patients and expand the use of this approach to treat a number of diseases. Key elements of our strategy to achieve our goal include:</w:t>
      </w:r>
    </w:p>
    <w:p>
      <w:pPr>
        <w:spacing w:after="0" w:line="76" w:lineRule="exact"/>
        <w:rPr>
          <w:sz w:val="20"/>
          <w:szCs w:val="20"/>
          <w:color w:val="auto"/>
        </w:rPr>
      </w:pPr>
    </w:p>
    <w:p>
      <w:pPr>
        <w:ind w:left="1060" w:hanging="424"/>
        <w:spacing w:after="0" w:line="271"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Rapidly Advance Our Initial Gene Therapies. </w:t>
      </w:r>
      <w:r>
        <w:rPr>
          <w:rFonts w:ascii="Arial" w:cs="Arial" w:eastAsia="Arial" w:hAnsi="Arial"/>
          <w:sz w:val="17"/>
          <w:szCs w:val="17"/>
          <w:color w:val="auto"/>
        </w:rPr>
        <w:t>We are developing a deep pipeline of four gene therapies to treat Fabry disease, Gaucher</w:t>
      </w:r>
      <w:r>
        <w:rPr>
          <w:rFonts w:ascii="Arial" w:cs="Arial" w:eastAsia="Arial" w:hAnsi="Arial"/>
          <w:sz w:val="17"/>
          <w:szCs w:val="17"/>
          <w:i w:val="1"/>
          <w:iCs w:val="1"/>
          <w:color w:val="auto"/>
        </w:rPr>
        <w:t xml:space="preserve"> </w:t>
      </w:r>
      <w:r>
        <w:rPr>
          <w:rFonts w:ascii="Arial" w:cs="Arial" w:eastAsia="Arial" w:hAnsi="Arial"/>
          <w:sz w:val="17"/>
          <w:szCs w:val="17"/>
          <w:color w:val="auto"/>
        </w:rPr>
        <w:t>disease, Pompe disease and cystinosis. We intend to rapidly advance these gene therapies into clinical trials and obtain initial efficacy data in patients from these development programs. AVR-RD-01 has been well tolerated and demonstrated clinically significant increased enzyme activity to date in an ongoing Phase 1 clinical trial. We intend to initiate our Phase 2 clinical trial for AVR-RD-01 in mid-2018 in Australia and Canada, with enrollment in the United States and Japan beginning in 2019. Phase 1/2 clinical trials of both AVR-RD-02 and AVR-RD-04 are being planned and we expect patients will be dosed in 2019. In addition, we intend to pursue pathways for accelerated review and approval of our product candidates by the FDA and international regulatory authorities through programs such as the Regenerative Medicine Advanced Therapies, or RMAT, program in the United States.</w:t>
      </w:r>
    </w:p>
    <w:p>
      <w:pPr>
        <w:spacing w:after="0" w:line="84" w:lineRule="exact"/>
        <w:rPr>
          <w:rFonts w:ascii="Arial" w:cs="Arial" w:eastAsia="Arial" w:hAnsi="Arial"/>
          <w:sz w:val="17"/>
          <w:szCs w:val="17"/>
          <w:color w:val="auto"/>
        </w:rPr>
      </w:pPr>
    </w:p>
    <w:p>
      <w:pPr>
        <w:ind w:left="1060" w:right="100" w:hanging="424"/>
        <w:spacing w:after="0" w:line="273"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Develop First-Line Gene Therapies for Lysosomal Storage Diseases. </w:t>
      </w:r>
      <w:r>
        <w:rPr>
          <w:rFonts w:ascii="Arial" w:cs="Arial" w:eastAsia="Arial" w:hAnsi="Arial"/>
          <w:sz w:val="17"/>
          <w:szCs w:val="17"/>
          <w:color w:val="auto"/>
        </w:rPr>
        <w:t>We are initially targeting lysosomal storage diseases and intend to</w:t>
      </w:r>
      <w:r>
        <w:rPr>
          <w:rFonts w:ascii="Arial" w:cs="Arial" w:eastAsia="Arial" w:hAnsi="Arial"/>
          <w:sz w:val="17"/>
          <w:szCs w:val="17"/>
          <w:i w:val="1"/>
          <w:iCs w:val="1"/>
          <w:color w:val="auto"/>
        </w:rPr>
        <w:t xml:space="preserve"> </w:t>
      </w:r>
      <w:r>
        <w:rPr>
          <w:rFonts w:ascii="Arial" w:cs="Arial" w:eastAsia="Arial" w:hAnsi="Arial"/>
          <w:sz w:val="17"/>
          <w:szCs w:val="17"/>
          <w:color w:val="auto"/>
        </w:rPr>
        <w:t>conduct clinical trials in both treatment-experienced and treatment-naïve patient groups in order to maximize the potential of our lentiviral-based gene therapies for patients. We are pioneering the use of a milder conditioning regimen, designed to be performed in an outpatient setting, as we believe this will enable us to pursue early intervention for the treatment of lysosomal storage diseases and expand into a wide range of diseases where lentiviral-based gene therapy has not been previously utilized. We will continue to leverage advancements in stem cell transplantation in order to improve patient tolerability of our lentiviral-based gene therapies.</w:t>
      </w:r>
    </w:p>
    <w:p>
      <w:pPr>
        <w:spacing w:after="0" w:line="83" w:lineRule="exact"/>
        <w:rPr>
          <w:rFonts w:ascii="Arial" w:cs="Arial" w:eastAsia="Arial" w:hAnsi="Arial"/>
          <w:sz w:val="17"/>
          <w:szCs w:val="17"/>
          <w:color w:val="auto"/>
        </w:rPr>
      </w:pPr>
    </w:p>
    <w:p>
      <w:pPr>
        <w:ind w:left="1060" w:right="60" w:hanging="424"/>
        <w:spacing w:after="0" w:line="259"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Globally Develop, Manufacture and Commercialize Our Gene Therapies. </w:t>
      </w:r>
      <w:r>
        <w:rPr>
          <w:rFonts w:ascii="Arial" w:cs="Arial" w:eastAsia="Arial" w:hAnsi="Arial"/>
          <w:sz w:val="18"/>
          <w:szCs w:val="18"/>
          <w:color w:val="auto"/>
        </w:rPr>
        <w:t>Lysosomal storage diseases afflict patients globally and we intend</w:t>
      </w:r>
      <w:r>
        <w:rPr>
          <w:rFonts w:ascii="Arial" w:cs="Arial" w:eastAsia="Arial" w:hAnsi="Arial"/>
          <w:sz w:val="18"/>
          <w:szCs w:val="18"/>
          <w:i w:val="1"/>
          <w:iCs w:val="1"/>
          <w:color w:val="auto"/>
        </w:rPr>
        <w:t xml:space="preserve"> </w:t>
      </w:r>
      <w:r>
        <w:rPr>
          <w:rFonts w:ascii="Arial" w:cs="Arial" w:eastAsia="Arial" w:hAnsi="Arial"/>
          <w:sz w:val="18"/>
          <w:szCs w:val="18"/>
          <w:color w:val="auto"/>
        </w:rPr>
        <w:t>to build global infrastructure in order to provide treatment to patients around the world. We currently intend to conduct clinical trials across multiple geographies, including the United States, Canada, Australia, Japan, Europe and Israel. We have established a global network of suppliers and contract manufacturing organizations, or CMOs.</w:t>
      </w:r>
    </w:p>
    <w:p>
      <w:pPr>
        <w:spacing w:after="0" w:line="92" w:lineRule="exact"/>
        <w:rPr>
          <w:rFonts w:ascii="Arial" w:cs="Arial" w:eastAsia="Arial" w:hAnsi="Arial"/>
          <w:sz w:val="18"/>
          <w:szCs w:val="18"/>
          <w:color w:val="auto"/>
        </w:rPr>
      </w:pPr>
    </w:p>
    <w:p>
      <w:pPr>
        <w:ind w:left="1060" w:right="60" w:hanging="424"/>
        <w:spacing w:after="0" w:line="302"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Industrialize Lentiviral-Based Gene Therapy. </w:t>
      </w:r>
      <w:r>
        <w:rPr>
          <w:rFonts w:ascii="Arial" w:cs="Arial" w:eastAsia="Arial" w:hAnsi="Arial"/>
          <w:sz w:val="16"/>
          <w:szCs w:val="16"/>
          <w:color w:val="auto"/>
        </w:rPr>
        <w:t>We are developing a manufacturing process that is both reproducible and scalable. We believe</w:t>
      </w:r>
      <w:r>
        <w:rPr>
          <w:rFonts w:ascii="Arial" w:cs="Arial" w:eastAsia="Arial" w:hAnsi="Arial"/>
          <w:sz w:val="16"/>
          <w:szCs w:val="16"/>
          <w:i w:val="1"/>
          <w:iCs w:val="1"/>
          <w:color w:val="auto"/>
        </w:rPr>
        <w:t xml:space="preserve"> </w:t>
      </w:r>
      <w:r>
        <w:rPr>
          <w:rFonts w:ascii="Arial" w:cs="Arial" w:eastAsia="Arial" w:hAnsi="Arial"/>
          <w:sz w:val="16"/>
          <w:szCs w:val="16"/>
          <w:color w:val="auto"/>
        </w:rPr>
        <w:t>our innovations in viral vector design, cellular manufacturing and other related processes are important steps towards advancing the field of lentiviral-based gene therapy and realizing its full potential to treat a number of diseases. We intend to leverage our core competencies to implement a closed, automated manufacturing system that will enable us to deliver our gene therapies to patients at an industrialized scale.</w:t>
      </w:r>
    </w:p>
    <w:p>
      <w:pPr>
        <w:spacing w:after="0" w:line="59" w:lineRule="exact"/>
        <w:rPr>
          <w:rFonts w:ascii="Arial" w:cs="Arial" w:eastAsia="Arial" w:hAnsi="Arial"/>
          <w:sz w:val="16"/>
          <w:szCs w:val="16"/>
          <w:color w:val="auto"/>
        </w:rPr>
      </w:pPr>
    </w:p>
    <w:p>
      <w:pPr>
        <w:ind w:left="1060" w:right="440" w:hanging="424"/>
        <w:spacing w:after="0" w:line="259"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Leverage Our Approach Beyond Our Initial Indications. </w:t>
      </w:r>
      <w:r>
        <w:rPr>
          <w:rFonts w:ascii="Arial" w:cs="Arial" w:eastAsia="Arial" w:hAnsi="Arial"/>
          <w:sz w:val="18"/>
          <w:szCs w:val="18"/>
          <w:color w:val="auto"/>
        </w:rPr>
        <w:t>We are initially developing gene therapies for the treatment of four different</w:t>
      </w:r>
      <w:r>
        <w:rPr>
          <w:rFonts w:ascii="Arial" w:cs="Arial" w:eastAsia="Arial" w:hAnsi="Arial"/>
          <w:sz w:val="18"/>
          <w:szCs w:val="18"/>
          <w:i w:val="1"/>
          <w:iCs w:val="1"/>
          <w:color w:val="auto"/>
        </w:rPr>
        <w:t xml:space="preserve"> </w:t>
      </w:r>
      <w:r>
        <w:rPr>
          <w:rFonts w:ascii="Arial" w:cs="Arial" w:eastAsia="Arial" w:hAnsi="Arial"/>
          <w:sz w:val="18"/>
          <w:szCs w:val="18"/>
          <w:color w:val="auto"/>
        </w:rPr>
        <w:t>lysosomal storage diseases and believe that we will gain significant learnings and technical insights from these programs. We intend to leverage our technology and insights to treat a number of rare and non-rare diseases where we believe our lentiviral approach has transformative potential.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 xml:space="preserve">We develop therapies utilizing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therapy approach to transform a patient’s own cells into a drug product. Our gene therapies employ lentiviral vectors that are designed to result in stable integration of the desired genes in the chromosomes of the stem cells such that they are permanently maintained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 xml:space="preserve">in the cell and can be reproduced as the cell divides. We focus on delivering our lentiviral-based gene therapies to hematopoietic stem cells, which are primitive stem cells that develop into all types of blood cells, including white blood cells, red blood cells and platelets. To accomplish this, we extract a patient’s hematopoietic stem cells and modify them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to add a new, functional copy of the gene that is defective in the target disease. We then infuse the modified cells back into the patient. Our gene therapies are designed to be administered to the patient as a one-time therapy in an outpatient setting following a milder outpatient conditioning regimen.</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We are initially focused on employing our approach to treat and potentially cure lysosomal storage diseases. These diseases have well understood biologies, identified patient populations and represent large markets with approximately $4.0 billion in worldwide net sales in 2017. We are industrializing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therapy approach into a robust, scalable and, if approved, commercially viable process that will allow us to deliver our potentially curative therapies to patients with these and other serious monogenic disorders.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Advantages of Our Lentiviral-Based Gene Therapy Approach</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lentiviral-based gene therapy provides numerous advantages, including:</w:t>
      </w:r>
    </w:p>
    <w:p>
      <w:pPr>
        <w:spacing w:after="0" w:line="131" w:lineRule="exact"/>
        <w:rPr>
          <w:sz w:val="20"/>
          <w:szCs w:val="20"/>
          <w:color w:val="auto"/>
        </w:rPr>
      </w:pPr>
    </w:p>
    <w:p>
      <w:pPr>
        <w:ind w:left="1060" w:right="80" w:hanging="424"/>
        <w:spacing w:after="0" w:line="342"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Durable Benefit. </w:t>
      </w:r>
      <w:r>
        <w:rPr>
          <w:rFonts w:ascii="Arial" w:cs="Arial" w:eastAsia="Arial" w:hAnsi="Arial"/>
          <w:sz w:val="16"/>
          <w:szCs w:val="16"/>
          <w:color w:val="auto"/>
        </w:rPr>
        <w:t>Lentiviral vectors have the potential to provide life-long benefits with a single dose. Lentiviral vectors can integrate stably</w:t>
      </w:r>
      <w:r>
        <w:rPr>
          <w:rFonts w:ascii="Arial" w:cs="Arial" w:eastAsia="Arial" w:hAnsi="Arial"/>
          <w:sz w:val="16"/>
          <w:szCs w:val="16"/>
          <w:i w:val="1"/>
          <w:iCs w:val="1"/>
          <w:color w:val="auto"/>
        </w:rPr>
        <w:t xml:space="preserve"> </w:t>
      </w:r>
      <w:r>
        <w:rPr>
          <w:rFonts w:ascii="Arial" w:cs="Arial" w:eastAsia="Arial" w:hAnsi="Arial"/>
          <w:sz w:val="16"/>
          <w:szCs w:val="16"/>
          <w:color w:val="auto"/>
        </w:rPr>
        <w:t>into the genes of hematopoietic stem cells and, when these cells replicate, they pass the integrated genes on to their progeny cells.</w:t>
      </w:r>
    </w:p>
    <w:p>
      <w:pPr>
        <w:spacing w:after="0" w:line="29" w:lineRule="exact"/>
        <w:rPr>
          <w:rFonts w:ascii="Arial" w:cs="Arial" w:eastAsia="Arial" w:hAnsi="Arial"/>
          <w:sz w:val="16"/>
          <w:szCs w:val="16"/>
          <w:color w:val="auto"/>
        </w:rPr>
      </w:pPr>
    </w:p>
    <w:p>
      <w:pPr>
        <w:ind w:left="1060" w:right="320" w:hanging="424"/>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Systemic Therapeutic Effect. </w:t>
      </w:r>
      <w:r>
        <w:rPr>
          <w:rFonts w:ascii="Arial" w:cs="Arial" w:eastAsia="Arial" w:hAnsi="Arial"/>
          <w:sz w:val="18"/>
          <w:szCs w:val="18"/>
          <w:color w:val="auto"/>
        </w:rPr>
        <w:t>Progeny cells circulate systemically and therefore have the ability to provide therapeutic benefit to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tissues and organs throughout the body.</w:t>
      </w:r>
    </w:p>
    <w:p>
      <w:pPr>
        <w:spacing w:after="0" w:line="75"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History of Safety. </w:t>
      </w:r>
      <w:r>
        <w:rPr>
          <w:rFonts w:ascii="Arial" w:cs="Arial" w:eastAsia="Arial" w:hAnsi="Arial"/>
          <w:sz w:val="18"/>
          <w:szCs w:val="18"/>
          <w:color w:val="auto"/>
        </w:rPr>
        <w:t>Over the past 10 years, no instances of insertional mutagenesis or leukemogenesis from lentiviral vectors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observed in clinical trials in which over 200 total patients have been treated.</w:t>
      </w:r>
    </w:p>
    <w:p>
      <w:pPr>
        <w:spacing w:after="0" w:line="75"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Broad Patient Applicability. </w:t>
      </w:r>
      <w:r>
        <w:rPr>
          <w:rFonts w:ascii="Arial" w:cs="Arial" w:eastAsia="Arial" w:hAnsi="Arial"/>
          <w:sz w:val="18"/>
          <w:szCs w:val="18"/>
          <w:color w:val="auto"/>
        </w:rPr>
        <w:t>Lentiviral-based gene therapies have been used to deliver treatments to patients of all ages, including children,</w:t>
      </w:r>
      <w:r>
        <w:rPr>
          <w:rFonts w:ascii="Arial" w:cs="Arial" w:eastAsia="Arial" w:hAnsi="Arial"/>
          <w:sz w:val="18"/>
          <w:szCs w:val="18"/>
          <w:i w:val="1"/>
          <w:iCs w:val="1"/>
          <w:color w:val="auto"/>
        </w:rPr>
        <w:t xml:space="preserve"> </w:t>
      </w:r>
      <w:r>
        <w:rPr>
          <w:rFonts w:ascii="Arial" w:cs="Arial" w:eastAsia="Arial" w:hAnsi="Arial"/>
          <w:sz w:val="18"/>
          <w:szCs w:val="18"/>
          <w:color w:val="auto"/>
        </w:rPr>
        <w:t>and to patients who may be ineligible for other types of gene therapy due to the presence of preexisting antibodies that fight against viral vectors.</w:t>
      </w:r>
    </w:p>
    <w:p>
      <w:pPr>
        <w:spacing w:after="0" w:line="86"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Larger and Varied Payloads. </w:t>
      </w:r>
      <w:r>
        <w:rPr>
          <w:rFonts w:ascii="Arial" w:cs="Arial" w:eastAsia="Arial" w:hAnsi="Arial"/>
          <w:sz w:val="18"/>
          <w:szCs w:val="18"/>
          <w:color w:val="auto"/>
        </w:rPr>
        <w:t>In contrast to other viral vectors, lentiviruses have the capacity to carry larger gene sequences, which allow</w:t>
      </w:r>
      <w:r>
        <w:rPr>
          <w:rFonts w:ascii="Arial" w:cs="Arial" w:eastAsia="Arial" w:hAnsi="Arial"/>
          <w:sz w:val="18"/>
          <w:szCs w:val="18"/>
          <w:i w:val="1"/>
          <w:iCs w:val="1"/>
          <w:color w:val="auto"/>
        </w:rPr>
        <w:t xml:space="preserve"> </w:t>
      </w:r>
      <w:r>
        <w:rPr>
          <w:rFonts w:ascii="Arial" w:cs="Arial" w:eastAsia="Arial" w:hAnsi="Arial"/>
          <w:sz w:val="18"/>
          <w:szCs w:val="18"/>
          <w:color w:val="auto"/>
        </w:rPr>
        <w:t>them to potentially address a large variety of indications.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Strategic Selection of Our Initial Indications</w:t>
      </w:r>
    </w:p>
    <w:p>
      <w:pPr>
        <w:spacing w:after="0" w:line="117"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There are approximately 50 identified lysosomal storage diseases, which are characterized by an abnormal toxic build-up of by-products in the body’s cells. We are initially targeting Fabry disease, Gaucher disease, Pompe disease and cystinsois. Each of these diseases affects a meaningful number of patients, has a suboptimal standard of care and, we believe, is appropriate for lentiviral-based gene therapy. We believe our approach addresses the shortcomings of existing therapies where patients’ disease continues to progress despite chronic dosing and that our approach has the potential to cure these diseases.</w:t>
      </w:r>
    </w:p>
    <w:p>
      <w:pPr>
        <w:spacing w:after="0" w:line="18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Clinical proof of concept already exists for allogeneic bone marrow transplant in some lysosomal storage diseases, supporting the notion that transplantation of cells that produce normal enzyme can have clinical impact on disease. Experience with allogeneic bone marrow transplant in patients with Gaucher disease provides evidence to support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approach. Additionally, in cystinosis, transplant of human bone marrow and hematopoietic stem cells into a mouse model demonstrates proof of concept efficacy for transplant.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approach allows patients to be their own cell donor, eliminating the need to find a matched bone marrow donor, while reducing the risk of complications related to more intensive conditioning regimens and short-term immunosuppressants utilized in allogeneic cell transplant.</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Expanding the Utility of Lentiviral-Based Gene Therapy with Outpatient Conditioning</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A core part of our approach is to expand the use of lentiviral-based gene therapy to treat numerous diseases. We believe that we will be able to demonstrate durable effects in our targeted diseases with a milder conditioning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regimen which has the potential for reduced short- and long-term toxicities. This, in turn, will make lentiviral-based gene therapy a therapeutic option for less acutely severe diseases or diseases with approved therapies in which large unmet medical needs remain.</w:t>
      </w:r>
    </w:p>
    <w:p>
      <w:pPr>
        <w:spacing w:after="0" w:line="17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 xml:space="preserve">Prior to the reintroduction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modified stem cells, a conditioning regimen is generally required to remove cells from the bone marrow. These conditioning regimens create sufficient space in the bone marrow for the modified hematopoietic stem cells to engraft and produce their progeny cells. Ablation requires the use of cytotoxic drugs that can compromise the patient’s immune system. The degree of immune system compromise increases with the degree of cell removal, so the need for ablation has historically required a risk/benefit assessment to balance the risks of immune system compromise with potential therapeutic benefit in the targeted disease.</w:t>
      </w:r>
    </w:p>
    <w:p>
      <w:pPr>
        <w:spacing w:after="0" w:line="18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 xml:space="preserve">Lentiviral-based gene therapy has been observed to be well-tolerated in third parties’ ongoing clinical trials for diseases such as beta thalassemia, ALD and ADA-SCID. Lentiviral vectors also serve as the tool for gene transfer for CAR-T therapies in cancer. Within gene therapy, the use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therapies has been restricted primarily to the most acutely severe diseases where risks of the typical requirement for heavily ablating the patients’ bone marrow and thus significantly impairing these patients’ immune systems had an acceptable risk/benefit profile. The ablation procedure, also known as the conditioning regimen, is administered prior to the gene therapy. The more intensive the conditioning regimen, the greater the risk of toxicity and thus the need for more intensive in-patient monitoring and potential for lengthy hospitalization.</w:t>
      </w:r>
    </w:p>
    <w:p>
      <w:pPr>
        <w:spacing w:after="0" w:line="16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 xml:space="preserve">In contrast to other diseases with pathophysiologies where gene therapy requires aggressive conditioning regimens, we believe we can generally achieve sufficient cell engraftment in the lysosomal storage diseases on which we are focused by utilizing a milder conditioning regimen. We believe this approach will lead to less immunosuppression and therefore potentially necessitate only an outpatient conditioning regimen. This outpatient regimen has the potential to improve patient tolerability and extend the reach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therapy into a number of diseases.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Enhancing Our Gene Therapies and Industrializing Our Manufacturing Capabilities</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Key to our strategy is to continuously improve our technology and production processes and to leverage these improvements across our gene therapies.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Next Generation Vector Technology</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utilize our core expertise in the development and optimization of lentiviral vectors to continuously improve the vectors used in our gene therapies. We have made and expect to continue to make enhancements to our lentiviral vectors to improve efficacy, efficiency and safety. Our goal is to employ vectors that are state of the art and that can be produced in a cost-effective and scalable manner.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 xml:space="preserve">As one example from early, small-scale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the figures below show the improved efficacy of our optimized proprietary four-plasmid-produced lentiviral vector, or LV2, over the three-plasmid-produced lentiviral vector, or LV1, for Fabry disease and Gaucher disease, as measured by increases in both vector copy number, or VCN, and enzyme activity. VCN refers to the average number of copies of the lentiviral-vector inserted gene that are integrated into the genome of a cell, and multiplicity of infection refers to a measure of the number of infectious viral particles added to an </w:t>
      </w:r>
      <w:r>
        <w:rPr>
          <w:rFonts w:ascii="Arial" w:cs="Arial" w:eastAsia="Arial" w:hAnsi="Arial"/>
          <w:sz w:val="16"/>
          <w:szCs w:val="16"/>
          <w:i w:val="1"/>
          <w:iCs w:val="1"/>
          <w:color w:val="auto"/>
        </w:rPr>
        <w:t xml:space="preserve">in-vitro </w:t>
      </w:r>
      <w:r>
        <w:rPr>
          <w:rFonts w:ascii="Arial" w:cs="Arial" w:eastAsia="Arial" w:hAnsi="Arial"/>
          <w:sz w:val="16"/>
          <w:szCs w:val="16"/>
          <w:color w:val="auto"/>
        </w:rPr>
        <w:t>cell culture in relation to the total number of cells in the culture. As shown in the figures below, increasing the number of infectious viral particles</w:t>
      </w:r>
      <w:r>
        <w:rPr>
          <w:rFonts w:ascii="Arial" w:cs="Arial" w:eastAsia="Arial" w:hAnsi="Arial"/>
          <w:sz w:val="16"/>
          <w:szCs w:val="16"/>
          <w:i w:val="1"/>
          <w:iCs w:val="1"/>
          <w:color w:val="auto"/>
        </w:rPr>
        <w:t xml:space="preserve"> </w:t>
      </w:r>
      <w:r>
        <w:rPr>
          <w:rFonts w:ascii="Arial" w:cs="Arial" w:eastAsia="Arial" w:hAnsi="Arial"/>
          <w:sz w:val="16"/>
          <w:szCs w:val="16"/>
          <w:color w:val="auto"/>
        </w:rPr>
        <w:t>in a cell culture in order to transduce a constant number of cells results in increases in VCN and enzyme activity levels.</w:t>
      </w: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 xml:space="preserve">Increased Enzyme Activity and VCN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with LV2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172085</wp:posOffset>
            </wp:positionV>
            <wp:extent cx="5196840" cy="1792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9684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Development of Industrialized Manufacturing Processes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are establishing global manufacturing relationships that will provide us with drug product manufacturing capabilities to support all aspects of the development and eventual commercialization of our gene therapies. We have key manufacturing partnerships in place for the production of plasmids and vectors used in our gene therapies.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Automated, Closed Manufacturing System</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team has significant experience in cell processing and commercial-scale cellular therapy manufacturing. We have developed and are implementing a detailed plan for the more cost efficient and scalable manufacturing of our gene therapies. In contrast to a number of other gene therapy companies that have not developed their commercial scale plans from the outset, we are currently executing on our plans to move to a closed suspension bioreactor system for vector production as well as a closed, automated system for manufacturing our gene therapy product. We currently have a CMO partner for the production of our cellular drug product in Australia and we have established two CMO partners in the United States who are currently preparing for production with CGMP-readiness in process for AVR-RD-01 and AVR-RD-02. We also plan to establish a CMO partner in Europe.</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Advantages of Cryopreservation</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Our drug product is cryopreserved. In production of our gene therapy for the ongoing Phase 1 clinical trial for AVR-RD-01, greater than 75% cell viability was observed after thaw. Cryopreserved drug product allows for multiple benefits for patients and across the supply chain, including extensive safety testing of the drug product prior to patient administration, convenient patient/clinic scheduling and overall flexibility of supply chain logistics.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80"/>
          </w:cols>
          <w:pgMar w:left="24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Advantages of Our Approach over Existing Therapies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believe our gene therapy solutions offer several potential advantages over existing therapies for lysosomal storage diseases, including:</w:t>
      </w:r>
    </w:p>
    <w:p>
      <w:pPr>
        <w:spacing w:after="0" w:line="142" w:lineRule="exact"/>
        <w:rPr>
          <w:sz w:val="20"/>
          <w:szCs w:val="20"/>
          <w:color w:val="auto"/>
        </w:rPr>
      </w:pPr>
    </w:p>
    <w:p>
      <w:pPr>
        <w:ind w:left="1060" w:hanging="424"/>
        <w:spacing w:after="0" w:line="293" w:lineRule="auto"/>
        <w:tabs>
          <w:tab w:leader="none" w:pos="106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Curative Impact that can Halt or Reverse Disease Progression. </w:t>
      </w:r>
      <w:r>
        <w:rPr>
          <w:rFonts w:ascii="Arial" w:cs="Arial" w:eastAsia="Arial" w:hAnsi="Arial"/>
          <w:sz w:val="16"/>
          <w:szCs w:val="16"/>
          <w:color w:val="auto"/>
        </w:rPr>
        <w:t>Existing ERTs for Fabry, Gaucher and Pompe and oral therapies for</w:t>
      </w:r>
      <w:r>
        <w:rPr>
          <w:rFonts w:ascii="Arial" w:cs="Arial" w:eastAsia="Arial" w:hAnsi="Arial"/>
          <w:sz w:val="16"/>
          <w:szCs w:val="16"/>
          <w:i w:val="1"/>
          <w:iCs w:val="1"/>
          <w:color w:val="auto"/>
        </w:rPr>
        <w:t xml:space="preserve"> </w:t>
      </w:r>
      <w:r>
        <w:rPr>
          <w:rFonts w:ascii="Arial" w:cs="Arial" w:eastAsia="Arial" w:hAnsi="Arial"/>
          <w:sz w:val="16"/>
          <w:szCs w:val="16"/>
          <w:color w:val="auto"/>
        </w:rPr>
        <w:t>cystinosis provide some therapeutic benefit to patients. However, because of their suboptimal pharmacokinetics, these ERTs only temporarily increase plasma enzyme levels and the therapies for cystinosis require multiple doses throughout the day. In contrast, our lentiviral-based gene therapies are designed to cause the body to constantly produce the functional enzyme or other protein. This can potentially halt pathological damage and, depending on the targeted indication and organ system, may even reverse disease progression. Our lentiviral-based gene therapies may provide potentially curative treatment to patients. This concept is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130810</wp:posOffset>
            </wp:positionV>
            <wp:extent cx="4999990" cy="22726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9999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60" w:right="140" w:hanging="424"/>
        <w:spacing w:after="0" w:line="259"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Durable, Single-Dose Treatment. </w:t>
      </w:r>
      <w:r>
        <w:rPr>
          <w:rFonts w:ascii="Arial" w:cs="Arial" w:eastAsia="Arial" w:hAnsi="Arial"/>
          <w:sz w:val="18"/>
          <w:szCs w:val="18"/>
          <w:color w:val="auto"/>
        </w:rPr>
        <w:t>Our gene therapies offer the potential for a single dose to replace life-long, bi-weekly infusions or daily</w:t>
      </w:r>
      <w:r>
        <w:rPr>
          <w:rFonts w:ascii="Arial" w:cs="Arial" w:eastAsia="Arial" w:hAnsi="Arial"/>
          <w:sz w:val="18"/>
          <w:szCs w:val="18"/>
          <w:i w:val="1"/>
          <w:iCs w:val="1"/>
          <w:color w:val="auto"/>
        </w:rPr>
        <w:t xml:space="preserve"> </w:t>
      </w:r>
      <w:r>
        <w:rPr>
          <w:rFonts w:ascii="Arial" w:cs="Arial" w:eastAsia="Arial" w:hAnsi="Arial"/>
          <w:sz w:val="18"/>
          <w:szCs w:val="18"/>
          <w:color w:val="auto"/>
        </w:rPr>
        <w:t>oral therapies that are often accompanied by numerous side effects and impact patients’ quality of life. Our gene therapies are designed to transform the patient’s own cells into a drug product that enables the continuous delivery of functional enzyme or other protein throughout the body after a single dose.</w:t>
      </w:r>
    </w:p>
    <w:p>
      <w:pPr>
        <w:spacing w:after="0" w:line="92" w:lineRule="exact"/>
        <w:rPr>
          <w:rFonts w:ascii="Arial" w:cs="Arial" w:eastAsia="Arial" w:hAnsi="Arial"/>
          <w:sz w:val="18"/>
          <w:szCs w:val="18"/>
          <w:color w:val="auto"/>
        </w:rPr>
      </w:pPr>
    </w:p>
    <w:p>
      <w:pPr>
        <w:ind w:left="1060" w:right="20" w:hanging="424"/>
        <w:spacing w:after="0" w:line="312" w:lineRule="auto"/>
        <w:tabs>
          <w:tab w:leader="none" w:pos="106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Reduced Treatment Cost Over a Patient’s Lifetime. </w:t>
      </w:r>
      <w:r>
        <w:rPr>
          <w:rFonts w:ascii="Arial" w:cs="Arial" w:eastAsia="Arial" w:hAnsi="Arial"/>
          <w:sz w:val="16"/>
          <w:szCs w:val="16"/>
          <w:color w:val="auto"/>
        </w:rPr>
        <w:t>Existing ERTs and oral therapies can cost millions of dollars over a patient’s lifetime</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these therapies require frequent doses of expensive treatments to manage symptoms. Our single-dose gene therapies are designed to replace the costly chronic intravenous and oral therapies that are the current standard of care for patients with lysosomal storage diseases.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80"/>
          </w:cols>
          <w:pgMar w:left="24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jc w:val="both"/>
        <w:ind w:left="200" w:right="40" w:firstLine="441"/>
        <w:spacing w:after="0" w:line="302" w:lineRule="auto"/>
        <w:rPr>
          <w:sz w:val="20"/>
          <w:szCs w:val="20"/>
          <w:color w:val="auto"/>
        </w:rPr>
      </w:pPr>
      <w:r>
        <w:rPr>
          <w:rFonts w:ascii="Arial" w:cs="Arial" w:eastAsia="Arial" w:hAnsi="Arial"/>
          <w:sz w:val="16"/>
          <w:szCs w:val="16"/>
          <w:color w:val="auto"/>
        </w:rPr>
        <w:t>Our initial gene therapies are AVR-RD-01 for the treatment of Fabry disease, AVR-RD-02 for the treatment of Gaucher disease, AVR-RD-03 for the treatment of Pompe disease and AVR-RD-04 for the treatment of cystinosis. AVR-RD-01 is currently being evaluated in a Phase 1 clinical trial and we expect to begin enrolling our Phase 2 clinical trial in mid-2018. In addition, Phase 1/2 clinical trials for both AVR-RD-02 and AVR-RD-04 are being planned and we expect patients will be dosed in 2019. The status of our initial lentiviral-based gene therapy programs is reflected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AVR-RD-01, Our Gene Therapy for Fabry Disease</w:t>
      </w:r>
    </w:p>
    <w:p>
      <w:pPr>
        <w:spacing w:after="0" w:line="121"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We are developing AVR-RD-01 for the treatment of Fabry disease. We manufacture AVR-RD-01 from stem cells that are first extracted from the patient, modified to add the gene that encodes for AGA, and then infused into the patient. AVR-RD-01 is currently being investigated in an academic-sponsored Phase 1 clinical trial and has been well tolerated and demonstrated increased enzyme activity to-date. We anticipate beginning enrollment in our concurrent multinational Phase 2 clinical trial in mid-2018.</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Fabry disease is a rare lysosomal storage disease associated with significant morbidity and early mortality. It is caused by a gene defect that causes a deficiency of AGA, which breaks down a particular type of fat in the body’s cells known as globotriaosylceramide, or Gb3. As Gb3 and other related substrates increase in patients with Fabry disease, Gb3 becomes toxic to the patient’s cells. Gb3 and other glycosphingolipids accumulate and result in damage to the kidneys, heart and brain. Accumulation of Gb3 in tissues such as the heart and the vascular system can lead to life threatening vascular blockages and thus stroke and heart attacks. In addition, high levels of Gb3 substrate accumulation in the kidney can cause kidney failure. Gb3 can also accumulate in other tissues, such as the nervous system where it leads to debilitating pain. Due to end-stage renal disease and other life-threatening complications associated with Fabry disease, the average life expectancy in affected males is approximately 58 years of age.</w:t>
      </w:r>
    </w:p>
    <w:p>
      <w:pPr>
        <w:spacing w:after="0" w:line="16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Most patients with Fabry disease begin experiencing chronic pain in childhood but are often not diagnosed with Fabry disease until their twenties, due to a broad variation in patient symptoms. Over 1,000 gene mutations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308" w:lineRule="auto"/>
        <w:rPr>
          <w:sz w:val="20"/>
          <w:szCs w:val="20"/>
          <w:color w:val="auto"/>
        </w:rPr>
      </w:pPr>
      <w:r>
        <w:rPr>
          <w:rFonts w:ascii="Arial" w:cs="Arial" w:eastAsia="Arial" w:hAnsi="Arial"/>
          <w:sz w:val="17"/>
          <w:szCs w:val="17"/>
          <w:color w:val="auto"/>
        </w:rPr>
        <w:t>associated with Fabry disease have been identified. It is estimated that Fabry disease is diagnosed in approximately one in 40,000 males and one in 118,000 females in the United States, but studies have suggested that a larger number of patients may be undiagnosed.</w:t>
      </w:r>
    </w:p>
    <w:p>
      <w:pPr>
        <w:spacing w:after="0" w:line="14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Fabry disease is an X-linked disorder, with the responsible gene located on the X chromosome. Because males have only one X chromosome, an abnormal copy of the gene that causes Fabry disease is sufficient to cause the disease. However, unlike other X-linked disorders, where female carriers of an abnormal gene are usually unaffected, Fabry disease also often causes significant morbidity in females who inherit one abnormal copy and one normal copy of the gene associated with the disease.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Fabry disease is primarily treated with periodic infusions of ERT consisting of AGA enzyme over the patient’s lifetime. The most commonly prescribed ERTs for Fabry disease are Fabrazyme, marketed by Sanofi Genzyme, and Replagal, marketed by Shire. In 2017, Fabrazyme and Replagal generated worldwide net sales of over $880 million and $470 million, respectively. The annual average cost to the healthcare system per patient prescribed Fabrazyme in the United States is approximately $320,000. In addition, because ERTs are not curative and only slow, but do not halt, the progression of disease, patients deteriorate and the healthcare system incurs significant costs associated with recurring medical interventions.</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ERT provides therapeutic benefit and can reduce Gb3 substrate levels and extend a patient’s life expectancy, ERT requires chronic infusions throughout the patient’s life. Patients prescribed ERT generally receive an infusion every other week. However, because of their suboptimal pharmacokinetics, ERTs only temporarily increase plasma enzyme levels. As a result, patients with Fabry disease prescribed ERT continue to have disease progression, including ongoing decline in renal function, potentially including renal failure, cardiovascular disease and ongoing debilitating pain including periods of severe pain crisis. Physicians report that patients have recurrence of symptoms as the therapeutic effect of ERT wanes between bi-weekly treatments.</w:t>
      </w:r>
    </w:p>
    <w:p>
      <w:pPr>
        <w:spacing w:after="0" w:line="193"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Alternatives to ERT for patients with Fabry disease are limited. Galafold (migalastat), an oral therapy marketed by Amicus, was approved by the European Medicines Agency, or EMA, in May 2016, and Amicus has also submitted a new drug application, or NDA, for migalastat to the FDA. Amicus reports that only 35% to 50% of the gene mutations associated with Fabry disease are amenable to migalastat.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 xml:space="preserve">We are developing AVR-RD-01 to halt disease progression and potentially cure patients with Fabry disease with a single dose of the patient’s own hematopoietic stem cells modified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procedure. AVR-RD-01 is a lentiviral-based gene therapy that contains a codon-optimized human gene and is designed to maximize the likelihood of sustained AGA production by hematopoietic stem cells and their progeny.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AVR-RD-01 offers a promising treatment for Fabry disease for the following reasons:</w:t>
      </w:r>
    </w:p>
    <w:p>
      <w:pPr>
        <w:spacing w:after="0" w:line="131" w:lineRule="exact"/>
        <w:rPr>
          <w:sz w:val="20"/>
          <w:szCs w:val="20"/>
          <w:color w:val="auto"/>
        </w:rPr>
      </w:pPr>
    </w:p>
    <w:p>
      <w:pPr>
        <w:ind w:left="1060" w:right="14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One-Time Delivery. </w:t>
      </w:r>
      <w:r>
        <w:rPr>
          <w:rFonts w:ascii="Arial" w:cs="Arial" w:eastAsia="Arial" w:hAnsi="Arial"/>
          <w:sz w:val="18"/>
          <w:szCs w:val="18"/>
          <w:color w:val="auto"/>
        </w:rPr>
        <w:t>Lentiviral-based gene therapy provides the potential to transform a patient’s own cells into a drug product that enables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continuous delivery of active enzyme throughout the body after a single dose.</w:t>
      </w:r>
    </w:p>
    <w:p>
      <w:pPr>
        <w:spacing w:after="0" w:line="75"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Proven Biology. </w:t>
      </w:r>
      <w:r>
        <w:rPr>
          <w:rFonts w:ascii="Arial" w:cs="Arial" w:eastAsia="Arial" w:hAnsi="Arial"/>
          <w:sz w:val="18"/>
          <w:szCs w:val="18"/>
          <w:color w:val="auto"/>
        </w:rPr>
        <w:t>Years of observations of patients prescribed ERT indicate that even partial plasma AGA activity is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outcomes. Increased AGA enzyme is able to reduce Gb3 levels in multiple cells and tissues supporting the ability of AGA in the plasma to enter lysosomes and degrade Gb3 in a process referred to as cross correction.</w:t>
      </w:r>
    </w:p>
    <w:p>
      <w:pPr>
        <w:spacing w:after="0" w:line="86"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Wide Therapeutic Window. </w:t>
      </w:r>
      <w:r>
        <w:rPr>
          <w:rFonts w:ascii="Arial" w:cs="Arial" w:eastAsia="Arial" w:hAnsi="Arial"/>
          <w:sz w:val="18"/>
          <w:szCs w:val="18"/>
          <w:color w:val="auto"/>
        </w:rPr>
        <w:t>We believe that even partial enzyme activity, if continuous, has the potential to provide long-term therapeutic</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A wide range of levels of plasma AGA activity has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24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60"/>
        <w:spacing w:after="0" w:line="277" w:lineRule="auto"/>
        <w:rPr>
          <w:sz w:val="20"/>
          <w:szCs w:val="20"/>
          <w:color w:val="auto"/>
        </w:rPr>
      </w:pPr>
      <w:r>
        <w:rPr>
          <w:rFonts w:ascii="Arial" w:cs="Arial" w:eastAsia="Arial" w:hAnsi="Arial"/>
          <w:sz w:val="18"/>
          <w:szCs w:val="18"/>
          <w:color w:val="auto"/>
        </w:rPr>
        <w:t>been demonstrated to be both safe and effective in preclinical studies, reducing the need for precise regulation of enzyme expression levels and reinforcing that overexpression of AGA is not associated with increased safety risks.</w:t>
      </w:r>
    </w:p>
    <w:p>
      <w:pPr>
        <w:spacing w:after="0" w:line="76" w:lineRule="exact"/>
        <w:rPr>
          <w:sz w:val="20"/>
          <w:szCs w:val="20"/>
          <w:color w:val="auto"/>
        </w:rPr>
      </w:pPr>
    </w:p>
    <w:p>
      <w:pPr>
        <w:ind w:left="1060" w:right="380" w:hanging="424"/>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Mutation Independent. </w:t>
      </w:r>
      <w:r>
        <w:rPr>
          <w:rFonts w:ascii="Arial" w:cs="Arial" w:eastAsia="Arial" w:hAnsi="Arial"/>
          <w:sz w:val="18"/>
          <w:szCs w:val="18"/>
          <w:color w:val="auto"/>
        </w:rPr>
        <w:t>AVR-RD-01 is designed to increase plasma AGA levels in a patient’s cells, regardless of which of the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1,000 specific mutations underlie the patient’s disease.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Ongoing Multicenter Clinical Trial</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an ongoing Phase 1 clinical trial of AVR-RD-01 being conducted by the University Health Network, or UHN, at three centers in Canada, up to six patients with Fabry disease who have been treated with ERT for at least six months are expected to be enrolled. In this clinical trial, ERT for these patients is suspended one month prior to receiving AVR-RD-01 and ERT is then resumed one month after the AVR-RD-01 treatment and continued at bi-weekly intervals.</w:t>
      </w:r>
    </w:p>
    <w:p>
      <w:pPr>
        <w:spacing w:after="0" w:line="18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primary goal for this clinical trial is to assess the safety and toxicity of AVR-RD-01 as measured by the frequency of clinically notable abnormal vital signs and laboratory values and the frequency of treatment-related adverse events. The safety of our out-patient conditioning regimen is also being assessed in this clinical trial.</w:t>
      </w:r>
    </w:p>
    <w:p>
      <w:pPr>
        <w:spacing w:after="0" w:line="181"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A secondary objective for this clinical trial is to obtain preliminary efficacy signals of AVR-RD-01 therapy as assessed by AGA enzyme activity. Plasma AGA enzyme activity derived from administration of ERT decreases rapidly after administration with no residual plasma activity remaining approximately one day after treatment. To evaluate the ability of AVR-RD-01 to increase enzyme activity, we assess the level of AGA activity in a patient immediately prior to the administration of the patient’s next dose of ERT, when limited or no plasma AGA activity would be expected.</w:t>
      </w:r>
    </w:p>
    <w:p>
      <w:pPr>
        <w:spacing w:after="0" w:line="154"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first two patients in this clinical trial have been dosed and the treatment was well tolerated. In these patients, both of whom are male, the level of plasma AGA enzyme activity began to rise within days of receiving AVR-RD-01, from nearly undetectable levels before treatment to levels above the range for males with classic Fabry disease, defined as less than 1 nmol/hr/ml.</w:t>
      </w:r>
    </w:p>
    <w:p>
      <w:pPr>
        <w:spacing w:after="0" w:line="181"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As of twelve months after receiving AVR-RD-01, the first patient’s plasma AGA enzyme activity levels continued to be above the range for males with classic Fabry disease. AGA enzyme activity levels in the second patient remained above the range for males with classic Fabry disease as of one month after treatment. We believe these preliminary results support the potential of AVR-RD-01 to drive active enzyme production for long durations.</w:t>
      </w: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Plasma AGA Activity (nmol/hr/ml) Following Treatment with AVR-RD-01</w:t>
      </w:r>
    </w:p>
    <w:p>
      <w:pPr>
        <w:spacing w:after="0" w:line="251" w:lineRule="exact"/>
        <w:rPr>
          <w:sz w:val="20"/>
          <w:szCs w:val="20"/>
          <w:color w:val="auto"/>
        </w:rPr>
      </w:pPr>
    </w:p>
    <w:tbl>
      <w:tblPr>
        <w:tblLayout w:type="fixed"/>
        <w:tblInd w:w="230" w:type="dxa"/>
        <w:tblCellMar>
          <w:top w:w="0" w:type="dxa"/>
          <w:left w:w="0" w:type="dxa"/>
          <w:bottom w:w="0" w:type="dxa"/>
          <w:right w:w="0" w:type="dxa"/>
        </w:tblCellMar>
      </w:tblPr>
      <w:tr>
        <w:trPr>
          <w:trHeight w:val="139"/>
        </w:trPr>
        <w:tc>
          <w:tcPr>
            <w:tcW w:w="2540" w:type="dxa"/>
            <w:vAlign w:val="bottom"/>
            <w:tcBorders>
              <w:top w:val="single" w:sz="8" w:color="auto"/>
              <w:left w:val="single" w:sz="8" w:color="auto"/>
              <w:right w:val="single" w:sz="8" w:color="auto"/>
            </w:tcBorders>
          </w:tcPr>
          <w:p>
            <w:pPr>
              <w:spacing w:after="0"/>
              <w:rPr>
                <w:sz w:val="12"/>
                <w:szCs w:val="12"/>
                <w:color w:val="auto"/>
              </w:rPr>
            </w:pPr>
          </w:p>
        </w:tc>
        <w:tc>
          <w:tcPr>
            <w:tcW w:w="3440" w:type="dxa"/>
            <w:vAlign w:val="bottom"/>
            <w:tcBorders>
              <w:top w:val="single" w:sz="8" w:color="auto"/>
              <w:right w:val="single" w:sz="8" w:color="auto"/>
            </w:tcBorders>
          </w:tcPr>
          <w:p>
            <w:pPr>
              <w:jc w:val="center"/>
              <w:ind w:left="1617"/>
              <w:spacing w:after="0" w:line="139" w:lineRule="exact"/>
              <w:rPr>
                <w:sz w:val="20"/>
                <w:szCs w:val="20"/>
                <w:color w:val="auto"/>
              </w:rPr>
            </w:pPr>
            <w:r>
              <w:rPr>
                <w:rFonts w:ascii="Arial" w:cs="Arial" w:eastAsia="Arial" w:hAnsi="Arial"/>
                <w:sz w:val="14"/>
                <w:szCs w:val="14"/>
                <w:b w:val="1"/>
                <w:bCs w:val="1"/>
                <w:color w:val="auto"/>
                <w:w w:val="90"/>
              </w:rPr>
              <w:t>Day 0</w:t>
            </w:r>
          </w:p>
        </w:tc>
        <w:tc>
          <w:tcPr>
            <w:tcW w:w="2440" w:type="dxa"/>
            <w:vAlign w:val="bottom"/>
            <w:tcBorders>
              <w:top w:val="single" w:sz="8" w:color="auto"/>
              <w:right w:val="single" w:sz="8" w:color="auto"/>
            </w:tcBorders>
          </w:tcPr>
          <w:p>
            <w:pPr>
              <w:jc w:val="right"/>
              <w:ind w:right="96"/>
              <w:spacing w:after="0" w:line="139" w:lineRule="exact"/>
              <w:rPr>
                <w:sz w:val="20"/>
                <w:szCs w:val="20"/>
                <w:color w:val="auto"/>
              </w:rPr>
            </w:pPr>
            <w:r>
              <w:rPr>
                <w:rFonts w:ascii="Arial" w:cs="Arial" w:eastAsia="Arial" w:hAnsi="Arial"/>
                <w:sz w:val="14"/>
                <w:szCs w:val="14"/>
                <w:b w:val="1"/>
                <w:bCs w:val="1"/>
                <w:color w:val="auto"/>
              </w:rPr>
              <w:t>1 Month</w:t>
            </w:r>
          </w:p>
        </w:tc>
        <w:tc>
          <w:tcPr>
            <w:tcW w:w="2620" w:type="dxa"/>
            <w:vAlign w:val="bottom"/>
            <w:tcBorders>
              <w:top w:val="single" w:sz="8" w:color="auto"/>
              <w:right w:val="single" w:sz="8" w:color="auto"/>
            </w:tcBorders>
          </w:tcPr>
          <w:p>
            <w:pPr>
              <w:ind w:left="1740"/>
              <w:spacing w:after="0" w:line="139" w:lineRule="exact"/>
              <w:rPr>
                <w:sz w:val="20"/>
                <w:szCs w:val="20"/>
                <w:color w:val="auto"/>
              </w:rPr>
            </w:pPr>
            <w:r>
              <w:rPr>
                <w:rFonts w:ascii="Arial" w:cs="Arial" w:eastAsia="Arial" w:hAnsi="Arial"/>
                <w:sz w:val="14"/>
                <w:szCs w:val="14"/>
                <w:b w:val="1"/>
                <w:bCs w:val="1"/>
                <w:color w:val="auto"/>
              </w:rPr>
              <w:t>12 Months</w:t>
            </w:r>
          </w:p>
        </w:tc>
      </w:tr>
      <w:tr>
        <w:trPr>
          <w:trHeight w:val="185"/>
        </w:trPr>
        <w:tc>
          <w:tcPr>
            <w:tcW w:w="2540" w:type="dxa"/>
            <w:vAlign w:val="bottom"/>
            <w:tcBorders>
              <w:left w:val="single" w:sz="8" w:color="auto"/>
              <w:bottom w:val="single" w:sz="8" w:color="auto"/>
              <w:right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(Infusion of AVR-RD-01)</w:t>
            </w:r>
          </w:p>
        </w:tc>
        <w:tc>
          <w:tcPr>
            <w:tcW w:w="2440" w:type="dxa"/>
            <w:vAlign w:val="bottom"/>
            <w:tcBorders>
              <w:bottom w:val="single" w:sz="8" w:color="auto"/>
              <w:right w:val="single" w:sz="8" w:color="auto"/>
            </w:tcBorders>
          </w:tcPr>
          <w:p>
            <w:pPr>
              <w:spacing w:after="0"/>
              <w:rPr>
                <w:sz w:val="16"/>
                <w:szCs w:val="16"/>
                <w:color w:val="auto"/>
              </w:rPr>
            </w:pPr>
          </w:p>
        </w:tc>
        <w:tc>
          <w:tcPr>
            <w:tcW w:w="2620" w:type="dxa"/>
            <w:vAlign w:val="bottom"/>
            <w:tcBorders>
              <w:bottom w:val="single" w:sz="8" w:color="auto"/>
              <w:right w:val="single" w:sz="8" w:color="auto"/>
            </w:tcBorders>
          </w:tcPr>
          <w:p>
            <w:pPr>
              <w:spacing w:after="0"/>
              <w:rPr>
                <w:sz w:val="16"/>
                <w:szCs w:val="16"/>
                <w:color w:val="auto"/>
              </w:rPr>
            </w:pPr>
          </w:p>
        </w:tc>
      </w:tr>
      <w:tr>
        <w:trPr>
          <w:trHeight w:val="210"/>
        </w:trPr>
        <w:tc>
          <w:tcPr>
            <w:tcW w:w="254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Patient 1</w:t>
            </w:r>
          </w:p>
        </w:tc>
        <w:tc>
          <w:tcPr>
            <w:tcW w:w="3440" w:type="dxa"/>
            <w:vAlign w:val="bottom"/>
            <w:tcBorders>
              <w:bottom w:val="single" w:sz="8" w:color="auto"/>
              <w:right w:val="single" w:sz="8" w:color="auto"/>
            </w:tcBorders>
            <w:shd w:val="clear" w:color="auto" w:fill="CCEEFF"/>
          </w:tcPr>
          <w:p>
            <w:pPr>
              <w:jc w:val="center"/>
              <w:ind w:left="1617"/>
              <w:spacing w:after="0"/>
              <w:rPr>
                <w:sz w:val="20"/>
                <w:szCs w:val="20"/>
                <w:color w:val="auto"/>
              </w:rPr>
            </w:pPr>
            <w:r>
              <w:rPr>
                <w:rFonts w:ascii="Arial" w:cs="Arial" w:eastAsia="Arial" w:hAnsi="Arial"/>
                <w:sz w:val="18"/>
                <w:szCs w:val="18"/>
                <w:color w:val="auto"/>
                <w:w w:val="87"/>
              </w:rPr>
              <w:t>0.1</w:t>
            </w:r>
          </w:p>
        </w:tc>
        <w:tc>
          <w:tcPr>
            <w:tcW w:w="2440" w:type="dxa"/>
            <w:vAlign w:val="bottom"/>
            <w:tcBorders>
              <w:bottom w:val="single" w:sz="8" w:color="auto"/>
              <w:right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5.1</w:t>
            </w:r>
          </w:p>
        </w:tc>
        <w:tc>
          <w:tcPr>
            <w:tcW w:w="2620" w:type="dxa"/>
            <w:vAlign w:val="bottom"/>
            <w:tcBorders>
              <w:bottom w:val="single" w:sz="8" w:color="auto"/>
              <w:right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5.8</w:t>
            </w:r>
          </w:p>
        </w:tc>
      </w:tr>
      <w:tr>
        <w:trPr>
          <w:trHeight w:val="210"/>
        </w:trPr>
        <w:tc>
          <w:tcPr>
            <w:tcW w:w="25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Patient 2</w:t>
            </w:r>
          </w:p>
        </w:tc>
        <w:tc>
          <w:tcPr>
            <w:tcW w:w="3440" w:type="dxa"/>
            <w:vAlign w:val="bottom"/>
            <w:tcBorders>
              <w:bottom w:val="single" w:sz="8" w:color="auto"/>
              <w:right w:val="single" w:sz="8" w:color="auto"/>
            </w:tcBorders>
          </w:tcPr>
          <w:p>
            <w:pPr>
              <w:jc w:val="center"/>
              <w:ind w:left="1617"/>
              <w:spacing w:after="0"/>
              <w:rPr>
                <w:sz w:val="20"/>
                <w:szCs w:val="20"/>
                <w:color w:val="auto"/>
              </w:rPr>
            </w:pPr>
            <w:r>
              <w:rPr>
                <w:rFonts w:ascii="Arial" w:cs="Arial" w:eastAsia="Arial" w:hAnsi="Arial"/>
                <w:sz w:val="18"/>
                <w:szCs w:val="18"/>
                <w:color w:val="auto"/>
                <w:w w:val="87"/>
              </w:rPr>
              <w:t>0.2</w:t>
            </w:r>
          </w:p>
        </w:tc>
        <w:tc>
          <w:tcPr>
            <w:tcW w:w="2440" w:type="dxa"/>
            <w:vAlign w:val="bottom"/>
            <w:tcBorders>
              <w:bottom w:val="single" w:sz="8" w:color="auto"/>
              <w:right w:val="single" w:sz="8" w:color="auto"/>
            </w:tcBorders>
          </w:tcPr>
          <w:p>
            <w:pPr>
              <w:jc w:val="right"/>
              <w:ind w:right="216"/>
              <w:spacing w:after="0"/>
              <w:rPr>
                <w:sz w:val="20"/>
                <w:szCs w:val="20"/>
                <w:color w:val="auto"/>
              </w:rPr>
            </w:pPr>
            <w:r>
              <w:rPr>
                <w:rFonts w:ascii="Arial" w:cs="Arial" w:eastAsia="Arial" w:hAnsi="Arial"/>
                <w:sz w:val="18"/>
                <w:szCs w:val="18"/>
                <w:color w:val="auto"/>
              </w:rPr>
              <w:t>4.4</w:t>
            </w:r>
          </w:p>
        </w:tc>
        <w:tc>
          <w:tcPr>
            <w:tcW w:w="2620" w:type="dxa"/>
            <w:vAlign w:val="bottom"/>
            <w:tcBorders>
              <w:bottom w:val="single" w:sz="8" w:color="auto"/>
              <w:right w:val="single" w:sz="8" w:color="auto"/>
            </w:tcBorders>
          </w:tcPr>
          <w:p>
            <w:pPr>
              <w:jc w:val="center"/>
              <w:ind w:left="1556"/>
              <w:spacing w:after="0"/>
              <w:rPr>
                <w:sz w:val="20"/>
                <w:szCs w:val="20"/>
                <w:color w:val="auto"/>
              </w:rPr>
            </w:pPr>
            <w:r>
              <w:rPr>
                <w:rFonts w:ascii="Arial" w:cs="Arial" w:eastAsia="Arial" w:hAnsi="Arial"/>
                <w:sz w:val="18"/>
                <w:szCs w:val="18"/>
                <w:color w:val="auto"/>
                <w:w w:val="99"/>
              </w:rPr>
              <w:t>N/A</w:t>
            </w:r>
          </w:p>
        </w:tc>
      </w:tr>
      <w:tr>
        <w:trPr>
          <w:trHeight w:val="358"/>
        </w:trPr>
        <w:tc>
          <w:tcPr>
            <w:tcW w:w="2540" w:type="dxa"/>
            <w:vAlign w:val="bottom"/>
          </w:tcPr>
          <w:p>
            <w:pPr>
              <w:spacing w:after="0"/>
              <w:rPr>
                <w:sz w:val="24"/>
                <w:szCs w:val="24"/>
                <w:color w:val="auto"/>
              </w:rPr>
            </w:pPr>
          </w:p>
        </w:tc>
        <w:tc>
          <w:tcPr>
            <w:tcW w:w="3440" w:type="dxa"/>
            <w:vAlign w:val="bottom"/>
          </w:tcPr>
          <w:p>
            <w:pPr>
              <w:jc w:val="right"/>
              <w:ind w:right="317"/>
              <w:spacing w:after="0"/>
              <w:rPr>
                <w:sz w:val="20"/>
                <w:szCs w:val="20"/>
                <w:color w:val="auto"/>
              </w:rPr>
            </w:pPr>
            <w:r>
              <w:rPr>
                <w:rFonts w:ascii="Arial" w:cs="Arial" w:eastAsia="Arial" w:hAnsi="Arial"/>
                <w:sz w:val="18"/>
                <w:szCs w:val="18"/>
                <w:color w:val="auto"/>
              </w:rPr>
              <w:t>96</w:t>
            </w:r>
          </w:p>
        </w:tc>
        <w:tc>
          <w:tcPr>
            <w:tcW w:w="244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below graph illustrates the levels of plasma AGA activity following AVR-RD-01 treatment in the two patients over various points in time.</w:t>
      </w:r>
    </w:p>
    <w:p>
      <w:pPr>
        <w:spacing w:after="0" w:line="200" w:lineRule="exact"/>
        <w:rPr>
          <w:sz w:val="20"/>
          <w:szCs w:val="20"/>
          <w:color w:val="auto"/>
        </w:rPr>
      </w:pPr>
    </w:p>
    <w:p>
      <w:pPr>
        <w:spacing w:after="0" w:line="24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Expression of Functional Plasma 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172085</wp:posOffset>
            </wp:positionV>
            <wp:extent cx="5076825" cy="1783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7682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VCN refers to the average number of copies of the lentiviral-vector inserted gene that are integrated into the genome of a cell. It is typically expressed as an average VCN for a cell population.</w:t>
      </w:r>
    </w:p>
    <w:p>
      <w:pPr>
        <w:spacing w:after="0" w:line="170"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 xml:space="preserve">We believe the trends in average VCN observed for both AVR-RD-01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nucleated blood cells in the ongoing Phase 1 clinical trial are consistent with the trends observed in a 2017 published study on hematopoietic stem cell gene therapy for ALD in the </w:t>
      </w:r>
      <w:r>
        <w:rPr>
          <w:rFonts w:ascii="Arial" w:cs="Arial" w:eastAsia="Arial" w:hAnsi="Arial"/>
          <w:sz w:val="18"/>
          <w:szCs w:val="18"/>
          <w:i w:val="1"/>
          <w:iCs w:val="1"/>
          <w:color w:val="auto"/>
        </w:rPr>
        <w:t>New England Journal of</w:t>
      </w:r>
      <w:r>
        <w:rPr>
          <w:rFonts w:ascii="Arial" w:cs="Arial" w:eastAsia="Arial" w:hAnsi="Arial"/>
          <w:sz w:val="18"/>
          <w:szCs w:val="18"/>
          <w:color w:val="auto"/>
        </w:rPr>
        <w:t xml:space="preserve"> </w:t>
      </w:r>
      <w:r>
        <w:rPr>
          <w:rFonts w:ascii="Arial" w:cs="Arial" w:eastAsia="Arial" w:hAnsi="Arial"/>
          <w:sz w:val="18"/>
          <w:szCs w:val="18"/>
          <w:i w:val="1"/>
          <w:iCs w:val="1"/>
          <w:color w:val="auto"/>
        </w:rPr>
        <w:t>Medicine</w:t>
      </w:r>
      <w:r>
        <w:rPr>
          <w:rFonts w:ascii="Arial" w:cs="Arial" w:eastAsia="Arial" w:hAnsi="Arial"/>
          <w:sz w:val="18"/>
          <w:szCs w:val="18"/>
          <w:color w:val="auto"/>
        </w:rPr>
        <w:t>. The table below reflects average VCN data observed for the first two patients in the ongoing Phase 1 clinical trial. Importantly, these VCNs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sufficient to generate plasma AGA enzyme activity in these two patients that was continuously above the range for males with classic Fabry disease.</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Average VCN in Patients Dosed with AVR-RD-01 in the Ongoing Phase 1 Clinical Trial</w:t>
      </w:r>
    </w:p>
    <w:p>
      <w:pPr>
        <w:spacing w:after="0" w:line="251"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360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3680" w:type="dxa"/>
            <w:vAlign w:val="bottom"/>
            <w:tcBorders>
              <w:top w:val="single" w:sz="8" w:color="auto"/>
              <w:bottom w:val="single" w:sz="8" w:color="auto"/>
              <w:right w:val="single" w:sz="8" w:color="auto"/>
            </w:tcBorders>
          </w:tcPr>
          <w:p>
            <w:pPr>
              <w:jc w:val="center"/>
              <w:ind w:left="3012"/>
              <w:spacing w:after="0"/>
              <w:rPr>
                <w:sz w:val="20"/>
                <w:szCs w:val="20"/>
                <w:color w:val="auto"/>
              </w:rPr>
            </w:pPr>
            <w:r>
              <w:rPr>
                <w:rFonts w:ascii="Arial" w:cs="Arial" w:eastAsia="Arial" w:hAnsi="Arial"/>
                <w:sz w:val="14"/>
                <w:szCs w:val="14"/>
                <w:b w:val="1"/>
                <w:bCs w:val="1"/>
                <w:color w:val="auto"/>
                <w:w w:val="92"/>
              </w:rPr>
              <w:t>Patient 1</w:t>
            </w:r>
          </w:p>
        </w:tc>
        <w:tc>
          <w:tcPr>
            <w:tcW w:w="37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Patient 2</w:t>
            </w:r>
          </w:p>
        </w:tc>
      </w:tr>
      <w:tr>
        <w:trPr>
          <w:trHeight w:val="210"/>
        </w:trPr>
        <w:tc>
          <w:tcPr>
            <w:tcW w:w="36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Drug Product VCN (day 2)</w:t>
            </w:r>
          </w:p>
        </w:tc>
        <w:tc>
          <w:tcPr>
            <w:tcW w:w="3680" w:type="dxa"/>
            <w:vAlign w:val="bottom"/>
            <w:tcBorders>
              <w:bottom w:val="single" w:sz="8" w:color="auto"/>
              <w:right w:val="single" w:sz="8" w:color="auto"/>
            </w:tcBorders>
            <w:shd w:val="clear" w:color="auto" w:fill="CCEEFF"/>
          </w:tcPr>
          <w:p>
            <w:pPr>
              <w:jc w:val="center"/>
              <w:ind w:left="2992"/>
              <w:spacing w:after="0"/>
              <w:rPr>
                <w:sz w:val="20"/>
                <w:szCs w:val="20"/>
                <w:color w:val="auto"/>
              </w:rPr>
            </w:pPr>
            <w:r>
              <w:rPr>
                <w:rFonts w:ascii="Arial" w:cs="Arial" w:eastAsia="Arial" w:hAnsi="Arial"/>
                <w:sz w:val="18"/>
                <w:szCs w:val="18"/>
                <w:color w:val="auto"/>
                <w:w w:val="91"/>
              </w:rPr>
              <w:t>1.13</w:t>
            </w:r>
          </w:p>
        </w:tc>
        <w:tc>
          <w:tcPr>
            <w:tcW w:w="376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1.67</w:t>
            </w:r>
          </w:p>
        </w:tc>
      </w:tr>
      <w:tr>
        <w:trPr>
          <w:trHeight w:val="210"/>
        </w:trPr>
        <w:tc>
          <w:tcPr>
            <w:tcW w:w="36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Drug Product VCN (day 4)</w:t>
            </w:r>
          </w:p>
        </w:tc>
        <w:tc>
          <w:tcPr>
            <w:tcW w:w="3680" w:type="dxa"/>
            <w:vAlign w:val="bottom"/>
            <w:tcBorders>
              <w:bottom w:val="single" w:sz="8" w:color="auto"/>
              <w:right w:val="single" w:sz="8" w:color="auto"/>
            </w:tcBorders>
          </w:tcPr>
          <w:p>
            <w:pPr>
              <w:jc w:val="center"/>
              <w:ind w:left="2992"/>
              <w:spacing w:after="0"/>
              <w:rPr>
                <w:sz w:val="20"/>
                <w:szCs w:val="20"/>
                <w:color w:val="auto"/>
              </w:rPr>
            </w:pPr>
            <w:r>
              <w:rPr>
                <w:rFonts w:ascii="Arial" w:cs="Arial" w:eastAsia="Arial" w:hAnsi="Arial"/>
                <w:sz w:val="18"/>
                <w:szCs w:val="18"/>
                <w:color w:val="auto"/>
                <w:w w:val="91"/>
              </w:rPr>
              <w:t>0.68</w:t>
            </w:r>
          </w:p>
        </w:tc>
        <w:tc>
          <w:tcPr>
            <w:tcW w:w="37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8"/>
                <w:szCs w:val="18"/>
                <w:color w:val="auto"/>
              </w:rPr>
              <w:t>1.43</w:t>
            </w:r>
          </w:p>
        </w:tc>
      </w:tr>
      <w:tr>
        <w:trPr>
          <w:trHeight w:val="210"/>
        </w:trPr>
        <w:tc>
          <w:tcPr>
            <w:tcW w:w="36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1 month VCN</w:t>
            </w:r>
          </w:p>
        </w:tc>
        <w:tc>
          <w:tcPr>
            <w:tcW w:w="3680" w:type="dxa"/>
            <w:vAlign w:val="bottom"/>
            <w:tcBorders>
              <w:bottom w:val="single" w:sz="8" w:color="auto"/>
              <w:right w:val="single" w:sz="8" w:color="auto"/>
            </w:tcBorders>
            <w:shd w:val="clear" w:color="auto" w:fill="CCEEFF"/>
          </w:tcPr>
          <w:p>
            <w:pPr>
              <w:jc w:val="center"/>
              <w:ind w:left="2992"/>
              <w:spacing w:after="0"/>
              <w:rPr>
                <w:sz w:val="20"/>
                <w:szCs w:val="20"/>
                <w:color w:val="auto"/>
              </w:rPr>
            </w:pPr>
            <w:r>
              <w:rPr>
                <w:rFonts w:ascii="Arial" w:cs="Arial" w:eastAsia="Arial" w:hAnsi="Arial"/>
                <w:sz w:val="18"/>
                <w:szCs w:val="18"/>
                <w:color w:val="auto"/>
                <w:w w:val="91"/>
              </w:rPr>
              <w:t>0.42</w:t>
            </w:r>
          </w:p>
        </w:tc>
        <w:tc>
          <w:tcPr>
            <w:tcW w:w="376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0.79</w:t>
            </w:r>
          </w:p>
        </w:tc>
      </w:tr>
      <w:tr>
        <w:trPr>
          <w:trHeight w:val="210"/>
        </w:trPr>
        <w:tc>
          <w:tcPr>
            <w:tcW w:w="36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3 month VCN</w:t>
            </w:r>
          </w:p>
        </w:tc>
        <w:tc>
          <w:tcPr>
            <w:tcW w:w="3680" w:type="dxa"/>
            <w:vAlign w:val="bottom"/>
            <w:tcBorders>
              <w:bottom w:val="single" w:sz="8" w:color="auto"/>
              <w:right w:val="single" w:sz="8" w:color="auto"/>
            </w:tcBorders>
          </w:tcPr>
          <w:p>
            <w:pPr>
              <w:jc w:val="center"/>
              <w:ind w:left="2992"/>
              <w:spacing w:after="0"/>
              <w:rPr>
                <w:sz w:val="20"/>
                <w:szCs w:val="20"/>
                <w:color w:val="auto"/>
              </w:rPr>
            </w:pPr>
            <w:r>
              <w:rPr>
                <w:rFonts w:ascii="Arial" w:cs="Arial" w:eastAsia="Arial" w:hAnsi="Arial"/>
                <w:sz w:val="18"/>
                <w:szCs w:val="18"/>
                <w:color w:val="auto"/>
                <w:w w:val="91"/>
              </w:rPr>
              <w:t>0.55</w:t>
            </w:r>
          </w:p>
        </w:tc>
        <w:tc>
          <w:tcPr>
            <w:tcW w:w="37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8"/>
                <w:szCs w:val="18"/>
                <w:color w:val="auto"/>
              </w:rPr>
              <w:t>n/a</w:t>
            </w:r>
          </w:p>
        </w:tc>
      </w:tr>
      <w:tr>
        <w:trPr>
          <w:trHeight w:val="210"/>
        </w:trPr>
        <w:tc>
          <w:tcPr>
            <w:tcW w:w="36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6 month VCN</w:t>
            </w:r>
          </w:p>
        </w:tc>
        <w:tc>
          <w:tcPr>
            <w:tcW w:w="3680" w:type="dxa"/>
            <w:vAlign w:val="bottom"/>
            <w:tcBorders>
              <w:bottom w:val="single" w:sz="8" w:color="auto"/>
              <w:right w:val="single" w:sz="8" w:color="auto"/>
            </w:tcBorders>
            <w:shd w:val="clear" w:color="auto" w:fill="CCEEFF"/>
          </w:tcPr>
          <w:p>
            <w:pPr>
              <w:jc w:val="center"/>
              <w:ind w:left="2992"/>
              <w:spacing w:after="0"/>
              <w:rPr>
                <w:sz w:val="20"/>
                <w:szCs w:val="20"/>
                <w:color w:val="auto"/>
              </w:rPr>
            </w:pPr>
            <w:r>
              <w:rPr>
                <w:rFonts w:ascii="Arial" w:cs="Arial" w:eastAsia="Arial" w:hAnsi="Arial"/>
                <w:sz w:val="18"/>
                <w:szCs w:val="18"/>
                <w:color w:val="auto"/>
                <w:w w:val="91"/>
              </w:rPr>
              <w:t>0.35</w:t>
            </w:r>
          </w:p>
        </w:tc>
        <w:tc>
          <w:tcPr>
            <w:tcW w:w="376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n/a</w:t>
            </w:r>
          </w:p>
        </w:tc>
      </w:tr>
      <w:tr>
        <w:trPr>
          <w:trHeight w:val="210"/>
        </w:trPr>
        <w:tc>
          <w:tcPr>
            <w:tcW w:w="36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9 month VCN</w:t>
            </w:r>
          </w:p>
        </w:tc>
        <w:tc>
          <w:tcPr>
            <w:tcW w:w="3680" w:type="dxa"/>
            <w:vAlign w:val="bottom"/>
            <w:tcBorders>
              <w:bottom w:val="single" w:sz="8" w:color="auto"/>
              <w:right w:val="single" w:sz="8" w:color="auto"/>
            </w:tcBorders>
          </w:tcPr>
          <w:p>
            <w:pPr>
              <w:jc w:val="center"/>
              <w:ind w:left="2992"/>
              <w:spacing w:after="0"/>
              <w:rPr>
                <w:sz w:val="20"/>
                <w:szCs w:val="20"/>
                <w:color w:val="auto"/>
              </w:rPr>
            </w:pPr>
            <w:r>
              <w:rPr>
                <w:rFonts w:ascii="Arial" w:cs="Arial" w:eastAsia="Arial" w:hAnsi="Arial"/>
                <w:sz w:val="18"/>
                <w:szCs w:val="18"/>
                <w:color w:val="auto"/>
                <w:w w:val="91"/>
              </w:rPr>
              <w:t>0.26</w:t>
            </w:r>
          </w:p>
        </w:tc>
        <w:tc>
          <w:tcPr>
            <w:tcW w:w="37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8"/>
                <w:szCs w:val="18"/>
                <w:color w:val="auto"/>
              </w:rPr>
              <w:t>n/a</w:t>
            </w:r>
          </w:p>
        </w:tc>
      </w:tr>
      <w:tr>
        <w:trPr>
          <w:trHeight w:val="210"/>
        </w:trPr>
        <w:tc>
          <w:tcPr>
            <w:tcW w:w="36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12 month VCN</w:t>
            </w:r>
          </w:p>
        </w:tc>
        <w:tc>
          <w:tcPr>
            <w:tcW w:w="3680" w:type="dxa"/>
            <w:vAlign w:val="bottom"/>
            <w:tcBorders>
              <w:bottom w:val="single" w:sz="8" w:color="auto"/>
              <w:right w:val="single" w:sz="8" w:color="auto"/>
            </w:tcBorders>
            <w:shd w:val="clear" w:color="auto" w:fill="CCEEFF"/>
          </w:tcPr>
          <w:p>
            <w:pPr>
              <w:jc w:val="center"/>
              <w:ind w:left="2992"/>
              <w:spacing w:after="0"/>
              <w:rPr>
                <w:sz w:val="20"/>
                <w:szCs w:val="20"/>
                <w:color w:val="auto"/>
              </w:rPr>
            </w:pPr>
            <w:r>
              <w:rPr>
                <w:rFonts w:ascii="Arial" w:cs="Arial" w:eastAsia="Arial" w:hAnsi="Arial"/>
                <w:sz w:val="18"/>
                <w:szCs w:val="18"/>
                <w:color w:val="auto"/>
                <w:w w:val="91"/>
              </w:rPr>
              <w:t>0.16</w:t>
            </w:r>
          </w:p>
        </w:tc>
        <w:tc>
          <w:tcPr>
            <w:tcW w:w="376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Preliminary results from this clinical trial also indicate the presence of lentiviral-vector inserted sequences in the blood and bone marrow of the first patient, which is a signal for successful transduction of the cells. An analysis of the bone marrow from the first patient in this clinical trial measured at 14 months following treatment with AVR-RD-01 suggests engraftment through this period. Because patients in this trial are also receiving ERT, it is not possible to assess the ability of the functional AGA produced by AVR-RD-01 to drive the reduction of substrates, including Gb3 levels, or reduce symptoms of the disease. Altogether, the results observed to date suggest that AVR-RD-01 is capable of delivering and integrating the gene coding for AGA into the human genome and subsequently enabling expression of active AGA enzyme in patients with Fabry disease.</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Safety</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Preliminary safety data from the first two enrolled patients indicate AVR-RD-01 was generally well-tolerated. As of February 26, 2018, there were 51 adverse events reported, 40 of which were assessed by the investigator as being possibly, probably or definitely related to protocol treatment or procedures. Only one event, the development of a left thigh mass, was a serious adverse event and this mass was not attributed by the investigator to protocol treatment or study procedures. In addition, investigators observed a suppression of white blood cell counts and thrombocytopenia in both patients which is an expected outcome based on the conditioning regimen. These decreases were transient and not associated with any negative long-term impact on the patients. Because this clinical trial is ongoing, safety data are preliminary and subject to change. Subsequent to February 26, 2018, we have not been notified by the investigators in this clinical trial of any suspected unexpected serious adverse events. In addition, an independent data monitoring committee has reviewed the one-month post-treatment data of each patient treated with AVR-RD-01 and has approved continuing to enroll patients in this clinical trial.</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Upcoming Multinational Clinical Trial</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anticipate commencing enrollment in our open label, multinational Phase 2 clinical trial of AVR-RD-01 in 2018. We expect to enroll eight to 12 treatment-naïve males, 16 years and older, with classic Fabry disease. Our objectives for this trial are to assess safety and efficacy as measured by multiple indicators, such as Gb3 levels in various tissues, kidney and cardiac function, gastrointestinal symptoms, and pain and quality of life scores. All enrolled patients will receive a single treatment with AVR-RD-01 and will be followed for 48 weeks to measure safety and efficacy. Regulatory authorities in Australia and Canada have reviewed our trial application and have allowed the trial to proceed, and we expect to begin enrollment for this clinical trial in Australia. We plan to submit applications to allow commencement of clinical trials in the United States to the FDA and in Japan to the Pharmaceuticals and Medical Devices Agency, or PMDA, following meetings with each of these respective regulatory authorities.</w:t>
      </w:r>
    </w:p>
    <w:p>
      <w:pPr>
        <w:spacing w:after="0" w:line="16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 xml:space="preserve">During our Phase 2 clinical trial, we plan to transition the lentiviral vector from LV1 to our optimized proprietary LV2, which we believe will further improve the efficacy and further enhance the safety of our lentiviral-based gene therapy. Because this proposed transition only impacts the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cell transduction process, and not the actual AGA enzyme that is produced by the transduced cells, or drug product, we believe this transition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 supported with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comparability studies.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AVR-RD-01 has been evaluated in multiple mouse models. Key observations from these preclinical studies serve as the foundation for our lentiviral-based gene therapy approach:</w:t>
      </w:r>
    </w:p>
    <w:p>
      <w:pPr>
        <w:spacing w:after="0" w:line="76" w:lineRule="exact"/>
        <w:rPr>
          <w:sz w:val="20"/>
          <w:szCs w:val="20"/>
          <w:color w:val="auto"/>
        </w:rPr>
      </w:pPr>
    </w:p>
    <w:p>
      <w:pPr>
        <w:ind w:left="1060" w:right="26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AGA cross correction occurs by which AGA in plasma was taken up into cells confirming that efficacy of AGA is not limited only to the cells that receive the gene therapy.</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Lentiviral-based gene therapy targeting stem cells in mouse models of Fabry disease led to an elevated and sustained level of AGA enzyme activity in plasma.</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Increased Enzyme Activity in Fabry Mouse Model After Receiving AVR-RD-01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171450</wp:posOffset>
            </wp:positionV>
            <wp:extent cx="2615565" cy="18694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1556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a direct test of the ability of AVR-RD-01 to correct deficiencies in plasma AGA enzyme activity, a mouse model was created using a mouse strain in which the gene for AGA was inactivated. Human stem cells were extracted from patients with Fabry disease and the gene for AGA was added using a lentiviral vector to create AVR-RD-01. AVR-RD-01 was then introduced to the mice. Twelve weeks following administration, the levels of Gb3 in both the spleen and liver were reduced to a statistically significant extent compared to mice that received unmodified cells from patients with Fabry disease. The FDA utilizes reported statistical measures when evaluating the results of a clinical trial, including statistical significance as measured by p-value as an evidentiary standard of efficacy, to evaluate the reported evidence of a product candidate’s safety and efficacy. If not otherwise specified, we used a conventional 5% or lower p-value (p &lt; 0.05) to define statistical significance for the data presented in this prospectus. Levels in other tissues such as the heart and kidney also showed downward trends in Gb3. This study demonstrated that:</w:t>
      </w:r>
    </w:p>
    <w:p>
      <w:pPr>
        <w:spacing w:after="0" w:line="84" w:lineRule="exact"/>
        <w:rPr>
          <w:sz w:val="20"/>
          <w:szCs w:val="20"/>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lentiviral vector could efficiently transform human stem cells into a gene therapy.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AVR-RD-01 could engraft and replicate to produce progeny cells containing the AGA gene.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AGA gene was expressed and functionally active post-treatment.</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Cross correction of AGA produced by cells containing the functional AGA gene caused reductions in Gb3 in various tissues in the mouse model.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Significant Reduction in Gb3 Levels in Multiple Tissues in a NOD/SCID/Fabry Mouse Model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After Receiving AVR-RD-01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160020</wp:posOffset>
            </wp:positionV>
            <wp:extent cx="2718435" cy="21012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1843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addition, in a peer reviewed publication, overexpression of functional AGA with levels as high as 3,000 times the normal range in the mouse model over an 18 month period was not linked to toxicity or adverse effects as determined by long-term animal studies, implying a wide therapeutic window.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AVR-RD-02, Our Gene Therapy for Gaucher Disease</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are developing AVR-RD-02 for the treatment of Type 1 Gaucher disease. We will manufacture AVR-RD-02 from hematopoietic stem cells that are first extracted from the patient, modified to add the gene that encodes for glucocerebrosidase, or GCase, and then infused into the patient. We plan to initiate a Phase 1/2 clinical trial for AVR-RD-02 in patients with Type 1 Gaucher disease and expect to dose the first patient in this clinical trial in 2019 following our filing of a Clinical Trial Application, or CTA, in Canada.</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Gaucher disease is a rare, autosomal recessive, lysosomal storage disease caused by a hereditary deficiency of functional GCase, an enzyme responsible for degrading glucocerebroside, a cell membrane building block, into glucose and lipids within lysosomes of cells. In patients with Gaucher disease, the recycling of glucocerebroside from the breakdown of old red and white blood cells is inhibited, leading to its accumulation in macrophages. These abnormal macrophages, known as Gaucher cells, accumulate in multiple organs, particularly the liver, spleen and bone marrow.</w:t>
      </w:r>
    </w:p>
    <w:p>
      <w:pPr>
        <w:spacing w:after="0" w:line="154"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Gaucher disease is one of the most common lysosomal storage diseases. It is diagnosed in approximately one in 44,000 births worldwide and is more prevalent in certain ethnic groups, such as people of Ashkenazi Jewish heritage. Approximately 90% of patients suffering from Gaucher disease in western countries have Type 1 Gaucher disease, which manifests as multiple morbidities including enlargement of the spleen and liver, low red blood cells, or anemia, low platelet count, or thrombocytopenia, and bone abnormalities including bone pain, fractures and arthritis. Bruising, risk of bleeding and fatigue are common due to the thrombocytopenia and anemia. Type 1 Gaucher disease does not have manifestations of central nervous system symptoms.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Type 1 Gaucher disease is currently treated with bi-weekly infusions of ERT consisting of recombinant GCase over a patient’s lifetime. The most commonly prescribed ERTs for Gaucher disease are Cerezyme, marketed by Sanofi Genzyme, and VPRIV, marketed by Shire.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Although long-term ERT for Gaucher disease results in some therapeutic benefit, ERTs leave patients with significant unmet needs. Twenty-five percent of patients with Gaucher disease continue to experience physical limitations following two years of ERT, and a clinically significant percentage of patients continue to experience bone pain, thrombocytopenia and enlargement of spleen following ten years of ERT. In a published study of ERT therapy for Gaucher disease, six target goals were evaluated, including parameters for hemoglobin and platelet levels, spleen and liver volumes, and general bone pain and severe disabling bone pain known as bone crisis. Following at least four years of ERT in this study, approximately 60% of patients failed to achieve at least one of these target goals. In addition, up to 15% of patients with Gaucher disease develop antibodies that limit the efficacy of the ERT.</w:t>
      </w:r>
    </w:p>
    <w:p>
      <w:pPr>
        <w:spacing w:after="0" w:line="18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addition to ERTs, the FDA has approved several oral therapies for the treatment of Gaucher disease, including Zavesca (miglustat) marketed by Actelion and Cerdelga (eliglustat) marketed by Sanofi Genzyme. We believe these oral therapies also provide suboptimal treatment. Zavesca is approved as a second line therapy and is associated with significant toxicities, including diarrhea, weight loss and tremors. Cerdelga is not approved for use in children, has highly variable metabolism due to patient-to-patient genetic variations and is highly susceptible to interactions with other drugs.</w:t>
      </w:r>
    </w:p>
    <w:p>
      <w:pPr>
        <w:spacing w:after="0" w:line="154"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Both ERTs and oral therapies for Gaucher impose significant costs on the healthcare system. In the United States, the annual average cost to the healthcare system per patient prescribed Cerezyme or VPRIV is between approximately $325,000 and $400,000. The annual average cost to the healthcare system per patient prescribed Cerdelga is approximately $250,000. In 2017, Genzyme’s Cerezyme and Cerdelga together generated worldwide net sales of over $1.0 billion and Shire’s VPRIV generated worldwide net sales of approximately $350 million.</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 xml:space="preserve">We are developing AVR-RD-02 to potentially cure patients with Gaucher disease with a single dose of the patient’s own hematopoietic stem cells modified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procedure. AVR-RD-02 is a lentiviral-based gene therapy that contains a codon-optimized human gene and is designed to maximize the likelihood of sustained GCase production in hematopoietic stem cells and their progeny.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Upcoming Clinical Trial</w:t>
      </w:r>
    </w:p>
    <w:p>
      <w:pPr>
        <w:spacing w:after="0" w:line="117" w:lineRule="exact"/>
        <w:rPr>
          <w:sz w:val="20"/>
          <w:szCs w:val="20"/>
          <w:color w:val="auto"/>
        </w:rPr>
      </w:pPr>
    </w:p>
    <w:p>
      <w:pPr>
        <w:ind w:left="200" w:right="180" w:firstLine="441"/>
        <w:spacing w:after="0" w:line="272" w:lineRule="auto"/>
        <w:rPr>
          <w:sz w:val="20"/>
          <w:szCs w:val="20"/>
          <w:color w:val="auto"/>
        </w:rPr>
      </w:pPr>
      <w:r>
        <w:rPr>
          <w:rFonts w:ascii="Arial" w:cs="Arial" w:eastAsia="Arial" w:hAnsi="Arial"/>
          <w:sz w:val="17"/>
          <w:szCs w:val="17"/>
          <w:color w:val="auto"/>
        </w:rPr>
        <w:t>We plan to initiate a Phase 1/2 clinical trial of AVR-RD-02 in patients with Type 1 Gaucher disease and to begin dosing patients in this clinical trial in 2019. We plan to file a CTA in Canada for this trial in the second half of 2018. Our initial clinical trial will be an adaptive trial that will include both treatment-naïve patients and patients that are currently stable on ERT. We intend to enroll 8 to 16 patients, between the ages of 16 and 35, with Type 1 Gaucher disease. Patients currently prescribed ERT will cease treatment throughout the clinical trial. All enrolled patients will receive a single treatment with AVR-RD-02 and will be followed for 52 weeks to measure safety and efficacy. Our efficacy endpoints for this clinical trial will include measures of clinical efficacy, such as liver and spleen volumes, hemoglobin, platelet counts, bone pain and bone density measures along with other blood markers used in Gaucher disease.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 xml:space="preserve">AVR-RD-02 is based on extensive preclinical work from our collaborators at Lund University and leverages findings published in 2015 in </w:t>
      </w:r>
      <w:r>
        <w:rPr>
          <w:rFonts w:ascii="Arial" w:cs="Arial" w:eastAsia="Arial" w:hAnsi="Arial"/>
          <w:sz w:val="18"/>
          <w:szCs w:val="18"/>
          <w:i w:val="1"/>
          <w:iCs w:val="1"/>
          <w:color w:val="auto"/>
        </w:rPr>
        <w:t xml:space="preserve">Molecular Therapy </w:t>
      </w:r>
      <w:r>
        <w:rPr>
          <w:rFonts w:ascii="Arial" w:cs="Arial" w:eastAsia="Arial" w:hAnsi="Arial"/>
          <w:sz w:val="18"/>
          <w:szCs w:val="18"/>
          <w:color w:val="auto"/>
        </w:rPr>
        <w:t>which concluded that, in a Gaucher disease mouse model, a lentiviral-based gene therapy containing the gene for GCase could</w:t>
      </w:r>
      <w:r>
        <w:rPr>
          <w:rFonts w:ascii="Arial" w:cs="Arial" w:eastAsia="Arial" w:hAnsi="Arial"/>
          <w:sz w:val="18"/>
          <w:szCs w:val="18"/>
          <w:i w:val="1"/>
          <w:iCs w:val="1"/>
          <w:color w:val="auto"/>
        </w:rPr>
        <w:t xml:space="preserve"> </w:t>
      </w:r>
      <w:r>
        <w:rPr>
          <w:rFonts w:ascii="Arial" w:cs="Arial" w:eastAsia="Arial" w:hAnsi="Arial"/>
          <w:sz w:val="18"/>
          <w:szCs w:val="18"/>
          <w:color w:val="auto"/>
        </w:rPr>
        <w:t>prevent the development and reverse clinically relevant signs of the disease.</w:t>
      </w:r>
    </w:p>
    <w:p>
      <w:pPr>
        <w:spacing w:after="0" w:line="18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In preclinical studies, a mouse model of Gaucher disease exhibited increased glucocerebroside levels in the clinically-relevant tissues, the bone marrow, spleen and liver, and mimicked many of the same symptoms seen in patients such as an enlarged spleen. These preclinical studies assessed glucocerebroside levels, Gaucher cell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infiltration, and spleen volume in the mouse model over 20 weeks following treatment with AVR-RD-02. When mice with established disease were treated with AVR-RD-02, glucocerebroside levels decreased and symptoms such as an enlarged spleen were reversed within 20 weeks. Over this period, increased enzyme levels were observed in the bone marrow, spleen and liver in the mouse model. In addition, the mice that were treated with AVR-RD-02 prior to manifesting symptoms did not develop symptoms of the disease. These data support the potential efficacy of AVR-RD-02 to prevent, as well as reverse, symptoms in patients with Gaucher disease.</w:t>
      </w:r>
    </w:p>
    <w:p>
      <w:pPr>
        <w:spacing w:after="0" w:line="40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AVR-RD-02 Leads to a Significant Reduction in Glucocerebroside Levels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Across Multiple Clinically-relevant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160020</wp:posOffset>
            </wp:positionV>
            <wp:extent cx="3730625" cy="23755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73062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Lentiviral-based Gene Therapy Leads to a Significant Reduction in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Spleen Volume in a Mouse Model of Gaucher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160020</wp:posOffset>
            </wp:positionV>
            <wp:extent cx="3730625" cy="21094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73062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60"/>
          </w:cols>
          <w:pgMar w:left="240" w:top="459" w:right="4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AVR-RD-03, Our Gene Therapy for Pompe Disease</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developing AVR-RD-03 for the treatment of Pompe disease. We will manufacture AVR-RD-03 from hematopoietic stem cells that are first extracted from the patient, modified to add the gene that encodes for acid alpha glucosidase A, or GAA, attached to a peptide sequence known as a glycosylation-independent lysosomal targeting, or GILT, tag and then infused into the patient. AVR-RD-03 will incorporate a GILT tag because the GILT tag has been found to increase the uptake of GAA into cells, especially in muscle cells by a multiple of 25, which is a particularly important target tissue for patients with Pompe disease.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Pompe disease is a rare, autosomal recessive lysosomal storage disease caused by a mutation in the gene that encodes for GAA that results in the buildup of glycogen, a complex sugar, in the body’s cells. The accumulation of glycogen in certain organs and tissues, especially muscles, impairs normal tissue and organ function. Patients with Pompe disease experience serious muscle related problems, including progressive muscle weakness, especially in the legs and trunk, and the muscles that control breathing. As the disorder progresses, breathing problems can lead to respiratory failure.</w:t>
      </w:r>
    </w:p>
    <w:p>
      <w:pPr>
        <w:spacing w:after="0" w:line="154"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overall diagnosed incidence of Pompe disease is estimated to be approximately one in 58,000 people although frequency and disease progression varies with age of onset, ethnicity and geography. Overall diagnosed incidence of Pompe disease is projected to increase to one in 22,000 people as it is increasingly included in newborn screening panels.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severity of Pompe disease symptoms and rate of progression is highly variable and correlated with age of symptom onset and the degree of enzyme deficiency. Infantile or early onset disease, the most severe form of Pompe disease, accounts for approximately 25% of all affected patients. Those with early-onset disease are usually diagnosed in the first few months of life. Left untreated, these patients can die due to heart failure, respiratory distress or malnutrition resulting from feeding difficulties within the first year of life. Patients with late-onset disease typically have higher enzyme levels and usually have symptoms such as reduced mobility and respiratory problems. Late-onset patients experience progressive difficulty walking and respiratory decline. While life expectancy can vary, Pompe disease is a life-limiting disease that can result in death due to complications from respiratory failure.</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Pompe disease is currently treated with ERT delivered by bi-weekly intravenous infusion. The only approved therapy for Pompe disease is Lumizyme (known as Myozyme outside of the United States), marketed by Sanofi Genzyme, which generated worldwide net sales of over $950 million in 2017. The annual average cost to the healthcare system per patient prescribed Lumizyme in the United States is approximately $500,000.</w:t>
      </w:r>
    </w:p>
    <w:p>
      <w:pPr>
        <w:spacing w:after="0" w:line="14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Though patients treated with ERT for Pompe disease have improved survival and respiratory function, ERT is not curative, and patients in long-term observational studies continue to have increased risk of heart failure and have residual muscle weakness including difficulties swallowing with risk of aspiration. One challenge with ERT treatment for Pompe disease is that a standard dose requires approximately twenty-fold more enzyme compared to standard doses for Fabry or Gaucher diseases. Large doses of Lumizyme that are delivered systemically in order to achieve potentially therapeutic levels in the target tissues result in approximately 90% of patients developing antibodies against the therapy. These antibody responses may impact both the efficacy and safety of Lumizyme. The FDA approval of Lumizyme carries a black box warning related to the risk of severe allergic and immune mediated reactions, including life-threatening anaphylaxis.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are in early preclinical development of AVR-RD-03 to potentially cure patients with late-onset Pompe disease. We are developing AVR-RD-03 to be a gene therapy product containing a codon-optimized human gene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80"/>
          </w:cols>
          <w:pgMar w:left="24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for GAA attached to a GILT tag designed to increase uptake of GAA in muscle cells. AVR-RD-03 will target patients with late onset Pompe disease, which represent the majority of patients with this disease.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Published preclinical results from a mouse model of Pompe disease support the potential of lentiviral-based gene expression of GAA to prevent some of the symptoms of GAA deficiency. These results also demonstrated the need to further increase the uptake of GAA into muscle cells to treat patients, which is a known challenge for ERTs and leads to the use of large quantities of enzyme to attempt to deliver effective treatment levels.</w:t>
      </w:r>
    </w:p>
    <w:p>
      <w:pPr>
        <w:spacing w:after="0" w:line="14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these published preclinical results from a mouse model of Pompe disease, treatment utilizing a lentiviral vector encoding GAA led to increased levels of active enzyme across multiple organs and tissues, including clinically relevant tissues such as heart and diaphragm. This enzyme activity was correlated with reductions in glycogen storage in these tissues. While reduction in left ventricular mass and normalization of heart rate were observed in the mouse models seven to eight months following treatment with this lentiviral-based gene expression of GAA, only lesser improvements in other muscles, such as skeletal muscle strength, were observed.</w:t>
      </w:r>
    </w:p>
    <w:p>
      <w:pPr>
        <w:spacing w:after="0" w:line="188" w:lineRule="exact"/>
        <w:rPr>
          <w:sz w:val="20"/>
          <w:szCs w:val="20"/>
          <w:color w:val="auto"/>
        </w:rPr>
      </w:pPr>
    </w:p>
    <w:p>
      <w:pPr>
        <w:jc w:val="both"/>
        <w:ind w:left="200" w:right="220" w:firstLine="441"/>
        <w:spacing w:after="0" w:line="259" w:lineRule="auto"/>
        <w:rPr>
          <w:sz w:val="20"/>
          <w:szCs w:val="20"/>
          <w:color w:val="auto"/>
        </w:rPr>
      </w:pPr>
      <w:r>
        <w:rPr>
          <w:rFonts w:ascii="Arial" w:cs="Arial" w:eastAsia="Arial" w:hAnsi="Arial"/>
          <w:sz w:val="18"/>
          <w:szCs w:val="18"/>
          <w:color w:val="auto"/>
        </w:rPr>
        <w:t>We believe we can use a GILT tag to address the known challenges of skeletal muscle uptake in patients with Pompe disease. Attachment of a GILT tag to a particular protein can increase the effective uptake of the protein into target tissues. We are designing AVR-RD-03 to use a GILT tag to facilitate GAA uptake into cells and thereby reduce the therapeutically required amount of GAA produced by a patient’s cells following gene therapy treatment.</w:t>
      </w:r>
    </w:p>
    <w:p>
      <w:pPr>
        <w:spacing w:after="0" w:line="187"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7"/>
          <w:szCs w:val="17"/>
          <w:color w:val="auto"/>
        </w:rPr>
        <w:t>In mouse models of Pompe, administration of recombinant GAA with the GILT tag demonstrated significant reduction in glycogen in cardiac and skeletal muscles as compared to the administration of recombinant GAA alone. We licensed GILT tag technology from BioMarin and are incorporating a GILT tag into our lentiviral vector with the goal of the patient producing GILT-tagged GAA following treatment with AVR-RD-03.</w:t>
      </w: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GILT-tag Version of Recombinant Human (rh)GAA Impact on Levels of Stored Glycogen Compared to</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non GILT-tagged Recombinant Human (rh)GAA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160020</wp:posOffset>
            </wp:positionV>
            <wp:extent cx="4853940" cy="22980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85394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AVR-RD-04, Our Gene Therapy for Cystinosis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are developing AVR-RD-04 for the treatment of patients with cystinosis. We will manufacture AVR-RD-04 from hematopoietic stem cells that are first extracted from the patient, modified to add the gene that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encodes for cystinosin, and then infused into the patient. In a planned academic sponsored Phase 1/2 clinical trial, we expect the first patient will be dosed in 2019.</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Cystinosis is a rare, genetic, autosomal recessive, lysosomal storage disease caused by the accumulation of the amino acid cystine that is produced in the lysosomes of cells as the result of protein degradation. Cystine is normally transported through the lysosomal membrane to the cytosol where it is reutilized after its transformation to cysteine. In cystinosis, cystine accumulates inside the lysosomes because of a defect in the gene that encodes cystinosin, a protein that transports cystine across the lysosomal membrane. Cystine is poorly soluble and forms crystals as its concentration increases. These crystals build up and cause complications in many organs and tissues. The kidneys and eyes are especially vulnerable to damage, and the muscles, thyroid, pancreas and testes may also be affected.</w:t>
      </w:r>
    </w:p>
    <w:p>
      <w:pPr>
        <w:spacing w:after="0" w:line="19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The most severe form of cystinosis begins in infancy, causing poor growth and a particular type of kidney damage in which certain molecules, such as glucose, amino acids, phosphate, and bicarbonate, that should be reabsorbed into the bloodstream are instead eliminated in the urine. These renal problems ultimately lead to impaired growth and may result in soft, bowed bones, especially in the legs. By the time the patient is approximately two years old, cystine crystals may be present in the cornea, and the buildup of these crystals in the eye causes pain and an increased sensitivity to light. Untreated children with cystinosis may experience complete kidney failure by the age of ten. Other signs and symptoms that may occur in untreated patients, especially after adolescence, include muscle deterioration, blindness, inability to swallow, diabetes, thyroid and nervous system problems. More than 90% of untreated patients require a kidney transplant before the age of 20. It is estimated that cystinosis disease is diagnosed in approximately one in 170,000 people.</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Cystinosis is currently treated with two oral formulations of cysteamine that enter the lysosome and stimulate the breakdown of cystine into products that do not require the cystinosin protein to be transported. Oral treatment can delay the development of kidney failure by six to ten years if it is started at a very early age, however it cannot prevent kidney failure or the development of other complications, such as the formation of cystine crystals in the cornea. The approved oral therapies for cystinosis are Procysbi (delayed release cysteamine bitartrate), marketed by Horizon Orphan and Cystagon (cysteamine bitartrate) marketed by Mylan. The annual average cost to the healthcare system per patient prescribed Procysbi in the United States is between approximately $625,000 and $750,000.</w:t>
      </w:r>
    </w:p>
    <w:p>
      <w:pPr>
        <w:spacing w:after="0" w:line="178"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Procysbi and Cystagon must be taken orally every 12 or six hours, respectively, leading to significant pill burden and compliance challenges. Because cysteamine works by directly binding to cystine, rather than through a typical small molecule that inhibits an enzyme or receptor, a substantial quantity is required. For adults, this can mean taking at least 12 capsules twice a day, every day. Oral therapy with cysteamine is associated with a high degree of noncompliance due to the frequency with which it must be dosed and the accompanying nausea, as well as the acrid sulfur smell that it produces in the breath and body. It has been estimated that only one third of patients are able to adhere to the strict dosing schedule. Studies have shown that adherence diminishes over time in adolescents and adults despite disease impact. Further, oral cysteamine treatment has no effect on ocular cystine crystals deposits, thus requiring patients to be treated with topical cysteamine eye drops which must be applied each hour the patient is awake.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 xml:space="preserve">We are developing AVR-RD-04 to potentially cure patients with cystinosis with a single dose of the patient’s own hematopoietic stem cells modified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procedure. AVR-RD-04 is a lentiviral-based gene therapy containing a human gene for cystinosin designed to maximize the likelihood of sustained cystinosin production in hematopoietic stem cells and their progeny.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Upcoming Clinical Trial</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 planned Phase 1/2 clinical trial of AVR-RD-04 that will be conducted by our collaborators at the University of California, San Diego, six patients with cystinosis who are currently being treated with cysteamine will be enrolled. Cystine levels in tissues such as white blood cells and skin will be followed in these patients as well as cystine crystal counts in the eye. Clinical parameters such as kidney function, muscle strength, bone density, and endocrine function will also be followed with the intent of identifying appropriate parameters to inform future clinical development. We expect that patients enrolled in this trial will undergo a more extensive conditioning regimen instead of the milder conditioning regimen we use for our other target indications. Our collaborators plan to submit an investigational new drug application, or IND, in the U.S. prior to commencing this planned clinical trial.</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In order to mimic the human disease, the mouse model for cystinosis has the gene for cystinosin disrupted, resulting in the inability of the cystinosin protein to transport cystine out of the lysosomes. This ultimately results in the accumulation of cystine in all tissues similar to that seen in patients with cystinosis. The ability of mouse stem cells modified with a lentiviral vector containing the gene for human cystinosin to treat cystinosis was then tested in the affected mice.</w:t>
      </w:r>
    </w:p>
    <w:p>
      <w:pPr>
        <w:spacing w:after="0" w:line="187" w:lineRule="exact"/>
        <w:rPr>
          <w:sz w:val="20"/>
          <w:szCs w:val="20"/>
          <w:color w:val="auto"/>
        </w:rPr>
      </w:pPr>
    </w:p>
    <w:p>
      <w:pPr>
        <w:jc w:val="both"/>
        <w:ind w:left="200" w:right="260" w:firstLine="441"/>
        <w:spacing w:after="0" w:line="286" w:lineRule="auto"/>
        <w:rPr>
          <w:sz w:val="20"/>
          <w:szCs w:val="20"/>
          <w:color w:val="auto"/>
        </w:rPr>
      </w:pPr>
      <w:r>
        <w:rPr>
          <w:rFonts w:ascii="Arial" w:cs="Arial" w:eastAsia="Arial" w:hAnsi="Arial"/>
          <w:sz w:val="17"/>
          <w:szCs w:val="17"/>
          <w:color w:val="auto"/>
        </w:rPr>
        <w:t>Introduction of AVR-RD-04 into the diseased mice was observed to significantly lower cystine levels in tissues such as the liver, spleen and, in male mice, the kidney. These lower levels persisted until the end of the experiment at eight months. AVR-RD-04 treatment was also associated with potentially improved kidney function in male mice, thus addressing an essential clinical need in patients with cystinosis.</w:t>
      </w:r>
    </w:p>
    <w:p>
      <w:pPr>
        <w:spacing w:after="0" w:line="378"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AVR-RD-04 Leads to Lower Cystine Levels in Multiple Tissues in a Mouse Model of Cystinosis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172085</wp:posOffset>
            </wp:positionV>
            <wp:extent cx="3164205" cy="1929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6420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a separate experiment in this cystinosis mouse model, lentiviral-marked hematopoietic stem cell transplant using normal mouse stem cells led to the reduction of cystine crystals in the cornea, a clinically significant tissue in patients with cystinsosis. In this cystinosis mouse model, affected mice develop eye disease similar to humans, including crystal deposits in the cornea, central corneal opacification, loss of corneal cellular architecture and eventually a scarred, shrunken eye with no function. Published results from this study demonstrate that abundant hematopoetic stem cell-derived macrophages migrated into the cornea and provided functional cystinosin-bearing lysosomes to the corneal cells. The images below reflect the elimination of cystine crystals in the cornea of the mice following engraftment of the modified allogeneic stem cells. As the level of allogeneic stem cell engraftment increased, greater elimination of the cystine crystals was observed. This indicates that stem cells can migrate to the cornea and cross-correct corneal cells. This result demonstrates that it is possible to correct for the defective cystinosin gene in the eye indirectly through expression of the gene in hematopoietic cells.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Transplantation of Allogeneic Hematopoietic Stem Cells Results in Reduction of</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Cystine Crystals in Corneas of Cystinosis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160020</wp:posOffset>
            </wp:positionV>
            <wp:extent cx="4965700" cy="16554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65700"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Industrializing Our Gene Therapies Through Our Outsourced Manufacture and Supply Network</w:t>
      </w:r>
    </w:p>
    <w:p>
      <w:pPr>
        <w:spacing w:after="0" w:line="117"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Our team has leveraged their broad expertise in the manufacturing of gene and cellular therapies to build a global network of CMO partners for the development and manufacture of drug products and outsourced suppliers for the supply of vectors and plasmids. We believe that our third-party CMO partners and suppliers have capacity to accommodate current and future clinical trials and we are continuing to build a global network that will have capacity to generate sufficient quantities to meet our expected commercial needs.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To optimize production of our gene therapies, we are moving our cell processing to an automated, closed system using all disposable supplies. We believe this industrialized manufacturing process will enable a repeatable approach through which we can design and manufacture commercially viable lentiviral gene therapies to potentially treat a large variety of genetic disorders. We expect that our automation of the manufacturing processes will further increase our CMO partners’ manufacturing capacity.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Producing a Patient’s Gene Therapy</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We start the process to produce a patient’s gene therapy with the mobilization of a patient’s stem cells from the bone marrow to the blood stream and isolate them using a standard procedure used in stem cell transplants. We then treat these cells with a lentiviral vector to insert a functional copy of the gene that is defective in the target disease in a 48-hour process. We preserve patients’ modified cells at a very low temperature, using cryopreservation to maintain the cellular material in optimal condition until it is thawed prior to being infused into the patient. The cryopreservation allows us to conduct a number of tests to validate the modified cells prior to introducing them into the patient.</w:t>
      </w:r>
    </w:p>
    <w:p>
      <w:pPr>
        <w:spacing w:after="0" w:line="173"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Prior to infusion of the gene therapy-modified cells into the patient, the patients undergo a conditioning regimen to remove some of the patient’s unmodified cells from the bone marrow to create sufficient space for the modified hematopoietic stem cells to engraft and produce their progeny. The conditioning regimen used in our approach for AVR-RD-01, AVR-RD-02 and AVR-RD-03 is planned to be completed in an outpatient setting.</w:t>
      </w:r>
    </w:p>
    <w:p>
      <w:pPr>
        <w:spacing w:after="0" w:line="14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After the conditioning regimen is complete, the genetically-modified stem cells are infused into the patient by intravenous administration in an outpatient setting. After infusion, these cells engraft into the bone marrow, replicate and differentiate into various types of blood cells that will distribute throughout the body. These widely distributed cells lead to sustained expression of the desired therapeutic enzyme or other protein. The sustained expression of the functional enzyme or protein is a direct substitute for the protein currently delivered by ERTs, which require periodic infusions.</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80"/>
          </w:cols>
          <w:pgMar w:left="24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 and Other Barriers to Entry</w:t>
      </w:r>
    </w:p>
    <w:p>
      <w:pPr>
        <w:spacing w:after="0" w:line="12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The proprietary nature of, or protection for, our gene therapy technology, our product candidates, our production methods and supply chain are an important part of our strategy to develop and commercialize novel therapies. To maximize the commercial opportunity for our gene therapies, if approved, we and our partners have been building and continue to build barriers to entry by our competitors, including:</w:t>
      </w:r>
    </w:p>
    <w:p>
      <w:pPr>
        <w:spacing w:after="0" w:line="71" w:lineRule="exact"/>
        <w:rPr>
          <w:sz w:val="20"/>
          <w:szCs w:val="20"/>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in-license and develop know-how, including data, relating to certain of our product candidates.</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rely on trade secret protection to protect aspects of our business that are not amenable to, or that we do not consider appropriate for, patent protection.</w:t>
      </w:r>
    </w:p>
    <w:p>
      <w:pPr>
        <w:spacing w:after="0" w:line="75" w:lineRule="exact"/>
        <w:rPr>
          <w:rFonts w:ascii="Arial" w:cs="Arial" w:eastAsia="Arial" w:hAnsi="Arial"/>
          <w:sz w:val="18"/>
          <w:szCs w:val="18"/>
          <w:color w:val="auto"/>
        </w:rPr>
      </w:pPr>
    </w:p>
    <w:p>
      <w:pPr>
        <w:jc w:val="both"/>
        <w:ind w:left="1060" w:right="200" w:hanging="424"/>
        <w:spacing w:after="0" w:line="312" w:lineRule="auto"/>
        <w:tabs>
          <w:tab w:leader="none" w:pos="10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management team has significant experience in cell processing and commercial-scale cellular therapy manufacturing. Leveraging this experience, we are building our global network of suppliers and CMO partners which combines their expertise in vector manufacturing, a closed, automated manufacturing system, production of current good manufacturing practices, or CGMP, materials and cryopreservation.</w:t>
      </w:r>
    </w:p>
    <w:p>
      <w:pPr>
        <w:spacing w:after="0" w:line="52" w:lineRule="exact"/>
        <w:rPr>
          <w:rFonts w:ascii="Arial" w:cs="Arial" w:eastAsia="Arial" w:hAnsi="Arial"/>
          <w:sz w:val="16"/>
          <w:szCs w:val="16"/>
          <w:color w:val="auto"/>
        </w:rPr>
      </w:pPr>
    </w:p>
    <w:p>
      <w:pPr>
        <w:ind w:left="1060" w:hanging="424"/>
        <w:spacing w:after="0" w:line="286"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gene therapies are designed to potentially provide a curative benefit. If our gene therapies are approved before any other potentially curative treatments, we believe the benefits of our approach and the resulting first mover advantage may provide meaningful disincentive for companies seeking to develop potentially curative therapies that may compete with our own. See “—Competition.”</w:t>
      </w:r>
    </w:p>
    <w:p>
      <w:pPr>
        <w:spacing w:after="0" w:line="70" w:lineRule="exact"/>
        <w:rPr>
          <w:rFonts w:ascii="Arial" w:cs="Arial" w:eastAsia="Arial" w:hAnsi="Arial"/>
          <w:sz w:val="17"/>
          <w:szCs w:val="17"/>
          <w:color w:val="auto"/>
        </w:rPr>
      </w:pPr>
    </w:p>
    <w:p>
      <w:pPr>
        <w:ind w:left="1060" w:right="180" w:hanging="424"/>
        <w:spacing w:after="0" w:line="259"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are developing therapies to treat rare diseases and expect to pursue orphan drug designation in the United States and similar protection outside of the United States. These and other regulatory exclusivities, if granted or applicable, can prevent competitors, during the exclusivity period, from obtaining regulatory approval of the same drug or biological product for the same indication. See “—Government Regulation.”</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currently in-license, and we expect to file our own, patents and patent applications relating to certain of our product candidates.</w:t>
      </w:r>
    </w:p>
    <w:p>
      <w:pPr>
        <w:spacing w:after="0" w:line="237"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We have in-licensed patents and patent applications from BioMarin Pharmaceutical Inc., and GenStem Therapeutics, Inc., directed to compositions and methods related to the manufacture and use of certain of our gene therapies. In addition, we have in-licensed certain intellectual property rights and know-how from the University Health Network and affiliates of Lund University. For example, we have in-licensed know-how and data related to AVR-RD-01, including certain information about the vector and its use, from University Health Network, and we have in-licensed know-how and data related to AVR-RD-02, including certain information about the vector and its use, from certain professors affiliated with Lund University. Each of our licenses are limited to particular fields, such as Fabry disease, Gaucher disease, Pompe disease, or cystinosis, and are subject to certain retained rights. We do not control the prosecution and maintenance of all of our in-licensed patents and patent applications, and our rights to enforce the patents are limited in certain ways. For additional detail regarding the risks associated with our license agreements see “Risk Factors—Risks Related to Intellectual Property.”</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31, 2018, our in-licensed patent portfolio relating to certain of our gene therapies included the following:</w:t>
      </w:r>
    </w:p>
    <w:p>
      <w:pPr>
        <w:spacing w:after="0" w:line="131" w:lineRule="exact"/>
        <w:rPr>
          <w:sz w:val="20"/>
          <w:szCs w:val="20"/>
          <w:color w:val="auto"/>
        </w:rPr>
      </w:pPr>
    </w:p>
    <w:p>
      <w:pPr>
        <w:ind w:left="1060" w:right="20" w:hanging="424"/>
        <w:spacing w:after="0" w:line="279"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AVR-RD-03</w:t>
      </w:r>
      <w:r>
        <w:rPr>
          <w:rFonts w:ascii="Arial" w:cs="Arial" w:eastAsia="Arial" w:hAnsi="Arial"/>
          <w:sz w:val="17"/>
          <w:szCs w:val="17"/>
          <w:color w:val="auto"/>
        </w:rPr>
        <w:t>: two United States (U.S.) patents, projected to expire in 2022 and 2023, and one U.S. patent application, which if granted,</w:t>
      </w:r>
      <w:r>
        <w:rPr>
          <w:rFonts w:ascii="Arial" w:cs="Arial" w:eastAsia="Arial" w:hAnsi="Arial"/>
          <w:sz w:val="17"/>
          <w:szCs w:val="17"/>
          <w:i w:val="1"/>
          <w:iCs w:val="1"/>
          <w:color w:val="auto"/>
        </w:rPr>
        <w:t xml:space="preserve"> </w:t>
      </w:r>
      <w:r>
        <w:rPr>
          <w:rFonts w:ascii="Arial" w:cs="Arial" w:eastAsia="Arial" w:hAnsi="Arial"/>
          <w:sz w:val="17"/>
          <w:szCs w:val="17"/>
          <w:color w:val="auto"/>
        </w:rPr>
        <w:t>would be projected to expire in 2029, as well as corresponding patents and patent applications in certain foreign jurisdictions, as they pertain to compositions and methods for promoting lysosomal uptake of acid alpha-glucosidase and the treatment of Pompe disease. These patents and patent applications are licensed to us by BioMarin and relate to the GILT tag; and</w:t>
      </w:r>
    </w:p>
    <w:p>
      <w:pPr>
        <w:spacing w:after="0" w:line="76" w:lineRule="exact"/>
        <w:rPr>
          <w:rFonts w:ascii="Arial" w:cs="Arial" w:eastAsia="Arial" w:hAnsi="Arial"/>
          <w:sz w:val="17"/>
          <w:szCs w:val="17"/>
          <w:color w:val="auto"/>
        </w:rPr>
      </w:pPr>
    </w:p>
    <w:p>
      <w:pPr>
        <w:ind w:left="1060" w:right="120" w:hanging="424"/>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AVR-RD-04</w:t>
      </w:r>
      <w:r>
        <w:rPr>
          <w:rFonts w:ascii="Arial" w:cs="Arial" w:eastAsia="Arial" w:hAnsi="Arial"/>
          <w:sz w:val="18"/>
          <w:szCs w:val="18"/>
          <w:color w:val="auto"/>
        </w:rPr>
        <w:t>: one international patent (PCT) application, which, if pursued and granted in the United States, would be projected to expire in</w:t>
      </w:r>
      <w:r>
        <w:rPr>
          <w:rFonts w:ascii="Arial" w:cs="Arial" w:eastAsia="Arial" w:hAnsi="Arial"/>
          <w:sz w:val="18"/>
          <w:szCs w:val="18"/>
          <w:i w:val="1"/>
          <w:iCs w:val="1"/>
          <w:color w:val="auto"/>
        </w:rPr>
        <w:t xml:space="preserve"> </w:t>
      </w:r>
      <w:r>
        <w:rPr>
          <w:rFonts w:ascii="Arial" w:cs="Arial" w:eastAsia="Arial" w:hAnsi="Arial"/>
          <w:sz w:val="18"/>
          <w:szCs w:val="18"/>
          <w:color w:val="auto"/>
        </w:rPr>
        <w:t>2038, containing claims directed to hematopoietic stem cells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40"/>
        <w:spacing w:after="0" w:line="277" w:lineRule="auto"/>
        <w:rPr>
          <w:sz w:val="20"/>
          <w:szCs w:val="20"/>
          <w:color w:val="auto"/>
        </w:rPr>
      </w:pPr>
      <w:r>
        <w:rPr>
          <w:rFonts w:ascii="Arial" w:cs="Arial" w:eastAsia="Arial" w:hAnsi="Arial"/>
          <w:sz w:val="18"/>
          <w:szCs w:val="18"/>
          <w:color w:val="auto"/>
        </w:rPr>
        <w:t>expressing cystinosin and methods of using the same for the treatment of cystinosis. This patent application is licensed to us by GenStem Therapeutics, and GenStem obtained its rights from the University of California, San Diego.</w:t>
      </w:r>
    </w:p>
    <w:p>
      <w:pPr>
        <w:spacing w:after="0" w:line="17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term of any given patent depends upon the legal term of patents in the countries in which they are obtained. In most countries in which we file, the patent term is 20 years from the date of filing the application, subject to the timely payment of maintenance fees, among other considerations. In the United States, a patent’s term may be lengthened by patent term adjustment, which compensates a patentee for administrative delays by the USPTO in granting a patent, or may be shortened if a patent is terminally disclaimed over an earlier-filed commonly owned patent. In addition, in certain instances, a patent term can be extended to recapture a portion of the term effectively lost as a result of FDA regulatory review period. However, the restoration period cannot be longer than five years and the total patent term including the restoration period must not exceed 14 years following FDA approval. In certain foreign jurisdictions similar extensions as compensation for regulatory delays are also available. The actual protection afforded by a patent varies on a claim by claim and country by country basis for each applicable product and depends upon many factors, including the type of patent, the scope of its coverage, the availability of regulatory related extensions, the availability of legal remedies in a particular country and the validity and enforceability of the patent. Currently, we do not own or license patents or patent applications related to our AVR-RD-01 or AVR-RD-02 product candidates. We rely, in some circumstances, on trade secrets and unpatented know-how that is either owned by or licensed to us to protect our technology. We seek to protect our proprietary technology and processes, in part, by entering into confidentiality agreements with our employees, consultants, scientific advisors and contractors.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Exclusive License Agreement with University Health Network</w:t>
      </w:r>
    </w:p>
    <w:p>
      <w:pPr>
        <w:spacing w:after="0" w:line="11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In November 2016, we entered into a license agreement with University Health Network, or UHN, pursuant to which UHN granted us an exclusive worldwide license under certain intellectual property rights and a non-exclusive worldwide license under certain know-how, including certain rights to data, in each case subject to certain retained rights, to develop, commercialize and sell products for use in the treatment of Fabry disease. Intellectual property licensed to us under this agreement relates to our Fabry program. In addition, for three years following the execution of the agreement, UHN granted us an exclusive option to obtain an exclusive license under certain improvements to the licensed intellectual property rights as well as an exclusive option to negotiate a license under certain other improvements. Under the terms of the agreement, we are required to meet certain performance milestones within specified timeframes. UHN may terminate the agreement if we fail to meet these performance milestones despite using commercially reasonable efforts and we are unable to reach agreement with UHN on revised timeframes.</w:t>
      </w:r>
    </w:p>
    <w:p>
      <w:pPr>
        <w:spacing w:after="0" w:line="166"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As consideration for the licenses, we paid to UHN a one-time upfront fee in the amount of C$75,000 and are obligated to pay an additional annual fee until the first sale of a licensed product in certain markets. We are also required to make payments to UHN in connection with the achievement of certain development and regulatory milestones, in an aggregate amount of C$2.45 million, as well as royalties on a country-by-country basis of a low to mid-single digit percentages on annual sales of licensed products and a lower single digit royalty in certain circumstances. Additionally, we will pay a low double digit percentage of all sublicensing revenue. Our royalty obligation expires on a licensed product-by-licensed product and country-by-country basis upon the latest to occur of the expiration or termination of the last valid claim under the licensed patent rights in such country (if and when any such patent rights come into existence under the license agreement in the future), the tenth anniversary of the first commercial sale of such licensed product in such country and the expiration of any applicable regulatory exclusivity in such country.</w:t>
      </w:r>
    </w:p>
    <w:p>
      <w:pPr>
        <w:spacing w:after="0" w:line="166"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addition, under this agreement we made a philanthropic commitment to donate funds to organizations for the benefit of the Canadian Fabry community in an amount equal to a low double digit percentage of our royalty payments and regulatory milestone payments, up to a maximum amount of C$500,000 in any calendar year.</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Unless terminated earlier, this exclusive license agreement with UHN will expire upon the expiration of our royalty obligation for all licensed products. Either we or UHN may terminate the license agreement if the other party commits a material breach and fails to cure such breach within a certain period of time. UHN may terminate this agreement if we enter into bankruptcy or insolvency. We may terminate this agreement for any reason upon notice to UHN.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License Agreement with Lund University Rights Holders</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January 2017, we entered into an exclusive license agreement with Dr. Stefan Karlsson and Maria Dahl, affiliates of Lund University, pursuant to which Drs. Karlsson and Dahl, and certain other relevant rights holders that may have an interest in intellectual property generated under a research project we are funding with Lund University, granted to us an exclusive worldwide license, subject to certain retained rights, under certain intellectual property rights to develop, commercialize and sell products in any and all uses relevant to Gaucher disease. Intellectual property licensed to us under this agreement relates to our Gaucher program.</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consideration for the license, we are required to make payments in connection with the achievement of certain milestones up to an aggregate of $550,000.</w:t>
      </w:r>
    </w:p>
    <w:p>
      <w:pPr>
        <w:spacing w:after="0" w:line="17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Our license agreement with the rights holders expires on the latest of (i) the twentieth anniversary of the end of a certain research project we are funding pursuant to an agreement with Lund University, (ii) the expiration of the term of any patent filed on the licensed rights that covers a licensed product, (iii) the expiration of any applicable marketing exclusivity right and (iv) such time that neither we nor any of our sublicensees or partners or contractors are commercializing a licensed product. Either we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License Agreement with BioMarin Pharmaceutical Inc.</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In August 2017, we entered into a license agreement with BioMarin Pharmaceutical Inc., or BioMarin, pursuant to which BioMarin granted us an exclusive worldwide license under certain intellectual property rights related to GILT tags owned or controlled by BioMarin to develop, commercialize and sell Retroviridae-based gene therapy products for use in the treatment of Pompe disease. Under the terms of the agreement, we must use commercially reasonable efforts to develop and commercialize one or more licensed products in the United States and certain European countries. In addition, we are required to initiate an IND-enabling pharmacology/toxicology study of a licensed product within a specified period of time.</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consideration for the license, we paid an initial license fee in the amount of $500,000 and issued 233,765 shares of our Series B preferred stock to BioMarin at the time of our Series B financing. We are also obligated to make payments to BioMarin upon achievement of certain milestones up to an aggregate of $13 million and pay to BioMarin a low single digit royalty percentage on net sales of licensed products covered by patent rights in a relevant country. Our royalty obligation expires on a licensed product-by-licensed product and country-by-country basis upon the latest to occur of the expiration or termination of the last valid claim under the licensed patent rights in such country, which is currently projected to occur in 2029, the tenth anniversary of the first commercial sale of such licensed product in such country and the expiration of any applicable regulatory exclusivity in such country.</w:t>
      </w:r>
    </w:p>
    <w:p>
      <w:pPr>
        <w:spacing w:after="0" w:line="189"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Unless terminated earlier, our license agreement with BioMarin will expire upon the expiration of our royalty obligation for all licensed products throughout the world. Either we or BioMarin may terminate the license agreement if the other party commits a material breach and fails to cure such breach within a certain period of time. BioMarin may also terminate the agreement in the event of any challenge or opposition to the licensed patent rights or related actions brought by us or our affiliates or sublicensees, or if we, our affiliates or sublicensees knowingly assist a third party in challenging or otherwise opposing the licensed patent rights, except as required under a court order or subpoena. In addition, BioMarin may terminate the agreement upon our bankruptcy or insolvency. We may terminate the agreement for any reason upon notice to BioMarin.</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License Agreement with GenStem Therapeutics Inc.</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In October 2017, we entered into a license agreement with GenStem Therapeutics, Inc., or GenStem, pursuant to which GenStem granted us an exclusive worldwide license, subject to certain retained rights, under certain intellectual property rights owned or controlled by GenStem related to our cystinosis program, including certain rights licensed to GenStem from the University of California, San Diego, to develop, commercialize and sell products for use in the treatment of cystinosis. Under the terms of the agreement, we must use commercially reasonable efforts to develop and commercialize one or more licensed products in the United States and in at least one country from other specified markets. We also agreed to comply with certain access requirements consistent with the California Institute for Regenerative Medicine regulations and to manufacture certain licensed products substantially in the United States.</w:t>
      </w:r>
    </w:p>
    <w:p>
      <w:pPr>
        <w:spacing w:after="0" w:line="189"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As consideration for the license, we paid an initial license fee in the amount of $1 million and are required to make payments upon completion of certain development milestones up to an aggregate of $16 million. Additionally, we will pay to GenStem a tiered mid to high-single digit royalty percentage on annual net sales of licensed products as well as a low double-digit percentage of sublicense income received from certain third party sublicensees. Our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 is currently projected to occur in 2038, whichever is later.</w:t>
      </w:r>
    </w:p>
    <w:p>
      <w:pPr>
        <w:spacing w:after="0" w:line="178"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Unless terminated earlier, our license agreement with GenStem will terminate upon the expiration of our royalty obligation for all licensed products throughout the world. Either we or GenStem may terminate the license agreement if the other party commits a material breach and fails to cure such breach within a certain period of time. In addition, we may terminate the agreement for any reason upon notice to GenStem.</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Our industry is highly competitive and subject to rapid and significant technological change. Our potential competitors include larger pharmaceutical, specialty pharmaceutical and biotechnology companies, as well as academic institutions, government agencies and private and public research institutions. Key competitive factors affecting the commercial success of our gene therapies are likely to be efficacy, safety and tolerability profile, reliability, convenience, price and reimbursement.</w:t>
      </w:r>
    </w:p>
    <w:p>
      <w:pPr>
        <w:spacing w:after="0" w:line="18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market for treatment of lysosomal storage diseases is especially large and competitive. The gene therapies we are currently developing, if approved, will face competition.</w:t>
      </w:r>
    </w:p>
    <w:p>
      <w:pPr>
        <w:spacing w:after="0" w:line="17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 number of our competitors. Accordingly, our competitors may be more successful than we may be in obtaining FDA approval for drugs and achieving widespread market acceptance. Our competitors’ products may be more effective, or more effectively marketed and sold, than any product we may commercialize and may render our gene therapies obsolete or non-competitive before we can recover the expenses of developing and commercializing any of our gene therapies. Our competitors may also obtain FDA or other regulatory approval for their products more rapidly than we may obtain approval for ours. We anticipate that we will face intense and increasing competition as new drugs enter the market and advanced technologies become available. Finally, the development of new treatment methods for the diseases we are targeting could render our gene therapies non-competitive or obsolete. See “Risk Factors—Risks related to the discovery and development of our product candidates—We face significant competition and our competitors may achieve regulatory approval before us or develop therapies that are more advanced or effective than ours, which may adversely affect our ability to successfully market or commercialize any of our product candidates,” and elsewhere in this prospectus for more information regarding competitors and competitive products.</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80"/>
          </w:cols>
          <w:pgMar w:left="24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the United States, biological products, including gene therapy products, are subject to regulation under the Federal Food, Drug, and Cosmetic Act, or FD&amp;C Act, and the Public Health Service Act, or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Each clinical study protocol for a gene therapy product must be reviewed by the FDA and, in some instances, the National Institute of Health, or NIH, through its Recombinant DNA Advisory Committee, or RAC. FDA approval must be obtained before the marketing of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79"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Within the FDA, the Center for Biologics Evaluation and Research, or CBER regulates gene therapy products. The CBER works closely with the NIH and its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potency testing, and chemistry, manufacturing and control information in INDs for gene therapies.</w:t>
      </w:r>
    </w:p>
    <w:p>
      <w:pPr>
        <w:spacing w:after="0" w:line="178"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Ethical, social and legal concerns about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Biological Products Development Process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process required by the FDA before a biological product may be marketed in the United States generally involves the following:</w:t>
      </w:r>
    </w:p>
    <w:p>
      <w:pPr>
        <w:spacing w:after="0" w:line="131" w:lineRule="exact"/>
        <w:rPr>
          <w:sz w:val="20"/>
          <w:szCs w:val="20"/>
          <w:color w:val="auto"/>
        </w:rPr>
      </w:pPr>
    </w:p>
    <w:p>
      <w:pPr>
        <w:ind w:left="1060" w:right="140" w:hanging="424"/>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studies may begin;</w:t>
      </w:r>
    </w:p>
    <w:p>
      <w:pPr>
        <w:spacing w:after="0" w:line="130"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study site before each study may be initiated;</w:t>
      </w:r>
    </w:p>
    <w:p>
      <w:pPr>
        <w:spacing w:after="0" w:line="75" w:lineRule="exact"/>
        <w:rPr>
          <w:rFonts w:ascii="Arial" w:cs="Arial" w:eastAsia="Arial" w:hAnsi="Arial"/>
          <w:sz w:val="18"/>
          <w:szCs w:val="18"/>
          <w:color w:val="auto"/>
        </w:rPr>
      </w:pPr>
    </w:p>
    <w:p>
      <w:pPr>
        <w:ind w:left="1060" w:right="240" w:hanging="424"/>
        <w:spacing w:after="0" w:line="264"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according to the FDA’s regulations commonly referred to as good clinical practices, or GCPs, and any additional requirements for the protection of human research subjects and their health information, to establish the safety and efficacy of the proposed biological product for its intended use;</w:t>
      </w:r>
    </w:p>
    <w:p>
      <w:pPr>
        <w:spacing w:after="0" w:line="86" w:lineRule="exact"/>
        <w:rPr>
          <w:rFonts w:ascii="Arial" w:cs="Arial" w:eastAsia="Arial" w:hAnsi="Arial"/>
          <w:sz w:val="18"/>
          <w:szCs w:val="18"/>
          <w:color w:val="auto"/>
        </w:rPr>
      </w:pPr>
    </w:p>
    <w:p>
      <w:pPr>
        <w:ind w:left="1060" w:right="340" w:hanging="424"/>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submission to the FDA of a Biologics License Application, or BLA, for marketing approval that includes substantive evidence of safety, purity, and potency from results of nonclinical testing and clinical studies;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20" w:hanging="424"/>
        <w:spacing w:after="0" w:line="259"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biological product is produced to assess compliance with current good manufacturing practices, or CGMPs, to assure that the facilities, methods and controls are adequate to preserve the biological product’s identity, strength, quality and purity and, if applicable, the FDA’s current good tissue practices, or GTPs, for the use of human cellular and tissue products;</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22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Before testing any biological product candidate, including a gene therapy product,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87" w:lineRule="exact"/>
        <w:rPr>
          <w:sz w:val="20"/>
          <w:szCs w:val="20"/>
          <w:color w:val="auto"/>
        </w:rPr>
      </w:pPr>
    </w:p>
    <w:p>
      <w:pPr>
        <w:jc w:val="both"/>
        <w:ind w:left="200" w:right="460" w:firstLine="441"/>
        <w:spacing w:after="0" w:line="288" w:lineRule="auto"/>
        <w:rPr>
          <w:sz w:val="20"/>
          <w:szCs w:val="20"/>
          <w:color w:val="auto"/>
        </w:rPr>
      </w:pPr>
      <w:r>
        <w:rPr>
          <w:rFonts w:ascii="Arial" w:cs="Arial" w:eastAsia="Arial" w:hAnsi="Arial"/>
          <w:sz w:val="16"/>
          <w:szCs w:val="16"/>
          <w:color w:val="auto"/>
        </w:rPr>
        <w:t>Where a gene therapy study is conducted at, or sponsored by, institutions receiving NIH funding for recombinant DNA research, prior to the submission of an IND to the FDA, a protocol and related documentation is submitted to and the study is registered with the NIH Office of Science Policy, or OSP, pursuant to the NIH Guidelines for Research Involving Recombinant or Synthetic Nucleic Acid Molecules, or NIH Guidelines.</w:t>
      </w:r>
    </w:p>
    <w:p>
      <w:pPr>
        <w:ind w:left="200"/>
        <w:spacing w:after="0" w:line="271" w:lineRule="auto"/>
        <w:rPr>
          <w:sz w:val="20"/>
          <w:szCs w:val="20"/>
          <w:color w:val="auto"/>
        </w:rPr>
      </w:pPr>
      <w:r>
        <w:rPr>
          <w:rFonts w:ascii="Arial" w:cs="Arial" w:eastAsia="Arial" w:hAnsi="Arial"/>
          <w:sz w:val="17"/>
          <w:szCs w:val="17"/>
          <w:color w:val="auto"/>
        </w:rPr>
        <w:t>Compliance with the NIH Guidelines is mandatory for investigators at institutions receiving NIH funds for research involving recombinant DNA; however, many companies and other institutions not otherwise subject to the NIH Guidelines voluntarily follow them. The NIH is responsible for convening the RAC, a federal advisory committee that discusses protocols that raise novel or particularly important scientific, safety or ethical considerations, at one of its quarterly public meetings. The OSP will notify the FDA of the RAC’s decision regarding the necessity for full public review of a gene therapy protocol. RAC proceedings and reports are posted to the OSP web site and may be accessed by the public.</w:t>
      </w:r>
    </w:p>
    <w:p>
      <w:pPr>
        <w:spacing w:after="0" w:line="179"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An IND is a request for authorization from the FDA to ship an unapproved, investigational product in interstate commerce and to administer it to humans, and must become effective before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 The FDA also may impose clinical holds on a biological product candidate at any time before or during clinical studies due to safety concerns or non-compliance. If the FDA imposes a clinical hold, studies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7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0" w:lineRule="auto"/>
        <w:rPr>
          <w:sz w:val="20"/>
          <w:szCs w:val="20"/>
          <w:color w:val="auto"/>
        </w:rPr>
      </w:pPr>
      <w:r>
        <w:rPr>
          <w:rFonts w:ascii="Arial" w:cs="Arial" w:eastAsia="Arial" w:hAnsi="Arial"/>
          <w:sz w:val="16"/>
          <w:szCs w:val="16"/>
          <w:color w:val="auto"/>
        </w:rPr>
        <w:t>the IND. Clinical studies must be conducted and monitored in accordance with the FDA’s regulations comprising the GCP requirements, including the requirement that all research subjects provide informed consent. Further, each clinical study must be reviewed and approved by an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 Clinical research involving recombinant DNA that is subject to NIH guidelines also must be reviewed by an institutional biosafety committee, or IBC, a local institutional committee that reviews and oversees basic and clinical research conducted at that institution. The IBC assesses the safety of the research and identifies any potential risk to public health or the environment.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Clinical studies typically are conducted in three sequential phases that may overlap or be combined:</w:t>
      </w:r>
    </w:p>
    <w:p>
      <w:pPr>
        <w:spacing w:after="0" w:line="131" w:lineRule="exact"/>
        <w:rPr>
          <w:sz w:val="20"/>
          <w:szCs w:val="20"/>
          <w:color w:val="auto"/>
        </w:rPr>
      </w:pPr>
    </w:p>
    <w:p>
      <w:pPr>
        <w:ind w:left="1060" w:right="60" w:hanging="424"/>
        <w:spacing w:after="0" w:line="264"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biological product is initially introduced into healthy human subjects and tested for safety. In the case of some products for</w:t>
      </w:r>
      <w:r>
        <w:rPr>
          <w:rFonts w:ascii="Arial" w:cs="Arial" w:eastAsia="Arial" w:hAnsi="Arial"/>
          <w:sz w:val="18"/>
          <w:szCs w:val="18"/>
          <w:i w:val="1"/>
          <w:iCs w:val="1"/>
          <w:color w:val="auto"/>
        </w:rPr>
        <w:t xml:space="preserve"> </w:t>
      </w:r>
      <w:r>
        <w:rPr>
          <w:rFonts w:ascii="Arial" w:cs="Arial" w:eastAsia="Arial" w:hAnsi="Arial"/>
          <w:sz w:val="18"/>
          <w:szCs w:val="18"/>
          <w:color w:val="auto"/>
        </w:rPr>
        <w:t>severe or life-threatening diseases, especially when the product may be too inherently toxic to ethically administer to healthy volunteers, the initial human testing is often conducted in patients.</w:t>
      </w:r>
    </w:p>
    <w:p>
      <w:pPr>
        <w:spacing w:after="0" w:line="86" w:lineRule="exact"/>
        <w:rPr>
          <w:rFonts w:ascii="Arial" w:cs="Arial" w:eastAsia="Arial" w:hAnsi="Arial"/>
          <w:sz w:val="18"/>
          <w:szCs w:val="18"/>
          <w:color w:val="auto"/>
        </w:rPr>
      </w:pPr>
    </w:p>
    <w:p>
      <w:pPr>
        <w:ind w:left="1060" w:right="520" w:hanging="424"/>
        <w:spacing w:after="0" w:line="264"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biological product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86"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studies are undertaken to further evaluate dosage, clinical efficacy, potency, and safety in an expanded patient population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at geographically dispersed clinical study sites. These clinical studies are intended to establish the overall risk/benefit ratio of the product and provide an adequate basis for approval and product labeling.</w:t>
      </w:r>
    </w:p>
    <w:p>
      <w:pPr>
        <w:spacing w:after="0" w:line="181" w:lineRule="exact"/>
        <w:rPr>
          <w:sz w:val="20"/>
          <w:szCs w:val="20"/>
          <w:color w:val="auto"/>
        </w:rPr>
      </w:pPr>
    </w:p>
    <w:p>
      <w:pPr>
        <w:ind w:left="200" w:right="440"/>
        <w:spacing w:after="0" w:line="257" w:lineRule="auto"/>
        <w:rPr>
          <w:sz w:val="20"/>
          <w:szCs w:val="20"/>
          <w:color w:val="auto"/>
        </w:rPr>
      </w:pPr>
      <w:r>
        <w:rPr>
          <w:rFonts w:ascii="Arial" w:cs="Arial" w:eastAsia="Arial" w:hAnsi="Arial"/>
          <w:sz w:val="18"/>
          <w:szCs w:val="18"/>
          <w:color w:val="auto"/>
        </w:rPr>
        <w:t>Post-approval clinical studies, sometimes referred to as Phase 4 clinical studies, may be conducted after initial marketing approval. These clinical studies are used to gain additional experience from the treatment of patients in the intended therapeutic indication, particularly for long-term safety follow-up. The FDA recommends that sponsors observe subjects for potential gene therapy-related delayed adverse events for a 15-year period, including a minimum of five years of annual examinations followed by ten years of annual queries, either in person or by questionnaire, of study subjects.</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the NIH and the investigators for serious and unexpected adverse events, any findings from other studies, tests in laboratory animals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studies may not be completed successfully within any specified period, if at all. The FDA or the sponsor, acting on its own or based on a recommendation from the sponsor’s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w:t>
      </w:r>
    </w:p>
    <w:p>
      <w:pPr>
        <w:spacing w:after="0" w:line="180"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Human gene therapy products are a new category of therapeutics. Because this is a relatively new and expanding area of novel therapeutic interventions, there can be no assurance as to the length of the study period,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the number of patients the FDA will require to be enrolled in the studies in order to establish the safety, efficacy, purity and potency of human gene therapy products, or that the data generated in these studies will be acceptable to the FDA to support marketing approval. The NIH has a publicly accessible database, the Genetic Modification Clinical Research Information System which includes information on gene transfer studies and serves as an electronic tool to facilitate the reporting and analysis of adverse events on these studies.</w:t>
      </w:r>
    </w:p>
    <w:p>
      <w:pPr>
        <w:spacing w:after="0" w:line="18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Concurrent with clinical studies, companies usually complete additional animal studies and also must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8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In most cases, the submission of a BLA is subject to a substantial application user fee, although the fee may be waived under certain circumstances. Under the goals and policies agreed to by the FDA under the Prescription Drug User Fee Act, or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73"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to assure the safe use of the biological product. If the FDA concludes a REMS is needed, the sponsor of the BLA must submit a proposed REMS; the FDA will not approve the BLA without a REMS, if required.</w:t>
      </w:r>
    </w:p>
    <w:p>
      <w:pPr>
        <w:spacing w:after="0" w:line="17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the GTPs. These are FDA regulations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w:t>
      </w:r>
    </w:p>
    <w:p>
      <w:pPr>
        <w:spacing w:after="0" w:line="18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Under the Pediatric Research Equity Act, or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18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8"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studies, sometimes referred to as Phase 4 clinical studies, designed to further assess a biological product’s safety and effectiveness, and testing and surveillance programs to monitor the safety of approved products that have been commercialized.</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81"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These programs do not change the standards for approval but may expedite the development or approval process. To be eligible for fast track designation, new drugs and biological products must be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for a product that has received Fast Track designation on a rolling basis before the complete application is submitted.</w:t>
      </w:r>
    </w:p>
    <w:p>
      <w:pPr>
        <w:spacing w:after="0" w:line="182" w:lineRule="exact"/>
        <w:rPr>
          <w:sz w:val="20"/>
          <w:szCs w:val="20"/>
          <w:color w:val="auto"/>
        </w:rPr>
      </w:pPr>
    </w:p>
    <w:p>
      <w:pPr>
        <w:ind w:left="200" w:right="380" w:firstLine="441"/>
        <w:spacing w:after="0" w:line="302" w:lineRule="auto"/>
        <w:rPr>
          <w:sz w:val="20"/>
          <w:szCs w:val="20"/>
          <w:color w:val="auto"/>
        </w:rPr>
      </w:pPr>
      <w:r>
        <w:rPr>
          <w:rFonts w:ascii="Arial" w:cs="Arial" w:eastAsia="Arial" w:hAnsi="Arial"/>
          <w:sz w:val="16"/>
          <w:szCs w:val="16"/>
          <w:color w:val="auto"/>
        </w:rPr>
        <w:t>Under the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FDA will seek to ensure the sponsor of a breakthrough therapy product receives timely advice and interactive communications to help the sponsor design and conduct a development program as efficiently as possible.</w:t>
      </w:r>
    </w:p>
    <w:p>
      <w:pPr>
        <w:spacing w:after="0" w:line="154"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Under priority review, the FDA’s goal is to review an application in six months, compared to ten months for a standard review.</w:t>
      </w:r>
    </w:p>
    <w:p>
      <w:pPr>
        <w:spacing w:after="0" w:line="15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Regenerative Medicine Advanced Therapies Designation</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As part of the 21st Century Cures Act, enacted in December 2016, Congress amended the FD&amp;C Act to facilitate an efficient development program for, and expedite review of regenerative medicine advanced therapies, which include cell and gene therapies, therapeutic tissue engineering products, human cell and tissue products, and combination products using any such therapies or products. Regenerative medicine advanced therapies do not include those human cells, tissues, and cellular and tissue based products regulated solely under section 361 of the Public Health Service Act and 21 CFR Part 1271. This program is intended to facilitate efficient development and expedite review of regenerative medicine therapies, which are intended to treat, modify, reverse, or cure a serious or life-threatening disease or condition and qualify for RMAT designation. A drug sponsor may request that FDA designate a drug as a RMAT concurrently with or at any time after submission of an IND. FDA has 60 calendar days to determine whether the drug meets the criteria, including whether there is preliminary clinical evidence indicating that the drug has the potential to address unmet medical needs for a serious or life-threatening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studies, patient registries, or other sources of real world evidence, such as electronic health records; the collection of larger confirmatory data sets; or post-approval monitoring of all patients treated with such therapy prior to its approval. Like FDA’s other expedited development programs, RMAT designation does not change the standards for approval but may expedite the development or approval process.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injunctions, fines, refusals of government contracts, mandated corrective advertising or communications with doctors or other stakeholders, debarment, restitution, disgorgement of profits, or civil or criminal penalties. Any agency or judicial enforcement action could have a material adverse effect on us.</w:t>
      </w:r>
    </w:p>
    <w:p>
      <w:pPr>
        <w:spacing w:after="0" w:line="169"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 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studies and other factors involved in the filing of the relevant BLA.</w:t>
      </w:r>
    </w:p>
    <w:p>
      <w:pPr>
        <w:spacing w:after="0" w:line="18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 biological product can obtain pediatric market exclusivity in the United States.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Patient Protection and Affordable Care Act, or Affordable Care Act or ACA or PPACA, signed into law on March 23, 2010, includes a subtitle called the Biologics Price Competition and Innovation Act of 2009 which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0" w:lineRule="auto"/>
        <w:rPr>
          <w:sz w:val="20"/>
          <w:szCs w:val="20"/>
          <w:color w:val="auto"/>
        </w:rPr>
      </w:pPr>
      <w:r>
        <w:rPr>
          <w:rFonts w:ascii="Arial" w:cs="Arial" w:eastAsia="Arial" w:hAnsi="Arial"/>
          <w:sz w:val="17"/>
          <w:szCs w:val="17"/>
          <w:color w:val="auto"/>
        </w:rPr>
        <w:t>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8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A reference biological product is granted four and twelve year exclusivity periods from the time of first licensure of the product. 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Foreign Corrupt Practices Act</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8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Clinical Trial Application, or CTA, must be submitted for each clinical trial to each country’s national health authority and an independent ethics committee, much like the FDA and an IRB, respectively. Once the CTA is approved in accordance with a country’s requirements, the corresponding clinical study may proceed.</w:t>
      </w:r>
    </w:p>
    <w:p>
      <w:pPr>
        <w:spacing w:after="0" w:line="193"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The requirements and process governing the conduct of clinical studies, product licensing, pricing and reimbursement vary from country to country. In all cases, the clinical studies must be conducted in accordance with GCP and the applicable regulatory requirements and the ethical principles that have their origin in the Declaration of Helsinki.</w:t>
      </w:r>
    </w:p>
    <w:p>
      <w:pPr>
        <w:spacing w:after="0" w:line="18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To obtain regulatory approval of an investigational product under European Union regulatory systems, we must submit a marketing authorization application. The application used to file the BLA in the United States is similar to that required in the European Union, with the exception of, among other things, region-specific document requirements. The European Union also provides opportunities for market exclusivity. For example, in the European Union, upon receiving marketing authorization, innovative medicinal products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an innovative medicinal product,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8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87" w:lineRule="exact"/>
        <w:rPr>
          <w:sz w:val="20"/>
          <w:szCs w:val="20"/>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second applicant can establish that its product, although similar, is safer, more effective or otherwise clinically superior;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applicant consents to a second orphan medicinal product application;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applicant cannot supply enough orphan medicinal product.</w:t>
      </w:r>
    </w:p>
    <w:p>
      <w:pPr>
        <w:spacing w:after="0" w:line="225"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must be conducted in accordance with GCP and the applicable regulatory requirements and the ethical principles that have their origin in the Declaration of Helsinki.</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In addition to FDA restrictions on the marketing of pharmaceutical products, we may be subject to various federal and state laws targeting fraud and abuse in the healthcare industry. These laws may impact, among other things, our business or financial arrangements and relationships through which we market, sell and distribute the gene therapies for which we obtain approval. In addition, we may be subject to patient privacy regulation by both the federal government and the states in which we conduct our business. The laws that may affect our ability to operate include:</w:t>
      </w:r>
    </w:p>
    <w:p>
      <w:pPr>
        <w:spacing w:after="0" w:line="60" w:lineRule="exact"/>
        <w:rPr>
          <w:sz w:val="20"/>
          <w:szCs w:val="20"/>
          <w:color w:val="auto"/>
        </w:rPr>
      </w:pPr>
    </w:p>
    <w:p>
      <w:pPr>
        <w:ind w:left="1060" w:right="20" w:hanging="424"/>
        <w:spacing w:after="0" w:line="291" w:lineRule="auto"/>
        <w:tabs>
          <w:tab w:leader="none" w:pos="10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or federal civil money penalties statute;</w:t>
      </w:r>
    </w:p>
    <w:p>
      <w:pPr>
        <w:spacing w:after="0" w:line="72" w:lineRule="exact"/>
        <w:rPr>
          <w:rFonts w:ascii="Arial" w:cs="Arial" w:eastAsia="Arial" w:hAnsi="Arial"/>
          <w:sz w:val="16"/>
          <w:szCs w:val="16"/>
          <w:color w:val="auto"/>
        </w:rPr>
      </w:pPr>
    </w:p>
    <w:p>
      <w:pPr>
        <w:ind w:left="1060" w:right="160" w:hanging="424"/>
        <w:spacing w:after="0" w:line="255"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penalties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w:t>
      </w:r>
    </w:p>
    <w:p>
      <w:pPr>
        <w:spacing w:after="0" w:line="98" w:lineRule="exact"/>
        <w:rPr>
          <w:rFonts w:ascii="Arial" w:cs="Arial" w:eastAsia="Arial" w:hAnsi="Arial"/>
          <w:sz w:val="18"/>
          <w:szCs w:val="18"/>
          <w:color w:val="auto"/>
        </w:rPr>
      </w:pPr>
    </w:p>
    <w:p>
      <w:pPr>
        <w:ind w:left="1060" w:right="160" w:hanging="424"/>
        <w:spacing w:after="0" w:line="259"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0" w:hanging="424"/>
        <w:spacing w:after="0" w:line="291" w:lineRule="auto"/>
        <w:tabs>
          <w:tab w:leader="none" w:pos="10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payer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2" w:lineRule="exact"/>
        <w:rPr>
          <w:rFonts w:ascii="Arial" w:cs="Arial" w:eastAsia="Arial" w:hAnsi="Arial"/>
          <w:sz w:val="16"/>
          <w:szCs w:val="16"/>
          <w:color w:val="auto"/>
        </w:rPr>
      </w:pPr>
    </w:p>
    <w:p>
      <w:pPr>
        <w:ind w:left="1060" w:right="140" w:hanging="424"/>
        <w:spacing w:after="0" w:line="302" w:lineRule="auto"/>
        <w:tabs>
          <w:tab w:leader="none" w:pos="10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59" w:lineRule="exact"/>
        <w:rPr>
          <w:rFonts w:ascii="Arial" w:cs="Arial" w:eastAsia="Arial" w:hAnsi="Arial"/>
          <w:sz w:val="16"/>
          <w:szCs w:val="16"/>
          <w:color w:val="auto"/>
        </w:rPr>
      </w:pPr>
    </w:p>
    <w:p>
      <w:pPr>
        <w:ind w:left="1060" w:right="160" w:hanging="424"/>
        <w:spacing w:after="0" w:line="255"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federal transparency requirements under the Affordable Care Act,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98"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Additionally, we are subject to state and foreign equivalents of each of the healthcare laws described above, among others, some of which may be broader in scope and may apply regardless of the payer. Many U.S. states have adopted laws similar to the federal Anti-Kickback Statute, some of which apply to the referral of patients for healthcare services reimbursed by any source, not just governmental payers,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6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Violations of fraud and abuse laws may be punishable by criminal and/or civil sanctions, including penalties, fines, imprisonment and/or exclusion or suspension from federal and state healthcare programs such as Medicare and Medicaid and debarment from contracting with the U.S. government. In addition, private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individuals have the ability to bring actions on behalf of the U.S. government under the federal False Claims Act as well as under the false claims laws of several states.</w:t>
      </w:r>
    </w:p>
    <w:p>
      <w:pPr>
        <w:spacing w:after="0" w:line="170"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It is possible that governmental authorities will conclude that our business practices, including our arrangements with physicians and other healthcare providers, some of whom receive stock options as compensation for services provided, may not comply with current or future statutes, regulations, agency guidance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gene therapies outside the United States will also likely subject us to foreign equivalents of the healthcare laws mentioned above, among other foreign laws.</w:t>
      </w:r>
    </w:p>
    <w:p>
      <w:pPr>
        <w:spacing w:after="0" w:line="17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 which may also adversely affect our business.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payers have attempted to control costs by limiting coverage and the amount of reimbursement for particular medical products. For example, in March 2010, the Affordable Care Act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drug manufacturers to new annual fees based on pharmaceutical companies’ share of sales to federal healthcare programs; imposed a new federal excise tax on the sale of certain medical devices; created a new Patient Centered Outcomes Research Institute to oversee, identify priorities in and conduct comparative clinical effectiveness research, along with funding for such research; and established the Center for Medicare Innovation at the CMS to test innovative payment and service delivery models to lower Medicare and Medicaid spending.</w:t>
      </w:r>
    </w:p>
    <w:p>
      <w:pPr>
        <w:spacing w:after="0" w:line="18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Since its enactment, there have been a number of significant changes to the Affordable Care Act. On October 13, 2017, President Trump signed an Executive Order terminating the cost-sharing subsidies that reimburse insurers under the Affordable Care Act.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Affordable Care Act for plans sold through such marketplaces. In January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24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7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 the annual fee imposed on certain health insurance providers based on market share, and the medical device exercise tax on non-exempt medical devices. Further, the Bipartisan Budget Act of 2018, or the BBA, among other things, amends the ACA, effective January 1, 2019, to reduce the coverage gap in most Medicare drug plans, commonly referred to as the “donut hole.” Congress will likely consider other legislation to replace or modify elements of the Affordable Care Act. We continue to evaluate the effect that the Affordable Care Act and its possible repeal, replacement or further modification could have on our business. It is uncertain the extent to which any such changes may impact our business or financial condition.</w:t>
      </w:r>
    </w:p>
    <w:p>
      <w:pPr>
        <w:spacing w:after="0" w:line="16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addition, the Budget Control Act of 2011 and the Bipartisan Budget Act of 2015 led to aggregate reductions of Medicare payments to providers of up to 2% per fiscal year that will remain in effect through 2027 unless additional Congressional action is taken. Further,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Significant uncertainty exists as to the coverage and reimbursement status of any gene therapies for which we obtain regulatory approval. In the United States and markets in other countries, sales of any gene therapies for which we receive regulatory approval for commercial sale will depend, in part, on the availability of coverage and reimbursement from third-party payers. Third-party payers include government authorities, managed care providers, private health insurers and other organizations. The process for determining whether a payer will provide coverage for a product may be separate from the process for setting the reimbursement rate that the payer will pay for the product. Third-party payers may limit coverage to specific products on an approved list, or formulary, which might not include all of the FDA-approved products for a particular indication. A decision by a</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third-party payer not to cover our gene therapies could reduce physician utilization of our products once approved and have a material adverse effect on our sales, results of operations and financial condition. Moreover, a payer’s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87"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In addition, coverage and reimbursement for products can differ significantly from payer to payer. One third-party payer’s decision to cover a particular medical product or service does not ensure that other payers will also provide coverage for the medical product or service, or will provide coverage at an adequate reimbursement rate.</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As a result, the coverage determination process will require us to provide scientific and clinical support for the use of our products to each payer separately and will be a time-consuming process.</w:t>
      </w:r>
    </w:p>
    <w:p>
      <w:pPr>
        <w:spacing w:after="0" w:line="17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Third-party payers are increasingly challenging the price and examining the medical necessity and cost-effectiveness of medical products and services, in addition to their safety and efficacy. In order to obtain and maintain coverage and reimbursement for any product, we may need to conduct expensive clinical trials in order to demonstrate the medical necessity and cost-effectiveness of such product, in addition to the costs required to obtain regulatory approvals. If third-party payers do not consider a product to be cost-effective compared to other available therapies, they may not cover the product as a benefit under their plans or, if they do, the level of payment may not be sufficient to allow a company to sell its products at a profit.</w:t>
      </w:r>
    </w:p>
    <w:p>
      <w:pPr>
        <w:spacing w:after="0" w:line="15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Our corporate headquarters are located in Cambridge, Massachusetts. Our current leased facility encompasses approximately 4,580 square feet of office and laboratory space initially, with the ability to expand up to 11,218 square feet during 2018. The lease for this facility expires in January 2023.</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As of March 31, 2018, we had 24 full-time employees, 14 of whom have Ph.D. or M.D. degrees. Of these full-time employees, 16 employees are engaged in research and development activities and eight employees are engaged in finance, legal, human resources, facilities and general management. We have no collective bargaining agreements with our employees and we have not experienced any work stoppages. We consider our relations with our employees to be good.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prospectus,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80"/>
          </w:cols>
          <w:pgMar w:left="24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name, age and position of each of our executive officers and directors, as of March 31,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center"/>
              <w:ind w:left="672"/>
              <w:spacing w:after="0"/>
              <w:rPr>
                <w:sz w:val="20"/>
                <w:szCs w:val="20"/>
                <w:color w:val="auto"/>
              </w:rPr>
            </w:pPr>
            <w:r>
              <w:rPr>
                <w:rFonts w:ascii="Arial" w:cs="Arial" w:eastAsia="Arial" w:hAnsi="Arial"/>
                <w:sz w:val="14"/>
                <w:szCs w:val="14"/>
                <w:b w:val="1"/>
                <w:bCs w:val="1"/>
                <w:color w:val="auto"/>
                <w:w w:val="98"/>
              </w:rPr>
              <w:t>AGE</w:t>
            </w:r>
          </w:p>
        </w:tc>
        <w:tc>
          <w:tcPr>
            <w:tcW w:w="6500" w:type="dxa"/>
            <w:vAlign w:val="bottom"/>
            <w:gridSpan w:val="3"/>
          </w:tcPr>
          <w:p>
            <w:pPr>
              <w:ind w:left="3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Executive Officers</w:t>
            </w: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Geoff MacKay</w:t>
            </w:r>
          </w:p>
        </w:tc>
        <w:tc>
          <w:tcPr>
            <w:tcW w:w="110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51</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Katina Dorton</w:t>
            </w:r>
          </w:p>
        </w:tc>
        <w:tc>
          <w:tcPr>
            <w:tcW w:w="110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9"/>
              </w:rPr>
              <w:t>60</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Nerissa Kreher, M.D.</w:t>
            </w:r>
          </w:p>
        </w:tc>
        <w:tc>
          <w:tcPr>
            <w:tcW w:w="110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45</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Non-Employee Directors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Bruce Booth, D.Phil.</w:t>
            </w:r>
          </w:p>
        </w:tc>
        <w:tc>
          <w:tcPr>
            <w:tcW w:w="110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43</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Clark</w:t>
            </w:r>
          </w:p>
        </w:tc>
        <w:tc>
          <w:tcPr>
            <w:tcW w:w="110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9"/>
              </w:rPr>
              <w:t>57</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Annalisa Jenkins, M.B.B.S., F.R.C.P.</w:t>
            </w:r>
          </w:p>
        </w:tc>
        <w:tc>
          <w:tcPr>
            <w:tcW w:w="110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52</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Paige, Ph.D.</w:t>
            </w:r>
          </w:p>
        </w:tc>
        <w:tc>
          <w:tcPr>
            <w:tcW w:w="110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9"/>
              </w:rPr>
              <w:t>65</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Scott Requadt</w:t>
            </w:r>
          </w:p>
        </w:tc>
        <w:tc>
          <w:tcPr>
            <w:tcW w:w="110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50</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Joshua Resnick, M.D.</w:t>
            </w:r>
          </w:p>
        </w:tc>
        <w:tc>
          <w:tcPr>
            <w:tcW w:w="110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9"/>
              </w:rPr>
              <w:t>42</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200" w:right="360" w:firstLine="441"/>
        <w:spacing w:after="0" w:line="286" w:lineRule="auto"/>
        <w:rPr>
          <w:sz w:val="20"/>
          <w:szCs w:val="20"/>
          <w:color w:val="auto"/>
        </w:rPr>
      </w:pPr>
      <w:r>
        <w:rPr>
          <w:rFonts w:ascii="Arial" w:cs="Arial" w:eastAsia="Arial" w:hAnsi="Arial"/>
          <w:sz w:val="16"/>
          <w:szCs w:val="16"/>
          <w:b w:val="1"/>
          <w:bCs w:val="1"/>
          <w:i w:val="1"/>
          <w:iCs w:val="1"/>
          <w:color w:val="auto"/>
        </w:rPr>
        <w:t xml:space="preserve">Geoff MacKay </w:t>
      </w:r>
      <w:r>
        <w:rPr>
          <w:rFonts w:ascii="Arial" w:cs="Arial" w:eastAsia="Arial" w:hAnsi="Arial"/>
          <w:sz w:val="16"/>
          <w:szCs w:val="16"/>
          <w:color w:val="auto"/>
        </w:rPr>
        <w:t>is our co-founder and has been our chief executive officer and director since November 2015. From April 2015 to June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MacKay served as interim chief executive officer of eGenesis, Inc., a biotechnology company, and from December 2003 to December 2014, he served as chief executive officer of Organogensis Inc., a biotechnology company. Prior to that, from February 1993 to December 2003, Mr. MacKay served in various senior leadership positions within the global transplantation &amp; immunology franchise at Novartis Canada, Global (Basel), USA.</w:t>
      </w:r>
    </w:p>
    <w:p>
      <w:pPr>
        <w:spacing w:after="0" w:line="2" w:lineRule="exact"/>
        <w:rPr>
          <w:sz w:val="20"/>
          <w:szCs w:val="20"/>
          <w:color w:val="auto"/>
        </w:rPr>
      </w:pPr>
    </w:p>
    <w:p>
      <w:pPr>
        <w:ind w:left="200" w:right="200"/>
        <w:spacing w:after="0" w:line="273" w:lineRule="auto"/>
        <w:rPr>
          <w:sz w:val="20"/>
          <w:szCs w:val="20"/>
          <w:color w:val="auto"/>
        </w:rPr>
      </w:pPr>
      <w:r>
        <w:rPr>
          <w:rFonts w:ascii="Arial" w:cs="Arial" w:eastAsia="Arial" w:hAnsi="Arial"/>
          <w:sz w:val="17"/>
          <w:szCs w:val="17"/>
          <w:color w:val="auto"/>
        </w:rPr>
        <w:t>Mr. MacKay has served on the board of directors of Replicel, Inc., a regenerative medicine company, since 2016 and previously served as chairman of the board of MassBio, chairman of the board of the Alliance of Regenerative Medicine, and on the advisory council to the Health Policy Commission for Massachusetts. Mr. MacKay holds a B.A in psychology and a graduate certificate in marketing management from McGill University. We believe Mr. MacKay is qualified to serve on our board because of his executive experience in our industry.</w:t>
      </w:r>
    </w:p>
    <w:p>
      <w:pPr>
        <w:spacing w:after="0" w:line="17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b w:val="1"/>
          <w:bCs w:val="1"/>
          <w:i w:val="1"/>
          <w:iCs w:val="1"/>
          <w:color w:val="auto"/>
        </w:rPr>
        <w:t xml:space="preserve">Katina Dorton </w:t>
      </w:r>
      <w:r>
        <w:rPr>
          <w:rFonts w:ascii="Arial" w:cs="Arial" w:eastAsia="Arial" w:hAnsi="Arial"/>
          <w:sz w:val="17"/>
          <w:szCs w:val="17"/>
          <w:color w:val="auto"/>
        </w:rPr>
        <w:t>has been our chief financial officer since August 2017. Prior to joining our company, she served as chief financial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Immatics GmbH, a biotechnology company, from 2015 to 2017. Ms. Dorton also served as the principle owner of Doric LLC, an advisory firm, from 2011 to 2015, where she provided consulting services to public and private companies in the areas of mergers and acquisitions and strategic finance. Prior to that, she served as managing director at Needham &amp; Co., managing director-investment banking at Morgan Stanley and as an attorney in private practice at Sullivan &amp; Cromwell. Ms. Dorton serves on the board of directors of US Ecology, Inc. Ms. Dorton holds a J.D. from the University of Virginia School of Law, an M.B.A. from George Washington University, and a B.A. from Duke University.</w:t>
      </w:r>
    </w:p>
    <w:p>
      <w:pPr>
        <w:spacing w:after="0" w:line="178"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b w:val="1"/>
          <w:bCs w:val="1"/>
          <w:i w:val="1"/>
          <w:iCs w:val="1"/>
          <w:color w:val="auto"/>
        </w:rPr>
        <w:t xml:space="preserve">Nerissa Kreher, M.D. </w:t>
      </w:r>
      <w:r>
        <w:rPr>
          <w:rFonts w:ascii="Arial" w:cs="Arial" w:eastAsia="Arial" w:hAnsi="Arial"/>
          <w:sz w:val="16"/>
          <w:szCs w:val="16"/>
          <w:color w:val="auto"/>
        </w:rPr>
        <w:t>has been our chief medical officer since October 2016. Prior to joining our company, Dr. Kreher was the global head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clinical and medical affairs at Zafgen, Inc. from March 2015 to July 2016. Prior to that, from April 2013 to March 2015, Dr. Kreher held roles of increasing responsibility at Shire HGT, most recently as global clinical development lead. From February 2012 to April 2013, Dr. Kreher served as the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240" w:top="459" w:right="4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auto"/>
        </w:rPr>
        <w:t>executive medical director, metabolic disorders at Alexion Pharmaceuticals, and as senior medical director, medical affairs at Enobia Pharma from January 2011 to June 2012. Dr. Kreher also served as medical director at Genzyme from April 2008 to January 2011 and as director, medical affairs at EMD Serono from April 2006 to April 2008. Dr. Kreher received a B.S. from the University of North Carolina, an M.D. from East Carolina University School of Medicine, an M.S. in Clinical Research from Indiana University and an Executive M.B.A. from Northeastern University.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b w:val="1"/>
          <w:bCs w:val="1"/>
          <w:i w:val="1"/>
          <w:iCs w:val="1"/>
          <w:color w:val="auto"/>
        </w:rPr>
        <w:t xml:space="preserve">Bruce Booth, D.Phil. </w:t>
      </w:r>
      <w:r>
        <w:rPr>
          <w:rFonts w:ascii="Arial" w:cs="Arial" w:eastAsia="Arial" w:hAnsi="Arial"/>
          <w:sz w:val="16"/>
          <w:szCs w:val="16"/>
          <w:color w:val="auto"/>
        </w:rPr>
        <w:t>has served as the chairman of our board of directors since February 2016. Dr. Booth joined Atlas Venture in 2005,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serves as partner. Previously, from 2004 to 2005, Dr. Booth was a principal at Caxton Health Holdings L.L.C., a healthcare-focused investment firm, where he focused on the firm’s venture capital activities. Prior to Caxton, from 1999 to 2004, he was an associate principal at McKinsey &amp; Company, a global strategic management consulting firm, where he advised clients on R&amp;D productivity, corporate strategy and business development issues across the biopharmaceutical sector. Dr. Booth serves on the board of several privately held companies, as well as on the board of miRagen Therapeutics, Inc. (Nasdaq: MGEN), Zafgen, Inc. (Nasdaq: ZFGN) and Unum Therapeutics Inc. (Nasdaq: UMRX). Dr. Booth also serves on UCB Pharma’s New Medicines Scientific Advisory Board and participates on several other advisory boards for pharmaceutical companies and academic medical centers. As a British Marshall Scholar, Dr. Booth holds a D.Phil. in molecular immunology from Oxford University’s Nuffield Department of Medicine and a B.S. in biochemistry, summa cum laude, from Pennsylvania State University. We believe Dr. Booth’s extensive leadership, executive, managerial and business experience with life sciences companies, including experience in the formation, development and business strategy of multiple start-up companies in the life sciences sector qualifies him to serve on our board of directors.</w:t>
      </w:r>
    </w:p>
    <w:p>
      <w:pPr>
        <w:spacing w:after="0" w:line="17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b w:val="1"/>
          <w:bCs w:val="1"/>
          <w:i w:val="1"/>
          <w:iCs w:val="1"/>
          <w:color w:val="auto"/>
        </w:rPr>
        <w:t xml:space="preserve">Ian Clark </w:t>
      </w:r>
      <w:r>
        <w:rPr>
          <w:rFonts w:ascii="Arial" w:cs="Arial" w:eastAsia="Arial" w:hAnsi="Arial"/>
          <w:sz w:val="16"/>
          <w:szCs w:val="16"/>
          <w:color w:val="auto"/>
        </w:rPr>
        <w:t>has served as a member of our board of directors since January 2018. Mr. Clark currently serves as an operating partner within Clarus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Ventures. Previously, Mr. Clark served as the chief executive officer and head of North American commercial operations at Genentech from 2010 to 2016. He joined Genentech in 2003 as senior vice president and general manager, BioOncology. In August 2005, he became senior vice president, commercial operations of Genentech. In January 2006, Mr. Clark became executive vice president, commercial operations of Genentech and became a member of its executive committee. Mr. Clark was named head of global product strategy and chief marketing officer of Roche in April 2009. Prior to joining Genentech, Mr. Clark served as general manager of Novartis Canada, overseeing all of the company’s country operations, and as chief operating officer for Novartis United Kingdom. Mr. Clark worked in executive positions in sales and marketing for Sanofi and Ivax in the United Kingdom, France and Eastern Europe. Mr. Clark began his career at Searle, where he held management positions in both sales and marketing. Mr. Clark also serves on the board of directors of Agios Pharmaceuticals, Inc., (Nasdaq: AGIO), Corvus Pharmaceuticals, Inc., (Nasdaq: CVRS), and Shire plc, (Nasdaq: SHPG). He has served on the board of directors of the Biotechnology Industry Organization (BIO) since 2009 as well as on the boards of TerraVia and the Gladstone Foundation and as a member of the Federal Reserve Bank of San Francisco’s economic advisory council. Mr. Clark received a B.S and honorary doctorate in biological sciences from Southampton University in the United Kingdom. We believe Mr. Clark is qualified to serve on our board because of his industry experience in the field in which we operate and his executive experience with companies in our industry.</w:t>
      </w:r>
    </w:p>
    <w:p>
      <w:pPr>
        <w:spacing w:after="0" w:line="175"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b w:val="1"/>
          <w:bCs w:val="1"/>
          <w:i w:val="1"/>
          <w:iCs w:val="1"/>
          <w:color w:val="auto"/>
        </w:rPr>
        <w:t xml:space="preserve">Annalisa Jenkins, M.B.B.C., F.R.C.P. </w:t>
      </w:r>
      <w:r>
        <w:rPr>
          <w:rFonts w:ascii="Arial" w:cs="Arial" w:eastAsia="Arial" w:hAnsi="Arial"/>
          <w:sz w:val="16"/>
          <w:szCs w:val="16"/>
          <w:color w:val="auto"/>
        </w:rPr>
        <w:t>has served as a member of our board of directors since March 2018. Dr. Jenkins has served as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PlaqueTec Ltd. since November 2017 and was previously the chief executive officer and a member of the board of directors of Dimension Therapeutics, Inc., from September 2014 until its sale to Ultragnyx Pharmaceutical in November 2017. From October 2013 to March 2014, Dr. Jenkins served as executive vice president, head of global research and development for Merck Serono Pharmaceuticals, a biopharmaceutical company. Previously, from September 2011 to October 2013, she served as Merck Serono’s executive vice president, global development and medical, and was a member of Merck Serono’s executive committee. Prior to that, Dr. Jenkins pursued a 15-year career at Bristol-Myers Squibb</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Company, a biopharmaceutical company, where, from July 2009 to June 2011, she was a senior vice president and head of global medical affairs.</w:t>
      </w:r>
    </w:p>
    <w:p>
      <w:pPr>
        <w:spacing w:after="0" w:line="35"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Dr. Jenkins is currently a committee member of the science board to the FDA, which advises FDA leadership on complex scientific and technical issues. Dr. Jenkins serves on the board of directors of Ardelyx, Inc. (Nasdaq: ARDX), Silence Therapeutics (Nasdaq: SLN), Oncimmune (Nasdaq: ONC) and a number of privately held biotech and life science companies. Dr. Jenkins graduated with a degree in medicine from St. Bartholomew’s Hospital in the University of London and subsequently trained in cardiovascular medicine in the UK National Health Service. Earlier in her career, Dr. Jenkins served as a medical officer in the British Royal Navy. We believe Dr. Jenkins is qualified to serve on our board based on her industry experience in the field in which we operate and her executive experience with companies in our industry.</w:t>
      </w:r>
    </w:p>
    <w:p>
      <w:pPr>
        <w:spacing w:after="0" w:line="179"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b w:val="1"/>
          <w:bCs w:val="1"/>
          <w:i w:val="1"/>
          <w:iCs w:val="1"/>
          <w:color w:val="auto"/>
        </w:rPr>
        <w:t xml:space="preserve">Christopher Paige, Ph.D. </w:t>
      </w:r>
      <w:r>
        <w:rPr>
          <w:rFonts w:ascii="Arial" w:cs="Arial" w:eastAsia="Arial" w:hAnsi="Arial"/>
          <w:sz w:val="16"/>
          <w:szCs w:val="16"/>
          <w:color w:val="auto"/>
        </w:rPr>
        <w:t>has served as a member of our board of directors since January 2016. Dr. Paige is a professor in the departments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medical biophysics and immunology at the University of Toronto. In 1997, he served as the vice president, research of the University Health Network and now serves as senior scientist. In 1990, Dr. Paige became the founding director of the Arthritis and Autoimmunity Research Centre as well as director of research at The Wellesley Hospital. He became a member of the Basel Institute for Immunology in Switzerland in 1980 where he worked until joining the Ontario Cancer Institute as a senior scientist in 1987. Dr. Paige earned a B.S. in biology at the University of Notre Dame in 1974 and a Ph.D. in immunology at the Sloan-Kettering Division of Cornell University Graduate School of Medical Sciences in 1979. We believe Dr. Paige is qualified to serve on our board because of his scientific and industry experience in the field in which we operate.</w:t>
      </w:r>
    </w:p>
    <w:p>
      <w:pPr>
        <w:spacing w:after="0" w:line="167"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b w:val="1"/>
          <w:bCs w:val="1"/>
          <w:i w:val="1"/>
          <w:iCs w:val="1"/>
          <w:color w:val="auto"/>
        </w:rPr>
        <w:t xml:space="preserve">Scott Requadt </w:t>
      </w:r>
      <w:r>
        <w:rPr>
          <w:rFonts w:ascii="Arial" w:cs="Arial" w:eastAsia="Arial" w:hAnsi="Arial"/>
          <w:sz w:val="16"/>
          <w:szCs w:val="16"/>
          <w:color w:val="auto"/>
        </w:rPr>
        <w:t>has served as a member of our board of directors since July 2016. Mr. Requadt is currently a managing director at Clarus, a 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sciences investment fund. Mr. Requadt has 17 years of operating and investment experience in the pharmaceutical industry. Prior to joining Clarus in 2005, Mr. Requadt was Director, Business Development of TransForm Pharmaceuticals, and previously practiced for several years as a mergers and acquisitions attorney at the New York City-based law firm of Davis Polk &amp; Wardwell. Before that, Mr. Requadt was a law clerk for a senior judge at the Supreme Court of Canada. Mr. Requadt holds a B.Com (Joint Honors, Economics &amp; Finance) from McGill University, an LL.B from University of Toronto and an M.B.A. from Harvard Business School (Baker Scholar). Mr. Requadt has been involved in multiple Clarus investments spanning both therapeutics and medtech, as well as several research and development risk-sharing collaborations with large pharmaceutical partners. He is currently also a director of VBI Vaccines (Nasdaq: VBIV), ESSA Pharmaceuticals (Nasdaq: EPIX) and Edev S.a.r.l. and has previously been active on the board of directors of TyRx, Catabasis (Nasdaq: CATB), Oxford Immunotec (Nasdaq: OXFD), Link Medicine and Biolex Therapeutics. We believe Mr. Requadt is qualified to serve on our board because of his industry experience as a biotech public and private company investor.</w:t>
      </w:r>
    </w:p>
    <w:p>
      <w:pPr>
        <w:spacing w:after="0" w:line="16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b w:val="1"/>
          <w:bCs w:val="1"/>
          <w:i w:val="1"/>
          <w:iCs w:val="1"/>
          <w:color w:val="auto"/>
        </w:rPr>
        <w:t xml:space="preserve">Joshua Resnick, M.D. </w:t>
      </w:r>
      <w:r>
        <w:rPr>
          <w:rFonts w:ascii="Arial" w:cs="Arial" w:eastAsia="Arial" w:hAnsi="Arial"/>
          <w:sz w:val="17"/>
          <w:szCs w:val="17"/>
          <w:color w:val="auto"/>
        </w:rPr>
        <w:t>has served as a member of our board of directors since July 2016. Dr. Resnick has been a partner at SV Health Investors,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SV, since January 2016. Before joining SV in January 2016, Dr. Resnick was president and managing partner at MRL Ventures Fund, or MRL Ventures, an early-stage therapeutics-focused corporate venture fund that he built and managed within Merck &amp; Co from December 2014 to January 2016. Prior to MRL Ventures, Dr. Resnick was a venture partner with Atlas Venture, or Atlas, focusing on company formation, Seed and Series A investing. During his tenure at Atlas, Dr. Resnick was also the founder and chief executive officer of two start-ups in the immuno-oncology and neuro spaces. Prior to Atlas, Dr. Resnick was a partner at Prism Venture Partners, where he focused on early-stage biopharmaceutical, medical device, tools and diagnostics investments. Dr. Resnick is also an attending physician at Massachusetts General Hospital, as well as Brigham and Women’s Hospital since 2006, and an instructor in medicine at Harvard Medical School. Dr. Resnick serves on the board of directors of Kalvista Pharmaceuticals, Inc. (Nasdaq: KALV). Dr. Resnick graduated Magna Cum Laude with a B.A. from Williams College and received his M.D. from the University of Pennsylvania School of Medicine and his M.B.A. from The Wharton School of Business. We believe Dr. Resnick is qualified to serve on our board because of his industry experience as a biotech public and private company investor.</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Our board of directors currently consists of seven members, each of whom is a member pursuant to the board composition provisions of our current certificate of incorporation and agreements with our stockholders.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the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 earlier of their resignation or removal. Our amended and restated certificate of incorporation and amended and restated bylaws that will become effective upon the closing of this offering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board of directors has determined that all members of the board of directors, except Mr. MacKay, are independent directors, including for purposes of the rules of The Nasdaq Global Market and the Securities and Exchange Commission, or SEC.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Upon the completion of this offering, we expect that the composition and functioning of our board of directors and each of our committees will comply with all applicable requirements of The Nasdaq Global Market and the rules and regulations of the SEC. There are no family relationships among any of our directors or executive officers. Mr. MacKay is not an independent director under these rules because he is an executive officer of our company.</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In accordance with the terms of our amended and restated certificate of incorporation and amended and restated bylaws that will become effective upon the closing of this offering, our board of directors will be divided into three staggered classes of directors and each will be assigned to one of the three classes.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2019 for Class I directors, 2020 for Class II directors and 2021 for Class III directors.</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180"/>
              <w:spacing w:after="0"/>
              <w:rPr>
                <w:sz w:val="20"/>
                <w:szCs w:val="20"/>
                <w:color w:val="auto"/>
              </w:rPr>
            </w:pPr>
            <w:r>
              <w:rPr>
                <w:rFonts w:ascii="Arial" w:cs="Arial" w:eastAsia="Arial" w:hAnsi="Arial"/>
                <w:sz w:val="18"/>
                <w:szCs w:val="18"/>
                <w:color w:val="auto"/>
              </w:rPr>
              <w:t>Our Class I directors will be</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180"/>
              <w:spacing w:after="0"/>
              <w:rPr>
                <w:sz w:val="20"/>
                <w:szCs w:val="20"/>
                <w:color w:val="auto"/>
              </w:rPr>
            </w:pPr>
            <w:r>
              <w:rPr>
                <w:rFonts w:ascii="Arial" w:cs="Arial" w:eastAsia="Arial" w:hAnsi="Arial"/>
                <w:sz w:val="18"/>
                <w:szCs w:val="18"/>
                <w:color w:val="auto"/>
              </w:rPr>
              <w:t>Our Class II directors will be</w:t>
            </w:r>
          </w:p>
        </w:tc>
        <w:tc>
          <w:tcPr>
            <w:tcW w:w="740" w:type="dxa"/>
            <w:vAlign w:val="bottom"/>
          </w:tcPr>
          <w:p>
            <w:pPr>
              <w:jc w:val="right"/>
              <w:spacing w:after="0"/>
              <w:rPr>
                <w:sz w:val="20"/>
                <w:szCs w:val="20"/>
                <w:color w:val="auto"/>
              </w:rPr>
            </w:pPr>
            <w:r>
              <w:rPr>
                <w:rFonts w:ascii="Arial" w:cs="Arial" w:eastAsia="Arial" w:hAnsi="Arial"/>
                <w:sz w:val="18"/>
                <w:szCs w:val="18"/>
                <w:color w:val="auto"/>
              </w:rPr>
              <w:t>; and</w:t>
            </w: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180"/>
              <w:spacing w:after="0"/>
              <w:rPr>
                <w:sz w:val="20"/>
                <w:szCs w:val="20"/>
                <w:color w:val="auto"/>
              </w:rPr>
            </w:pPr>
            <w:r>
              <w:rPr>
                <w:rFonts w:ascii="Arial" w:cs="Arial" w:eastAsia="Arial" w:hAnsi="Arial"/>
                <w:sz w:val="18"/>
                <w:szCs w:val="18"/>
                <w:color w:val="auto"/>
              </w:rPr>
              <w:t>Our Class III directors will be</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200" w:right="580" w:firstLine="441"/>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that will become effective upon the closing of this offering will provide that the number of our directors shall be fixed from time to time by a resolution of a majority of our board of directors.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stockholder efforts to effect a change of our management or a change in control.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 and Board’s Role in Risk Oversight</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Currently, the positions of chairman of the board and that of Chief Executive Officer are separated. We believe that separating these positions will allow our Chief Executive Officer to focus on our day-to-day business, while allowing our chairman of the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chairman, particularly as the board of directors’ oversight responsibilities continue to grow. While our amended and restated by-laws and corporate governance guidelines do not require that our chairman and Chief Executive Officer positions be separate, our board of directors believes that having separate positions will be the appropriate leadership structure for us following the completion of this offering.</w:t>
      </w:r>
    </w:p>
    <w:p>
      <w:pPr>
        <w:spacing w:after="0" w:line="16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Risk is inherent with every business, and how well a business manages risk can ultimately determine its success. We face a number of risks, including risks more fully discussed in the section entitled “Risk Factors” appearing elsewhere in this prospectus.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8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which will operate pursuant to a charter to be adopted by our board of directors and will be effective upon the effectiveness of the registration statement of which this prospectus is a part. Upon the effectiveness of the registration statement of which this prospectus is a part, the composition and functioning of all of our committees will comply with all applicable requirements of the Sarbanes-Oxley Act of 2002, Nasdaq and SEC rules and regulations.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400"/>
        <w:spacing w:after="0"/>
        <w:tabs>
          <w:tab w:leader="none" w:pos="6420" w:val="left"/>
          <w:tab w:leader="none" w:pos="10380" w:val="left"/>
        </w:tabs>
        <w:rPr>
          <w:sz w:val="20"/>
          <w:szCs w:val="20"/>
          <w:color w:val="auto"/>
        </w:rPr>
      </w:pPr>
      <w:r>
        <w:rPr>
          <w:rFonts w:ascii="Arial" w:cs="Arial" w:eastAsia="Arial" w:hAnsi="Arial"/>
          <w:sz w:val="18"/>
          <w:szCs w:val="18"/>
          <w:color w:val="auto"/>
        </w:rPr>
        <w:t>will serve on the audit committee, which will be chaired by</w:t>
      </w:r>
      <w:r>
        <w:rPr>
          <w:sz w:val="20"/>
          <w:szCs w:val="20"/>
          <w:color w:val="auto"/>
        </w:rPr>
        <w:tab/>
      </w:r>
      <w:r>
        <w:rPr>
          <w:rFonts w:ascii="Arial" w:cs="Arial" w:eastAsia="Arial" w:hAnsi="Arial"/>
          <w:sz w:val="18"/>
          <w:szCs w:val="18"/>
          <w:color w:val="auto"/>
        </w:rPr>
        <w:t>. Our board of directors has determined that</w:t>
      </w:r>
      <w:r>
        <w:rPr>
          <w:sz w:val="20"/>
          <w:szCs w:val="20"/>
          <w:color w:val="auto"/>
        </w:rPr>
        <w:tab/>
      </w:r>
      <w:r>
        <w:rPr>
          <w:rFonts w:ascii="Arial" w:cs="Arial" w:eastAsia="Arial" w:hAnsi="Arial"/>
          <w:sz w:val="15"/>
          <w:szCs w:val="15"/>
          <w:color w:val="auto"/>
        </w:rPr>
        <w:t>are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“independent” for audit committee purposes as that term is defined in the rules of the SEC and the applicable Nasdaq rules, and each has sufficient</w:t>
      </w:r>
    </w:p>
    <w:p>
      <w:pPr>
        <w:spacing w:after="0" w:line="386"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knowledge in financial and auditing matters to serve on the audit committee. Our board of directors has designated as an “audit committee financial expert,” as defined under the applicable rules of the SEC. The audit committee’s responsibilities include:</w:t>
      </w:r>
    </w:p>
    <w:p>
      <w:pPr>
        <w:spacing w:after="0" w:line="76" w:lineRule="exact"/>
        <w:rPr>
          <w:sz w:val="20"/>
          <w:szCs w:val="20"/>
          <w:color w:val="auto"/>
        </w:rPr>
      </w:pPr>
    </w:p>
    <w:p>
      <w:pPr>
        <w:ind w:left="1060" w:hanging="424"/>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00" w:hanging="424"/>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pre-approving audit and permissible non-audit services, and the terms of such services, to be provided by our independent registered public accounting firm;</w:t>
      </w:r>
    </w:p>
    <w:p>
      <w:pPr>
        <w:spacing w:after="0" w:line="75"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financial statements;</w:t>
      </w:r>
    </w:p>
    <w:p>
      <w:pPr>
        <w:spacing w:after="0" w:line="75"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our internal control over financial reporting;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30" w:lineRule="exact"/>
        <w:rPr>
          <w:rFonts w:ascii="Arial" w:cs="Arial" w:eastAsia="Arial" w:hAnsi="Arial"/>
          <w:sz w:val="18"/>
          <w:szCs w:val="18"/>
          <w:color w:val="auto"/>
        </w:rPr>
      </w:pPr>
    </w:p>
    <w:p>
      <w:pPr>
        <w:ind w:left="1060" w:right="800" w:hanging="424"/>
        <w:spacing w:after="0" w:line="308"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51" w:lineRule="exact"/>
        <w:rPr>
          <w:rFonts w:ascii="Arial" w:cs="Arial" w:eastAsia="Arial" w:hAnsi="Arial"/>
          <w:sz w:val="17"/>
          <w:szCs w:val="17"/>
          <w:color w:val="auto"/>
        </w:rPr>
      </w:pPr>
    </w:p>
    <w:p>
      <w:pPr>
        <w:ind w:left="1060" w:right="20" w:hanging="424"/>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 as they relate to our financial statements and accounting matters;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quarterly earnings releases.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360"/>
        <w:spacing w:after="0"/>
        <w:tabs>
          <w:tab w:leader="none" w:pos="7020" w:val="left"/>
        </w:tabs>
        <w:rPr>
          <w:sz w:val="20"/>
          <w:szCs w:val="20"/>
          <w:color w:val="auto"/>
        </w:rPr>
      </w:pPr>
      <w:r>
        <w:rPr>
          <w:rFonts w:ascii="Arial" w:cs="Arial" w:eastAsia="Arial" w:hAnsi="Arial"/>
          <w:sz w:val="18"/>
          <w:szCs w:val="18"/>
          <w:color w:val="auto"/>
        </w:rPr>
        <w:t>will serve on the compensation committee, which will be chaired by</w:t>
      </w:r>
      <w:r>
        <w:rPr>
          <w:sz w:val="20"/>
          <w:szCs w:val="20"/>
          <w:color w:val="auto"/>
        </w:rPr>
        <w:tab/>
      </w:r>
      <w:r>
        <w:rPr>
          <w:rFonts w:ascii="Arial" w:cs="Arial" w:eastAsia="Arial" w:hAnsi="Arial"/>
          <w:sz w:val="16"/>
          <w:szCs w:val="16"/>
          <w:color w:val="auto"/>
        </w:rPr>
        <w:t>. Our board of directors has determined that each member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the compensation committee is “independent” as defined in the applicable Nasdaq rules. The compensation committee’s responsibilities include:</w:t>
      </w:r>
    </w:p>
    <w:p>
      <w:pPr>
        <w:spacing w:after="0" w:line="139" w:lineRule="exact"/>
        <w:rPr>
          <w:sz w:val="20"/>
          <w:szCs w:val="20"/>
          <w:color w:val="auto"/>
        </w:rPr>
      </w:pPr>
    </w:p>
    <w:p>
      <w:pPr>
        <w:ind w:left="1060" w:hanging="424"/>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annually reviewing and approving the corporate goals and objectives relevant to the compensation of our Chief Executive Officer;</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in light of such corporate goals and objectives and based on such evaluation</w:t>
      </w:r>
    </w:p>
    <w:p>
      <w:pPr>
        <w:spacing w:after="0" w:line="34" w:lineRule="exact"/>
        <w:rPr>
          <w:rFonts w:ascii="Arial" w:cs="Arial" w:eastAsia="Arial" w:hAnsi="Arial"/>
          <w:sz w:val="17"/>
          <w:szCs w:val="17"/>
          <w:color w:val="auto"/>
        </w:rPr>
      </w:pPr>
    </w:p>
    <w:p>
      <w:pPr>
        <w:ind w:left="1060" w:right="300"/>
        <w:spacing w:after="0" w:line="261" w:lineRule="auto"/>
        <w:rPr>
          <w:rFonts w:ascii="Arial" w:cs="Arial" w:eastAsia="Arial" w:hAnsi="Arial"/>
          <w:sz w:val="17"/>
          <w:szCs w:val="17"/>
          <w:color w:val="auto"/>
        </w:rPr>
      </w:pPr>
      <w:r>
        <w:rPr>
          <w:rFonts w:ascii="Arial" w:cs="Arial" w:eastAsia="Arial" w:hAnsi="Arial"/>
          <w:sz w:val="18"/>
          <w:szCs w:val="18"/>
          <w:color w:val="auto"/>
        </w:rPr>
        <w:t>(i) determining the cash compensation of our Chief Executive Officer and (ii) determining and approving grants and awards to our Chief Executive Officer under equity-based plans;</w:t>
      </w:r>
    </w:p>
    <w:p>
      <w:pPr>
        <w:spacing w:after="0" w:line="89" w:lineRule="exact"/>
        <w:rPr>
          <w:rFonts w:ascii="Arial" w:cs="Arial" w:eastAsia="Arial" w:hAnsi="Arial"/>
          <w:sz w:val="17"/>
          <w:szCs w:val="17"/>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approving the cash compensation of our other executive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30" w:lineRule="exact"/>
        <w:rPr>
          <w:rFonts w:ascii="Arial" w:cs="Arial" w:eastAsia="Arial" w:hAnsi="Arial"/>
          <w:sz w:val="18"/>
          <w:szCs w:val="18"/>
          <w:color w:val="auto"/>
        </w:rPr>
      </w:pPr>
    </w:p>
    <w:p>
      <w:pPr>
        <w:ind w:left="1060" w:right="520" w:hanging="424"/>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evaluating and assessing potential and current compensation advisors in accordance with the independence standards identified in the applicable Nasdaq rules;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the compensation of our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preparing our compensation committee report if and when required by SEC rules;</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if and when required, to be included in our annual proxy statement;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80" w:hanging="424"/>
        <w:spacing w:after="0" w:line="277"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approving the retention or termination of any consulting firm or outside advisor to assist in the evaluation of compensation matters.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360"/>
        <w:spacing w:after="0"/>
        <w:tabs>
          <w:tab w:leader="none" w:pos="8740" w:val="left"/>
        </w:tabs>
        <w:rPr>
          <w:sz w:val="20"/>
          <w:szCs w:val="20"/>
          <w:color w:val="auto"/>
        </w:rPr>
      </w:pPr>
      <w:r>
        <w:rPr>
          <w:rFonts w:ascii="Arial" w:cs="Arial" w:eastAsia="Arial" w:hAnsi="Arial"/>
          <w:sz w:val="18"/>
          <w:szCs w:val="18"/>
          <w:color w:val="auto"/>
        </w:rPr>
        <w:t>will serve on the nominating and corporate governance committee, which will be chaired by</w:t>
      </w:r>
      <w:r>
        <w:rPr>
          <w:sz w:val="20"/>
          <w:szCs w:val="20"/>
          <w:color w:val="auto"/>
        </w:rPr>
        <w:tab/>
      </w:r>
      <w:r>
        <w:rPr>
          <w:rFonts w:ascii="Arial" w:cs="Arial" w:eastAsia="Arial" w:hAnsi="Arial"/>
          <w:sz w:val="16"/>
          <w:szCs w:val="16"/>
          <w:color w:val="auto"/>
        </w:rPr>
        <w:t>. Our board of directors has</w:t>
      </w:r>
    </w:p>
    <w:p>
      <w:pPr>
        <w:spacing w:after="0" w:line="23" w:lineRule="exact"/>
        <w:rPr>
          <w:sz w:val="20"/>
          <w:szCs w:val="20"/>
          <w:color w:val="auto"/>
        </w:rPr>
      </w:pPr>
    </w:p>
    <w:p>
      <w:pPr>
        <w:ind w:left="200" w:right="180"/>
        <w:spacing w:after="0" w:line="261" w:lineRule="auto"/>
        <w:rPr>
          <w:sz w:val="20"/>
          <w:szCs w:val="20"/>
          <w:color w:val="auto"/>
        </w:rPr>
      </w:pPr>
      <w:r>
        <w:rPr>
          <w:rFonts w:ascii="Arial" w:cs="Arial" w:eastAsia="Arial" w:hAnsi="Arial"/>
          <w:sz w:val="18"/>
          <w:szCs w:val="18"/>
          <w:color w:val="auto"/>
        </w:rPr>
        <w:t>determined that each member of the nominating and corporate governance committee is “independent” as defined in the applicable Nasdaq rules. The nominating and corporate governance committee’s responsibilities include:</w:t>
      </w:r>
    </w:p>
    <w:p>
      <w:pPr>
        <w:spacing w:after="0" w:line="89" w:lineRule="exact"/>
        <w:rPr>
          <w:sz w:val="20"/>
          <w:szCs w:val="20"/>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criteria for board and committee membership;</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establishing procedures for identifying and evaluating board of director candidates, including nominees recommended by stockholders;</w:t>
      </w:r>
    </w:p>
    <w:p>
      <w:pPr>
        <w:spacing w:after="0" w:line="153" w:lineRule="exact"/>
        <w:rPr>
          <w:rFonts w:ascii="Arial" w:cs="Arial" w:eastAsia="Arial" w:hAnsi="Arial"/>
          <w:sz w:val="16"/>
          <w:szCs w:val="16"/>
          <w:color w:val="auto"/>
        </w:rPr>
      </w:pPr>
    </w:p>
    <w:p>
      <w:pPr>
        <w:ind w:left="1060" w:right="20" w:hanging="424"/>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the composition of the board of directors to ensure that it is composed of members containing the appropriate skills and expertise to advise us;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142"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code of business conduct and ethics and a set of corporate governance guidelines;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overseeing the evaluation of our board of directors and management.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Prior to the effectiveness of the registration statement of which this prospectus is a part, we will adopt a written code of business conduct and ethics that applies to our directors, officers and employees, including our principal executive officer, principal financial officer, principal accounting officer or controller, or persons performing similar functions. Following the effectiveness of the registration statement of which this prospectus is a part, a current copy of the code will be posted on the investor relations section of our website, which is located at www.avrobio.com.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60"/>
          </w:cols>
          <w:pgMar w:left="240" w:top="459"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 Overview</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earned by, or paid to our principal executive officer and our next two most highly compensated executive officers in respect of their service to our company for our fiscal year ended December 31, 2017. We refer to these individuals as our 2017 named executive officers. Our 2017 named executive officers are:</w:t>
      </w:r>
    </w:p>
    <w:p>
      <w:pPr>
        <w:spacing w:after="0" w:line="94" w:lineRule="exact"/>
        <w:rPr>
          <w:sz w:val="20"/>
          <w:szCs w:val="20"/>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Geoff MacKay, our President and Chief Executive Officer;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Katina Dorton, our Chief Financial Officer;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Nerissa Kreher, M.D., our Chief Medical Officer.</w:t>
      </w:r>
    </w:p>
    <w:p>
      <w:pPr>
        <w:spacing w:after="0" w:line="225"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Our executive compensation program is based on a pay for performance philosophy. Compensation for our executive officers is composed primarily of the following main components: base salary; bonus; and equity incentives in the form of options. Our executive officers, like all full-time employees, are eligible to participate in our health and welfare benefit plans. As we transition from a private company to a publicly traded company, we intend to evaluate our compensation values and philosophy and compensation plans and arrangements as circumstances require. Compensation plans or arrangements that we adopt following the completion of this offering may be materially different from those described in this section.</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2017 Summary Compensation Table</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to, earned by, or paid to our 2017 named executive officers for services rendered to us in all capacities during the fiscal year ended December 31, 2017.</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SALARY</w:t>
            </w: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BONUS</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w:t>
            </w: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ALL OTHER</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9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AWARDS</w:t>
            </w:r>
          </w:p>
        </w:tc>
        <w:tc>
          <w:tcPr>
            <w:tcW w:w="16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COMPENSATION</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960" w:type="dxa"/>
            <w:vAlign w:val="bottom"/>
            <w:gridSpan w:val="3"/>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2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rPr>
              <w:t>Geoff MacKay,</w:t>
            </w:r>
          </w:p>
        </w:tc>
        <w:tc>
          <w:tcPr>
            <w:tcW w:w="16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408,000</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163,200</w:t>
            </w: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30,306</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601,506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960" w:type="dxa"/>
            <w:vAlign w:val="bottom"/>
            <w:gridSpan w:val="3"/>
          </w:tcPr>
          <w:p>
            <w:pPr>
              <w:spacing w:after="0"/>
              <w:rPr>
                <w:sz w:val="20"/>
                <w:szCs w:val="20"/>
                <w:color w:val="auto"/>
              </w:rPr>
            </w:pPr>
            <w:r>
              <w:rPr>
                <w:rFonts w:ascii="Arial" w:cs="Arial" w:eastAsia="Arial" w:hAnsi="Arial"/>
                <w:sz w:val="18"/>
                <w:szCs w:val="18"/>
                <w:color w:val="auto"/>
              </w:rPr>
              <w:t>Katina Dorton,</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960" w:type="dxa"/>
            <w:vAlign w:val="bottom"/>
            <w:gridSpan w:val="3"/>
          </w:tcPr>
          <w:p>
            <w:pPr>
              <w:spacing w:after="0"/>
              <w:rPr>
                <w:sz w:val="20"/>
                <w:szCs w:val="20"/>
                <w:color w:val="auto"/>
              </w:rPr>
            </w:pPr>
            <w:r>
              <w:rPr>
                <w:rFonts w:ascii="Arial" w:cs="Arial" w:eastAsia="Arial" w:hAnsi="Arial"/>
                <w:sz w:val="18"/>
                <w:szCs w:val="18"/>
                <w:i w:val="1"/>
                <w:iCs w:val="1"/>
                <w:color w:val="auto"/>
              </w:rPr>
              <w:t>Chief Financial Officer</w:t>
            </w:r>
            <w:r>
              <w:rPr>
                <w:rFonts w:ascii="Arial" w:cs="Arial" w:eastAsia="Arial" w:hAnsi="Arial"/>
                <w:sz w:val="15"/>
                <w:szCs w:val="15"/>
                <w:color w:val="auto"/>
              </w:rPr>
              <w:t>(3)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113,333</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37,917</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286,705</w:t>
            </w:r>
          </w:p>
        </w:tc>
        <w:tc>
          <w:tcPr>
            <w:tcW w:w="260" w:type="dxa"/>
            <w:vAlign w:val="bottom"/>
          </w:tcPr>
          <w:p>
            <w:pPr>
              <w:spacing w:after="0"/>
              <w:rPr>
                <w:sz w:val="21"/>
                <w:szCs w:val="21"/>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24,856</w:t>
            </w:r>
            <w:r>
              <w:rPr>
                <w:rFonts w:ascii="Arial" w:cs="Arial" w:eastAsia="Arial" w:hAnsi="Arial"/>
                <w:sz w:val="15"/>
                <w:szCs w:val="15"/>
                <w:color w:val="auto"/>
              </w:rPr>
              <w:t>(4)</w:t>
            </w:r>
          </w:p>
        </w:tc>
        <w:tc>
          <w:tcPr>
            <w:tcW w:w="660" w:type="dxa"/>
            <w:vAlign w:val="bottom"/>
          </w:tcPr>
          <w:p>
            <w:pPr>
              <w:ind w:left="80"/>
              <w:spacing w:after="0"/>
              <w:rPr>
                <w:sz w:val="20"/>
                <w:szCs w:val="20"/>
                <w:color w:val="auto"/>
              </w:rPr>
            </w:pPr>
            <w:r>
              <w:rPr>
                <w:rFonts w:ascii="Arial" w:cs="Arial" w:eastAsia="Arial" w:hAnsi="Arial"/>
                <w:sz w:val="18"/>
                <w:szCs w:val="18"/>
                <w:color w:val="auto"/>
                <w:w w:val="86"/>
              </w:rPr>
              <w:t>462,811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Nerissa Kreher, M.D.,</w:t>
            </w: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Medical Officer</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336,600</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84,150</w:t>
            </w: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18,165</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438,915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40" w:hanging="436"/>
        <w:spacing w:after="0" w:line="258"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Amounts reflect annual bonuses earned based upon achievement of company and individual performance metrics for the year ended December 31, 2017, but paid in 2018.</w:t>
      </w:r>
    </w:p>
    <w:p>
      <w:pPr>
        <w:spacing w:after="0" w:line="1" w:lineRule="exact"/>
        <w:rPr>
          <w:rFonts w:ascii="Arial" w:cs="Arial" w:eastAsia="Arial" w:hAnsi="Arial"/>
          <w:sz w:val="18"/>
          <w:szCs w:val="18"/>
          <w:color w:val="auto"/>
        </w:rPr>
      </w:pPr>
    </w:p>
    <w:p>
      <w:pPr>
        <w:ind w:left="640" w:right="40" w:hanging="436"/>
        <w:spacing w:after="0" w:line="281" w:lineRule="auto"/>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Amounts reflect the grant date fair value of option awards granted or modified in 2017 in accordance with the Financial Accounting Standards Board’s Accounting Standards Codification Topic 718, or ASC 718. Such grant date fair value does not take into account any estimated forfeitures related to service-vesting conditions. For information regarding assumptions underlying the valuation of equity awards, see Note 2 to our financial statements and the discussion under “Management’s Discussion and Analysis of Financial Condition and Results of Operations—Critical Accounting Policies and Significant Judgments and Estimates—Stock-based Compensation” included elsewhere in this prospectus. These amounts do not correspond to the actual value that may be recognized by the 2017 named executive officers upon vesting of applicable awards.</w:t>
      </w:r>
    </w:p>
    <w:p>
      <w:pPr>
        <w:spacing w:after="0" w:line="4" w:lineRule="exact"/>
        <w:rPr>
          <w:rFonts w:ascii="Arial" w:cs="Arial" w:eastAsia="Arial" w:hAnsi="Arial"/>
          <w:sz w:val="16"/>
          <w:szCs w:val="16"/>
          <w:color w:val="auto"/>
        </w:rPr>
      </w:pPr>
    </w:p>
    <w:p>
      <w:pPr>
        <w:ind w:left="640" w:hanging="436"/>
        <w:spacing w:after="0"/>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Ms. Dorton commenced her employment with us in August 2017. Her annual salary and bonus were prorated to reflect her partial year of service.</w:t>
      </w:r>
    </w:p>
    <w:p>
      <w:pPr>
        <w:spacing w:after="0" w:line="32" w:lineRule="exact"/>
        <w:rPr>
          <w:rFonts w:ascii="Arial" w:cs="Arial" w:eastAsia="Arial" w:hAnsi="Arial"/>
          <w:sz w:val="16"/>
          <w:szCs w:val="16"/>
          <w:color w:val="auto"/>
        </w:rPr>
      </w:pPr>
    </w:p>
    <w:p>
      <w:pPr>
        <w:ind w:left="640" w:hanging="43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Amount reflects our reimbursement of travel and relocation expenses.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240" w:top="459" w:right="4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Narrative to the 2017 Summary Compensation 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use base salaries to recognize the experience, skills, knowledge and responsibilities required of all our employees, including our 2017 named executive officers. Base salaries for our named executive officers are reviewed annually by our compensation committee, typically in connection with our annual performance review process, and adjusted from time to time, based on the recommendation of the compensation committee, to realign salaries with market levels after taking into account individual responsibilities, performance and experience. None of our 2017 named executive officers is currently party to an employment agreement or other agreement or arrangement that provides for automatic or scheduled increases in base salary.</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Annual Bonus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currently do not have a formal performance-based bonus plan but intend to adopt our Senior Executive Cash Incentive Bonus Plan in connection with this offering. Our employment agreements with our 2017 named executive officers provide that the executive may be eligible to earn an annual performance bonus of up to a target percentage of the executive’s base salary, as described further below under the section entitled “–– Employment Arrangements with our Chief Executive Officer and our 2017 Named Executive Officers.” From time to time, our board of directors or compensation committee may approve annual bonuses for our named executive officers based on individual performance, company performance or as otherwise determined appropriate.</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w:t>
      </w:r>
    </w:p>
    <w:p>
      <w:pPr>
        <w:spacing w:after="0" w:line="178"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typically grant stock option awards at the start of employment to each executive and our other employees. We award our stock options on the date our board of directors approves the grant. We set the option exercise price and grant date fair value based on our per-share estimated valuation on the date of grant. For grants in connection with initial employment, vesting begins on the initial date of employment. To date, we have not maintained a practice of granting additional equity on an annual basis, but we have retained discretion to provide additional targeted grants in certain circumstances.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Arrangements with our Chief Executive Officer and our 2017 Named Executive Officers</w:t>
      </w:r>
    </w:p>
    <w:p>
      <w:pPr>
        <w:spacing w:after="0" w:line="12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We have entered into employment agreements with each of our 2017 named executive officers. These agreements set forth the initial terms and conditions of each executive’s employment with us, including base salary, target annual bonus opportunity and standard employee benefit plan participation. In connection with this offering, we intend to enter into an amended and restated employment agreement with each of Mr. MacKay, Dr. Kreher and Ms. Dorton.</w:t>
      </w:r>
    </w:p>
    <w:p>
      <w:pPr>
        <w:spacing w:after="0" w:line="18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These employment agreements provide for “at will” employment. The material terms of these employment agreements with our 2017 named executive officers are described below. The terms “change of control,” “cause” and “good reason” referred to below are defined in each employment agreement.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80"/>
          </w:cols>
          <w:pgMar w:left="24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Geoff MacKay</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entered into an employment agreement with Geoff MacKay, our President and Chief Executive Officer, on December 22, 2016. Under the terms of the employment agreement, Mr. MacKay is entitled to receive an annual base salary of $400,000 and an annual target bonus of 40% of his annual base salary based upon our board of directors’ assessment of Mr. MacKay’s performance and our attainment of targeted goals as set by the board of directors in their sole discretion. Pursuant to his employment agreement, Mr. MacKay also entered into a Confidentiality and IP Assignment Agreement with us.</w:t>
      </w:r>
    </w:p>
    <w:p>
      <w:pPr>
        <w:spacing w:after="0" w:line="18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Mr. MacKay’s employment agreement provides that, in the event that his employment is terminated by us without “cause” or by Mr. MacKay with “good reason”, subject to the execution and effectiveness of a separation agreement and release, he will be entitled to receive (i) an amount equal to 75% of his base salary, provided that Mr. MacKay has not breached any provisions contained in the Confidentiality and IP Assignment Agreement, payable on our normal payroll cycle, and (ii) reimbursement of COBRA premiums for health benefit coverage, up to an amount equal to the monthly employer contribution that we would have made to provide health insurance to Mr. MacKay had he remained employed with us for up to nine months. Additionally, all stock options and other stock based awards held by Mr. MacKay that would have vested if he had remained employed by us for an additional nine months following the date of termination will vest and become exercisable or non-forfeitable as of the date of termination.</w:t>
      </w:r>
    </w:p>
    <w:p>
      <w:pPr>
        <w:spacing w:after="0" w:line="16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In the event of a “change in control” all stock options and other stock-based awards held by Mr. MacKay shall accelerate and become fully exercisable or non-forfeitable immediately prior to the change in control.</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Nerissa Kreher, M.D.</w:t>
      </w:r>
    </w:p>
    <w:p>
      <w:pPr>
        <w:spacing w:after="0" w:line="11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We entered into an employment agreement with Dr. Nerissa Kreher, our Chief Medical Officer, on November 1, 2016. Under the terms of the employment agreement, Dr. Kreher is entitled to receive an annual base salary of $330,000 and an annual target bonus of 25% of her annual base salary based upon our board of directors’ assessment of Dr. Kreher’s performance and our attainment of targeted goals as set by the board of directors in their sole discretion. Pursuant to her employment agreement, Dr. Kreher also entered into a Confidentiality and IP Assignment Agreement with us.</w:t>
      </w:r>
    </w:p>
    <w:p>
      <w:pPr>
        <w:spacing w:after="0" w:line="154" w:lineRule="exact"/>
        <w:rPr>
          <w:sz w:val="20"/>
          <w:szCs w:val="20"/>
          <w:color w:val="auto"/>
        </w:rPr>
      </w:pPr>
    </w:p>
    <w:p>
      <w:pPr>
        <w:ind w:left="200" w:right="280" w:firstLine="441"/>
        <w:spacing w:after="0" w:line="291" w:lineRule="auto"/>
        <w:rPr>
          <w:sz w:val="20"/>
          <w:szCs w:val="20"/>
          <w:color w:val="auto"/>
        </w:rPr>
      </w:pPr>
      <w:r>
        <w:rPr>
          <w:rFonts w:ascii="Arial" w:cs="Arial" w:eastAsia="Arial" w:hAnsi="Arial"/>
          <w:sz w:val="16"/>
          <w:szCs w:val="16"/>
          <w:color w:val="auto"/>
        </w:rPr>
        <w:t>Dr. Kreher’s employment agreement provides that, in the event that her employment is terminated by us without “cause” or by Dr. Kreher with “good reason”, subject to the execution and effectiveness of a separation agreement and release, she will be entitled to receive (i) an amount equal to 50% of her base salary, provided that Dr. Kreher has not breached any provisions contained in the Confidentiality and IP Assignment Agreement, payable on our normal payroll cycle, and (ii) reimbursement of COBRA premiums for health benefit coverage, up to an amount equal to the monthly employer contribution that we would have made to provide health insurance to Dr. Kreher had she remained employed with us for up to six months. Additionally, all stock options and other stock based awards held by Dr. Kreher that would have vested if she had remained employed by us for an additional six months following the date of termination will vest and become exercisable or non-forfeitable as of the date of termination.</w:t>
      </w:r>
    </w:p>
    <w:p>
      <w:pPr>
        <w:spacing w:after="0" w:line="167"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In the event of a “change in control” all stock options and other stock-based awards held by Dr. Kreher shall accelerate and become fully exercisable or non-forfeitable immediately prior to the change in control.</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Katina Dorton</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entered into an employment agreement with Katina Dorton, our Chief Financial Officer, on July 20, 2017. Under the terms of the employment agreement, Ms. Dorton is entitled to receive an annual base salary of $325,000 and an annual target bonus of 35% of her annual base salary based upon our board of directors’ assessment of Ms. Dorton’s performance and our attainment of targeted goals as set by the board of directors in their sole discretion. Pursuant to her employment agreement, Ms. Dorton also entered into a Confidentiality and IP Assignment Agreement with us.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Pursuant to Ms. Dorton’s employment agreement, Ms. Dorton is entitled to reimbursement of temporary living and travel expenses in connection with traveling to and temporary living in Massachusetts of up to $4,000 per month until the earlier of August 28, 2018 and the sale of her Raleigh, North Carolina residence. Ms. Dorton is also entitled to a one-time relocation payment of up to $100,000, less any reimbursements for temporary living and travel expenses previously paid to her, in connection with the relocation of her primary residence from North Carolina to Massachusetts.</w:t>
      </w:r>
    </w:p>
    <w:p>
      <w:pPr>
        <w:spacing w:after="0" w:line="154"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Ms. Dorton’s employment agreement provides that, in the event that her employment is terminated by us without “cause” or by Ms. Dorton with “good reason”, subject to the execution and effectiveness of a separation agreement and release, she will be entitled to receive (i) an amount equal to 50% of her base salary, provided that Ms. Dorton has not breached any provisions contained in the Confidentiality and IP Assignment Agreement, payable on our normal payroll cycle, and (ii) reimbursement of COBRA premiums for health benefit coverage, up to an amount equal to the monthly employer contribution that we would have made to provide health insurance to Ms. Dorton had she remained employed with us for up to six months. Additionally, all stock options and other stock based awards held by Ms. Dorton that would have vested if she had remained employed by us for an additional six months following the date of termination will vest and become exercisable or non-forfeitable as of the date of termination.</w:t>
      </w:r>
    </w:p>
    <w:p>
      <w:pPr>
        <w:spacing w:after="0" w:line="16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In the event of a “change in control” all stock options and other stock-based awards held by Ms. Dorton shall accelerate and become fully exercisable or non-forfeitable immediately prior to the change in control.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2017 Fiscal Year-End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information concerning outstanding equity awards held by our 2017 named executive officers as of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2017. All equity awards set forth in the table below were granted under our Amended and Restated 2015 Stock Option and Grant Plan, or 2015 Plan.</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80" w:type="dxa"/>
            <w:vAlign w:val="bottom"/>
          </w:tcPr>
          <w:p>
            <w:pPr>
              <w:spacing w:after="0"/>
              <w:rPr>
                <w:sz w:val="10"/>
                <w:szCs w:val="10"/>
                <w:color w:val="auto"/>
              </w:rPr>
            </w:pPr>
          </w:p>
        </w:tc>
        <w:tc>
          <w:tcPr>
            <w:tcW w:w="1160" w:type="dxa"/>
            <w:vAlign w:val="bottom"/>
            <w:gridSpan w:val="2"/>
          </w:tcPr>
          <w:p>
            <w:pPr>
              <w:jc w:val="center"/>
              <w:ind w:right="263"/>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243"/>
              <w:spacing w:after="0" w:line="119" w:lineRule="exact"/>
              <w:rPr>
                <w:sz w:val="20"/>
                <w:szCs w:val="20"/>
                <w:color w:val="auto"/>
              </w:rPr>
            </w:pPr>
            <w:r>
              <w:rPr>
                <w:rFonts w:ascii="Arial" w:cs="Arial" w:eastAsia="Arial" w:hAnsi="Arial"/>
                <w:sz w:val="13"/>
                <w:szCs w:val="13"/>
                <w:b w:val="1"/>
                <w:bCs w:val="1"/>
                <w:color w:val="auto"/>
              </w:rPr>
              <w:t>Number of</w:t>
            </w:r>
          </w:p>
        </w:tc>
        <w:tc>
          <w:tcPr>
            <w:tcW w:w="10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2"/>
                <w:szCs w:val="12"/>
                <w:color w:val="auto"/>
              </w:rPr>
            </w:pPr>
          </w:p>
        </w:tc>
        <w:tc>
          <w:tcPr>
            <w:tcW w:w="1160" w:type="dxa"/>
            <w:vAlign w:val="bottom"/>
            <w:gridSpan w:val="2"/>
          </w:tcPr>
          <w:p>
            <w:pPr>
              <w:jc w:val="center"/>
              <w:ind w:right="243"/>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43"/>
              <w:spacing w:after="0" w:line="149" w:lineRule="exact"/>
              <w:rPr>
                <w:sz w:val="20"/>
                <w:szCs w:val="20"/>
                <w:color w:val="auto"/>
              </w:rPr>
            </w:pPr>
            <w:r>
              <w:rPr>
                <w:rFonts w:ascii="Arial" w:cs="Arial" w:eastAsia="Arial" w:hAnsi="Arial"/>
                <w:sz w:val="14"/>
                <w:szCs w:val="14"/>
                <w:b w:val="1"/>
                <w:bCs w:val="1"/>
                <w:color w:val="auto"/>
                <w:w w:val="89"/>
              </w:rPr>
              <w:t>Shares or</w:t>
            </w: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80" w:type="dxa"/>
            <w:vAlign w:val="bottom"/>
          </w:tcPr>
          <w:p>
            <w:pPr>
              <w:spacing w:after="0"/>
              <w:rPr>
                <w:sz w:val="12"/>
                <w:szCs w:val="12"/>
                <w:color w:val="auto"/>
              </w:rPr>
            </w:pPr>
          </w:p>
        </w:tc>
        <w:tc>
          <w:tcPr>
            <w:tcW w:w="1160" w:type="dxa"/>
            <w:vAlign w:val="bottom"/>
            <w:gridSpan w:val="2"/>
          </w:tcPr>
          <w:p>
            <w:pPr>
              <w:jc w:val="center"/>
              <w:ind w:right="263"/>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60" w:type="dxa"/>
            <w:vAlign w:val="bottom"/>
          </w:tcPr>
          <w:p>
            <w:pPr>
              <w:spacing w:after="0"/>
              <w:rPr>
                <w:sz w:val="12"/>
                <w:szCs w:val="12"/>
                <w:color w:val="auto"/>
              </w:rPr>
            </w:pPr>
          </w:p>
        </w:tc>
        <w:tc>
          <w:tcPr>
            <w:tcW w:w="980" w:type="dxa"/>
            <w:vAlign w:val="bottom"/>
            <w:gridSpan w:val="2"/>
          </w:tcPr>
          <w:p>
            <w:pPr>
              <w:jc w:val="center"/>
              <w:ind w:right="223"/>
              <w:spacing w:after="0" w:line="149" w:lineRule="exact"/>
              <w:rPr>
                <w:sz w:val="20"/>
                <w:szCs w:val="20"/>
                <w:color w:val="auto"/>
              </w:rPr>
            </w:pPr>
            <w:r>
              <w:rPr>
                <w:rFonts w:ascii="Arial" w:cs="Arial" w:eastAsia="Arial" w:hAnsi="Arial"/>
                <w:sz w:val="14"/>
                <w:szCs w:val="14"/>
                <w:b w:val="1"/>
                <w:bCs w:val="1"/>
                <w:color w:val="auto"/>
                <w:w w:val="92"/>
              </w:rPr>
              <w:t>Units of</w:t>
            </w:r>
          </w:p>
        </w:tc>
        <w:tc>
          <w:tcPr>
            <w:tcW w:w="14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340" w:type="dxa"/>
            <w:vAlign w:val="bottom"/>
            <w:gridSpan w:val="2"/>
          </w:tcPr>
          <w:p>
            <w:pPr>
              <w:jc w:val="center"/>
              <w:ind w:left="1479"/>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80" w:type="dxa"/>
            <w:vAlign w:val="bottom"/>
          </w:tcPr>
          <w:p>
            <w:pPr>
              <w:spacing w:after="0"/>
              <w:rPr>
                <w:sz w:val="12"/>
                <w:szCs w:val="12"/>
                <w:color w:val="auto"/>
              </w:rPr>
            </w:pPr>
          </w:p>
        </w:tc>
        <w:tc>
          <w:tcPr>
            <w:tcW w:w="1160" w:type="dxa"/>
            <w:vAlign w:val="bottom"/>
            <w:gridSpan w:val="2"/>
          </w:tcPr>
          <w:p>
            <w:pPr>
              <w:jc w:val="center"/>
              <w:ind w:right="243"/>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43"/>
              <w:spacing w:after="0" w:line="149" w:lineRule="exact"/>
              <w:rPr>
                <w:sz w:val="20"/>
                <w:szCs w:val="20"/>
                <w:color w:val="auto"/>
              </w:rPr>
            </w:pPr>
            <w:r>
              <w:rPr>
                <w:rFonts w:ascii="Arial" w:cs="Arial" w:eastAsia="Arial" w:hAnsi="Arial"/>
                <w:sz w:val="14"/>
                <w:szCs w:val="14"/>
                <w:b w:val="1"/>
                <w:bCs w:val="1"/>
                <w:color w:val="auto"/>
                <w:w w:val="91"/>
              </w:rPr>
              <w:t>Stock that</w:t>
            </w:r>
          </w:p>
        </w:tc>
        <w:tc>
          <w:tcPr>
            <w:tcW w:w="14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Units that</w:t>
            </w:r>
          </w:p>
        </w:tc>
        <w:tc>
          <w:tcPr>
            <w:tcW w:w="0" w:type="dxa"/>
            <w:vAlign w:val="bottom"/>
          </w:tcPr>
          <w:p>
            <w:pPr>
              <w:spacing w:after="0"/>
              <w:rPr>
                <w:sz w:val="1"/>
                <w:szCs w:val="1"/>
                <w:color w:val="auto"/>
              </w:rPr>
            </w:pPr>
          </w:p>
        </w:tc>
      </w:tr>
      <w:tr>
        <w:trPr>
          <w:trHeight w:val="149"/>
        </w:trPr>
        <w:tc>
          <w:tcPr>
            <w:tcW w:w="3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280" w:type="dxa"/>
            <w:vAlign w:val="bottom"/>
          </w:tcPr>
          <w:p>
            <w:pPr>
              <w:spacing w:after="0"/>
              <w:rPr>
                <w:sz w:val="12"/>
                <w:szCs w:val="12"/>
                <w:color w:val="auto"/>
              </w:rPr>
            </w:pPr>
          </w:p>
        </w:tc>
        <w:tc>
          <w:tcPr>
            <w:tcW w:w="1160" w:type="dxa"/>
            <w:vAlign w:val="bottom"/>
            <w:gridSpan w:val="2"/>
          </w:tcPr>
          <w:p>
            <w:pPr>
              <w:jc w:val="center"/>
              <w:ind w:right="263"/>
              <w:spacing w:after="0" w:line="149" w:lineRule="exact"/>
              <w:rPr>
                <w:sz w:val="20"/>
                <w:szCs w:val="20"/>
                <w:color w:val="auto"/>
              </w:rPr>
            </w:pPr>
            <w:r>
              <w:rPr>
                <w:rFonts w:ascii="Arial" w:cs="Arial" w:eastAsia="Arial" w:hAnsi="Arial"/>
                <w:sz w:val="14"/>
                <w:szCs w:val="14"/>
                <w:b w:val="1"/>
                <w:bCs w:val="1"/>
                <w:color w:val="auto"/>
                <w:w w:val="94"/>
              </w:rPr>
              <w:t>Options (#)</w:t>
            </w:r>
          </w:p>
        </w:tc>
        <w:tc>
          <w:tcPr>
            <w:tcW w:w="9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Exercise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60" w:type="dxa"/>
            <w:vAlign w:val="bottom"/>
          </w:tcPr>
          <w:p>
            <w:pPr>
              <w:spacing w:after="0"/>
              <w:rPr>
                <w:sz w:val="12"/>
                <w:szCs w:val="12"/>
                <w:color w:val="auto"/>
              </w:rPr>
            </w:pPr>
          </w:p>
        </w:tc>
        <w:tc>
          <w:tcPr>
            <w:tcW w:w="980" w:type="dxa"/>
            <w:vAlign w:val="bottom"/>
            <w:gridSpan w:val="2"/>
          </w:tcPr>
          <w:p>
            <w:pPr>
              <w:jc w:val="center"/>
              <w:ind w:right="243"/>
              <w:spacing w:after="0" w:line="149" w:lineRule="exact"/>
              <w:rPr>
                <w:sz w:val="20"/>
                <w:szCs w:val="20"/>
                <w:color w:val="auto"/>
              </w:rPr>
            </w:pPr>
            <w:r>
              <w:rPr>
                <w:rFonts w:ascii="Arial" w:cs="Arial" w:eastAsia="Arial" w:hAnsi="Arial"/>
                <w:sz w:val="14"/>
                <w:szCs w:val="14"/>
                <w:b w:val="1"/>
                <w:bCs w:val="1"/>
                <w:color w:val="auto"/>
                <w:w w:val="95"/>
              </w:rPr>
              <w:t>Have Not</w:t>
            </w:r>
          </w:p>
        </w:tc>
        <w:tc>
          <w:tcPr>
            <w:tcW w:w="14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91"/>
        </w:trPr>
        <w:tc>
          <w:tcPr>
            <w:tcW w:w="3140" w:type="dxa"/>
            <w:vAlign w:val="bottom"/>
            <w:gridSpan w:val="3"/>
            <w:vMerge w:val="continue"/>
          </w:tcPr>
          <w:p>
            <w:pPr>
              <w:spacing w:after="0"/>
              <w:rPr>
                <w:sz w:val="16"/>
                <w:szCs w:val="16"/>
                <w:color w:val="auto"/>
              </w:rPr>
            </w:pPr>
          </w:p>
        </w:tc>
        <w:tc>
          <w:tcPr>
            <w:tcW w:w="15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9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260" w:type="dxa"/>
            <w:vAlign w:val="bottom"/>
          </w:tcPr>
          <w:p>
            <w:pPr>
              <w:spacing w:after="0"/>
              <w:rPr>
                <w:sz w:val="16"/>
                <w:szCs w:val="16"/>
                <w:color w:val="auto"/>
              </w:rPr>
            </w:pPr>
          </w:p>
        </w:tc>
        <w:tc>
          <w:tcPr>
            <w:tcW w:w="980" w:type="dxa"/>
            <w:vAlign w:val="bottom"/>
            <w:gridSpan w:val="2"/>
          </w:tcPr>
          <w:p>
            <w:pPr>
              <w:jc w:val="center"/>
              <w:ind w:right="223"/>
              <w:spacing w:after="0"/>
              <w:rPr>
                <w:sz w:val="20"/>
                <w:szCs w:val="20"/>
                <w:color w:val="auto"/>
              </w:rPr>
            </w:pPr>
            <w:r>
              <w:rPr>
                <w:rFonts w:ascii="Arial" w:cs="Arial" w:eastAsia="Arial" w:hAnsi="Arial"/>
                <w:sz w:val="14"/>
                <w:szCs w:val="14"/>
                <w:b w:val="1"/>
                <w:bCs w:val="1"/>
                <w:color w:val="auto"/>
                <w:w w:val="89"/>
              </w:rPr>
              <w:t>Vested (#)</w:t>
            </w:r>
          </w:p>
        </w:tc>
        <w:tc>
          <w:tcPr>
            <w:tcW w:w="14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 xml:space="preserve">Vested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2"/>
              </w:rPr>
              <w:t>Geoff</w:t>
            </w:r>
          </w:p>
        </w:tc>
        <w:tc>
          <w:tcPr>
            <w:tcW w:w="2780" w:type="dxa"/>
            <w:vAlign w:val="bottom"/>
            <w:tcBorders>
              <w:top w:val="single" w:sz="8" w:color="CCEEFF"/>
            </w:tcBorders>
            <w:shd w:val="clear" w:color="auto" w:fill="CCEEFF"/>
          </w:tcPr>
          <w:p>
            <w:pPr>
              <w:ind w:left="100"/>
              <w:spacing w:after="0" w:line="189" w:lineRule="exact"/>
              <w:rPr>
                <w:sz w:val="20"/>
                <w:szCs w:val="20"/>
                <w:color w:val="auto"/>
              </w:rPr>
            </w:pPr>
            <w:r>
              <w:rPr>
                <w:rFonts w:ascii="Arial" w:cs="Arial" w:eastAsia="Arial" w:hAnsi="Arial"/>
                <w:sz w:val="18"/>
                <w:szCs w:val="18"/>
                <w:color w:val="auto"/>
              </w:rPr>
              <w:t>MacKay</w:t>
            </w:r>
          </w:p>
        </w:tc>
        <w:tc>
          <w:tcPr>
            <w:tcW w:w="15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312,500</w:t>
            </w:r>
          </w:p>
        </w:tc>
        <w:tc>
          <w:tcPr>
            <w:tcW w:w="2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687,500</w:t>
            </w:r>
          </w:p>
        </w:tc>
        <w:tc>
          <w:tcPr>
            <w:tcW w:w="300" w:type="dxa"/>
            <w:vAlign w:val="bottom"/>
            <w:tcBorders>
              <w:top w:val="single" w:sz="8" w:color="CCEEFF"/>
            </w:tcBorders>
            <w:shd w:val="clear" w:color="auto" w:fill="CCEEFF"/>
          </w:tcPr>
          <w:p>
            <w:pPr>
              <w:jc w:val="right"/>
              <w:ind w:right="63"/>
              <w:spacing w:after="0" w:line="155" w:lineRule="exact"/>
              <w:rPr>
                <w:sz w:val="20"/>
                <w:szCs w:val="20"/>
                <w:color w:val="auto"/>
              </w:rPr>
            </w:pPr>
            <w:r>
              <w:rPr>
                <w:rFonts w:ascii="Arial" w:cs="Arial" w:eastAsia="Arial" w:hAnsi="Arial"/>
                <w:sz w:val="15"/>
                <w:szCs w:val="15"/>
                <w:color w:val="auto"/>
                <w:w w:val="76"/>
              </w:rPr>
              <w:t>(1)</w:t>
            </w:r>
          </w:p>
        </w:tc>
        <w:tc>
          <w:tcPr>
            <w:tcW w:w="1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0.10</w:t>
            </w:r>
          </w:p>
        </w:tc>
        <w:tc>
          <w:tcPr>
            <w:tcW w:w="2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4/12/2026</w:t>
            </w: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ind w:left="80"/>
              <w:spacing w:after="0" w:line="189" w:lineRule="exact"/>
              <w:rPr>
                <w:sz w:val="20"/>
                <w:szCs w:val="20"/>
                <w:color w:val="auto"/>
              </w:rPr>
            </w:pPr>
            <w:r>
              <w:rPr>
                <w:rFonts w:ascii="Arial" w:cs="Arial" w:eastAsia="Arial" w:hAnsi="Arial"/>
                <w:sz w:val="18"/>
                <w:szCs w:val="18"/>
                <w:color w:val="auto"/>
                <w:w w:val="89"/>
              </w:rPr>
              <w:t>300,000</w:t>
            </w:r>
          </w:p>
        </w:tc>
        <w:tc>
          <w:tcPr>
            <w:tcW w:w="300" w:type="dxa"/>
            <w:vAlign w:val="bottom"/>
            <w:tcBorders>
              <w:top w:val="single" w:sz="8" w:color="CCEEFF"/>
            </w:tcBorders>
            <w:shd w:val="clear" w:color="auto" w:fill="CCEEFF"/>
          </w:tcPr>
          <w:p>
            <w:pPr>
              <w:jc w:val="right"/>
              <w:ind w:right="43"/>
              <w:spacing w:after="0" w:line="155" w:lineRule="exact"/>
              <w:rPr>
                <w:sz w:val="20"/>
                <w:szCs w:val="20"/>
                <w:color w:val="auto"/>
              </w:rPr>
            </w:pPr>
            <w:r>
              <w:rPr>
                <w:rFonts w:ascii="Arial" w:cs="Arial" w:eastAsia="Arial" w:hAnsi="Arial"/>
                <w:sz w:val="15"/>
                <w:szCs w:val="15"/>
                <w:color w:val="auto"/>
                <w:w w:val="87"/>
              </w:rPr>
              <w:t>(4)</w:t>
            </w: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260"/>
              <w:spacing w:after="0" w:line="189" w:lineRule="exact"/>
              <w:rPr>
                <w:sz w:val="20"/>
                <w:szCs w:val="20"/>
                <w:color w:val="auto"/>
              </w:rPr>
            </w:pPr>
            <w:r>
              <w:rPr>
                <w:rFonts w:ascii="Arial" w:cs="Arial" w:eastAsia="Arial" w:hAnsi="Arial"/>
                <w:sz w:val="18"/>
                <w:szCs w:val="18"/>
                <w:color w:val="auto"/>
                <w:w w:val="89"/>
              </w:rPr>
              <w:t>297,000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63"/>
              <w:spacing w:after="0"/>
              <w:rPr>
                <w:sz w:val="20"/>
                <w:szCs w:val="20"/>
                <w:color w:val="auto"/>
              </w:rPr>
            </w:pPr>
            <w:r>
              <w:rPr>
                <w:rFonts w:ascii="Arial" w:cs="Arial" w:eastAsia="Arial" w:hAnsi="Arial"/>
                <w:sz w:val="18"/>
                <w:szCs w:val="18"/>
                <w:color w:val="auto"/>
              </w:rPr>
              <w:t>190,068</w:t>
            </w:r>
            <w:r>
              <w:rPr>
                <w:rFonts w:ascii="Arial" w:cs="Arial" w:eastAsia="Arial" w:hAnsi="Arial"/>
                <w:sz w:val="15"/>
                <w:szCs w:val="15"/>
                <w:color w:val="auto"/>
              </w:rPr>
              <w:t>(2)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6/12/2027</w:t>
            </w:r>
          </w:p>
        </w:tc>
        <w:tc>
          <w:tcPr>
            <w:tcW w:w="260" w:type="dxa"/>
            <w:vAlign w:val="bottom"/>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Katina Dorton</w:t>
            </w:r>
          </w:p>
        </w:tc>
        <w:tc>
          <w:tcPr>
            <w:tcW w:w="158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63"/>
              <w:spacing w:after="0"/>
              <w:rPr>
                <w:sz w:val="20"/>
                <w:szCs w:val="20"/>
                <w:color w:val="auto"/>
              </w:rPr>
            </w:pPr>
            <w:r>
              <w:rPr>
                <w:rFonts w:ascii="Arial" w:cs="Arial" w:eastAsia="Arial" w:hAnsi="Arial"/>
                <w:sz w:val="18"/>
                <w:szCs w:val="18"/>
                <w:color w:val="auto"/>
              </w:rPr>
              <w:t>654,170</w:t>
            </w:r>
            <w:r>
              <w:rPr>
                <w:rFonts w:ascii="Arial" w:cs="Arial" w:eastAsia="Arial" w:hAnsi="Arial"/>
                <w:sz w:val="15"/>
                <w:szCs w:val="15"/>
                <w:color w:val="auto"/>
              </w:rPr>
              <w:t>(2)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7/19/2027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Nerissa Kreher, M.D.</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103,540</w:t>
            </w:r>
          </w:p>
        </w:tc>
        <w:tc>
          <w:tcPr>
            <w:tcW w:w="1440" w:type="dxa"/>
            <w:vAlign w:val="bottom"/>
            <w:gridSpan w:val="3"/>
          </w:tcPr>
          <w:p>
            <w:pPr>
              <w:jc w:val="right"/>
              <w:ind w:right="63"/>
              <w:spacing w:after="0"/>
              <w:rPr>
                <w:sz w:val="20"/>
                <w:szCs w:val="20"/>
                <w:color w:val="auto"/>
              </w:rPr>
            </w:pPr>
            <w:r>
              <w:rPr>
                <w:rFonts w:ascii="Arial" w:cs="Arial" w:eastAsia="Arial" w:hAnsi="Arial"/>
                <w:sz w:val="18"/>
                <w:szCs w:val="18"/>
                <w:color w:val="auto"/>
              </w:rPr>
              <w:t>251,460</w:t>
            </w:r>
            <w:r>
              <w:rPr>
                <w:rFonts w:ascii="Arial" w:cs="Arial" w:eastAsia="Arial" w:hAnsi="Arial"/>
                <w:sz w:val="15"/>
                <w:szCs w:val="15"/>
                <w:color w:val="auto"/>
              </w:rPr>
              <w:t>(3)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10/24/2026</w:t>
            </w:r>
          </w:p>
        </w:tc>
        <w:tc>
          <w:tcPr>
            <w:tcW w:w="260" w:type="dxa"/>
            <w:vAlign w:val="bottom"/>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63"/>
              <w:spacing w:after="0"/>
              <w:rPr>
                <w:sz w:val="20"/>
                <w:szCs w:val="20"/>
                <w:color w:val="auto"/>
              </w:rPr>
            </w:pPr>
            <w:r>
              <w:rPr>
                <w:rFonts w:ascii="Arial" w:cs="Arial" w:eastAsia="Arial" w:hAnsi="Arial"/>
                <w:sz w:val="18"/>
                <w:szCs w:val="18"/>
                <w:color w:val="auto"/>
              </w:rPr>
              <w:t>113,926</w:t>
            </w:r>
            <w:r>
              <w:rPr>
                <w:rFonts w:ascii="Arial" w:cs="Arial" w:eastAsia="Arial" w:hAnsi="Arial"/>
                <w:sz w:val="15"/>
                <w:szCs w:val="15"/>
                <w:color w:val="auto"/>
              </w:rPr>
              <w:t>(2)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6/12/2027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620" w:hanging="436"/>
        <w:spacing w:after="0" w:line="274" w:lineRule="auto"/>
        <w:tabs>
          <w:tab w:leader="none" w:pos="6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shares underlying this stock option vest as follows: 25% of the shares vested on July 1, 2017 and the remainder vest in equal quarterly installments until the option is fully vested on July 1, 2020, subject to the continued employment of the executive officer.</w:t>
      </w:r>
    </w:p>
    <w:p>
      <w:pPr>
        <w:jc w:val="both"/>
        <w:ind w:left="640" w:right="140" w:hanging="436"/>
        <w:spacing w:after="0" w:line="250" w:lineRule="auto"/>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 on the first anniversary of the grant date and the remainder vest in equal monthly installments until the option is fully vested on the fourth anniversary of the grant date, subject to the continued employment of the executive officer.</w:t>
      </w:r>
    </w:p>
    <w:p>
      <w:pPr>
        <w:spacing w:after="0" w:line="1" w:lineRule="exact"/>
        <w:rPr>
          <w:rFonts w:ascii="Arial" w:cs="Arial" w:eastAsia="Arial" w:hAnsi="Arial"/>
          <w:sz w:val="18"/>
          <w:szCs w:val="18"/>
          <w:color w:val="auto"/>
        </w:rPr>
      </w:pPr>
    </w:p>
    <w:p>
      <w:pPr>
        <w:ind w:left="640" w:right="400" w:hanging="436"/>
        <w:spacing w:after="0" w:line="265" w:lineRule="auto"/>
        <w:tabs>
          <w:tab w:leader="none" w:pos="6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shares underlying this stock option vest as follows: 25% of the shares vested on October 3, 2017 and the remainder vest in equal monthly installments until the option is fully vested on October 3, 2020, subject to the continued employment of the executive officer.</w:t>
      </w:r>
    </w:p>
    <w:p>
      <w:pPr>
        <w:ind w:left="640" w:right="460" w:hanging="436"/>
        <w:spacing w:after="0" w:line="281" w:lineRule="auto"/>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On November 27, 2015, Mr. MacKay transferred his ownership of 300,000 shares to each of his two children, 150,000 shares subject to each transfer remain unvested and subject to vesting as of December 31, 2017, based on Mr. MacKay’s continued service to our company.</w:t>
      </w:r>
    </w:p>
    <w:p>
      <w:pPr>
        <w:spacing w:after="0" w:line="1" w:lineRule="exact"/>
        <w:rPr>
          <w:rFonts w:ascii="Arial" w:cs="Arial" w:eastAsia="Arial" w:hAnsi="Arial"/>
          <w:sz w:val="16"/>
          <w:szCs w:val="16"/>
          <w:color w:val="auto"/>
        </w:rPr>
      </w:pPr>
    </w:p>
    <w:p>
      <w:pPr>
        <w:ind w:left="640" w:right="160" w:hanging="436"/>
        <w:spacing w:after="0" w:line="323" w:lineRule="auto"/>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There was no public market for our common stock as of December 31, 2017. This column represents the value of the shares of restricted stock as of December 31, 2017, based on the fair market value of our common stock as of December 31, 2017, which was $0.99 per share.</w:t>
      </w:r>
    </w:p>
    <w:p>
      <w:pPr>
        <w:spacing w:after="0" w:line="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240" w:top="459" w:right="4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us.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Benefit and Equity Compensation Plans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2015 Plan, was approved by our board of directors and our stockholders on July 21, 2016. The 2015 Plan was most recently amended in January 2018 with the approval of both our board of directors and our stockholders. Under the 2015 Plan, we have reserved for issuance an aggregate of 8,299,387 shares of our common stock. The number of shares of common stock reserved for issuance is subject to adjustment in the event of any merger, consolidation, sale of all or substantially all of our assets, reorganization, recapitalization, reclassification, stock dividend, stock split, reverse stock split or other similar transaction.</w:t>
      </w:r>
    </w:p>
    <w:p>
      <w:pPr>
        <w:spacing w:after="0" w:line="188"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color w:val="auto"/>
        </w:rPr>
        <w:t>The shares of common stock underlying awards that are forfeited, canceled, reacquired by us prior to vesting, satisfied without the issuance of stock or otherwise terminated (other than by exercise) and shares of common stock that are withheld upon exercise of an option or settlement of an award to cover the exercise price or tax withholding are added back to the shares of common stock available for issuance under the 2015 Plan.</w:t>
      </w:r>
    </w:p>
    <w:p>
      <w:pPr>
        <w:spacing w:after="0" w:line="14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board of directors has acted as administrator of the 2015 Plan. The administrator has full power to select, from among the individuals eligible for awards, the individuals to whom awards will be granted, and to determine the specific terms and conditions of each award, subject to the provisions of the 2015 Plan. Persons eligible to participate in the 2015 Plan are those employees, officers and directors of, and consultants and advisors to, our company as selected from time to time by the administrator in its discretion.</w:t>
      </w:r>
    </w:p>
    <w:p>
      <w:pPr>
        <w:spacing w:after="0" w:line="18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The 2015 Plan permits the granting of (1) options to purchase common stock intended to qualify as incentive stock options under Section 422 of the Internal Revenue Code of 1986, as amended, or the Code and (2) options that do not so qualify. The per share option exercise price of each option will be determined by the administrator but may not be less than 100% of the fair market value of the common stock on the date of grant. The term of each option will be fixed by the administrator. The administrator will determine at what time or times each option may be exercised. In addition, the 2015 Plan permits the granting of restricted shares of common stock, unrestricted shares of common stock, and restricted stock units.</w:t>
      </w:r>
    </w:p>
    <w:p>
      <w:pPr>
        <w:spacing w:after="0" w:line="15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2015 Plan provides that upon the occurrence of a “sale event,” as defined in the 2015 Plan, our board of directors may take one or more of the following actions as to some or all awards outstanding under the 2015 Plan: (i) provide that outstanding options awards will be assumed or substituted by the acquiring or successor corporation, (ii) provide that all unexercised options will terminate immediately prior to the consummation of the sale event unless exercised by the optionee (to the extent exercisable) within a specified period prior to the consummation of the sale event, (iii) make or provide for a cash payment to the optionees equal to the difference between the per share cash consideration in the sale event and the per share exercise price of the outstanding award, (iv) provide that all restricted stock and unvested restricted stock unit awards (other than those becoming vested as a result of the sale event) will be assumed or substituted by the acquiring or successor corporation (v) provide that all restricted stock and unvested restricted stock unit awards (other than those becoming vested as a result of the sale event) will terminate immediately prior to the effective time of any sale event unless repurchased at a price per share equal to the lower of the original per share purchase price paid by the holder (subject to adjustment) or the current fair market value of such shares, determined immediately prior to the effective time of the sale event, (vi) make or provide for a cash payment to the holders of restricted stock or</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restricted stock unit awards in an amount equal to the consideration payable per share of stock pursuant to the sale event times the number of shares subject to such award. We may also make or provide for a cash payment to participants holding options in an amount equal to the difference between the per share cash consideration payable to stockholders in the sale event and the exercise price of the options (to the extent then exercisable).</w:t>
      </w:r>
    </w:p>
    <w:p>
      <w:pPr>
        <w:spacing w:after="0" w:line="147"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The administrator may amend or discontinue the 2015 Plan at any time, subject to stockholder approval where such approval is required by applicable law. The administrator of the 2015 Plan may also amend or cancel any outstanding award, provided that no amendment to an award may adversely affect a participant’s rights without his or her consent.</w:t>
      </w:r>
    </w:p>
    <w:p>
      <w:pPr>
        <w:spacing w:after="0" w:line="181"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2015 Plan will terminate automatically upon the earlier of 10 years from the date on which the 2015 Plan was adopted by our board of directors or 10 years from the date the 2015 Plan is approved by the Company’s stockholders. As of March 31, 2018, options to purchase 7,391,214 shares of common stock were outstanding under the 2015 Plan. Our board of directors has determined not to make any further awards under the 2015 Plan following the closing of this offering.</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Stock Option and Incentive Plan</w:t>
      </w:r>
    </w:p>
    <w:p>
      <w:pPr>
        <w:spacing w:after="0" w:line="117" w:lineRule="exact"/>
        <w:rPr>
          <w:sz w:val="20"/>
          <w:szCs w:val="20"/>
          <w:color w:val="auto"/>
        </w:rPr>
      </w:pPr>
    </w:p>
    <w:p>
      <w:pPr>
        <w:ind w:left="200" w:right="400" w:firstLine="441"/>
        <w:spacing w:after="0" w:line="274" w:lineRule="auto"/>
        <w:rPr>
          <w:sz w:val="20"/>
          <w:szCs w:val="20"/>
          <w:color w:val="auto"/>
        </w:rPr>
      </w:pPr>
      <w:r>
        <w:rPr>
          <w:rFonts w:ascii="Arial" w:cs="Arial" w:eastAsia="Arial" w:hAnsi="Arial"/>
          <w:sz w:val="17"/>
          <w:szCs w:val="17"/>
          <w:color w:val="auto"/>
        </w:rPr>
        <w:t>Our 2018 Stock Option and Incentive Plan, or the 2018 Plan, was adopted by our board of directors on , 2018 and approved by our stockholders on , 2018 and will become effective upon the effectiveness of the registration statement of which this prospectus is part. The</w:t>
      </w:r>
    </w:p>
    <w:p>
      <w:pPr>
        <w:jc w:val="both"/>
        <w:ind w:left="200" w:right="140"/>
        <w:spacing w:after="0" w:line="255" w:lineRule="auto"/>
        <w:rPr>
          <w:sz w:val="20"/>
          <w:szCs w:val="20"/>
          <w:color w:val="auto"/>
        </w:rPr>
      </w:pPr>
      <w:r>
        <w:rPr>
          <w:rFonts w:ascii="Arial" w:cs="Arial" w:eastAsia="Arial" w:hAnsi="Arial"/>
          <w:sz w:val="18"/>
          <w:szCs w:val="18"/>
          <w:color w:val="auto"/>
        </w:rPr>
        <w:t>2018 Plan will replace the 2015 Plan as our board of directors has determined not to make additional awards under the 2015 Plan following the closing of our initial public offering. The 2018 Plan allows the compensation committee to make equity-based and cash-based incentive awards to our officers, employees, directors and other key persons (including consultants).</w:t>
      </w:r>
    </w:p>
    <w:p>
      <w:pPr>
        <w:spacing w:after="0" w:line="19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have initially reserved shares of our common stock, or the Initial Limit, for the issuance of awards under the 2018 Plan, plus the shares of common stock remaining available for issuance under our 2015 Plan. The 2018 Plan provides that the number of shares reserved and available for issuance under the plan will automatically increase each January 1, beginning on January 1, 2019, by % of the outstanding number of shares of our common stock on the immediately preceding December 31, or such lesser number of shares as determined by our compensation committee, or the Annual Increase. This number is subject to adjustment in the event of a stock split, stock dividend or other change in our capitalization.</w:t>
      </w:r>
    </w:p>
    <w:p>
      <w:pPr>
        <w:spacing w:after="0" w:line="158"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shares we issue under the 2018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any issuance of stock, expire or are otherwise terminated (other than by exercise) under the 2018 Plan and the 2015 Plan will be added back to the shares of common stock available for issuance under the 2018 Plan.</w:t>
      </w:r>
    </w:p>
    <w:p>
      <w:pPr>
        <w:spacing w:after="0" w:line="17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Stock options and stock appreciation rights with respect to no more than shares of stock may be granted to any one individual in any one calendar year. The maximum aggregate number of shares that may be issued in the form of incentive stock options shall not exceed the Initial Limit</w:t>
      </w:r>
    </w:p>
    <w:p>
      <w:pPr>
        <w:ind w:left="200" w:right="340"/>
        <w:spacing w:after="0" w:line="261" w:lineRule="auto"/>
        <w:rPr>
          <w:sz w:val="20"/>
          <w:szCs w:val="20"/>
          <w:color w:val="auto"/>
        </w:rPr>
      </w:pPr>
      <w:r>
        <w:rPr>
          <w:rFonts w:ascii="Arial" w:cs="Arial" w:eastAsia="Arial" w:hAnsi="Arial"/>
          <w:sz w:val="18"/>
          <w:szCs w:val="18"/>
          <w:color w:val="auto"/>
        </w:rPr>
        <w:t>cumulatively increased on January 1, 2019 and on each January 1 thereafter by the lesser of the Annual Increase for such year or shares of common stock.</w:t>
      </w:r>
    </w:p>
    <w:p>
      <w:pPr>
        <w:spacing w:after="0" w:line="18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2018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2018 Plan. Persons eligible to participate in the 2018 Plan will be those full or part-time officers, employees, non-employee directors and other key persons (including consultants) as selected from time to time by our compensation committee in its discretion.</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firstLine="441"/>
        <w:spacing w:after="0" w:line="302" w:lineRule="auto"/>
        <w:rPr>
          <w:sz w:val="20"/>
          <w:szCs w:val="20"/>
          <w:color w:val="auto"/>
        </w:rPr>
      </w:pPr>
      <w:r>
        <w:rPr>
          <w:rFonts w:ascii="Arial" w:cs="Arial" w:eastAsia="Arial" w:hAnsi="Arial"/>
          <w:sz w:val="16"/>
          <w:szCs w:val="16"/>
          <w:color w:val="auto"/>
        </w:rPr>
        <w:t>The 2018 Plan permits the granting of both options to purchase common stock intended to qualify as incentive stock options under Section 422 of the Code, and options that do not so qualify. The option exercise price of each option will be determined by our compensation committee but may not be less than 100% of the fair market value of our common stock on the date of grant. The term of each option will be fixed by our compensation committee and may not exceed 10 years from the date of grant. Our compensation committee will determine at what time or times each option may be exercised.</w:t>
      </w:r>
    </w:p>
    <w:p>
      <w:pPr>
        <w:spacing w:after="0" w:line="154"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Our compensation committee may award stock appreciation rights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may not be less than 100% of the fair market value of the common stock on the date of grant.</w:t>
      </w:r>
    </w:p>
    <w:p>
      <w:pPr>
        <w:spacing w:after="0" w:line="147"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the 2018 Plan. Unrestricted stock may be granted to participants in recognition of past services or other valid consideration and may be issued in lieu of cash compensation due to such participant. Our compensation committee may grant cash bonuses under the 2018 Plan to participants, subject to the achievement of certain performance goals.</w:t>
      </w:r>
    </w:p>
    <w:p>
      <w:pPr>
        <w:spacing w:after="0" w:line="178"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Our compensation committee may grant awards that vest or become payable upon the attainment of performance goals that are established by our compensation committee and related to one or more performance criteria. The performance criteria that could be used with respect to any such awards include: achievement of specified research and development, publication, clinical and/or regulatory milestones, earnings before interest, taxes, depreciation and amortization, net income (loss) (either before or after interest, taxes, depreciation and/or amortization), changes in the market price of our common stock, economic value added, funds from operations or similar measures, sales or revenue, acquisitions or strategic transactions, operating income (loss), cash flow (including, but not limited to, operating cash flow and free cash flow), return on capital, assets, equity, or investment, stockholder returns,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w:t>
      </w:r>
    </w:p>
    <w:p>
      <w:pPr>
        <w:spacing w:after="0" w:line="167"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The 2018 Plan provides that in the case of, and subject to, the consummation of a “sale event” as defined in the 2018 Plan, all outstanding awards may be assumed, substituted or otherwise continued by the successor entity. To the extent that the successor entity does not assume, substitute or otherwise continue such awards, then (i) all stock options and stock appreciation rights will automatically become fully exercisable and the restrictions and conditions on all other awards with time-based conditions will automatically be deemed waived, and awards with conditions and restrictions relating to the attainment of performance goals may become vested and non-forfeitable in connection with a sale event in the compensation committee’s discretion and (ii) upon the effectiveness of the sale event, the 2018 Plan and all awards will automatically terminate. In the event of such termination,</w:t>
      </w:r>
    </w:p>
    <w:p>
      <w:pPr>
        <w:spacing w:after="0" w:line="5" w:lineRule="exact"/>
        <w:rPr>
          <w:sz w:val="20"/>
          <w:szCs w:val="20"/>
          <w:color w:val="auto"/>
        </w:rPr>
      </w:pPr>
    </w:p>
    <w:p>
      <w:pPr>
        <w:ind w:left="200" w:right="200" w:firstLine="4"/>
        <w:spacing w:after="0" w:line="254" w:lineRule="auto"/>
        <w:tabs>
          <w:tab w:leader="none" w:pos="4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individuals holding options and stock appreciation rights will be permitted to exercise such options and stock appreciation rights (to the extent exercisable) prior to the sale event; or (ii) we may make or provide for a cash payment to participants holding options and stock appreciation rights equal to the difference between the per share cash consideration payable to stockholders in the sale event and the exercise price of the options or stock appreciation rights (to the extent then exercisable).</w:t>
      </w:r>
    </w:p>
    <w:p>
      <w:pPr>
        <w:spacing w:after="0" w:line="19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board of directors may amend or discontinue the 2018 Plan and our compensation committee may amend the exercise price of options and amend or cancel outstanding awards for purposes of satisfying changes in law or any other lawful purpose but no such action may adversely affect rights under an award without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42" w:lineRule="auto"/>
        <w:rPr>
          <w:sz w:val="20"/>
          <w:szCs w:val="20"/>
          <w:color w:val="auto"/>
        </w:rPr>
      </w:pPr>
      <w:r>
        <w:rPr>
          <w:rFonts w:ascii="Arial" w:cs="Arial" w:eastAsia="Arial" w:hAnsi="Arial"/>
          <w:sz w:val="16"/>
          <w:szCs w:val="16"/>
          <w:color w:val="auto"/>
        </w:rPr>
        <w:t>holder’s consent. Certain amendments to the 2018 Plan require the approval of our stockholders. No awards may be granted under the 2018 Plan after the date that is 10 years from the date of stockholder approval. No awards under the 2018 Plan have been made prior to the date of this prospectus.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jc w:val="center"/>
        <w:ind w:right="180"/>
        <w:spacing w:after="0" w:line="291" w:lineRule="auto"/>
        <w:rPr>
          <w:sz w:val="20"/>
          <w:szCs w:val="20"/>
          <w:color w:val="auto"/>
        </w:rPr>
      </w:pPr>
      <w:r>
        <w:rPr>
          <w:rFonts w:ascii="Arial" w:cs="Arial" w:eastAsia="Arial" w:hAnsi="Arial"/>
          <w:sz w:val="16"/>
          <w:szCs w:val="16"/>
          <w:color w:val="auto"/>
        </w:rPr>
        <w:t>Our 2018 Employee Stock Purchase Plan, or the ESPP, was adopted by our board of directors on        , 2018 and approved by our stockholders on        , 2018 and will become effective upon the effectiveness of the registration statement of which this prospectus is part. The</w:t>
      </w:r>
    </w:p>
    <w:p>
      <w:pPr>
        <w:ind w:left="200"/>
        <w:spacing w:after="0"/>
        <w:rPr>
          <w:sz w:val="20"/>
          <w:szCs w:val="20"/>
          <w:color w:val="auto"/>
        </w:rPr>
      </w:pPr>
      <w:r>
        <w:rPr>
          <w:rFonts w:ascii="Arial" w:cs="Arial" w:eastAsia="Arial" w:hAnsi="Arial"/>
          <w:sz w:val="16"/>
          <w:szCs w:val="16"/>
          <w:color w:val="auto"/>
        </w:rPr>
        <w:t>ESPP is intended to qualify as an “employee stock purchase plan” within the meaning of Section 423(b) of the Code. The ESPP initially reserves and</w:t>
      </w:r>
    </w:p>
    <w:p>
      <w:pPr>
        <w:spacing w:after="0" w:line="32" w:lineRule="exact"/>
        <w:rPr>
          <w:sz w:val="20"/>
          <w:szCs w:val="20"/>
          <w:color w:val="auto"/>
        </w:rPr>
      </w:pPr>
    </w:p>
    <w:p>
      <w:pPr>
        <w:ind w:left="200" w:right="220"/>
        <w:spacing w:after="0" w:line="281" w:lineRule="auto"/>
        <w:rPr>
          <w:sz w:val="20"/>
          <w:szCs w:val="20"/>
          <w:color w:val="auto"/>
        </w:rPr>
      </w:pPr>
      <w:r>
        <w:rPr>
          <w:rFonts w:ascii="Arial" w:cs="Arial" w:eastAsia="Arial" w:hAnsi="Arial"/>
          <w:sz w:val="16"/>
          <w:szCs w:val="16"/>
          <w:color w:val="auto"/>
        </w:rPr>
        <w:t>authorizes the issuance of up to a total of shares of common stock to participating employees. The ESPP provides that the number of shares reserved and available for issuance will automatically increase each January 1, beginning on January 1, 2019 and each January 1 thereafter through January 1, , by the least of (i) % of the outstanding number of shares of our common stock on the immediately preceding December 31;</w:t>
      </w:r>
    </w:p>
    <w:p>
      <w:pPr>
        <w:spacing w:after="0" w:line="2" w:lineRule="exact"/>
        <w:rPr>
          <w:sz w:val="20"/>
          <w:szCs w:val="20"/>
          <w:color w:val="auto"/>
        </w:rPr>
      </w:pPr>
    </w:p>
    <w:p>
      <w:pPr>
        <w:ind w:left="200" w:right="20" w:firstLine="4"/>
        <w:spacing w:after="0" w:line="261" w:lineRule="auto"/>
        <w:tabs>
          <w:tab w:leader="none" w:pos="1185" w:val="left"/>
        </w:tabs>
        <w:numPr>
          <w:ilvl w:val="0"/>
          <w:numId w:val="83"/>
        </w:numPr>
        <w:rPr>
          <w:rFonts w:ascii="Arial" w:cs="Arial" w:eastAsia="Arial" w:hAnsi="Arial"/>
          <w:sz w:val="18"/>
          <w:szCs w:val="18"/>
          <w:color w:val="auto"/>
        </w:rPr>
      </w:pPr>
      <w:r>
        <w:rPr>
          <w:rFonts w:ascii="Arial" w:cs="Arial" w:eastAsia="Arial" w:hAnsi="Arial"/>
          <w:sz w:val="18"/>
          <w:szCs w:val="18"/>
          <w:color w:val="auto"/>
        </w:rPr>
        <w:t>shares or (iii) such number of shares as determined by the ESPP administrator. The number of shares reserved under the ESPP is subject to adjustment in the event of a stock split, stock dividend or other change in our capitalization.</w:t>
      </w:r>
    </w:p>
    <w:p>
      <w:pPr>
        <w:spacing w:after="0" w:line="184"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All employees who have completed at least days of employment and whose customary employment is for more than hours per week are eligible to participate in the ESPP. However, any employee who owns 5% or more of the total combined voting power or value of all classes of stock is not eligible to purchase shares under the ESPP.</w:t>
      </w:r>
    </w:p>
    <w:p>
      <w:pPr>
        <w:spacing w:after="0" w:line="181"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We will make one or more offerings each year to our employees to purchase shares under the ESPP. Offerings will usually begin on each January 1 and July 1 and will continue for six-month periods, referred to as offering periods. Each eligible employee may elect to participate in any offering by submitting an enrollment form at least 15 business days before the relevant offering date.</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Each employee who is a participant in the ESPP may purchase shares by authorizing payroll deductions of up to 10% of his or her base compensation during an offering period. Unless the participating employee has previously withdrawn from the offering, his or her accumulated payroll deductions will be used to purchase shares on the last business day of the offering period at a price equal to 85% of the fair market value of the shares on the first business day or the last business day of the offering period, whichever is lower. Under applicable tax rules, an employee may purchase no more</w:t>
      </w:r>
    </w:p>
    <w:p>
      <w:pPr>
        <w:spacing w:after="0" w:line="2" w:lineRule="exact"/>
        <w:rPr>
          <w:sz w:val="20"/>
          <w:szCs w:val="20"/>
          <w:color w:val="auto"/>
        </w:rPr>
      </w:pPr>
    </w:p>
    <w:p>
      <w:pPr>
        <w:ind w:left="200"/>
        <w:spacing w:after="0"/>
        <w:tabs>
          <w:tab w:leader="none" w:pos="1040" w:val="left"/>
        </w:tabs>
        <w:rPr>
          <w:sz w:val="20"/>
          <w:szCs w:val="20"/>
          <w:color w:val="auto"/>
        </w:rPr>
      </w:pPr>
      <w:r>
        <w:rPr>
          <w:rFonts w:ascii="Arial" w:cs="Arial" w:eastAsia="Arial" w:hAnsi="Arial"/>
          <w:sz w:val="18"/>
          <w:szCs w:val="18"/>
          <w:color w:val="auto"/>
        </w:rPr>
        <w:t>than $</w:t>
      </w:r>
      <w:r>
        <w:rPr>
          <w:sz w:val="20"/>
          <w:szCs w:val="20"/>
          <w:color w:val="auto"/>
        </w:rPr>
        <w:tab/>
      </w:r>
      <w:r>
        <w:rPr>
          <w:rFonts w:ascii="Arial" w:cs="Arial" w:eastAsia="Arial" w:hAnsi="Arial"/>
          <w:sz w:val="16"/>
          <w:szCs w:val="16"/>
          <w:color w:val="auto"/>
        </w:rPr>
        <w:t>worth of shares of common stock, valued at the start of the purchase period, under the ESPP in any calendar year.</w:t>
      </w:r>
    </w:p>
    <w:p>
      <w:pPr>
        <w:spacing w:after="0" w:line="21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p>
    <w:p>
      <w:pPr>
        <w:spacing w:after="0" w:line="12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ESPP may be terminated or amended by our board of directors at any time. An amendment that increases the number of shares of common stock authorized under the ESPP and certain other amendments require the approval of our stockholders.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Senior Executive Cash Incentive Bonus Plan</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In , 2018, our board of directors adopted the Senior Executive Cash Incentive Bonus Plan, or the Bonus Plan. The Bonus Plan provides for cash bonus payments based upon the attainment of performance targets established by our compensation committee. The payment targets will be related to financial and operational measures or objectives with respect to our company, or corporate performance goals, as well as individual performance objectives.</w:t>
      </w:r>
    </w:p>
    <w:p>
      <w:pPr>
        <w:spacing w:after="0" w:line="187"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Our compensation committee may select corporate performance goals from among the following: achievement of specified research and development, publication, clinical and/or regulatory milestones, adjusted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billings, earnings before interest, taxes, depreciation and amortization, net income (loss) (either before or after interest, taxes, depreciation and/or amortization), changes in the market price of our common stock, economic value-added, funds from operations or similar measure, sales or revenue, acquisitions or strategic transactions, operating income (loss), cash flow (including, but not limited to, operating cash flow and free cash flow), return on capital, assets, equity, or investment, stockholder returns, return on sales, gross or net profit levels, productivity, expense, margins, operating efficiency, customer satisfaction, working capital, earnings (loss) per share of stock, sales or market shares and number of customers, any of which may be measured in absolute terms, as compared to any incremental increase, in terms of growth, or as compared to results of a peer group.</w:t>
      </w:r>
    </w:p>
    <w:p>
      <w:pPr>
        <w:spacing w:after="0" w:line="165"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 and provides the compensation committee with discretion to adjust the size of the award as it deems appropriate to account for unforeseen factors beyond management’s control that affected corporate performance.</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maintain a tax-qualified retirement plan that provides eligible employees with an opportunity to save for retirement on a tax-advantaged basis. All participants’ interests in their contributions are 100% vested when contributed. Contributions are allocated to each participant’s individual account and are then invested in selected investment alternatives according to the participants’ directions. The retirement plan is intended to qualify under Section 401(a) of the Code. Matching contributions to the plan are made at the discretion of our board of directors.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following table presents the total compensation for each person who served as a non-employee member of our board of directors and received compensation for such service during the fiscal year ended December 31, 2017. Other than as set forth in the table and described more fully below, we did not pay any compensation, make any equity awards or non-equity awards to, or pay any other compensation to any of the non-employee members of our board of directors in 2017. We reimburse non-employee members of our board of directors for reasonable travel expenses. Mr. MacKay, our President and Chief Executive Officer, did not receive any compensation for his service as a member of our board of directors in 2017. Mr. MacKay’s compensation for service as an employee for fiscal year 2017 is presented in “Executive Compensation—2017 Summary Compensation Table.”</w:t>
      </w:r>
    </w:p>
    <w:p>
      <w:pPr>
        <w:spacing w:after="0" w:line="17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560" w:type="dxa"/>
            <w:vAlign w:val="bottom"/>
            <w:gridSpan w:val="2"/>
          </w:tcPr>
          <w:p>
            <w:pPr>
              <w:jc w:val="center"/>
              <w:ind w:left="2202"/>
              <w:spacing w:after="0"/>
              <w:rPr>
                <w:sz w:val="20"/>
                <w:szCs w:val="20"/>
                <w:color w:val="auto"/>
              </w:rPr>
            </w:pPr>
            <w:r>
              <w:rPr>
                <w:rFonts w:ascii="Arial" w:cs="Arial" w:eastAsia="Arial" w:hAnsi="Arial"/>
                <w:sz w:val="14"/>
                <w:szCs w:val="14"/>
                <w:b w:val="1"/>
                <w:bCs w:val="1"/>
                <w:color w:val="auto"/>
                <w:w w:val="99"/>
              </w:rPr>
              <w:t>FEES EARNED OR</w:t>
            </w:r>
          </w:p>
        </w:tc>
        <w:tc>
          <w:tcPr>
            <w:tcW w:w="26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OPTION AWARDS</w:t>
            </w: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3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PAID IN CASH</w:t>
            </w:r>
          </w:p>
        </w:tc>
        <w:tc>
          <w:tcPr>
            <w:tcW w:w="266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100" w:type="dxa"/>
            <w:vAlign w:val="bottom"/>
            <w:gridSpan w:val="3"/>
            <w:vMerge w:val="continue"/>
          </w:tcPr>
          <w:p>
            <w:pPr>
              <w:spacing w:after="0"/>
              <w:rPr>
                <w:sz w:val="16"/>
                <w:szCs w:val="16"/>
                <w:color w:val="auto"/>
              </w:rPr>
            </w:pPr>
          </w:p>
        </w:tc>
        <w:tc>
          <w:tcPr>
            <w:tcW w:w="3560" w:type="dxa"/>
            <w:vAlign w:val="bottom"/>
            <w:gridSpan w:val="2"/>
          </w:tcPr>
          <w:p>
            <w:pPr>
              <w:jc w:val="center"/>
              <w:ind w:left="2202"/>
              <w:spacing w:after="0"/>
              <w:rPr>
                <w:sz w:val="20"/>
                <w:szCs w:val="20"/>
                <w:color w:val="auto"/>
              </w:rPr>
            </w:pPr>
            <w:r>
              <w:rPr>
                <w:rFonts w:ascii="Arial" w:cs="Arial" w:eastAsia="Arial" w:hAnsi="Arial"/>
                <w:sz w:val="14"/>
                <w:szCs w:val="14"/>
                <w:b w:val="1"/>
                <w:bCs w:val="1"/>
                <w:color w:val="auto"/>
                <w:w w:val="93"/>
              </w:rPr>
              <w:t>($)</w:t>
            </w:r>
          </w:p>
        </w:tc>
        <w:tc>
          <w:tcPr>
            <w:tcW w:w="194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6"/>
                <w:szCs w:val="16"/>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4"/>
              </w:rPr>
              <w:t>Bruce</w:t>
            </w:r>
          </w:p>
        </w:tc>
        <w:tc>
          <w:tcPr>
            <w:tcW w:w="3660" w:type="dxa"/>
            <w:vAlign w:val="bottom"/>
            <w:tcBorders>
              <w:top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Booth, D.Phil.</w:t>
            </w:r>
          </w:p>
        </w:tc>
        <w:tc>
          <w:tcPr>
            <w:tcW w:w="23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Ian Clark</w:t>
            </w:r>
            <w:r>
              <w:rPr>
                <w:rFonts w:ascii="Arial" w:cs="Arial" w:eastAsia="Arial" w:hAnsi="Arial"/>
                <w:sz w:val="15"/>
                <w:szCs w:val="15"/>
                <w:color w:val="auto"/>
              </w:rPr>
              <w:t>(1)</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176,624</w:t>
            </w:r>
          </w:p>
        </w:tc>
        <w:tc>
          <w:tcPr>
            <w:tcW w:w="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189,124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Paige, Ph.D.</w:t>
            </w:r>
          </w:p>
        </w:tc>
        <w:tc>
          <w:tcPr>
            <w:tcW w:w="2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Joshua Resnick, M.D.</w:t>
            </w:r>
          </w:p>
        </w:tc>
        <w:tc>
          <w:tcPr>
            <w:tcW w:w="2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Requadt</w:t>
            </w:r>
          </w:p>
        </w:tc>
        <w:tc>
          <w:tcPr>
            <w:tcW w:w="2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60" w:hanging="436"/>
        <w:spacing w:after="0" w:line="342" w:lineRule="auto"/>
        <w:tabs>
          <w:tab w:leader="none" w:pos="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Pursuant to a letter agreement with us, Mr. Clark is paid an annual cash retainer of $50,000 for his service on the board of directors. As of December 31, 2017, Mr. Clark held an option to purchase 201,396 shares of our common stock, no portion of which was vested as of such date.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2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Our board of directors expects to adopt a non-employee director compensation policy, effective upon effectiveness of the registration statement of which this prospectus forms a part, that is designed to enable us to attract and retain, on a long-term basis, highly qualified non-employee directors. Under the policy, each director who is not an employee will be paid cash compensation from and after the completion of this offering, as set forth below:</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2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rPr>
              <w:t>MEMBER</w:t>
            </w:r>
          </w:p>
        </w:tc>
        <w:tc>
          <w:tcPr>
            <w:tcW w:w="8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CHAIRMAN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ADDITIONAL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rPr>
              <w:t>ANNUAL</w:t>
            </w:r>
          </w:p>
        </w:tc>
        <w:tc>
          <w:tcPr>
            <w:tcW w:w="8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ANNUAL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rPr>
              <w:t>FEE</w:t>
            </w:r>
          </w:p>
        </w:tc>
        <w:tc>
          <w:tcPr>
            <w:tcW w:w="80" w:type="dxa"/>
            <w:vAlign w:val="bottom"/>
          </w:tcPr>
          <w:p>
            <w:pPr>
              <w:spacing w:after="0"/>
              <w:rPr>
                <w:sz w:val="12"/>
                <w:szCs w:val="12"/>
                <w:color w:val="auto"/>
              </w:rPr>
            </w:pP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FEE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320" w:type="dxa"/>
            <w:vAlign w:val="bottom"/>
            <w:gridSpan w:val="2"/>
          </w:tcPr>
          <w:p>
            <w:pPr>
              <w:jc w:val="center"/>
              <w:ind w:left="53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Board of Directors</w:t>
            </w:r>
          </w:p>
        </w:tc>
        <w:tc>
          <w:tcPr>
            <w:tcW w:w="6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Audit Committee</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1020" w:type="dxa"/>
            <w:vAlign w:val="bottom"/>
            <w:gridSpan w:val="7"/>
          </w:tcPr>
          <w:p>
            <w:pPr>
              <w:ind w:left="420"/>
              <w:spacing w:after="0"/>
              <w:rPr>
                <w:sz w:val="20"/>
                <w:szCs w:val="20"/>
                <w:color w:val="auto"/>
              </w:rPr>
            </w:pPr>
            <w:r>
              <w:rPr>
                <w:rFonts w:ascii="Arial" w:cs="Arial" w:eastAsia="Arial" w:hAnsi="Arial"/>
                <w:sz w:val="18"/>
                <w:szCs w:val="18"/>
                <w:color w:val="auto"/>
                <w:w w:val="96"/>
              </w:rPr>
              <w:t>In addition, each non-employee director serving on our board of directors upon completion of this offering and each non-employee director</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w w:val="96"/>
              </w:rPr>
              <w:t>elected or appointed to our board of directors following the completion of this offering will be granted</w:t>
            </w:r>
          </w:p>
        </w:tc>
        <w:tc>
          <w:tcPr>
            <w:tcW w:w="3360" w:type="dxa"/>
            <w:vAlign w:val="bottom"/>
            <w:gridSpan w:val="6"/>
          </w:tcPr>
          <w:p>
            <w:pPr>
              <w:ind w:left="100"/>
              <w:spacing w:after="0"/>
              <w:rPr>
                <w:sz w:val="20"/>
                <w:szCs w:val="20"/>
                <w:color w:val="auto"/>
              </w:rPr>
            </w:pPr>
            <w:r>
              <w:rPr>
                <w:rFonts w:ascii="Arial" w:cs="Arial" w:eastAsia="Arial" w:hAnsi="Arial"/>
                <w:sz w:val="18"/>
                <w:szCs w:val="18"/>
                <w:color w:val="auto"/>
              </w:rPr>
              <w:t>on the date of such director’s election or</w:t>
            </w:r>
          </w:p>
        </w:tc>
        <w:tc>
          <w:tcPr>
            <w:tcW w:w="0" w:type="dxa"/>
            <w:vAlign w:val="bottom"/>
          </w:tcPr>
          <w:p>
            <w:pPr>
              <w:spacing w:after="0"/>
              <w:rPr>
                <w:sz w:val="1"/>
                <w:szCs w:val="1"/>
                <w:color w:val="auto"/>
              </w:rPr>
            </w:pPr>
          </w:p>
        </w:tc>
      </w:tr>
      <w:tr>
        <w:trPr>
          <w:trHeight w:val="216"/>
        </w:trPr>
        <w:tc>
          <w:tcPr>
            <w:tcW w:w="9960" w:type="dxa"/>
            <w:vAlign w:val="bottom"/>
            <w:gridSpan w:val="5"/>
          </w:tcPr>
          <w:p>
            <w:pPr>
              <w:spacing w:after="0"/>
              <w:rPr>
                <w:sz w:val="20"/>
                <w:szCs w:val="20"/>
                <w:color w:val="auto"/>
              </w:rPr>
            </w:pPr>
            <w:r>
              <w:rPr>
                <w:rFonts w:ascii="Arial" w:cs="Arial" w:eastAsia="Arial" w:hAnsi="Arial"/>
                <w:sz w:val="18"/>
                <w:szCs w:val="18"/>
                <w:color w:val="auto"/>
                <w:w w:val="92"/>
              </w:rPr>
              <w:t>appointment to the board of directors, which will vest in the following manner, subject to continued service through such vesting date(s):</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w w:val="90"/>
              </w:rPr>
              <w:t>. On the</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w w:val="91"/>
              </w:rPr>
              <w:t>date of each annual meeting of stockholders of our company, each non-employee director will be granted</w:t>
            </w:r>
          </w:p>
        </w:tc>
        <w:tc>
          <w:tcPr>
            <w:tcW w:w="3360" w:type="dxa"/>
            <w:vAlign w:val="bottom"/>
            <w:gridSpan w:val="6"/>
          </w:tcPr>
          <w:p>
            <w:pPr>
              <w:ind w:left="300"/>
              <w:spacing w:after="0"/>
              <w:rPr>
                <w:sz w:val="20"/>
                <w:szCs w:val="20"/>
                <w:color w:val="auto"/>
              </w:rPr>
            </w:pPr>
            <w:r>
              <w:rPr>
                <w:rFonts w:ascii="Arial" w:cs="Arial" w:eastAsia="Arial" w:hAnsi="Arial"/>
                <w:sz w:val="18"/>
                <w:szCs w:val="18"/>
                <w:color w:val="auto"/>
                <w:w w:val="95"/>
              </w:rPr>
              <w:t>, which will vest in the following manner,</w:t>
            </w: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subject to continued service as a director through such vesting date(s):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680" w:type="dxa"/>
            <w:vAlign w:val="bottom"/>
            <w:gridSpan w:val="2"/>
          </w:tcPr>
          <w:p>
            <w:pPr>
              <w:ind w:left="5380"/>
              <w:spacing w:after="0"/>
              <w:rPr>
                <w:sz w:val="20"/>
                <w:szCs w:val="20"/>
                <w:color w:val="auto"/>
              </w:rPr>
            </w:pPr>
            <w:r>
              <w:rPr>
                <w:rFonts w:ascii="Arial" w:cs="Arial" w:eastAsia="Arial" w:hAnsi="Arial"/>
                <w:sz w:val="18"/>
                <w:szCs w:val="18"/>
                <w:color w:val="auto"/>
              </w:rPr>
              <w:t>143</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Other than the compensation agreements and other arrangements described under “Executive Compensation” and “Director Compensation” in this prospectus and the transactions described below, since November 17, 2015 (date of inception), there has not been and there is not currently proposed, any transaction or series of similar transactions to which we were, or will be, a party in which the amount involved exceeded, or will exceed, $120,000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Agreements and Related Agreements with University Health Network</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On January 27, 2016, we entered into an exclusive license agreement with University Health Network, or UHN, pursuant to which UHN granted us an exclusive license to certain intellectual property rights relating to Interleukin-12 proteins, or IL-12. We entered into an amendment to this agreement on September 28, 2017. Under this agreement, we paid C$264,000 to UHN upon execution of the agreement which consisted of an upfront license fee and reimbursement of certain patent expenses. We are also obligated to pay an annual license fee as well as payments in connection with the achievement of certain performance and development milestones for an aggregate total of up to C$19.275 million in milestone payments. Additionally, we will pay a low to mid-single digit royalty percentage on annual sales of licensed products, and a low double digit percentage of all sublicensing revenue. For the years ended December 31, 2016 and 2017, we paid $736,000 and $151,000 to UHN under this agreement, respectively. Pursuant to this agreement, UHN also purchased 4,800,000 shares of our common stock for an aggregate purchase price of $480.00 under a stock purchase agreement. Under the terms of the stock purchase agreement, we are obligated to pay to UHN five percent of the proceeds from this offering, up to a cap of $2 million, upon the closing of this offering.</w:t>
      </w:r>
    </w:p>
    <w:p>
      <w:pPr>
        <w:spacing w:after="0" w:line="178"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On January 27, 2016, we entered into an option agreement with UHN pursuant to which UHN granted us an exclusive option to enter into an exclusive license under certain intellectual property rights related to Fabry disease. On November 4, 2016, we executed our option and entered into an exclusive license agreement with UHN. Under this agreement, UHN granted us an exclusive worldwide license under certain intellectual property rights and a non-exclusive worldwide license under certain know-how, in each case subject to certain retained rights, to develop, commercialize and sell products for use in the treatment of Fabry disease. Under the terms of the agreement, we paid to UHN a one-time upfront fee of C$75,000 and are obligated to pay an annual maintenance fee until the first sale of a licensed product in certain markets. We are also required to make payments to UHN in connection with the achievement of certain development and regulatory milestones in an aggregate amount of up to C$2.45 million, as well as royalties on a country-by-country basis of a low to mid-single digit percentage on annual sales of licensed products and a lower single digit royalty in certain circumstances. Additionally, we will pay a low double digit percentage of all sublicensing revenue. We also made a philanthropic commitment to donate funds to organizations for the benefit of the Canadian Fabry community in an amount equal to a low double digit percentage of our royalty payments and regulatory milestone payments, up to a maximum of C$500,000 in any calendar year. For the years ended December 31, 2016 and 2017, we paid $87,000 and $16,000 to UHN in connection with this agreement, respectively, which consisted of our license option fee, the upfront fee and maintenance fees. See “Business—License Agreements—Exclusive License Agreement with University Health Network” for further information regarding the 2016 Fabry license agreement with UHN. In connection with this agreement, we also entered into (i) a letter agreement with UHN on November 4, 2016, pursuant to which we agreed to provide certain funding and costs and expenses associated with a clinical trial conducted by UHN for the treatment of Fabry disease, and (ii) a letter agreement with UHN on June 2, 2017, pursuant to which we agreed to provide additional funding and costs and expenses associated with the clinical trial conducted by UHN for the treatment of Fabry disease.</w:t>
      </w:r>
    </w:p>
    <w:p>
      <w:pPr>
        <w:spacing w:after="0" w:line="17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connection with the above agreements, we have also entered into two separate sponsored research agreements with UHN, one in March 2017 and one in July 2017. The March 2017 agreement was amended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restated and subsequently amended in November 2017. Pursuant to each of these sponsored research agreements, we agreed to fund certain research projects related to IL-12 and Fabry disease, including salaries of certain researchers of up to C$200,000 and C$164,652 under the March 2017 and July 2017 agreements, respectively.</w:t>
      </w:r>
    </w:p>
    <w:p>
      <w:pPr>
        <w:spacing w:after="0" w:line="18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UHN is currently a greater than 5% beneficial owner of our outstanding capital stock. Additionally, Christopher Paige is a senior scientist at UHN and is currently a member of our board of directors. As an inventor of certain of the intellectual property rights related to IL-12 that we license from UHN, Dr. Paige is entitled to a portion of the consideration that we pay to UHN pursuant to the IL-12 license agreement.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Private Placements of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Series Seed Preferred Stock Financing</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 January 2016, we sold an aggregate of 3,333,333 shares of our Series Seed preferred stock at a purchase price of $0.45 per share. The following table summarizes purchases of our Series Seed preferred stock by related persons: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480" w:type="dxa"/>
            <w:vAlign w:val="bottom"/>
          </w:tcPr>
          <w:p>
            <w:pPr>
              <w:spacing w:after="0"/>
              <w:rPr>
                <w:sz w:val="14"/>
                <w:szCs w:val="14"/>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SERIES SEED</w:t>
            </w:r>
          </w:p>
        </w:tc>
        <w:tc>
          <w:tcPr>
            <w:tcW w:w="4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PREFERRED</w:t>
            </w:r>
          </w:p>
        </w:tc>
        <w:tc>
          <w:tcPr>
            <w:tcW w:w="48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PURCHASE</w:t>
            </w:r>
          </w:p>
        </w:tc>
        <w:tc>
          <w:tcPr>
            <w:tcW w:w="0" w:type="dxa"/>
            <w:vAlign w:val="bottom"/>
          </w:tcPr>
          <w:p>
            <w:pPr>
              <w:spacing w:after="0"/>
              <w:rPr>
                <w:sz w:val="1"/>
                <w:szCs w:val="1"/>
                <w:color w:val="auto"/>
              </w:rPr>
            </w:pPr>
          </w:p>
        </w:tc>
      </w:tr>
      <w:tr>
        <w:trPr>
          <w:trHeight w:val="171"/>
        </w:trPr>
        <w:tc>
          <w:tcPr>
            <w:tcW w:w="8480" w:type="dxa"/>
            <w:vAlign w:val="bottom"/>
            <w:gridSpan w:val="3"/>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4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$1,499,999.85</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940" w:type="dxa"/>
            <w:vAlign w:val="bottom"/>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277"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Bruce Booth, D.Phil., a partner at Atlas Venture, is a member of our board of directors. Atlas Venture is a holder of five percent or more of our capital stock.</w:t>
      </w:r>
    </w:p>
    <w:p>
      <w:pPr>
        <w:spacing w:after="0" w:line="27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Series A Preferred Stock Financing</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July 2016, we sold 5,714,286 shares of Series A preferred stock, at a price of $1.3125 per share, pursuant to a stock purchase agreement entered into with the investors. In March 2017, we amended certain provisions of our Series A preferred stock purchase agreement and issued a preferred stock dividend in the form of 3,720,864 additional shares of Series A preferred stock to such investors, which effectively repriced the outstanding shares of Series A preferred stock and changed the purchase price for future shares of Series A preferred stock to be sold under the Series A preferred stock purchase agreement to $0.7949 per share. Concurrent with the amendment, we issued 4,403,070 additional shares of Series A preferred stock at a purchase price of $0.7949 per share. In October 2017, we issued 17,612,279 additional shares of Series A preferred stock in a subsequent closing, at a purchase price of $0.7949 per share.</w:t>
      </w:r>
    </w:p>
    <w:p>
      <w:pPr>
        <w:spacing w:after="0" w:line="18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following table summarizes purchases of our Series A preferred stock and the issuance of the preferred stock dividend referenced above by related persons: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SERIES A</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PREFERRED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1"/>
        </w:trPr>
        <w:tc>
          <w:tcPr>
            <w:tcW w:w="8480" w:type="dxa"/>
            <w:vAlign w:val="bottom"/>
            <w:gridSpan w:val="3"/>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12,580,199</w:t>
            </w:r>
          </w:p>
        </w:tc>
        <w:tc>
          <w:tcPr>
            <w:tcW w:w="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9,999,999.53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Entities affiliated with SV Life Sciences Fund</w:t>
            </w:r>
            <w:r>
              <w:rPr>
                <w:rFonts w:ascii="Arial" w:cs="Arial" w:eastAsia="Arial" w:hAnsi="Arial"/>
                <w:sz w:val="15"/>
                <w:szCs w:val="15"/>
                <w:color w:val="auto"/>
              </w:rPr>
              <w:t>(2)(3)</w:t>
            </w:r>
          </w:p>
        </w:tc>
        <w:tc>
          <w:tcPr>
            <w:tcW w:w="960" w:type="dxa"/>
            <w:vAlign w:val="bottom"/>
          </w:tcPr>
          <w:p>
            <w:pPr>
              <w:jc w:val="right"/>
              <w:spacing w:after="0"/>
              <w:rPr>
                <w:sz w:val="20"/>
                <w:szCs w:val="20"/>
                <w:color w:val="auto"/>
              </w:rPr>
            </w:pPr>
            <w:r>
              <w:rPr>
                <w:rFonts w:ascii="Arial" w:cs="Arial" w:eastAsia="Arial" w:hAnsi="Arial"/>
                <w:sz w:val="18"/>
                <w:szCs w:val="18"/>
                <w:color w:val="auto"/>
              </w:rPr>
              <w:t>9,435,150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7,500,000.91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Clarus Life Sciences III, L.P.</w:t>
            </w:r>
            <w:r>
              <w:rPr>
                <w:rFonts w:ascii="Arial" w:cs="Arial" w:eastAsia="Arial" w:hAnsi="Arial"/>
                <w:sz w:val="15"/>
                <w:szCs w:val="15"/>
                <w:color w:val="auto"/>
              </w:rPr>
              <w:t>(4)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9,435,150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7,500,000.91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258"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Bruce Booth, D.Phil., a partner at Atlas Venture, is a member of our board of directors. Atlas Venture is a holder of five percent or more of our capital stock.</w:t>
      </w:r>
    </w:p>
    <w:p>
      <w:pPr>
        <w:spacing w:after="0" w:line="1" w:lineRule="exact"/>
        <w:rPr>
          <w:rFonts w:ascii="Arial" w:cs="Arial" w:eastAsia="Arial" w:hAnsi="Arial"/>
          <w:sz w:val="18"/>
          <w:szCs w:val="18"/>
          <w:color w:val="auto"/>
        </w:rPr>
      </w:pPr>
    </w:p>
    <w:p>
      <w:pPr>
        <w:ind w:left="640" w:right="200" w:hanging="436"/>
        <w:spacing w:after="0" w:line="250"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Joshua Resnick, M.D., a partner at SV Health Investors, is a member of our board of directors. SV Health Investors is a holder of five percent or more of our capital stock.</w:t>
      </w:r>
    </w:p>
    <w:p>
      <w:pPr>
        <w:ind w:left="640" w:right="160" w:hanging="436"/>
        <w:spacing w:after="0" w:line="261"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(1) 9,122,809 shares of Series A preferred stock held by SV Life Sciences Fund VI, L.P. and (2) 312,341 shares of Series A preferred stock held by SV Life Sciences Fund VI, Strategic Partners L.P.</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240" w:top="459" w:right="4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hanging="436"/>
        <w:spacing w:after="0" w:line="277"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Scott G. Requadt, J.D., MBA, a Managing Director at Clarus, is a member of our board of directors. Clarus is a holder of five percent or more of our capital stock.</w:t>
      </w:r>
    </w:p>
    <w:p>
      <w:pPr>
        <w:spacing w:after="0" w:line="27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Series B Preferred Stock Financing</w:t>
      </w:r>
    </w:p>
    <w:p>
      <w:pPr>
        <w:spacing w:after="0" w:line="117"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In January 2018, we sold an aggregate of 28,519,322 shares of our Series B preferred stock at a purchase price of $2.1389 per share, pursuant to agreements entered into with the investors. The following table summarizes purchases of our Series B preferred stock by related persons:</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SERIES B</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w:t>
            </w:r>
          </w:p>
        </w:tc>
        <w:tc>
          <w:tcPr>
            <w:tcW w:w="33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PREFERRED</w:t>
            </w:r>
          </w:p>
        </w:tc>
        <w:tc>
          <w:tcPr>
            <w:tcW w:w="50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1"/>
        </w:trPr>
        <w:tc>
          <w:tcPr>
            <w:tcW w:w="6220" w:type="dxa"/>
            <w:vAlign w:val="bottom"/>
            <w:gridSpan w:val="3"/>
            <w:vMerge w:val="continue"/>
          </w:tcPr>
          <w:p>
            <w:pPr>
              <w:spacing w:after="0"/>
              <w:rPr>
                <w:sz w:val="14"/>
                <w:szCs w:val="14"/>
                <w:color w:val="auto"/>
              </w:rPr>
            </w:pPr>
          </w:p>
        </w:tc>
        <w:tc>
          <w:tcPr>
            <w:tcW w:w="2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3,740,239</w:t>
            </w: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7,999,997</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24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Entities affiliated with SV Life Sciences Fund</w:t>
            </w:r>
            <w:r>
              <w:rPr>
                <w:rFonts w:ascii="Arial" w:cs="Arial" w:eastAsia="Arial" w:hAnsi="Arial"/>
                <w:sz w:val="15"/>
                <w:szCs w:val="15"/>
                <w:color w:val="auto"/>
              </w:rPr>
              <w:t>(2)(3)</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1,870,119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3,999,998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Clarus Life Sciences III, L.P.</w:t>
            </w:r>
            <w:r>
              <w:rPr>
                <w:rFonts w:ascii="Arial" w:cs="Arial" w:eastAsia="Arial" w:hAnsi="Arial"/>
                <w:sz w:val="15"/>
                <w:szCs w:val="15"/>
                <w:color w:val="auto"/>
              </w:rPr>
              <w:t>(4)</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2,805,179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5,999,997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Citadel Multi-Strategy Equities Master Fund Ltd.</w:t>
            </w:r>
            <w:r>
              <w:rPr>
                <w:rFonts w:ascii="Arial" w:cs="Arial" w:eastAsia="Arial" w:hAnsi="Arial"/>
                <w:sz w:val="15"/>
                <w:szCs w:val="15"/>
                <w:color w:val="auto"/>
              </w:rPr>
              <w:t>(5)</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5,610,360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11,999,999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Cormorant Private Healthcare Fund I, LP</w:t>
            </w:r>
            <w:r>
              <w:rPr>
                <w:rFonts w:ascii="Arial" w:cs="Arial" w:eastAsia="Arial" w:hAnsi="Arial"/>
                <w:sz w:val="15"/>
                <w:szCs w:val="15"/>
                <w:color w:val="auto"/>
              </w:rPr>
              <w:t>(6)(7)</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5,610,360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11,999,999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258"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Bruce Booth, D.Phil., a partner at Atlas Venture, is a member of our board of directors. Atlas Venture is a holder of five percent or more of our capital stock</w:t>
      </w:r>
    </w:p>
    <w:p>
      <w:pPr>
        <w:spacing w:after="0" w:line="1"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Joshua Resnick, M.D., a partner at SV Health Investors, is a member of our board of directors. SV Health Investors, is a holder of five percent or more of our capital stock.</w:t>
      </w:r>
    </w:p>
    <w:p>
      <w:pPr>
        <w:ind w:left="640" w:right="280" w:hanging="436"/>
        <w:spacing w:after="0" w:line="250"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Consists of (i) 1,808,211 shares of Series A preferred stock held by SV Life Sciences Fund VI, L.P. and (ii) 61,908 shares of Series A preferred stock held by SV Life Sciences Fund VI, Strategic Partners L.P.</w:t>
      </w:r>
    </w:p>
    <w:p>
      <w:pPr>
        <w:ind w:left="640" w:right="180" w:hanging="436"/>
        <w:spacing w:after="0" w:line="250"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Scott G. Requadt, J.D., MBA, a Managing Director at Clarus, is a member of our board of directors. Clarus is a holder of five percent or more of our capital stock.</w:t>
      </w:r>
    </w:p>
    <w:p>
      <w:pPr>
        <w:ind w:left="640" w:hanging="43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Citadel Multi-Strategy Equities Master Fund Ltd is a holder of five percent or more of our capital stock</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Cormorant Private Healthcare Fund I, LP is a holder of five percent or more of our capital stock</w:t>
      </w:r>
    </w:p>
    <w:p>
      <w:pPr>
        <w:spacing w:after="0" w:line="9" w:lineRule="exact"/>
        <w:rPr>
          <w:rFonts w:ascii="Arial" w:cs="Arial" w:eastAsia="Arial" w:hAnsi="Arial"/>
          <w:sz w:val="18"/>
          <w:szCs w:val="18"/>
          <w:color w:val="auto"/>
        </w:rPr>
      </w:pPr>
    </w:p>
    <w:p>
      <w:pPr>
        <w:ind w:left="640" w:right="120" w:hanging="436"/>
        <w:spacing w:after="0" w:line="323" w:lineRule="auto"/>
        <w:tabs>
          <w:tab w:leader="none" w:pos="6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Consists of (i) 4,366,543 shares, all purchased and received by Cormorant Private Healthcare Fund I, L.P. (ii) 1,005,938 shares, all purchased and received by Cormorant Global Healthcare Master Fund, L.P. and (iii) 237,879 shares, all purchased and received by CRMA SPV, L.P.</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Strategic and Operational Services</w:t>
      </w:r>
    </w:p>
    <w:p>
      <w:pPr>
        <w:spacing w:after="0" w:line="22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Following the Series Seed preferred stock investment in our company by Atlas Venture X, L.P., or Atlas Venture, we were provided with certain services related to strategic and ordinary course business operations in connection with the incubation of our company during its early stages, including the use of office space provided by the management company for Atlas Venture. During the years ended December 31, 2016 and 2017, we paid to such management company fees in the amount of approximately $78,000 and $15,000, respectively. None of these fees were paid directly or indirectly to Bruce Booth, the chairman of our board of directors and a partner at Atlas Venture. In addition, the fees paid to such management company did not exceed 5% of the consolidated gross revenue of Atlas Venture during any of these fiscal years. Atlas Venture X, L.P. is a beneficial owner of more than 5% of our voting securities.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with Stockholders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connection with our Series Seed, Series A and Series B preferred stock financings,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will terminate upon the closing of this offering, except for the registration rights granted under our investors’ rights agreement, as more fully described in “Description of Capital Stock—Registration Rights.”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240" w:top="459" w:right="4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In connection with this offering, we intend to enter into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for Approval of Related Party Transactions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board of directors reviews and approves transactions with directors, officers and holders of five percent or more of our voting securities and their affiliates, each a related party. Prior to this offering, the material facts as to the related party’s relationship or interest in the transaction are disclosed to our board of directors prior to their consideration of such transaction, and the transaction is not considered approved by our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connection with this offering, we expect to adopt a written related party transactions policy that such transactions must be approved by our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audit committee. This policy will become effective on the date on which the registration statement of which this prospectus is part is declared effective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by the SEC. Pursuant to this policy, the audit committee has the primary responsibility for reviewing and approving or disapproving “related party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transactions,” which are transactions between us and related persons in which the aggregate amount involved exceeds or may be expected to exceed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$120,000 and in which a related person has or will have a direct or indirect material interest. For purposes of this policy, a related person will be defined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a director, executive officer, nominee for director, or greater than 5% beneficial owner of our common stock, in each case since the beginning of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most recently completed year, and their immediate family members.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following table sets forth certain information known to us regarding beneficial ownership of our capital stock as of March 31, 2018, as adjusted to reflect the sale of common stock offered by us in this offering, for:</w:t>
      </w:r>
    </w:p>
    <w:p>
      <w:pPr>
        <w:spacing w:after="0" w:line="76" w:lineRule="exact"/>
        <w:rPr>
          <w:sz w:val="20"/>
          <w:szCs w:val="20"/>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more than five percent of our capital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and includes securities that the individual or entity has the right to acquire, such as through the exercise of stock options, within 60 days of March 31, 2018. Except as noted by footnote, and subject to community property laws where applicable, we believe, based on the information provided to us, that the persons and entities named in the table below have sole voting and investment power with respect to all common stock shown as beneficially owned by them.</w:t>
      </w:r>
    </w:p>
    <w:p>
      <w:pPr>
        <w:spacing w:after="0" w:line="193"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The percentage of beneficial ownership prior to this offering in the table below is based on 73,969,821 shares of common stock deemed to be outstanding as of March 31, 2018, assuming the conversion of all outstanding shares of our preferred stock upon the closing of this offering into an aggregate of 63,303,154 shares of common stock upon the completion of this offering, and the percentage of beneficial ownership at this offering in the</w:t>
      </w:r>
    </w:p>
    <w:p>
      <w:pPr>
        <w:ind w:left="200" w:right="20"/>
        <w:spacing w:after="0" w:line="261" w:lineRule="auto"/>
        <w:rPr>
          <w:sz w:val="20"/>
          <w:szCs w:val="20"/>
          <w:color w:val="auto"/>
        </w:rPr>
      </w:pPr>
      <w:r>
        <w:rPr>
          <w:rFonts w:ascii="Arial" w:cs="Arial" w:eastAsia="Arial" w:hAnsi="Arial"/>
          <w:sz w:val="18"/>
          <w:szCs w:val="18"/>
          <w:color w:val="auto"/>
        </w:rPr>
        <w:t>table below is based on shares of common stock assumed to be outstanding after the closing of the offering. The information in the table below assumes no exercise of the underwriters’ option to purchase additional shares.</w:t>
      </w:r>
    </w:p>
    <w:p>
      <w:pPr>
        <w:spacing w:after="0" w:line="184"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Except as otherwise noted below, the address for persons listed in the table is c/o AVROBIO, Inc., One Kendall Square, Building 300, Suite 201, Cambridge, MA 02139.</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5"/>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5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NUMBER OF SHARES</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19"/>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700" w:type="dxa"/>
            <w:vAlign w:val="bottom"/>
            <w:gridSpan w:val="2"/>
          </w:tcPr>
          <w:p>
            <w:pPr>
              <w:jc w:val="center"/>
              <w:ind w:left="912"/>
              <w:spacing w:after="0" w:line="119" w:lineRule="exact"/>
              <w:rPr>
                <w:sz w:val="20"/>
                <w:szCs w:val="20"/>
                <w:color w:val="auto"/>
              </w:rPr>
            </w:pPr>
            <w:r>
              <w:rPr>
                <w:rFonts w:ascii="Arial" w:cs="Arial" w:eastAsia="Arial" w:hAnsi="Arial"/>
                <w:sz w:val="13"/>
                <w:szCs w:val="13"/>
                <w:b w:val="1"/>
                <w:bCs w:val="1"/>
                <w:color w:val="auto"/>
              </w:rPr>
              <w:t>BENEFICIALLY OWNED</w:t>
            </w:r>
          </w:p>
        </w:tc>
        <w:tc>
          <w:tcPr>
            <w:tcW w:w="800" w:type="dxa"/>
            <w:vAlign w:val="bottom"/>
          </w:tcPr>
          <w:p>
            <w:pPr>
              <w:spacing w:after="0"/>
              <w:rPr>
                <w:sz w:val="10"/>
                <w:szCs w:val="10"/>
                <w:color w:val="auto"/>
              </w:rPr>
            </w:pPr>
          </w:p>
        </w:tc>
        <w:tc>
          <w:tcPr>
            <w:tcW w:w="940" w:type="dxa"/>
            <w:vAlign w:val="bottom"/>
            <w:tcBorders>
              <w:top w:val="single" w:sz="8" w:color="auto"/>
            </w:tcBorders>
          </w:tcPr>
          <w:p>
            <w:pPr>
              <w:jc w:val="right"/>
              <w:ind w:right="176"/>
              <w:spacing w:after="0" w:line="119" w:lineRule="exact"/>
              <w:rPr>
                <w:sz w:val="20"/>
                <w:szCs w:val="20"/>
                <w:color w:val="auto"/>
              </w:rPr>
            </w:pPr>
            <w:r>
              <w:rPr>
                <w:rFonts w:ascii="Arial" w:cs="Arial" w:eastAsia="Arial" w:hAnsi="Arial"/>
                <w:sz w:val="13"/>
                <w:szCs w:val="13"/>
                <w:b w:val="1"/>
                <w:bCs w:val="1"/>
                <w:color w:val="auto"/>
              </w:rPr>
              <w:t>BEFORE</w:t>
            </w:r>
          </w:p>
        </w:tc>
        <w:tc>
          <w:tcPr>
            <w:tcW w:w="1560" w:type="dxa"/>
            <w:vAlign w:val="bottom"/>
            <w:tcBorders>
              <w:top w:val="single" w:sz="8" w:color="auto"/>
            </w:tcBorders>
          </w:tcPr>
          <w:p>
            <w:pPr>
              <w:jc w:val="center"/>
              <w:ind w:left="689"/>
              <w:spacing w:after="0" w:line="119" w:lineRule="exact"/>
              <w:rPr>
                <w:sz w:val="20"/>
                <w:szCs w:val="20"/>
                <w:color w:val="auto"/>
              </w:rPr>
            </w:pPr>
            <w:r>
              <w:rPr>
                <w:rFonts w:ascii="Arial" w:cs="Arial" w:eastAsia="Arial" w:hAnsi="Arial"/>
                <w:sz w:val="13"/>
                <w:szCs w:val="13"/>
                <w:b w:val="1"/>
                <w:bCs w:val="1"/>
                <w:color w:val="auto"/>
              </w:rPr>
              <w:t>AFTER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000" w:type="dxa"/>
            <w:vAlign w:val="bottom"/>
            <w:gridSpan w:val="3"/>
            <w:vMerge w:val="continue"/>
          </w:tcPr>
          <w:p>
            <w:pPr>
              <w:spacing w:after="0"/>
              <w:rPr>
                <w:sz w:val="15"/>
                <w:szCs w:val="15"/>
                <w:color w:val="auto"/>
              </w:rPr>
            </w:pPr>
          </w:p>
        </w:tc>
        <w:tc>
          <w:tcPr>
            <w:tcW w:w="10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PRIOR TO OFFERING</w:t>
            </w:r>
          </w:p>
        </w:tc>
        <w:tc>
          <w:tcPr>
            <w:tcW w:w="174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OFFERING</w:t>
            </w:r>
          </w:p>
        </w:tc>
        <w:tc>
          <w:tcPr>
            <w:tcW w:w="1600" w:type="dxa"/>
            <w:vAlign w:val="bottom"/>
            <w:gridSpan w:val="2"/>
          </w:tcPr>
          <w:p>
            <w:pPr>
              <w:jc w:val="center"/>
              <w:ind w:left="649"/>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Stockholders:</w:t>
            </w:r>
          </w:p>
        </w:tc>
        <w:tc>
          <w:tcPr>
            <w:tcW w:w="17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19,653,771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26.57%</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Clarus Life Sciences III, L.P.</w:t>
            </w:r>
            <w:r>
              <w:rPr>
                <w:rFonts w:ascii="Arial" w:cs="Arial" w:eastAsia="Arial" w:hAnsi="Arial"/>
                <w:sz w:val="15"/>
                <w:szCs w:val="15"/>
                <w:color w:val="auto"/>
              </w:rPr>
              <w:t>(2)</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12,240,329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Affiliates of SV Life Sciences Fund</w:t>
            </w:r>
            <w:r>
              <w:rPr>
                <w:rFonts w:ascii="Arial" w:cs="Arial" w:eastAsia="Arial" w:hAnsi="Arial"/>
                <w:sz w:val="15"/>
                <w:szCs w:val="15"/>
                <w:color w:val="auto"/>
              </w:rPr>
              <w:t>(3)</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11,305,269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15.28%</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University Health Network</w:t>
            </w:r>
            <w:r>
              <w:rPr>
                <w:rFonts w:ascii="Arial" w:cs="Arial" w:eastAsia="Arial" w:hAnsi="Arial"/>
                <w:sz w:val="15"/>
                <w:szCs w:val="15"/>
                <w:color w:val="auto"/>
              </w:rPr>
              <w:t>(4)</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Citadel Multi-Strategy Equities Master Fund Ltd</w:t>
            </w:r>
            <w:r>
              <w:rPr>
                <w:rFonts w:ascii="Arial" w:cs="Arial" w:eastAsia="Arial" w:hAnsi="Arial"/>
                <w:sz w:val="15"/>
                <w:szCs w:val="15"/>
                <w:color w:val="auto"/>
              </w:rPr>
              <w:t>(5)</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5,610,360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7.58%</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Affiliates of Cormorant</w:t>
            </w:r>
            <w:r>
              <w:rPr>
                <w:rFonts w:ascii="Arial" w:cs="Arial" w:eastAsia="Arial" w:hAnsi="Arial"/>
                <w:sz w:val="15"/>
                <w:szCs w:val="15"/>
                <w:color w:val="auto"/>
              </w:rPr>
              <w:t>(6)</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5,610,360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Geoff MacKay</w:t>
            </w:r>
            <w:r>
              <w:rPr>
                <w:rFonts w:ascii="Arial" w:cs="Arial" w:eastAsia="Arial" w:hAnsi="Arial"/>
                <w:sz w:val="15"/>
                <w:szCs w:val="15"/>
                <w:color w:val="auto"/>
              </w:rPr>
              <w:t>(7)</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2,787,500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Katina Dorton</w:t>
            </w:r>
          </w:p>
        </w:tc>
        <w:tc>
          <w:tcPr>
            <w:tcW w:w="10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Nerissa Kreher, M.D.</w:t>
            </w:r>
            <w:r>
              <w:rPr>
                <w:rFonts w:ascii="Arial" w:cs="Arial" w:eastAsia="Arial" w:hAnsi="Arial"/>
                <w:sz w:val="15"/>
                <w:szCs w:val="15"/>
                <w:color w:val="auto"/>
              </w:rPr>
              <w:t>(8)</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140,520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Bruce Booth, D.Phil.</w:t>
            </w:r>
          </w:p>
        </w:tc>
        <w:tc>
          <w:tcPr>
            <w:tcW w:w="10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Ian T. Clark</w:t>
            </w:r>
          </w:p>
        </w:tc>
        <w:tc>
          <w:tcPr>
            <w:tcW w:w="10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Annalisa Jenkins, M.B.B.S., F.R.C.P.</w:t>
            </w:r>
          </w:p>
        </w:tc>
        <w:tc>
          <w:tcPr>
            <w:tcW w:w="10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Christopher Paige, Ph.D.</w:t>
            </w:r>
          </w:p>
        </w:tc>
        <w:tc>
          <w:tcPr>
            <w:tcW w:w="10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Scott G. Requadt</w:t>
            </w:r>
          </w:p>
        </w:tc>
        <w:tc>
          <w:tcPr>
            <w:tcW w:w="10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Joshua Resnick, M.D.</w:t>
            </w:r>
          </w:p>
        </w:tc>
        <w:tc>
          <w:tcPr>
            <w:tcW w:w="10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w w:val="95"/>
              </w:rPr>
              <w:t xml:space="preserve">All executive officers and directors as a group (9 persons) </w:t>
            </w:r>
            <w:r>
              <w:rPr>
                <w:rFonts w:ascii="Arial" w:cs="Arial" w:eastAsia="Arial" w:hAnsi="Arial"/>
                <w:sz w:val="15"/>
                <w:szCs w:val="15"/>
                <w:b w:val="1"/>
                <w:bCs w:val="1"/>
                <w:color w:val="auto"/>
                <w:w w:val="95"/>
              </w:rPr>
              <w:t>(9)</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2,928,020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148</w:t>
            </w: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640" w:right="20" w:hanging="436"/>
        <w:spacing w:after="0" w:line="281" w:lineRule="auto"/>
        <w:tabs>
          <w:tab w:leader="none" w:pos="6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Consists of (i) 3,333,333 shares of common stock issuable upon conversion of Series Seed preferred stock, (ii) 12,580,199 shares of common stock issuable upon conversion of Series A preferred stock and (iii) 3,740,239 shares of common stock issuable upon conversion of Series B preferred stock. All shares are held directly by Atlas Venture Fund X, L.P., or Atlas Venture X. Atlas Venture Associates X, L.P., or AVA X LP, is the general partner of Atlas Venture X, and Atlas Venture Associates X, LLC, or AVA X LLC, is the general partner of AVA X LP. Bruce Booth is a member of AVA X LLC and a member of our board of directors. Dr. Booth disclaims beneficial ownership of such shares, except to the extent of his proportionate pecuniary interest therein, if any. The address for Atlas Venture X is 25 First Street, Suite 303, Cambridge, MA 02141.</w:t>
      </w:r>
    </w:p>
    <w:p>
      <w:pPr>
        <w:spacing w:after="0" w:line="4" w:lineRule="exact"/>
        <w:rPr>
          <w:rFonts w:ascii="Arial" w:cs="Arial" w:eastAsia="Arial" w:hAnsi="Arial"/>
          <w:sz w:val="16"/>
          <w:szCs w:val="16"/>
          <w:color w:val="auto"/>
        </w:rPr>
      </w:pPr>
    </w:p>
    <w:p>
      <w:pPr>
        <w:ind w:left="640" w:hanging="436"/>
        <w:spacing w:after="0" w:line="265" w:lineRule="auto"/>
        <w:tabs>
          <w:tab w:leader="none" w:pos="6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Consists of (i) 9,435,150 shares of common stock issuable upon conversion of Series A preferred stock and (ii) 2,805,179 shares of common stock issuable upon conversion of Series B preferred stock. All shares are held directly by Clarus Lifesciences III, L.P., or Clarus. Clarus Ventures III GP, L.P., or the GPLP, as the sole general partner of Clarus, may be deemed to beneficially own certain of the shares held by Clarus. The GPLP disclaims beneficial ownership of all shares held by Clarus in which the GPLP does not have an actual pecuniary interest. Clarus Ventures III, LLC, or the GPLLC, as the sole general partner of the GPLP, may be deemed to beneficially own certain of the shares held by Clarus. The GPLLC disclaims beneficial ownership of all shares held by Clarus in which it does not have an actual pecuniary interest. Each of Nicholas Galakatos, Dennis Henner, Robert Liptak, Scott Requadt, Nicholas Simon, and Kurt Wheeler, as individual managing directors of the GPLLC, may be deemed to beneficially own certain of the shares held of record by Clarus. Each of Messrs. Galakatos, Henner, Liptak, Requadt, Simon and Wheeler disclaims beneficial ownership of all shares held of record by Clarus in which he does not have an actual pecuniary interest. Scott G. Requadt is a member of the GPLLC and a member of our board of directors. Mr. Requadt disclaims beneficial ownership of such shares, except to the extent of his proportionate pecuniary interest therein, if any. The address for the entities is 101 Main Street, Suite 1210, Cambridge, MA 02142.</w:t>
      </w:r>
    </w:p>
    <w:p>
      <w:pPr>
        <w:spacing w:after="0" w:line="2" w:lineRule="exact"/>
        <w:rPr>
          <w:rFonts w:ascii="Arial" w:cs="Arial" w:eastAsia="Arial" w:hAnsi="Arial"/>
          <w:sz w:val="17"/>
          <w:szCs w:val="17"/>
          <w:color w:val="auto"/>
        </w:rPr>
      </w:pPr>
    </w:p>
    <w:p>
      <w:pPr>
        <w:ind w:left="640" w:right="20" w:hanging="436"/>
        <w:spacing w:after="0" w:line="265" w:lineRule="auto"/>
        <w:tabs>
          <w:tab w:leader="none" w:pos="6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Consists of (i) 9,122,809 shares of common stock issuable upon conversion of shares of Series A preferred stock held of record by SV Life Sciences Fund VI, L.P., (ii) 312,341 shares of common stock issuable upon conversion of shares of Series A preferred stock held of record by SV Life Sciences Fund VI, Strategic Partners L.P., (iii) 1,808,211 shares of common stock issuable upon conversion of shares of Series B preferred stock held of record by SV Life Sciences Fund VI, L.P. and (iv) 61,908 shares of common stock issuable upon conversion of shares of Series B preferred stock held of record by SV Life Sciences Fund VI, Strategic Partners L.P. SV Health Investors, LLC is the Manager of SV Life Sciences Fund VI, L.P. and SV Life Sciences Fund VI Strategic Partners, L.P. SV Life Sciences Fund VI (GP), LP, or SV Fund VI GP, is the general partner of SV Life Sciences Fund VI, L.P. and SV Life Sciences Fund VI Strategic Partners, L.P. The general partner of SV Fund VI GP is SVLSF VI, LLC. The members of the investment committee of SVLSF VI, LLC are Kate Bingham, Thomas Flynn, James Garvey, Eugene D. Hill, III, Paul LaViolette, and Michael Ross. Each of SV Fund VI GP, SVLSF VI, LLC and the SVLSF VI, LLC investment committee disclaims beneficial ownership of the shares owned directly by SV Life Sciences Fund VI, L.P. and SV Life Sciences Fund VI Strategic Partners, L.P. except to the extent of any pecuniary interest therein. The address for each of the entities and individuals listed above is One Boston Place, Suite 3900, 201 Washington Street, Boston, Massachusetts 02108.</w:t>
      </w:r>
    </w:p>
    <w:p>
      <w:pPr>
        <w:spacing w:after="0" w:line="2" w:lineRule="exact"/>
        <w:rPr>
          <w:rFonts w:ascii="Arial" w:cs="Arial" w:eastAsia="Arial" w:hAnsi="Arial"/>
          <w:sz w:val="17"/>
          <w:szCs w:val="17"/>
          <w:color w:val="auto"/>
        </w:rPr>
      </w:pPr>
    </w:p>
    <w:p>
      <w:pPr>
        <w:ind w:left="640" w:right="360" w:hanging="436"/>
        <w:spacing w:after="0" w:line="250"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4,800,000 shares of common stock. The address for University Health Network is 190 Elizabeth Street, R. Fraser Elliott Building-Room 1S-417, Toronto, Ontario M5G 2C4, Canada.</w:t>
      </w:r>
    </w:p>
    <w:p>
      <w:pPr>
        <w:ind w:left="640" w:right="500" w:hanging="436"/>
        <w:spacing w:after="0" w:line="250"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5,610,360 shares of common stock issuable upon conversion of Series B preferred stock. The address for Citadel Multi-Strategy Equities Master Fund Ltd. is c/o Citadel Advisors LLC, 601 Lexington Avenue, New York, NY 10022.</w:t>
      </w:r>
    </w:p>
    <w:p>
      <w:pPr>
        <w:ind w:left="640" w:right="160" w:hanging="436"/>
        <w:spacing w:after="0" w:line="273" w:lineRule="auto"/>
        <w:tabs>
          <w:tab w:leader="none" w:pos="6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Consists of (i) 4,366,543 shares of common stock issuable upon conversion of shares of Series B preferred stock held of record by Cormorant Private Healthcare Fund I, LP, or Cormorant Private Fund, (ii) 1,005,938 shares of common stock issuable upon conversion of shares of Series B preferred stock held of record by Cormorant Global Healthcare Master Fund, LP, or Cormorant Master Fund and (iii) 237,879 shares of common stock issuable upon conversion of shares of Series B preferred stock held of record by CRMA</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84" w:lineRule="auto"/>
        <w:rPr>
          <w:sz w:val="20"/>
          <w:szCs w:val="20"/>
          <w:color w:val="auto"/>
        </w:rPr>
      </w:pPr>
      <w:r>
        <w:rPr>
          <w:rFonts w:ascii="Arial" w:cs="Arial" w:eastAsia="Arial" w:hAnsi="Arial"/>
          <w:sz w:val="16"/>
          <w:szCs w:val="16"/>
          <w:color w:val="auto"/>
        </w:rPr>
        <w:t>SPV, L.P., or CRMA. The sole general partner of Cormorant Private Fund is Cormorant Private Healthcare GP, LLC and the sole general partner of Cormorant Master Fund is Cormorant Global Healthcare GP, LLC, and together Cormorant GP. Bihua Chen is the sole managing member of Cormorant GP, and may be deemed to have sole voting and investment power of the securities held by the Cormorant Private Fund and the Cormorant Master Fund. The sole investment manager of CRMA is Cormorant Asset Management, LLC, or the Manager. Bihua Chen is the sole managing member of the Manager, and may be deemed to have sole voting and investment power of the securities held by CRMA. The address of the Cormorant Private Fund, the Cormorant Master Fund and CRMA is 200 Clarendon Street, 52nd Floor, Boston, MA 02116.</w:t>
      </w:r>
    </w:p>
    <w:p>
      <w:pPr>
        <w:spacing w:after="0" w:line="5" w:lineRule="exact"/>
        <w:rPr>
          <w:sz w:val="20"/>
          <w:szCs w:val="20"/>
          <w:color w:val="auto"/>
        </w:rPr>
      </w:pPr>
    </w:p>
    <w:p>
      <w:pPr>
        <w:ind w:left="640" w:right="160" w:hanging="436"/>
        <w:spacing w:after="0" w:line="250" w:lineRule="auto"/>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Consists of (i) 1,750,000 shares of common stock, (ii) 300,000 shares of common stock held by Mac MacKay, (iii), 300,000 shares of common stock held by Kali MacKay and (iv) 437,500 shares of common stock issuable upon exercise of options within 60 days of March 31, 2018. Mr. MacKay is the father of Mac MacKay and Kali MacKay. Mr. MacKay may be deemed to have voting and investment power over shares held by Mac MacKay and Kali MacKay.</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140,520 shares of common stock issuable upon exercise of options within 60 days of March 31, 2018.</w:t>
      </w:r>
    </w:p>
    <w:p>
      <w:pPr>
        <w:spacing w:after="0" w:line="9" w:lineRule="exact"/>
        <w:rPr>
          <w:rFonts w:ascii="Arial" w:cs="Arial" w:eastAsia="Arial" w:hAnsi="Arial"/>
          <w:sz w:val="18"/>
          <w:szCs w:val="18"/>
          <w:color w:val="auto"/>
        </w:rPr>
      </w:pPr>
    </w:p>
    <w:p>
      <w:pPr>
        <w:ind w:left="640" w:right="120" w:hanging="436"/>
        <w:spacing w:after="0" w:line="261" w:lineRule="auto"/>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an aggregate of 578,020 shares issuable upon exercise of stock options within 60 days of March 31, 2018 held by our executive officers and directors as a group.</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80"/>
          </w:cols>
          <w:pgMar w:left="24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The following descriptions are summaries of the material terms of our amended and restated certificate of incorporation and amended and restated bylaws, which will be effective upon the closing of this offering. The descriptions of the common stock and preferred stock give effect to changes to our capital structure that will occur upon the completion of this offering. We refer in this section to our amended and restated certificate of incorporation as our certificate of incorporation, and we refer to our amended and restated bylaws as our bylaws.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920" w:right="860" w:hanging="278"/>
        <w:spacing w:after="0" w:line="277" w:lineRule="auto"/>
        <w:rPr>
          <w:sz w:val="20"/>
          <w:szCs w:val="20"/>
          <w:color w:val="auto"/>
        </w:rPr>
      </w:pPr>
      <w:r>
        <w:rPr>
          <w:rFonts w:ascii="Arial" w:cs="Arial" w:eastAsia="Arial" w:hAnsi="Arial"/>
          <w:sz w:val="18"/>
          <w:szCs w:val="18"/>
          <w:color w:val="auto"/>
        </w:rPr>
        <w:t>Upon completion of this offering, our authorized capital stock will consist of</w:t>
      </w:r>
      <w:r>
        <w:rPr>
          <w:sz w:val="20"/>
          <w:szCs w:val="20"/>
          <w:color w:val="auto"/>
        </w:rPr>
        <w:t xml:space="preserve"> </w:t>
      </w:r>
      <w:r>
        <w:rPr>
          <w:rFonts w:ascii="Arial" w:cs="Arial" w:eastAsia="Arial" w:hAnsi="Arial"/>
          <w:sz w:val="18"/>
          <w:szCs w:val="18"/>
          <w:color w:val="auto"/>
        </w:rPr>
        <w:t>shares of common stock, par value $0.0001 per share, and shares of preferred stock, par value $0.0001 per share, all of which shares of preferred stock will be undesignated.</w:t>
      </w:r>
    </w:p>
    <w:p>
      <w:pPr>
        <w:spacing w:after="0" w:line="170"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color w:val="auto"/>
        </w:rPr>
        <w:t>As of March 31, 2018, 10,666,667 shares of our common stock, 3,333,333 shares of Series Seed preferred stock, 31,450,499 shares of Series A preferred stock and 28,519,322 shares of Series B preferred stock were outstanding and held by 24 stockholders of record.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54"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Upon the completion of this offering, all outstanding shares of our preferred stock will be converted into shares of our common stock. Upon the</w:t>
      </w:r>
    </w:p>
    <w:p>
      <w:pPr>
        <w:spacing w:after="0" w:line="46"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color w:val="auto"/>
        </w:rPr>
        <w:t>consummation of this offering, our board of directors will have the authority, without further action by our stockholders, to issue up to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31, 2018, there were outstanding options to purchase an aggregate of 7,391,214 shares of our common stock.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60"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640"/>
        <w:spacing w:after="0"/>
        <w:tabs>
          <w:tab w:leader="none" w:pos="5120" w:val="left"/>
        </w:tabs>
        <w:rPr>
          <w:sz w:val="20"/>
          <w:szCs w:val="20"/>
          <w:color w:val="auto"/>
        </w:rPr>
      </w:pPr>
      <w:r>
        <w:rPr>
          <w:rFonts w:ascii="Arial" w:cs="Arial" w:eastAsia="Arial" w:hAnsi="Arial"/>
          <w:sz w:val="18"/>
          <w:szCs w:val="18"/>
          <w:color w:val="auto"/>
        </w:rPr>
        <w:t>Upon the completion of this offering, the holders of</w:t>
      </w:r>
      <w:r>
        <w:rPr>
          <w:sz w:val="20"/>
          <w:szCs w:val="20"/>
          <w:color w:val="auto"/>
        </w:rPr>
        <w:tab/>
      </w:r>
      <w:r>
        <w:rPr>
          <w:rFonts w:ascii="Arial" w:cs="Arial" w:eastAsia="Arial" w:hAnsi="Arial"/>
          <w:sz w:val="16"/>
          <w:szCs w:val="16"/>
          <w:color w:val="auto"/>
        </w:rPr>
        <w:t>shares of our common stock, including those issuable upon the conversion of</w:t>
      </w:r>
    </w:p>
    <w:p>
      <w:pPr>
        <w:spacing w:after="0" w:line="23"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color w:val="auto"/>
        </w:rPr>
        <w:t>preferred stock, will be entitled to rights with respect to the registration of these securities under the Securities Act. These rights are provided under the terms of an investors’ rights agreement between us and holders of our preferred stock.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640"/>
        <w:spacing w:after="0"/>
        <w:tabs>
          <w:tab w:leader="none" w:pos="7660" w:val="left"/>
        </w:tabs>
        <w:rPr>
          <w:sz w:val="20"/>
          <w:szCs w:val="20"/>
          <w:color w:val="auto"/>
        </w:rPr>
      </w:pPr>
      <w:r>
        <w:rPr>
          <w:rFonts w:ascii="Arial" w:cs="Arial" w:eastAsia="Arial" w:hAnsi="Arial"/>
          <w:sz w:val="18"/>
          <w:szCs w:val="18"/>
          <w:color w:val="auto"/>
        </w:rPr>
        <w:t>Beginning 180 days after the effective date of this registration statement, the holders of</w:t>
      </w:r>
      <w:r>
        <w:rPr>
          <w:sz w:val="20"/>
          <w:szCs w:val="20"/>
          <w:color w:val="auto"/>
        </w:rPr>
        <w:tab/>
      </w:r>
      <w:r>
        <w:rPr>
          <w:rFonts w:ascii="Arial" w:cs="Arial" w:eastAsia="Arial" w:hAnsi="Arial"/>
          <w:sz w:val="16"/>
          <w:szCs w:val="16"/>
          <w:color w:val="auto"/>
        </w:rPr>
        <w:t>shares of our common stock, including those</w:t>
      </w:r>
    </w:p>
    <w:p>
      <w:pPr>
        <w:spacing w:after="0" w:line="23" w:lineRule="exact"/>
        <w:rPr>
          <w:sz w:val="20"/>
          <w:szCs w:val="20"/>
          <w:color w:val="auto"/>
        </w:rPr>
      </w:pPr>
    </w:p>
    <w:p>
      <w:pPr>
        <w:ind w:left="200"/>
        <w:spacing w:after="0" w:line="295" w:lineRule="auto"/>
        <w:rPr>
          <w:sz w:val="20"/>
          <w:szCs w:val="20"/>
          <w:color w:val="auto"/>
        </w:rPr>
      </w:pPr>
      <w:r>
        <w:rPr>
          <w:rFonts w:ascii="Arial" w:cs="Arial" w:eastAsia="Arial" w:hAnsi="Arial"/>
          <w:sz w:val="16"/>
          <w:szCs w:val="16"/>
          <w:color w:val="auto"/>
        </w:rPr>
        <w:t>issuable upon the conversion of preferred stock upon closing of this offering, are entitled to demand registration rights. Under the terms of the investors’ rights agreement, we will be required, upon the written request of holders of at least 50% of these securities that would result in an aggregate offering price of at least $10.0 million, to file a registration statement and use commercially reasonable efforts to effect the registration of all or a portion of these shares for public resale. We are required to effect only two registrations pursuant to this provision of the investors’ rights agreement.</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Pursuant to the investors’ rights agreement, if we are eligible to file a registration statement on Form S-3, upon the written request of holders of at least 25% of these securities at an aggregate offer price of at least $3.0 million, we will be required to use commercially reasonable efforts to effect a registration of such shares. We are required to effect only two registrations in any twelve month period pursuant to this provision of the investors’ rights agreement. The right to have such shares registered on Form S-3 is further subject to other specified conditions and limitations.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Pursuant to the investors’ rights agreement,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demand registration rights and short form registration rights granted under the investors’ rights agreement will terminate on the earliest of</w:t>
      </w:r>
    </w:p>
    <w:p>
      <w:pPr>
        <w:spacing w:after="0" w:line="46" w:lineRule="exact"/>
        <w:rPr>
          <w:sz w:val="20"/>
          <w:szCs w:val="20"/>
          <w:color w:val="auto"/>
        </w:rPr>
      </w:pPr>
    </w:p>
    <w:p>
      <w:pPr>
        <w:ind w:left="200" w:right="140" w:firstLine="4"/>
        <w:spacing w:after="0" w:line="290" w:lineRule="auto"/>
        <w:tabs>
          <w:tab w:leader="none" w:pos="415" w:val="left"/>
        </w:tabs>
        <w:numPr>
          <w:ilvl w:val="0"/>
          <w:numId w:val="93"/>
        </w:numPr>
        <w:rPr>
          <w:rFonts w:ascii="Arial" w:cs="Arial" w:eastAsia="Arial" w:hAnsi="Arial"/>
          <w:sz w:val="17"/>
          <w:szCs w:val="17"/>
          <w:color w:val="auto"/>
        </w:rPr>
      </w:pPr>
      <w:r>
        <w:rPr>
          <w:rFonts w:ascii="Arial" w:cs="Arial" w:eastAsia="Arial" w:hAnsi="Arial"/>
          <w:sz w:val="17"/>
          <w:szCs w:val="17"/>
          <w:color w:val="auto"/>
        </w:rPr>
        <w:t>a deemed liquidation event, as defined in the investors’ rights agreement, (ii) the fifth anniversary of the completion of this offering and (iii) at such time after this offering when the holders’ shares may be sold without restriction pursuant to Rule 144 within a three month period.</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12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that will become effective upon the closing of this offering will include a number of provisions that may have the effect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240" w:top="460"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amended and restated certificate of incorporation that will become effective upon the closing of this offering will provide for the division of our board of directors into three classes serving staggered three-year terms, with one class being elected each year. Our amended and restated certificate of incorporation will also provide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amended and restated certificate of incorporation that will become effective upon the closing of this offering will provide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amended and restated certificate of incorporation and amended and restated bylaws that will become effective upon the closing of this offering will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will limit the business that may be conducted at an annual meeting of stockholders to those matters properly brought before the meeting.</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amended and restated bylaws that will become effective upon the closing of this offering will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117"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Any amendment of our amended and restated certificate of incorporation that will become effective upon the closing of this offering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3" w:lineRule="auto"/>
        <w:rPr>
          <w:sz w:val="20"/>
          <w:szCs w:val="20"/>
          <w:color w:val="auto"/>
        </w:rPr>
      </w:pPr>
      <w:r>
        <w:rPr>
          <w:rFonts w:ascii="Arial" w:cs="Arial" w:eastAsia="Arial" w:hAnsi="Arial"/>
          <w:sz w:val="17"/>
          <w:szCs w:val="17"/>
          <w:color w:val="auto"/>
        </w:rPr>
        <w:t>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amended and restated certificate of incorporation that will become effective upon the closing of this offering will provide for</w:t>
      </w:r>
    </w:p>
    <w:p>
      <w:pPr>
        <w:spacing w:after="0" w:line="23" w:lineRule="exact"/>
        <w:rPr>
          <w:sz w:val="20"/>
          <w:szCs w:val="20"/>
          <w:color w:val="auto"/>
        </w:rPr>
      </w:pPr>
    </w:p>
    <w:p>
      <w:pPr>
        <w:ind w:left="200" w:firstLine="720"/>
        <w:spacing w:after="0" w:line="251" w:lineRule="auto"/>
        <w:rPr>
          <w:sz w:val="20"/>
          <w:szCs w:val="20"/>
          <w:color w:val="auto"/>
        </w:rPr>
      </w:pPr>
      <w:r>
        <w:rPr>
          <w:rFonts w:ascii="Arial" w:cs="Arial" w:eastAsia="Arial" w:hAnsi="Arial"/>
          <w:sz w:val="18"/>
          <w:szCs w:val="18"/>
          <w:color w:val="auto"/>
        </w:rPr>
        <w:t>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Our amended and restated bylaws that will become effective upon the closing of this offering will provide that, unless we consent in writing to the selection of an alternative forum, the Court of Chancery of the State of Delaware will be the sole and exclusive forum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or our certificate of incorporation or bylaws; or (4) any action asserting a claim governed by the internal affairs doctrine. Our amended and restated bylaws also provide that any person or entity purchasing or otherwise acquiring any interest in shares of our capital stock will be deemed to have notice of and to have consented to this choice of forum provision.</w:t>
      </w:r>
    </w:p>
    <w:p>
      <w:pPr>
        <w:spacing w:after="0" w:line="192"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In addition, our amended and restated bylaws that will become effective upon the closing of this offering will contain a provision by virtue of which unless we consent in writing to the selection of an alternative forum, the United States District Court for the District of Massachusetts will be the exclusive forum for resolving any complaint asserting a cause of action arising under the Securities Act. If any action the subject matter of which is within the scope of the preceding sentence is filed in a court other than the United States District Court for the District of Massachusetts, the plaintiff or plaintiffs shall be deemed by this provision of our amended and restated bylaws (i) to have consented to removal of the action by us to the United States District Court for the District of Massachusetts, in the case of an action filed in a state court, and (ii) to have consented to transfer of the action to the United States District Court for the District of Massachusetts. We have chosen the United States Court for the District of Massachusetts as the exclusive forum for such causes of action because our principal executive offices are located in Cambridge, Massachusetts. Some companies that have adopted similar federal district court forum selection provisions are currently subject to a suit in the Court of Chancery of the State of Delaware by stockholders who assert that the federal district court forum selection provision is not enforceable. We recognize that the federal district court forum selection clause may impose additional litigation costs on stockholders who assert the provision</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is not enforceable and may impose more general additional litigation costs in pursuing any such claims, particularly if the stockholders do not reside in or near the Commonwealth of Massachusetts. Additionally, the forum selection clauses in our amended and restated bylaws may limit our stockholders’ ability to obtain a favorable judicial forum for disputes with us. Alternatively, if the federal district court forum selection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U.S. District Court in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Upon completion of this offering, we will be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94" w:lineRule="exact"/>
        <w:rPr>
          <w:sz w:val="20"/>
          <w:szCs w:val="20"/>
          <w:color w:val="auto"/>
        </w:rPr>
      </w:pPr>
    </w:p>
    <w:p>
      <w:pPr>
        <w:ind w:left="1060" w:right="60" w:hanging="424"/>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60" w:right="140" w:hanging="424"/>
        <w:spacing w:after="0" w:line="279"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6" w:lineRule="exact"/>
        <w:rPr>
          <w:rFonts w:ascii="Arial" w:cs="Arial" w:eastAsia="Arial" w:hAnsi="Arial"/>
          <w:sz w:val="17"/>
          <w:szCs w:val="17"/>
          <w:color w:val="auto"/>
        </w:rPr>
      </w:pPr>
    </w:p>
    <w:p>
      <w:pPr>
        <w:ind w:left="1060" w:hanging="424"/>
        <w:spacing w:after="0" w:line="264"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sale, transfer, lease, pledge or other disposition involving the interested stockholder of 10% or more of the assets of the corporation;</w:t>
      </w:r>
    </w:p>
    <w:p>
      <w:pPr>
        <w:spacing w:after="0" w:line="153" w:lineRule="exact"/>
        <w:rPr>
          <w:rFonts w:ascii="Arial" w:cs="Arial" w:eastAsia="Arial" w:hAnsi="Arial"/>
          <w:sz w:val="16"/>
          <w:szCs w:val="16"/>
          <w:color w:val="auto"/>
        </w:rPr>
      </w:pPr>
    </w:p>
    <w:p>
      <w:pPr>
        <w:ind w:left="1060" w:right="600" w:hanging="424"/>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75"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60"/>
          </w:cols>
          <w:pgMar w:left="240" w:top="459"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intend to apply to list our common stock on The Nasdaq Global Market under the trading symbol “AVRO.”</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0219"/>
          </w:cols>
          <w:pgMar w:left="240" w:top="460" w:right="1440" w:bottom="1440" w:gutter="0" w:footer="0" w:header="0"/>
        </w:sectPr>
      </w:pP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transfer agent and registrar for our common stock will be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156</w:t>
      </w:r>
    </w:p>
    <w:p>
      <w:pPr>
        <w:sectPr>
          <w:pgSz w:w="11900" w:h="16838" w:orient="portrait"/>
          <w:cols w:equalWidth="0" w:num="2">
            <w:col w:w="5080" w:space="500"/>
            <w:col w:w="4639"/>
          </w:cols>
          <w:pgMar w:left="240" w:top="460" w:right="1440" w:bottom="1440" w:gutter="0" w:footer="0" w:header="0"/>
          <w:type w:val="continuous"/>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Prior to this offering, there has been no public market for shares of our common stock.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8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Based on the number of shares outstanding as of March 31, 2018, upon the completion of this offering, shares of our common stock will be outstanding, assuming no exercise of the underwriters’ option to purchase additional shares and no exercise of outstanding options. Of the outstanding shares, all of the shares sold in this offering will be freely tradable, except that any shares held by our affiliates, as that term is defined in Rule 144 under the Securities Act, may only be sold in compliance with the limitations described below, and shares of our common stock are restricted shares of common stock subject to time-based vesting terms. All remaining shares of common stock held by existing stockholders immediately prior to the completion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summarized below.</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general, a person who has beneficially owned restricted stock for at least six months would be entitled to sell their securities provided that</w:t>
      </w:r>
    </w:p>
    <w:p>
      <w:pPr>
        <w:spacing w:after="0" w:line="35" w:lineRule="exact"/>
        <w:rPr>
          <w:sz w:val="20"/>
          <w:szCs w:val="20"/>
          <w:color w:val="auto"/>
        </w:rPr>
      </w:pPr>
    </w:p>
    <w:p>
      <w:pPr>
        <w:ind w:left="200" w:right="80" w:firstLine="4"/>
        <w:spacing w:after="0" w:line="253" w:lineRule="auto"/>
        <w:tabs>
          <w:tab w:leader="none" w:pos="4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person is not deemed to have been one of our affiliates at the time of, or at any time during the 90 days preceding, a sale and (ii) we are subject to the Securities Exchange Act of 1934, as amended, or the Exchange Act, periodic reporting requirements for at least 90 days before the sale. Persons who have beneficially owned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180"/>
          </w:cols>
          <w:pgMar w:left="240" w:top="460" w:right="479" w:bottom="1440" w:gutter="0" w:footer="0" w:header="0"/>
        </w:sectPr>
      </w:pPr>
    </w:p>
    <w:p>
      <w:pPr>
        <w:spacing w:after="0" w:line="9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1% of the number of shares then outstanding, which will equal approximately shares immediately after this offering, assuming no exercise of the underwriters’ option to purchase additional shares, based on the number of shares outstanding as of March 31, 2018; or</w:t>
      </w:r>
    </w:p>
    <w:p>
      <w:pPr>
        <w:spacing w:after="0" w:line="29" w:lineRule="exact"/>
        <w:rPr>
          <w:sz w:val="20"/>
          <w:szCs w:val="20"/>
          <w:color w:val="auto"/>
        </w:rPr>
      </w:pPr>
    </w:p>
    <w:p>
      <w:pPr>
        <w:sectPr>
          <w:pgSz w:w="11900" w:h="16838" w:orient="portrait"/>
          <w:cols w:equalWidth="0" w:num="2">
            <w:col w:w="700" w:space="360"/>
            <w:col w:w="10120"/>
          </w:cols>
          <w:pgMar w:left="240" w:top="460" w:right="479" w:bottom="1440" w:gutter="0" w:footer="0" w:header="0"/>
          <w:type w:val="continuous"/>
        </w:sectPr>
      </w:pPr>
    </w:p>
    <w:p>
      <w:pPr>
        <w:ind w:left="1060" w:right="40" w:hanging="424"/>
        <w:spacing w:after="0" w:line="277"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on Form 144 with respect to the sale;</w:t>
      </w:r>
    </w:p>
    <w:p>
      <w:pPr>
        <w:spacing w:after="0" w:line="170" w:lineRule="exact"/>
        <w:rPr>
          <w:sz w:val="20"/>
          <w:szCs w:val="20"/>
          <w:color w:val="auto"/>
        </w:rPr>
      </w:pPr>
    </w:p>
    <w:p>
      <w:pPr>
        <w:ind w:left="200" w:right="180"/>
        <w:spacing w:after="0" w:line="308" w:lineRule="auto"/>
        <w:rPr>
          <w:sz w:val="20"/>
          <w:szCs w:val="20"/>
          <w:color w:val="auto"/>
        </w:rPr>
      </w:pPr>
      <w:r>
        <w:rPr>
          <w:rFonts w:ascii="Arial" w:cs="Arial" w:eastAsia="Arial" w:hAnsi="Arial"/>
          <w:sz w:val="17"/>
          <w:szCs w:val="17"/>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w:t>
      </w:r>
    </w:p>
    <w:p>
      <w:pPr>
        <w:spacing w:after="0" w:line="171"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However, substantially all Rule 701 shares are subject to lock-up agreements as described below and under “Underwriters” included elsewhere in this prospectus and will become eligible for sale upon the expiration of the restrictions set forth in those agreements.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80"/>
          </w:cols>
          <w:pgMar w:left="240" w:top="460" w:right="479" w:bottom="1440" w:gutter="0" w:footer="0" w:header="0"/>
          <w:type w:val="continuous"/>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In connection with this offering, we and all of our directors, executive officers and substantially all of the holders of our stock and stock options have signed a lock-up agreement that prevents them from selling any of our common stock or any securities convertible into or exercisable or exchangeable for common stock for a period of not less than 180 days from the date of this prospectus without the prior written consent of Morgan Stanley &amp; Co. LLC and Cowen and Company, LLC, subject to certain exceptions. See the section entitled “Underwriters” appearing elsewhere in this prospectus for more information.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See the section entitled “Description of Capital Stock—Registration Rights” appearing elsewhere in this prospectus for more information.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our shares issued or reserved for issuance under our equity incentive plans. The first such registration statement is expected to be filed soon after the date of this prospectus and will automatically become effective upon filing with the SEC. Accordingly, shares registered under such registration statement will be available for sale in the open</w:t>
      </w:r>
    </w:p>
    <w:p>
      <w:pPr>
        <w:ind w:left="200" w:right="40"/>
        <w:spacing w:after="0" w:line="261" w:lineRule="auto"/>
        <w:rPr>
          <w:sz w:val="20"/>
          <w:szCs w:val="20"/>
          <w:color w:val="auto"/>
        </w:rPr>
      </w:pPr>
      <w:r>
        <w:rPr>
          <w:rFonts w:ascii="Arial" w:cs="Arial" w:eastAsia="Arial" w:hAnsi="Arial"/>
          <w:sz w:val="18"/>
          <w:szCs w:val="18"/>
          <w:color w:val="auto"/>
        </w:rPr>
        <w:t>market, unless such shares are subject to vesting restrictions with us or the lock-up restrictions described above. As of , 2018, we estimate that such registration statement on Form S-8 will cover approximately shares.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10b5-1 Plans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After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240" w:top="460"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INCOME TAX CONSIDERATIONS FOR</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NON-U.S. HOLDERS OF COMMON STOCK</w:t>
      </w:r>
    </w:p>
    <w:p>
      <w:pPr>
        <w:spacing w:after="0" w:line="211" w:lineRule="exact"/>
        <w:rPr>
          <w:sz w:val="20"/>
          <w:szCs w:val="20"/>
          <w:color w:val="auto"/>
        </w:rPr>
      </w:pPr>
    </w:p>
    <w:p>
      <w:pPr>
        <w:jc w:val="both"/>
        <w:ind w:left="200" w:right="200" w:firstLine="441"/>
        <w:spacing w:after="0" w:line="286" w:lineRule="auto"/>
        <w:rPr>
          <w:sz w:val="20"/>
          <w:szCs w:val="20"/>
          <w:color w:val="auto"/>
        </w:rPr>
      </w:pPr>
      <w:r>
        <w:rPr>
          <w:rFonts w:ascii="Arial" w:cs="Arial" w:eastAsia="Arial" w:hAnsi="Arial"/>
          <w:sz w:val="17"/>
          <w:szCs w:val="17"/>
          <w:color w:val="auto"/>
        </w:rPr>
        <w:t>The following discussion is a summary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that is for U.S. federal income tax purposes:</w:t>
      </w:r>
    </w:p>
    <w:p>
      <w:pPr>
        <w:spacing w:after="0" w:line="71" w:lineRule="exact"/>
        <w:rPr>
          <w:sz w:val="20"/>
          <w:szCs w:val="20"/>
          <w:color w:val="auto"/>
        </w:rPr>
      </w:pPr>
    </w:p>
    <w:p>
      <w:pPr>
        <w:ind w:left="1060" w:hanging="424"/>
        <w:spacing w:after="0"/>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foreign corporation or any other foreign organization taxable as a corporation for U.S. federal income tax purposes;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foreign estate or trust, the income of which is not subject to U.S. federal income tax on a net income basis.</w:t>
      </w:r>
    </w:p>
    <w:p>
      <w:pPr>
        <w:spacing w:after="0" w:line="225"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7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within the meaning of Section 1221 of the Code, generally property held for investment.</w:t>
      </w:r>
    </w:p>
    <w:p>
      <w:pPr>
        <w:spacing w:after="0" w:line="165"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This discussion does not address all aspects of U.S. federal income taxation that may be relevant to a particular non-U.S. holder in light of that non-U.S. holder’s individual circumstances nor does it address any aspects of any U.S. federal tax other than the income tax, U.S. state, local or non-U.S. taxes, the alternative minimum tax, rules regarding qualified small business stock within the meaning of Section 1202 of the Code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78" w:lineRule="exact"/>
        <w:rPr>
          <w:sz w:val="20"/>
          <w:szCs w:val="20"/>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“qualified foreign pension funds,” or entities wholly owned by a “qualified foreign pension fund”;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persons that hold our common stock as part of a straddle, hedge, conversion transaction, synthetic security or other integrated investment;</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25"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This discussion is for general information only and is not tax advice. Accordingly, all prospective non-U.S. holders of our common stock should consult their tax advisors with respect to the U.S. federal, state, local and non-U.S. tax consequences of the purchase, ownership and disposition of our common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titled “Backup Withholding and Information Reporting” and “Withholding and Information Reporting Requirements—FATCA.”</w:t>
      </w:r>
    </w:p>
    <w:p>
      <w:pPr>
        <w:spacing w:after="0" w:line="178"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8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8"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Sale or Other Taxable Disposition of Our Common Stock</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Subject to the discussions below under “Backup Withholding and Information Reporting” and “Withholding and Information Reporting Requirements—FATCA,” a non-U.S. holder generally will not be subject to any U.S. federal income tax on any gain realized upon such holder’s sale or other taxable disposition of shares of our common stock unless:</w:t>
      </w:r>
    </w:p>
    <w:p>
      <w:pPr>
        <w:spacing w:after="0" w:line="87" w:lineRule="exact"/>
        <w:rPr>
          <w:sz w:val="20"/>
          <w:szCs w:val="20"/>
          <w:color w:val="auto"/>
        </w:rPr>
      </w:pPr>
    </w:p>
    <w:p>
      <w:pPr>
        <w:ind w:left="1060" w:right="320" w:hanging="424"/>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U.S. trade or business and, if an applicable income tax treaty so provides, is attributable to a permanent establishment or a fixed-base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86" w:lineRule="auto"/>
        <w:rPr>
          <w:sz w:val="20"/>
          <w:szCs w:val="20"/>
          <w:color w:val="auto"/>
        </w:rPr>
      </w:pPr>
      <w:r>
        <w:rPr>
          <w:rFonts w:ascii="Arial" w:cs="Arial" w:eastAsia="Arial" w:hAnsi="Arial"/>
          <w:sz w:val="17"/>
          <w:szCs w:val="17"/>
          <w:color w:val="auto"/>
        </w:rPr>
        <w:t>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71" w:lineRule="exact"/>
        <w:rPr>
          <w:sz w:val="20"/>
          <w:szCs w:val="20"/>
          <w:color w:val="auto"/>
        </w:rPr>
      </w:pPr>
    </w:p>
    <w:p>
      <w:pPr>
        <w:ind w:left="1060" w:right="100" w:hanging="424"/>
        <w:spacing w:after="0" w:line="255"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98" w:lineRule="exact"/>
        <w:rPr>
          <w:rFonts w:ascii="Arial" w:cs="Arial" w:eastAsia="Arial" w:hAnsi="Arial"/>
          <w:sz w:val="18"/>
          <w:szCs w:val="18"/>
          <w:color w:val="auto"/>
        </w:rPr>
      </w:pPr>
    </w:p>
    <w:p>
      <w:pPr>
        <w:ind w:left="1060" w:right="40" w:hanging="424"/>
        <w:spacing w:after="0" w:line="270"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we are, or have been, at any time during the five-year period preceding such sale of other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173"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60"/>
          </w:cols>
          <w:pgMar w:left="240" w:top="460" w:right="4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Withholding and Information Reporting Requirements—FATCA</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Foreign Account Tax Compliance Act, or FATCA, generally imposes a U.S. federal withholding tax at a rate of 30% on payments of dividends on, or gross proceeds from the sale or other disposition of,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Under applicable U.S. Treasury regulations, withholding under FATCA currently applies to payments of dividends on our common stock, but will only apply to payments of gross proceeds from a sale or other disposition of our common stock made after December 31, 2018.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Cowen and Company, LLC and Wells Fargo Securities, LLC are acting as representatives, have severally agreed to purchase, and we have agreed to sell to them, severally, the number of shares indicated below:</w:t>
      </w:r>
    </w:p>
    <w:p>
      <w:pPr>
        <w:spacing w:after="0" w:line="172"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4220" w:type="dxa"/>
            <w:vAlign w:val="bottom"/>
          </w:tcPr>
          <w:p>
            <w:pPr>
              <w:jc w:val="center"/>
              <w:ind w:left="3468"/>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3"/>
        </w:trPr>
        <w:tc>
          <w:tcPr>
            <w:tcW w:w="3900" w:type="dxa"/>
            <w:vAlign w:val="bottom"/>
            <w:vMerge w:val="continue"/>
          </w:tcPr>
          <w:p>
            <w:pPr>
              <w:spacing w:after="0"/>
              <w:rPr>
                <w:sz w:val="15"/>
                <w:szCs w:val="15"/>
                <w:color w:val="auto"/>
              </w:rPr>
            </w:pPr>
          </w:p>
        </w:tc>
        <w:tc>
          <w:tcPr>
            <w:tcW w:w="4220" w:type="dxa"/>
            <w:vAlign w:val="bottom"/>
          </w:tcPr>
          <w:p>
            <w:pPr>
              <w:jc w:val="center"/>
              <w:ind w:left="3468"/>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-635</wp:posOffset>
            </wp:positionV>
            <wp:extent cx="5248275"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Morgan Stanley &amp; Co. LLC</w:t>
      </w:r>
    </w:p>
    <w:p>
      <w:pPr>
        <w:spacing w:after="0" w:line="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Wedbush Securities Inc.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46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48275" cy="146050"/>
                    </a:xfrm>
                    <a:prstGeom prst="rect">
                      <a:avLst/>
                    </a:prstGeom>
                    <a:noFill/>
                  </pic:spPr>
                </pic:pic>
              </a:graphicData>
            </a:graphic>
          </wp:anchor>
        </w:drawing>
      </w:r>
    </w:p>
    <w:p>
      <w:pPr>
        <w:spacing w:after="0" w:line="21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ind w:left="200" w:right="200"/>
        <w:spacing w:after="0" w:line="323" w:lineRule="auto"/>
        <w:rPr>
          <w:sz w:val="20"/>
          <w:szCs w:val="20"/>
          <w:color w:val="auto"/>
        </w:rPr>
      </w:pPr>
      <w:r>
        <w:rPr>
          <w:rFonts w:ascii="Arial" w:cs="Arial" w:eastAsia="Arial" w:hAnsi="Arial"/>
          <w:sz w:val="16"/>
          <w:szCs w:val="16"/>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39"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w:t>
      </w:r>
    </w:p>
    <w:p>
      <w:pPr>
        <w:spacing w:after="0" w:line="46" w:lineRule="exact"/>
        <w:rPr>
          <w:sz w:val="20"/>
          <w:szCs w:val="20"/>
          <w:color w:val="auto"/>
        </w:rPr>
      </w:pPr>
    </w:p>
    <w:p>
      <w:pPr>
        <w:ind w:left="200" w:right="60"/>
        <w:spacing w:after="0" w:line="261" w:lineRule="auto"/>
        <w:rPr>
          <w:sz w:val="20"/>
          <w:szCs w:val="20"/>
          <w:color w:val="auto"/>
        </w:rPr>
      </w:pPr>
      <w:r>
        <w:rPr>
          <w:rFonts w:ascii="Arial" w:cs="Arial" w:eastAsia="Arial" w:hAnsi="Arial"/>
          <w:sz w:val="18"/>
          <w:szCs w:val="18"/>
          <w:color w:val="auto"/>
        </w:rPr>
        <w:t>us. These amounts are shown assuming both no exercise and full exercise of the underwriters’ option to purchase up to an additional shares of common stock.</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Per</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jc w:val="right"/>
              <w:ind w:right="609"/>
              <w:spacing w:after="0"/>
              <w:rPr>
                <w:sz w:val="20"/>
                <w:szCs w:val="20"/>
                <w:color w:val="auto"/>
              </w:rPr>
            </w:pPr>
            <w:r>
              <w:rPr>
                <w:rFonts w:ascii="Arial" w:cs="Arial" w:eastAsia="Arial" w:hAnsi="Arial"/>
                <w:sz w:val="14"/>
                <w:szCs w:val="14"/>
                <w:b w:val="1"/>
                <w:bCs w:val="1"/>
                <w:color w:val="auto"/>
              </w:rPr>
              <w:t>Total</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Borders>
              <w:top w:val="single" w:sz="8" w:color="auto"/>
            </w:tcBorders>
          </w:tcPr>
          <w:p>
            <w:pPr>
              <w:ind w:left="180"/>
              <w:spacing w:after="0" w:line="119" w:lineRule="exact"/>
              <w:rPr>
                <w:sz w:val="20"/>
                <w:szCs w:val="20"/>
                <w:color w:val="auto"/>
              </w:rPr>
            </w:pPr>
            <w:r>
              <w:rPr>
                <w:rFonts w:ascii="Arial" w:cs="Arial" w:eastAsia="Arial" w:hAnsi="Arial"/>
                <w:sz w:val="13"/>
                <w:szCs w:val="13"/>
                <w:b w:val="1"/>
                <w:bCs w:val="1"/>
                <w:color w:val="auto"/>
              </w:rPr>
              <w:t>No</w:t>
            </w:r>
          </w:p>
        </w:tc>
        <w:tc>
          <w:tcPr>
            <w:tcW w:w="5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29"/>
              <w:spacing w:after="0" w:line="119" w:lineRule="exact"/>
              <w:rPr>
                <w:sz w:val="20"/>
                <w:szCs w:val="20"/>
                <w:color w:val="auto"/>
              </w:rPr>
            </w:pPr>
            <w:r>
              <w:rPr>
                <w:rFonts w:ascii="Arial" w:cs="Arial" w:eastAsia="Arial" w:hAnsi="Arial"/>
                <w:sz w:val="13"/>
                <w:szCs w:val="13"/>
                <w:b w:val="1"/>
                <w:bCs w:val="1"/>
                <w:color w:val="auto"/>
              </w:rPr>
              <w:t>Full</w:t>
            </w: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7"/>
              </w:rPr>
              <w:t>Share</w:t>
            </w:r>
          </w:p>
        </w:tc>
        <w:tc>
          <w:tcPr>
            <w:tcW w:w="1040" w:type="dxa"/>
            <w:vAlign w:val="bottom"/>
            <w:gridSpan w:val="2"/>
          </w:tcPr>
          <w:p>
            <w:pPr>
              <w:ind w:left="500"/>
              <w:spacing w:after="0"/>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Exercise</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ind w:right="429"/>
              <w:spacing w:after="0"/>
              <w:rPr>
                <w:sz w:val="20"/>
                <w:szCs w:val="20"/>
                <w:color w:val="auto"/>
              </w:rPr>
            </w:pPr>
            <w:r>
              <w:rPr>
                <w:rFonts w:ascii="Arial" w:cs="Arial" w:eastAsia="Arial" w:hAnsi="Arial"/>
                <w:sz w:val="15"/>
                <w:szCs w:val="15"/>
                <w:color w:val="auto"/>
                <w:w w:val="71"/>
              </w:rPr>
              <w: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1180" w:type="dxa"/>
            <w:vAlign w:val="bottom"/>
            <w:gridSpan w:val="2"/>
          </w:tcPr>
          <w:p>
            <w:pPr>
              <w:jc w:val="right"/>
              <w:ind w:right="282"/>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9"/>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1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9660" w:type="dxa"/>
            <w:vAlign w:val="bottom"/>
            <w:gridSpan w:val="8"/>
          </w:tcPr>
          <w:p>
            <w:pPr>
              <w:jc w:val="right"/>
              <w:ind w:right="29"/>
              <w:spacing w:after="0"/>
              <w:rPr>
                <w:sz w:val="20"/>
                <w:szCs w:val="20"/>
                <w:color w:val="auto"/>
              </w:rPr>
            </w:pPr>
            <w:r>
              <w:rPr>
                <w:rFonts w:ascii="Arial" w:cs="Arial" w:eastAsia="Arial" w:hAnsi="Arial"/>
                <w:sz w:val="18"/>
                <w:szCs w:val="18"/>
                <w:color w:val="auto"/>
                <w:w w:val="94"/>
              </w:rPr>
              <w:t>The estimated offering expenses payable by us, exclusive of the underwriting discounts and commissions, are approximately $</w:t>
            </w:r>
          </w:p>
        </w:tc>
        <w:tc>
          <w:tcPr>
            <w:tcW w:w="1060" w:type="dxa"/>
            <w:vAlign w:val="bottom"/>
          </w:tcPr>
          <w:p>
            <w:pPr>
              <w:ind w:left="300"/>
              <w:spacing w:after="0"/>
              <w:rPr>
                <w:sz w:val="20"/>
                <w:szCs w:val="20"/>
                <w:color w:val="auto"/>
              </w:rPr>
            </w:pPr>
            <w:r>
              <w:rPr>
                <w:rFonts w:ascii="Arial" w:cs="Arial" w:eastAsia="Arial" w:hAnsi="Arial"/>
                <w:sz w:val="18"/>
                <w:szCs w:val="18"/>
                <w:color w:val="auto"/>
                <w:w w:val="91"/>
              </w:rPr>
              <w:t>. We have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720" w:type="dxa"/>
            <w:vAlign w:val="bottom"/>
            <w:gridSpan w:val="9"/>
          </w:tcPr>
          <w:p>
            <w:pPr>
              <w:spacing w:after="0"/>
              <w:rPr>
                <w:sz w:val="20"/>
                <w:szCs w:val="20"/>
                <w:color w:val="auto"/>
              </w:rPr>
            </w:pPr>
            <w:r>
              <w:rPr>
                <w:rFonts w:ascii="Arial" w:cs="Arial" w:eastAsia="Arial" w:hAnsi="Arial"/>
                <w:sz w:val="18"/>
                <w:szCs w:val="18"/>
                <w:color w:val="auto"/>
                <w:w w:val="94"/>
              </w:rPr>
              <w:t>agreed to reimburse the underwriters for expenses relating to clearance of this offering with the Financial Industry Regulatory Authority up to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6360" w:type="dxa"/>
            <w:vAlign w:val="bottom"/>
            <w:gridSpan w:val="2"/>
          </w:tcPr>
          <w:p>
            <w:pPr>
              <w:jc w:val="right"/>
              <w:ind w:right="630"/>
              <w:spacing w:after="0"/>
              <w:rPr>
                <w:sz w:val="20"/>
                <w:szCs w:val="20"/>
                <w:color w:val="auto"/>
              </w:rPr>
            </w:pPr>
            <w:r>
              <w:rPr>
                <w:rFonts w:ascii="Arial" w:cs="Arial" w:eastAsia="Arial" w:hAnsi="Arial"/>
                <w:sz w:val="18"/>
                <w:szCs w:val="18"/>
                <w:color w:val="auto"/>
              </w:rPr>
              <w:t>163</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60"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apply to list our common stock on The Nasdaq Global Market under the symbol “AVRO.”</w:t>
      </w:r>
    </w:p>
    <w:p>
      <w:pPr>
        <w:spacing w:after="0" w:line="22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and all of our directors and officers and the holders of substantially all of our outstanding stock and stock options have agreed that, without the prior written consent of Morgan Stanley &amp; Co. LLC and Cowen and Company, LLC, on behalf of the underwriters, we and they will not, during the period ending 180 days after the date of this prospectus (the “restricted period”):</w:t>
      </w:r>
    </w:p>
    <w:p>
      <w:pPr>
        <w:spacing w:after="0" w:line="87" w:lineRule="exact"/>
        <w:rPr>
          <w:sz w:val="20"/>
          <w:szCs w:val="20"/>
          <w:color w:val="auto"/>
        </w:rPr>
      </w:pPr>
    </w:p>
    <w:p>
      <w:pPr>
        <w:ind w:left="1060" w:right="40" w:hanging="424"/>
        <w:spacing w:after="0" w:line="264"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6"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Cowen and Company,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131" w:lineRule="exact"/>
        <w:rPr>
          <w:sz w:val="20"/>
          <w:szCs w:val="20"/>
          <w:color w:val="auto"/>
        </w:rPr>
      </w:pPr>
    </w:p>
    <w:p>
      <w:pPr>
        <w:ind w:left="1060" w:right="40" w:hanging="424"/>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this offering or acquired in open market transactions after this offering</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common stock as a bona fide gift;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distributions of shares of common stock or any security convertible into common stock to limited partners or stockholders of the signatory;</w:t>
      </w:r>
    </w:p>
    <w:p>
      <w:pPr>
        <w:spacing w:after="0" w:line="153" w:lineRule="exact"/>
        <w:rPr>
          <w:rFonts w:ascii="Arial" w:cs="Arial" w:eastAsia="Arial" w:hAnsi="Arial"/>
          <w:sz w:val="16"/>
          <w:szCs w:val="16"/>
          <w:color w:val="auto"/>
        </w:rPr>
      </w:pPr>
    </w:p>
    <w:p>
      <w:pPr>
        <w:ind w:left="1060" w:right="260" w:hanging="424"/>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shares of common stock during the restricted period;</w:t>
      </w:r>
    </w:p>
    <w:p>
      <w:pPr>
        <w:spacing w:after="0" w:line="75"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other securities to any member of the immediate family of the signatory or any trust for the direct or indirect benefit of the signatory or the immediate family of the signatory in a transaction not involving a disposition for value;</w:t>
      </w:r>
    </w:p>
    <w:p>
      <w:pPr>
        <w:spacing w:after="0" w:line="86"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other securities to any corporation, partnership, limited liability company or other entity controlled or managed by the signatory, in a transaction not involving a disposition for value;</w:t>
      </w:r>
    </w:p>
    <w:p>
      <w:pPr>
        <w:spacing w:after="0" w:line="75"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or dispositions of shares for common stock or other securities (i) by will, other testamentary document or intestate succession to the legal representative, heir, beneficiary or a member of the immediate family of the signatory upon the death of the signatory, or (ii) by operation of law pursuant to a domestic order or negotiated divorce settlement;</w:t>
      </w:r>
    </w:p>
    <w:p>
      <w:pPr>
        <w:spacing w:after="0" w:line="86"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or dispositions of common stock or any security convertible into or exercisable or exchangeable for common stock to us pursuant to any contractual arrangement in effect prior to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91" w:lineRule="auto"/>
        <w:rPr>
          <w:sz w:val="20"/>
          <w:szCs w:val="20"/>
          <w:color w:val="auto"/>
        </w:rPr>
      </w:pPr>
      <w:r>
        <w:rPr>
          <w:rFonts w:ascii="Arial" w:cs="Arial" w:eastAsia="Arial" w:hAnsi="Arial"/>
          <w:sz w:val="16"/>
          <w:szCs w:val="16"/>
          <w:color w:val="auto"/>
        </w:rPr>
        <w:t>date of this prospectus and disclosed to Morgan Stanley &amp; Co. LLC and Cowen and Company, LLC, that provides for the repurchase of common stock or other securities by us or in connection with the termination of employment with or service to us, provided that the repurchase price for any such shares of common stock or other securities shall not exceed the original purchase price (subject to appropriate adjustment in the event of any stock dividend, stock split, combination or other similar recapitalization) paid to us for such shares or securities, and, provided further that any public announcement or public filing under Section 16(a) of the Exchange Act required to be made during the restricted period in connection with such transfer or disposition shall clearly indicate in the footnotes thereto or comments section thereof that such transfer or disposition was made solely to us pursuant to the circumstances described above;</w:t>
      </w:r>
    </w:p>
    <w:p>
      <w:pPr>
        <w:spacing w:after="0" w:line="73" w:lineRule="exact"/>
        <w:rPr>
          <w:sz w:val="20"/>
          <w:szCs w:val="20"/>
          <w:color w:val="auto"/>
        </w:rPr>
      </w:pPr>
    </w:p>
    <w:p>
      <w:pPr>
        <w:ind w:left="1060" w:right="180" w:hanging="424"/>
        <w:spacing w:after="0" w:line="290" w:lineRule="auto"/>
        <w:tabs>
          <w:tab w:leader="none" w:pos="10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conversion of any convertible preferred stock described in this prospectus and outstanding as of the date of this prospectus into, or the exercise of any option or warrant described in the prospectus and outstanding as of the date hereof for, shares of common stock, provided that any such shares of common stock received by the signatory shall be subject to the terms of the lock-up agreement; provided, further, that any public filing or public announcement under Section 16(a) of the Exchange Act required during the restricted period in connection with the conversion of such preferred stock or the exercise of such stock option or warrant shall clearly indicate in the footnotes thereto or comments section thereof that the filing relates to the conversion of preferred stock or the exercise of a stock option or warrant, as the case may be, that no shares of common stock were sold by the reporting person and that the shares of common stock received upon exercise of the stock option or warrant are subject to a lock-up agreement with the underwriters of this offering;</w:t>
      </w:r>
    </w:p>
    <w:p>
      <w:pPr>
        <w:spacing w:after="0" w:line="71" w:lineRule="exact"/>
        <w:rPr>
          <w:rFonts w:ascii="Arial" w:cs="Arial" w:eastAsia="Arial" w:hAnsi="Arial"/>
          <w:sz w:val="16"/>
          <w:szCs w:val="16"/>
          <w:color w:val="auto"/>
        </w:rPr>
      </w:pPr>
    </w:p>
    <w:p>
      <w:pPr>
        <w:jc w:val="both"/>
        <w:ind w:left="1060" w:right="80" w:hanging="424"/>
        <w:spacing w:after="0" w:line="286"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transfers or dispositions of title to (but not beneficial ownership of) shares of common stock or other securities to a nominee or custodian of a person or entity to whom a disposition or transfer would be permissible under any of the foregoing clauses; provided that any such shares of common stock or other securities shall remain subject to the terms of the lock-up agreement; or</w:t>
      </w:r>
    </w:p>
    <w:p>
      <w:pPr>
        <w:spacing w:after="0" w:line="70" w:lineRule="exact"/>
        <w:rPr>
          <w:rFonts w:ascii="Arial" w:cs="Arial" w:eastAsia="Arial" w:hAnsi="Arial"/>
          <w:sz w:val="17"/>
          <w:szCs w:val="17"/>
          <w:color w:val="auto"/>
        </w:rPr>
      </w:pPr>
    </w:p>
    <w:p>
      <w:pPr>
        <w:ind w:left="1060" w:right="140" w:hanging="424"/>
        <w:spacing w:after="0" w:line="25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such other securities pursuant to a bona fide tender offer for shares of our capital stock, merger, consolidation or other similar transaction made to all holders of our securities involving a change of control of us that has been approved by our board of directors, provided that, in the event that the change of control transaction is not consummated, this clause shall not be applicable to the lock-up signatory’s shares and other securities shall remain subject to the restrictions contained in the lock-up agreement;</w:t>
      </w:r>
    </w:p>
    <w:p>
      <w:pPr>
        <w:spacing w:after="0" w:line="188"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provided that, in the case of any transfer or distribution as described in the second, third, fifth, sixth or seventh bullet point above, the transferee or distributee shall agree to be subject to the restrictions described in the immediately preceding paragraph and (ii) in the case of any transfer or distribution described in the first, second, third, fourth, fifth, sixth, seventh or tenth bullet point above, no public announcement or public filing under Section 16(a) of the Exchange Act relating to such transfer or distribution shall be required or shall be voluntarily made during the restricted period.</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the restrictions described in the paragraph above relating to us do not apply to:</w:t>
      </w:r>
    </w:p>
    <w:p>
      <w:pPr>
        <w:spacing w:after="0" w:line="131" w:lineRule="exact"/>
        <w:rPr>
          <w:sz w:val="20"/>
          <w:szCs w:val="20"/>
          <w:color w:val="auto"/>
        </w:rPr>
      </w:pPr>
    </w:p>
    <w:p>
      <w:pPr>
        <w:ind w:left="1060" w:hanging="424"/>
        <w:spacing w:after="0"/>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shares to be sold in this offering;</w:t>
      </w:r>
    </w:p>
    <w:p>
      <w:pPr>
        <w:spacing w:after="0" w:line="130"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issuance of shares of common stock upon the exercise of an option or warrant or the conversion of a security outstanding on the date of this prospectus pursuant to stock plans disclosed in this prospectus; or</w:t>
      </w:r>
    </w:p>
    <w:p>
      <w:pPr>
        <w:spacing w:after="0" w:line="75" w:lineRule="exact"/>
        <w:rPr>
          <w:rFonts w:ascii="Arial" w:cs="Arial" w:eastAsia="Arial" w:hAnsi="Arial"/>
          <w:sz w:val="18"/>
          <w:szCs w:val="18"/>
          <w:color w:val="auto"/>
        </w:rPr>
      </w:pPr>
    </w:p>
    <w:p>
      <w:pPr>
        <w:ind w:left="1060" w:right="20" w:hanging="424"/>
        <w:spacing w:after="0" w:line="257"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shares of common stock during the restricted period and to the extent a public announcement or filing under the Exchange Act is required of or voluntarily made by the Company regarding the establishment of such plan, such announcement or filing shall include a statement to the effect that no transfer of shares of common stock may be made under such plan during the restricted period;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Morgan Stanley &amp; Co. LLC and Cowen and Company, LLC,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may, from time to time, perform various financial advisory and investment banking services for us, for which they will receive customary fees and expenses.</w:t>
      </w:r>
    </w:p>
    <w:p>
      <w:pPr>
        <w:spacing w:after="0" w:line="18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are our future prospects and those of our industry in general, our sales, earnings and certain other financial and operating information in recent periods, and the price-earnings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80"/>
          </w:cols>
          <w:pgMar w:left="240" w:top="460"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ratios, price-sales ratios, market prices of securities, and certain financial and operating information of companies engaged in activities similar to ours.</w:t>
      </w:r>
    </w:p>
    <w:p>
      <w:pPr>
        <w:spacing w:after="0" w:line="352" w:lineRule="exact"/>
        <w:rPr>
          <w:sz w:val="20"/>
          <w:szCs w:val="20"/>
          <w:color w:val="auto"/>
        </w:rPr>
      </w:pPr>
    </w:p>
    <w:p>
      <w:pPr>
        <w:jc w:val="center"/>
        <w:ind w:right="934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jc w:val="center"/>
        <w:ind w:right="93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 xml:space="preserve">Shares of our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shares of our common stock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92" w:lineRule="exact"/>
        <w:rPr>
          <w:sz w:val="20"/>
          <w:szCs w:val="20"/>
          <w:color w:val="auto"/>
        </w:rPr>
      </w:pPr>
    </w:p>
    <w:p>
      <w:pPr>
        <w:ind w:left="1060" w:hanging="299"/>
        <w:spacing w:after="0"/>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hanging="310"/>
        <w:spacing w:after="0" w:line="264"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1060" w:right="20" w:hanging="299"/>
        <w:spacing w:after="0" w:line="342" w:lineRule="auto"/>
        <w:tabs>
          <w:tab w:leader="none" w:pos="10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60" w:hanging="299"/>
        <w:spacing w:after="0" w:line="259" w:lineRule="auto"/>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60" w:right="80" w:hanging="310"/>
        <w:spacing w:after="0" w:line="277" w:lineRule="auto"/>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00"/>
          </w:cols>
          <w:pgMar w:left="240" w:top="460" w:right="5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validity of the shares of common stock offered by this prospectus will be passed upon for us by Goodwin Procter LLP, Boston, Massachusetts. Certain legal matters relating to this offering will be passed upon for the underwriters by Ropes &amp; Gray LLP, Boston, Massachusetts.</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consolidated financial statements of AVROBIO, Inc. at December 31, 2016 and 2017, and for the years then ended,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have filed with the SEC a registration statement on Form S-1 (File Number 333- ) under the Securities Act with respect to the common stock we are offering by this prospectus. This prospectus does not contain all of the information included in the registration statement. For further information pertaining to us and our common stock,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73"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Upon the completion of the offering, we will be subject to the informational requirements of the Exchange Act and will file annual, quarterly and current reports, proxy statements and other information with the SEC. You can read our SEC filings, including the registration statement, at the SEC’s website at www.sec.gov. You may also read and copy any document we file with the SEC at its public reference facility at 100 F Street, N.E.,</w:t>
      </w:r>
    </w:p>
    <w:p>
      <w:pPr>
        <w:ind w:left="200" w:right="20"/>
        <w:spacing w:after="0" w:line="255" w:lineRule="auto"/>
        <w:rPr>
          <w:sz w:val="20"/>
          <w:szCs w:val="20"/>
          <w:color w:val="auto"/>
        </w:rPr>
      </w:pPr>
      <w:r>
        <w:rPr>
          <w:rFonts w:ascii="Arial" w:cs="Arial" w:eastAsia="Arial" w:hAnsi="Arial"/>
          <w:sz w:val="18"/>
          <w:szCs w:val="18"/>
          <w:color w:val="auto"/>
        </w:rPr>
        <w:t>Room 1580, Washington, D.C. 20549. We also maintain a website at www.avrobio.com. Upon completion of the offering, you may access, free of charge, our annual reports on Form 10-K, quarterly reports on Form 10-Q, current reports on Form 8-K and any amendments to those reports, as soon as reasonably practicable after such material is electronically filed with, or furnished to, the SEC.</w:t>
      </w:r>
    </w:p>
    <w:p>
      <w:pPr>
        <w:spacing w:after="0" w:line="190" w:lineRule="exact"/>
        <w:rPr>
          <w:sz w:val="20"/>
          <w:szCs w:val="20"/>
          <w:color w:val="auto"/>
        </w:rPr>
      </w:pPr>
    </w:p>
    <w:p>
      <w:pPr>
        <w:ind w:left="200" w:right="440" w:firstLine="441"/>
        <w:spacing w:after="0" w:line="342" w:lineRule="auto"/>
        <w:rPr>
          <w:sz w:val="20"/>
          <w:szCs w:val="20"/>
          <w:color w:val="auto"/>
        </w:rPr>
      </w:pPr>
      <w:r>
        <w:rPr>
          <w:rFonts w:ascii="Arial" w:cs="Arial" w:eastAsia="Arial" w:hAnsi="Arial"/>
          <w:sz w:val="16"/>
          <w:szCs w:val="16"/>
          <w:color w:val="auto"/>
        </w:rPr>
        <w:t>You may also obtain copies of the documents at prescribed rates by writing to the Public Reference Section of the SEC at 100 F Street, N.E., Washington, D.C. 20549. Please call the SEC at 1-800-SEC-0330 for further information on the operation of the public reference facilities.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24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Index to Consolidated Financial Statements as of December 31, 2016 and 2017 and for the Years Ended December 31, 2016 and 2017</w:t>
      </w:r>
    </w:p>
    <w:p>
      <w:pPr>
        <w:spacing w:after="0" w:line="25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7"/>
            <w:vMerge w:val="restart"/>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Report of Independent Registered Public Accounting Firm</w:t>
              </w:r>
            </w:hyperlink>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660" w:type="dxa"/>
            <w:vAlign w:val="bottom"/>
            <w:gridSpan w:val="7"/>
            <w:vMerge w:val="continue"/>
          </w:tcPr>
          <w:p>
            <w:pPr>
              <w:spacing w:after="0"/>
              <w:rPr>
                <w:sz w:val="14"/>
                <w:szCs w:val="14"/>
                <w:color w:val="auto"/>
              </w:rPr>
            </w:pPr>
          </w:p>
        </w:tc>
        <w:tc>
          <w:tcPr>
            <w:tcW w:w="320" w:type="dxa"/>
            <w:vAlign w:val="bottom"/>
          </w:tcPr>
          <w:p>
            <w:pPr>
              <w:ind w:left="60"/>
              <w:spacing w:after="0" w:line="170"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75">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3"/>
          </w:tcPr>
          <w:p>
            <w:pPr>
              <w:spacing w:after="0"/>
              <w:rPr>
                <w:sz w:val="17"/>
                <w:szCs w:val="17"/>
                <w:color w:val="auto"/>
              </w:rPr>
            </w:pPr>
          </w:p>
        </w:tc>
        <w:tc>
          <w:tcPr>
            <w:tcW w:w="644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Consolidated Statements of Operations and Comprehensive Loss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Consolidated Statements of Redeemable Convertible Preferred Stock and Stockholders’ Deficit</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78">
              <w:r>
                <w:rPr>
                  <w:rFonts w:ascii="Arial" w:cs="Arial" w:eastAsia="Arial" w:hAnsi="Arial"/>
                  <w:sz w:val="18"/>
                  <w:szCs w:val="18"/>
                  <w:color w:val="0000EE"/>
                  <w:w w:val="89"/>
                </w:rPr>
                <w:t>Consolidated Statements of Cash Flows</w:t>
              </w:r>
            </w:hyperlink>
          </w:p>
        </w:tc>
        <w:tc>
          <w:tcPr>
            <w:tcW w:w="3980" w:type="dxa"/>
            <w:vAlign w:val="bottom"/>
            <w:tcBorders>
              <w:top w:val="single" w:sz="8" w:color="0000EE"/>
            </w:tcBorders>
            <w:gridSpan w:val="4"/>
          </w:tcPr>
          <w:p>
            <w:pPr>
              <w:spacing w:after="0"/>
              <w:rPr>
                <w:sz w:val="17"/>
                <w:szCs w:val="17"/>
                <w:color w:val="auto"/>
              </w:rPr>
            </w:pPr>
          </w:p>
        </w:tc>
        <w:tc>
          <w:tcPr>
            <w:tcW w:w="380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79">
              <w:r>
                <w:rPr>
                  <w:rFonts w:ascii="Arial" w:cs="Arial" w:eastAsia="Arial" w:hAnsi="Arial"/>
                  <w:sz w:val="18"/>
                  <w:szCs w:val="18"/>
                  <w:color w:val="0000EE"/>
                  <w:w w:val="89"/>
                </w:rPr>
                <w:t>Notes to Consolidated Financial Statements</w:t>
              </w:r>
            </w:hyperlink>
          </w:p>
        </w:tc>
        <w:tc>
          <w:tcPr>
            <w:tcW w:w="7500" w:type="dxa"/>
            <w:vAlign w:val="bottom"/>
            <w:gridSpan w:val="4"/>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00" w:right="380"/>
        <w:spacing w:after="0" w:line="282" w:lineRule="auto"/>
        <w:rPr>
          <w:sz w:val="20"/>
          <w:szCs w:val="20"/>
          <w:color w:val="auto"/>
        </w:rPr>
      </w:pPr>
      <w:r>
        <w:rPr>
          <w:rFonts w:ascii="Arial" w:cs="Arial" w:eastAsia="Arial" w:hAnsi="Arial"/>
          <w:sz w:val="18"/>
          <w:szCs w:val="18"/>
          <w:b w:val="1"/>
          <w:bCs w:val="1"/>
          <w:color w:val="auto"/>
        </w:rPr>
        <w:t>Index to Unaudited Interim Condensed Consolidated Financial Statements as of December 31, 2017 and March 31, 2018 and for the Three Month Periods Ended March 31, 2017 and 2018</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940" w:type="dxa"/>
            <w:vAlign w:val="bottom"/>
            <w:vMerge w:val="restart"/>
          </w:tcPr>
          <w:p>
            <w:pPr>
              <w:spacing w:after="0"/>
              <w:rPr>
                <w:rFonts w:ascii="Arial" w:cs="Arial" w:eastAsia="Arial" w:hAnsi="Arial"/>
                <w:sz w:val="18"/>
                <w:szCs w:val="18"/>
                <w:color w:val="0000EE"/>
                <w:w w:val="87"/>
              </w:rPr>
            </w:pPr>
            <w:hyperlink w:anchor="page209">
              <w:r>
                <w:rPr>
                  <w:rFonts w:ascii="Arial" w:cs="Arial" w:eastAsia="Arial" w:hAnsi="Arial"/>
                  <w:sz w:val="18"/>
                  <w:szCs w:val="18"/>
                  <w:color w:val="0000EE"/>
                  <w:w w:val="87"/>
                </w:rPr>
                <w:t>Condensed Consolidated Balance Sheets</w:t>
              </w:r>
            </w:hyperlink>
          </w:p>
        </w:tc>
        <w:tc>
          <w:tcPr>
            <w:tcW w:w="7640" w:type="dxa"/>
            <w:vAlign w:val="bottom"/>
            <w:gridSpan w:val="5"/>
            <w:vMerge w:val="restart"/>
          </w:tcPr>
          <w:p>
            <w:pPr>
              <w:spacing w:after="0"/>
              <w:rPr>
                <w:sz w:val="14"/>
                <w:szCs w:val="1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40" w:type="dxa"/>
            <w:vAlign w:val="bottom"/>
            <w:tcBorders>
              <w:bottom w:val="single" w:sz="8" w:color="0000EE"/>
            </w:tcBorders>
            <w:vMerge w:val="continue"/>
          </w:tcPr>
          <w:p>
            <w:pPr>
              <w:spacing w:after="0"/>
              <w:rPr>
                <w:sz w:val="14"/>
                <w:szCs w:val="14"/>
                <w:color w:val="auto"/>
              </w:rPr>
            </w:pPr>
          </w:p>
        </w:tc>
        <w:tc>
          <w:tcPr>
            <w:tcW w:w="7640" w:type="dxa"/>
            <w:vAlign w:val="bottom"/>
            <w:gridSpan w:val="5"/>
            <w:vMerge w:val="continue"/>
          </w:tcPr>
          <w:p>
            <w:pPr>
              <w:spacing w:after="0"/>
              <w:rPr>
                <w:sz w:val="14"/>
                <w:szCs w:val="14"/>
                <w:color w:val="auto"/>
              </w:rPr>
            </w:pPr>
          </w:p>
        </w:tc>
        <w:tc>
          <w:tcPr>
            <w:tcW w:w="400" w:type="dxa"/>
            <w:vAlign w:val="bottom"/>
          </w:tcPr>
          <w:p>
            <w:pPr>
              <w:ind w:left="60"/>
              <w:spacing w:after="0" w:line="170" w:lineRule="exact"/>
              <w:rPr>
                <w:sz w:val="20"/>
                <w:szCs w:val="20"/>
                <w:color w:val="auto"/>
              </w:rPr>
            </w:pPr>
            <w:r>
              <w:rPr>
                <w:rFonts w:ascii="Arial" w:cs="Arial" w:eastAsia="Arial" w:hAnsi="Arial"/>
                <w:sz w:val="18"/>
                <w:szCs w:val="18"/>
                <w:color w:val="auto"/>
                <w:w w:val="86"/>
              </w:rPr>
              <w:t>F-37</w:t>
            </w:r>
          </w:p>
        </w:tc>
        <w:tc>
          <w:tcPr>
            <w:tcW w:w="0" w:type="dxa"/>
            <w:vAlign w:val="bottom"/>
          </w:tcPr>
          <w:p>
            <w:pPr>
              <w:spacing w:after="0"/>
              <w:rPr>
                <w:sz w:val="1"/>
                <w:szCs w:val="1"/>
                <w:color w:val="auto"/>
              </w:rPr>
            </w:pPr>
          </w:p>
        </w:tc>
      </w:tr>
      <w:tr>
        <w:trPr>
          <w:trHeight w:val="196"/>
        </w:trPr>
        <w:tc>
          <w:tcPr>
            <w:tcW w:w="10580" w:type="dxa"/>
            <w:vAlign w:val="bottom"/>
            <w:gridSpan w:val="6"/>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Condensed Consolidated Statements of Operations and Comprehensive Loss</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6"/>
              </w:rPr>
              <w:t>F-38</w:t>
            </w:r>
          </w:p>
        </w:tc>
        <w:tc>
          <w:tcPr>
            <w:tcW w:w="0" w:type="dxa"/>
            <w:vAlign w:val="bottom"/>
          </w:tcPr>
          <w:p>
            <w:pPr>
              <w:spacing w:after="0"/>
              <w:rPr>
                <w:sz w:val="1"/>
                <w:szCs w:val="1"/>
                <w:color w:val="auto"/>
              </w:rPr>
            </w:pPr>
          </w:p>
        </w:tc>
      </w:tr>
      <w:tr>
        <w:trPr>
          <w:trHeight w:val="20"/>
        </w:trPr>
        <w:tc>
          <w:tcPr>
            <w:tcW w:w="37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6"/>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Condensed Consolidated Statements of Redeemable Convertible Preferred Stock and Stockholders’ (Deficit) Equity</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6"/>
              </w:rPr>
              <w:t>F-39</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212">
              <w:r>
                <w:rPr>
                  <w:rFonts w:ascii="Arial" w:cs="Arial" w:eastAsia="Arial" w:hAnsi="Arial"/>
                  <w:sz w:val="18"/>
                  <w:szCs w:val="18"/>
                  <w:color w:val="0000EE"/>
                  <w:w w:val="88"/>
                </w:rPr>
                <w:t>Condensed Consolidated Statements of Cash Flows</w:t>
              </w:r>
            </w:hyperlink>
          </w:p>
        </w:tc>
        <w:tc>
          <w:tcPr>
            <w:tcW w:w="4640" w:type="dxa"/>
            <w:vAlign w:val="bottom"/>
            <w:tcBorders>
              <w:top w:val="single" w:sz="8" w:color="0000EE"/>
            </w:tcBorders>
            <w:gridSpan w:val="3"/>
          </w:tcPr>
          <w:p>
            <w:pPr>
              <w:spacing w:after="0"/>
              <w:rPr>
                <w:sz w:val="17"/>
                <w:szCs w:val="17"/>
                <w:color w:val="auto"/>
              </w:rPr>
            </w:pPr>
          </w:p>
        </w:tc>
        <w:tc>
          <w:tcPr>
            <w:tcW w:w="2220" w:type="dxa"/>
            <w:vAlign w:val="bottom"/>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6"/>
              </w:rPr>
              <w:t>F-40</w:t>
            </w:r>
          </w:p>
        </w:tc>
        <w:tc>
          <w:tcPr>
            <w:tcW w:w="0" w:type="dxa"/>
            <w:vAlign w:val="bottom"/>
          </w:tcPr>
          <w:p>
            <w:pPr>
              <w:spacing w:after="0"/>
              <w:rPr>
                <w:sz w:val="1"/>
                <w:szCs w:val="1"/>
                <w:color w:val="auto"/>
              </w:rPr>
            </w:pPr>
          </w:p>
        </w:tc>
      </w:tr>
      <w:tr>
        <w:trPr>
          <w:trHeight w:val="196"/>
        </w:trPr>
        <w:tc>
          <w:tcPr>
            <w:tcW w:w="10580" w:type="dxa"/>
            <w:vAlign w:val="bottom"/>
            <w:gridSpan w:val="6"/>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Notes to Condensed Consolidated Financial Statements</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6"/>
              </w:rPr>
              <w:t>F-41</w:t>
            </w:r>
          </w:p>
        </w:tc>
        <w:tc>
          <w:tcPr>
            <w:tcW w:w="0" w:type="dxa"/>
            <w:vAlign w:val="bottom"/>
          </w:tcPr>
          <w:p>
            <w:pPr>
              <w:spacing w:after="0"/>
              <w:rPr>
                <w:sz w:val="1"/>
                <w:szCs w:val="1"/>
                <w:color w:val="auto"/>
              </w:rPr>
            </w:pPr>
          </w:p>
        </w:tc>
      </w:tr>
      <w:tr>
        <w:trPr>
          <w:trHeight w:val="385"/>
        </w:trPr>
        <w:tc>
          <w:tcPr>
            <w:tcW w:w="29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580" w:type="dxa"/>
            <w:vAlign w:val="bottom"/>
            <w:gridSpan w:val="3"/>
          </w:tcPr>
          <w:p>
            <w:pPr>
              <w:ind w:left="138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Board of Directors of AVROBIO,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We have audited the accompanying consolidated balance sheets of AVROBIO, Inc. (the Company) as of December 31, 2016 and 2017, the related consolidated statements of operations and comprehensive loss, redeemable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2016 and 2017, and the results of its operations and its cash flows for the years then ended, in conformity with U.S. generally accepted accounting principles.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2018.</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6, 2018</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60"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5,357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5,376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5,400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Deferred rent, net of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Redeemable convertible preferred stock (Note 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9,000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40" w:type="dxa"/>
            <w:vAlign w:val="bottom"/>
          </w:tcPr>
          <w:p>
            <w:pPr>
              <w:ind w:left="340"/>
              <w:spacing w:after="0" w:line="201" w:lineRule="exact"/>
              <w:rPr>
                <w:sz w:val="20"/>
                <w:szCs w:val="20"/>
                <w:color w:val="auto"/>
              </w:rPr>
            </w:pPr>
            <w:r>
              <w:rPr>
                <w:rFonts w:ascii="Arial" w:cs="Arial" w:eastAsia="Arial" w:hAnsi="Arial"/>
                <w:sz w:val="18"/>
                <w:szCs w:val="18"/>
                <w:color w:val="auto"/>
                <w:w w:val="98"/>
              </w:rPr>
              <w:t>Common stock, $0.0001 par value; 40,000,000 and 51,000,000 shares authorized as of December 31, 2016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520"/>
              <w:spacing w:after="0"/>
              <w:rPr>
                <w:sz w:val="20"/>
                <w:szCs w:val="20"/>
                <w:color w:val="auto"/>
              </w:rPr>
            </w:pPr>
            <w:r>
              <w:rPr>
                <w:rFonts w:ascii="Arial" w:cs="Arial" w:eastAsia="Arial" w:hAnsi="Arial"/>
                <w:sz w:val="18"/>
                <w:szCs w:val="18"/>
                <w:color w:val="auto"/>
                <w:w w:val="93"/>
              </w:rPr>
              <w:t>2017, respectively; 10,666,667 shares issued as of December 31, 2016 and 2017; 8,975,000 and 9,524,999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520"/>
              <w:spacing w:after="0"/>
              <w:rPr>
                <w:sz w:val="20"/>
                <w:szCs w:val="20"/>
                <w:color w:val="auto"/>
              </w:rPr>
            </w:pPr>
            <w:r>
              <w:rPr>
                <w:rFonts w:ascii="Arial" w:cs="Arial" w:eastAsia="Arial" w:hAnsi="Arial"/>
                <w:sz w:val="18"/>
                <w:szCs w:val="18"/>
                <w:color w:val="auto"/>
              </w:rPr>
              <w:t>outstanding as of December 31, 2016 and 2017,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(4,827)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(23,475)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5,400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60" w:right="4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2,663</w:t>
            </w: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Accretion of issuance costs on redeemable convertible preferred stock</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(305)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(4,969)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(18,733)</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 diluted (Note 13)</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Weighted-average number of common shares used in computing net loss per share attributable to common</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8,421,130</w:t>
            </w: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9,238,612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5"/>
              </w:rPr>
              <w:t>Pro forma net loss per share attributable to common stockholders—basic and diluted (unaudited) (Note 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Pro forma weighted-average number of common shares used in computing pro forma net loss per share</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common stockholders—basic and diluted (unaudited)</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28,602,468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940" w:type="dxa"/>
            <w:vAlign w:val="bottom"/>
            <w:gridSpan w:val="3"/>
          </w:tcPr>
          <w:p>
            <w:pPr>
              <w:jc w:val="center"/>
              <w:ind w:left="230"/>
              <w:spacing w:after="0"/>
              <w:rPr>
                <w:sz w:val="20"/>
                <w:szCs w:val="20"/>
                <w:color w:val="auto"/>
              </w:rPr>
            </w:pPr>
            <w:r>
              <w:rPr>
                <w:rFonts w:ascii="Arial" w:cs="Arial" w:eastAsia="Arial" w:hAnsi="Arial"/>
                <w:sz w:val="13"/>
                <w:szCs w:val="13"/>
                <w:b w:val="1"/>
                <w:bCs w:val="1"/>
                <w:color w:val="auto"/>
                <w:w w:val="81"/>
              </w:rPr>
              <w:t>Series Seed</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center"/>
              <w:ind w:left="330"/>
              <w:spacing w:after="0"/>
              <w:rPr>
                <w:sz w:val="20"/>
                <w:szCs w:val="20"/>
                <w:color w:val="auto"/>
              </w:rPr>
            </w:pPr>
            <w:r>
              <w:rPr>
                <w:rFonts w:ascii="Arial" w:cs="Arial" w:eastAsia="Arial" w:hAnsi="Arial"/>
                <w:sz w:val="13"/>
                <w:szCs w:val="13"/>
                <w:b w:val="1"/>
                <w:bCs w:val="1"/>
                <w:color w:val="auto"/>
                <w:w w:val="80"/>
              </w:rPr>
              <w:t>Series A</w:t>
            </w:r>
          </w:p>
        </w:tc>
        <w:tc>
          <w:tcPr>
            <w:tcW w:w="4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28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6"/>
              </w:rPr>
              <w:t>Redeemable</w:t>
            </w:r>
          </w:p>
        </w:tc>
        <w:tc>
          <w:tcPr>
            <w:tcW w:w="200" w:type="dxa"/>
            <w:vAlign w:val="bottom"/>
          </w:tcPr>
          <w:p>
            <w:pPr>
              <w:spacing w:after="0"/>
              <w:rPr>
                <w:sz w:val="11"/>
                <w:szCs w:val="11"/>
                <w:color w:val="auto"/>
              </w:rPr>
            </w:pPr>
          </w:p>
        </w:tc>
        <w:tc>
          <w:tcPr>
            <w:tcW w:w="126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6"/>
              </w:rPr>
              <w:t>Redeemable</w:t>
            </w: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40" w:type="dxa"/>
            <w:vAlign w:val="bottom"/>
            <w:gridSpan w:val="3"/>
          </w:tcPr>
          <w:p>
            <w:pPr>
              <w:jc w:val="center"/>
              <w:ind w:left="230"/>
              <w:spacing w:after="0" w:line="140" w:lineRule="exact"/>
              <w:rPr>
                <w:sz w:val="20"/>
                <w:szCs w:val="20"/>
                <w:color w:val="auto"/>
              </w:rPr>
            </w:pPr>
            <w:r>
              <w:rPr>
                <w:rFonts w:ascii="Arial" w:cs="Arial" w:eastAsia="Arial" w:hAnsi="Arial"/>
                <w:sz w:val="13"/>
                <w:szCs w:val="13"/>
                <w:b w:val="1"/>
                <w:bCs w:val="1"/>
                <w:color w:val="auto"/>
                <w:w w:val="89"/>
              </w:rPr>
              <w:t>Convertible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4"/>
          </w:tcPr>
          <w:p>
            <w:pPr>
              <w:jc w:val="center"/>
              <w:spacing w:after="0" w:line="140" w:lineRule="exact"/>
              <w:rPr>
                <w:sz w:val="20"/>
                <w:szCs w:val="20"/>
                <w:color w:val="auto"/>
              </w:rPr>
            </w:pPr>
            <w:r>
              <w:rPr>
                <w:rFonts w:ascii="Arial" w:cs="Arial" w:eastAsia="Arial" w:hAnsi="Arial"/>
                <w:sz w:val="13"/>
                <w:szCs w:val="13"/>
                <w:b w:val="1"/>
                <w:bCs w:val="1"/>
                <w:color w:val="auto"/>
                <w:w w:val="86"/>
              </w:rPr>
              <w:t>Convertible</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4"/>
          </w:tcPr>
          <w:p>
            <w:pPr>
              <w:jc w:val="right"/>
              <w:ind w:right="160"/>
              <w:spacing w:after="0" w:line="140"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200" w:type="dxa"/>
            <w:vAlign w:val="bottom"/>
          </w:tcPr>
          <w:p>
            <w:pPr>
              <w:spacing w:after="0"/>
              <w:rPr>
                <w:sz w:val="12"/>
                <w:szCs w:val="12"/>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7"/>
              </w:rPr>
              <w:t>Paid-in</w:t>
            </w:r>
          </w:p>
        </w:tc>
        <w:tc>
          <w:tcPr>
            <w:tcW w:w="1000" w:type="dxa"/>
            <w:vAlign w:val="bottom"/>
            <w:gridSpan w:val="4"/>
          </w:tcPr>
          <w:p>
            <w:pPr>
              <w:ind w:left="120"/>
              <w:spacing w:after="0"/>
              <w:rPr>
                <w:sz w:val="20"/>
                <w:szCs w:val="20"/>
                <w:color w:val="auto"/>
              </w:rPr>
            </w:pPr>
            <w:r>
              <w:rPr>
                <w:rFonts w:ascii="Arial" w:cs="Arial" w:eastAsia="Arial" w:hAnsi="Arial"/>
                <w:sz w:val="13"/>
                <w:szCs w:val="13"/>
                <w:b w:val="1"/>
                <w:bCs w:val="1"/>
                <w:color w:val="auto"/>
              </w:rPr>
              <w:t>Accumulated</w:t>
            </w:r>
          </w:p>
        </w:tc>
        <w:tc>
          <w:tcPr>
            <w:tcW w:w="96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20" w:type="dxa"/>
            <w:vAlign w:val="bottom"/>
          </w:tcPr>
          <w:p>
            <w:pPr>
              <w:jc w:val="right"/>
              <w:ind w:right="70"/>
              <w:spacing w:after="0" w:line="129" w:lineRule="exact"/>
              <w:rPr>
                <w:sz w:val="20"/>
                <w:szCs w:val="20"/>
                <w:color w:val="auto"/>
              </w:rPr>
            </w:pPr>
            <w:r>
              <w:rPr>
                <w:rFonts w:ascii="Arial" w:cs="Arial" w:eastAsia="Arial" w:hAnsi="Arial"/>
                <w:sz w:val="13"/>
                <w:szCs w:val="13"/>
                <w:b w:val="1"/>
                <w:bCs w:val="1"/>
                <w:color w:val="auto"/>
              </w:rPr>
              <w:t>Shares</w:t>
            </w:r>
          </w:p>
        </w:tc>
        <w:tc>
          <w:tcPr>
            <w:tcW w:w="660" w:type="dxa"/>
            <w:vAlign w:val="bottom"/>
            <w:gridSpan w:val="3"/>
          </w:tcPr>
          <w:p>
            <w:pPr>
              <w:ind w:left="200"/>
              <w:spacing w:after="0" w:line="129"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700" w:type="dxa"/>
            <w:vAlign w:val="bottom"/>
          </w:tcPr>
          <w:p>
            <w:pPr>
              <w:jc w:val="right"/>
              <w:ind w:right="11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40"/>
              <w:spacing w:after="0" w:line="129" w:lineRule="exact"/>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Borders>
              <w:top w:val="single" w:sz="8" w:color="CCEEFF"/>
            </w:tcBorders>
            <w:shd w:val="clear" w:color="auto" w:fill="CCEEFF"/>
          </w:tcPr>
          <w:p>
            <w:pPr>
              <w:jc w:val="right"/>
              <w:ind w:right="1628"/>
              <w:spacing w:after="0" w:line="142" w:lineRule="exact"/>
              <w:rPr>
                <w:sz w:val="20"/>
                <w:szCs w:val="20"/>
                <w:color w:val="auto"/>
              </w:rPr>
            </w:pPr>
            <w:r>
              <w:rPr>
                <w:rFonts w:ascii="Arial" w:cs="Arial" w:eastAsia="Arial" w:hAnsi="Arial"/>
                <w:sz w:val="14"/>
                <w:szCs w:val="14"/>
                <w:color w:val="auto"/>
                <w:w w:val="89"/>
              </w:rPr>
              <w:t>Balance as of December 31, 2015</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right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5,200,000</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(163)</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20" w:type="dxa"/>
            <w:vAlign w:val="bottom"/>
          </w:tcPr>
          <w:p>
            <w:pPr>
              <w:ind w:left="120"/>
              <w:spacing w:after="0" w:line="130" w:lineRule="exact"/>
              <w:rPr>
                <w:sz w:val="20"/>
                <w:szCs w:val="20"/>
                <w:color w:val="auto"/>
              </w:rPr>
            </w:pPr>
            <w:r>
              <w:rPr>
                <w:rFonts w:ascii="Arial" w:cs="Arial" w:eastAsia="Arial" w:hAnsi="Arial"/>
                <w:sz w:val="14"/>
                <w:szCs w:val="14"/>
                <w:color w:val="auto"/>
                <w:w w:val="96"/>
              </w:rPr>
              <w:t>Issuance of series Seed redeemable convertible preferred</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tcPr>
          <w:p>
            <w:pPr>
              <w:ind w:left="280"/>
              <w:spacing w:after="0"/>
              <w:rPr>
                <w:sz w:val="20"/>
                <w:szCs w:val="20"/>
                <w:color w:val="auto"/>
              </w:rPr>
            </w:pPr>
            <w:r>
              <w:rPr>
                <w:rFonts w:ascii="Arial" w:cs="Arial" w:eastAsia="Arial" w:hAnsi="Arial"/>
                <w:sz w:val="14"/>
                <w:szCs w:val="14"/>
                <w:color w:val="auto"/>
              </w:rPr>
              <w:t>stock, net of issuance costs of $102</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3,333,333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85"/>
              </w:rPr>
              <w:t>1,398</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common stock</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20" w:type="dxa"/>
            <w:vAlign w:val="bottom"/>
          </w:tcPr>
          <w:p>
            <w:pPr>
              <w:ind w:left="120"/>
              <w:spacing w:after="0" w:line="130" w:lineRule="exact"/>
              <w:rPr>
                <w:sz w:val="20"/>
                <w:szCs w:val="20"/>
                <w:color w:val="auto"/>
              </w:rPr>
            </w:pPr>
            <w:r>
              <w:rPr>
                <w:rFonts w:ascii="Arial" w:cs="Arial" w:eastAsia="Arial" w:hAnsi="Arial"/>
                <w:sz w:val="14"/>
                <w:szCs w:val="14"/>
                <w:color w:val="auto"/>
              </w:rPr>
              <w:t>Modification of founders common stock to include</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tcPr>
          <w:p>
            <w:pPr>
              <w:ind w:left="280"/>
              <w:spacing w:after="0"/>
              <w:rPr>
                <w:sz w:val="20"/>
                <w:szCs w:val="20"/>
                <w:color w:val="auto"/>
              </w:rPr>
            </w:pPr>
            <w:r>
              <w:rPr>
                <w:rFonts w:ascii="Arial" w:cs="Arial" w:eastAsia="Arial" w:hAnsi="Arial"/>
                <w:sz w:val="14"/>
                <w:szCs w:val="14"/>
                <w:color w:val="auto"/>
              </w:rPr>
              <w:t>certain time-based vesting restricitions</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4"/>
                <w:szCs w:val="14"/>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(1,366,666)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Vesting of restricted stock awards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341,666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20" w:type="dxa"/>
            <w:vAlign w:val="bottom"/>
          </w:tcPr>
          <w:p>
            <w:pPr>
              <w:ind w:left="120"/>
              <w:spacing w:after="0" w:line="130" w:lineRule="exact"/>
              <w:rPr>
                <w:sz w:val="20"/>
                <w:szCs w:val="20"/>
                <w:color w:val="auto"/>
              </w:rPr>
            </w:pPr>
            <w:r>
              <w:rPr>
                <w:rFonts w:ascii="Arial" w:cs="Arial" w:eastAsia="Arial" w:hAnsi="Arial"/>
                <w:sz w:val="14"/>
                <w:szCs w:val="14"/>
                <w:color w:val="auto"/>
              </w:rPr>
              <w:t>Issuance of series A redeemable convertible preferred</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tcPr>
          <w:p>
            <w:pPr>
              <w:ind w:left="280"/>
              <w:spacing w:after="0"/>
              <w:rPr>
                <w:sz w:val="20"/>
                <w:szCs w:val="20"/>
                <w:color w:val="auto"/>
              </w:rPr>
            </w:pPr>
            <w:r>
              <w:rPr>
                <w:rFonts w:ascii="Arial" w:cs="Arial" w:eastAsia="Arial" w:hAnsi="Arial"/>
                <w:sz w:val="14"/>
                <w:szCs w:val="14"/>
                <w:color w:val="auto"/>
              </w:rPr>
              <w:t>stock, net of issuance costs of $203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5,714,286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7,297</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 expense</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20" w:type="dxa"/>
            <w:vAlign w:val="bottom"/>
          </w:tcPr>
          <w:p>
            <w:pPr>
              <w:ind w:left="120"/>
              <w:spacing w:after="0" w:line="130" w:lineRule="exact"/>
              <w:rPr>
                <w:sz w:val="20"/>
                <w:szCs w:val="20"/>
                <w:color w:val="auto"/>
              </w:rPr>
            </w:pPr>
            <w:r>
              <w:rPr>
                <w:rFonts w:ascii="Arial" w:cs="Arial" w:eastAsia="Arial" w:hAnsi="Arial"/>
                <w:sz w:val="14"/>
                <w:szCs w:val="14"/>
                <w:color w:val="auto"/>
              </w:rPr>
              <w:t>Accretion of issuance costs related to redeemable</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tcPr>
          <w:p>
            <w:pPr>
              <w:ind w:left="280"/>
              <w:spacing w:after="0"/>
              <w:rPr>
                <w:sz w:val="20"/>
                <w:szCs w:val="20"/>
                <w:color w:val="auto"/>
              </w:rPr>
            </w:pPr>
            <w:r>
              <w:rPr>
                <w:rFonts w:ascii="Arial" w:cs="Arial" w:eastAsia="Arial" w:hAnsi="Arial"/>
                <w:sz w:val="14"/>
                <w:szCs w:val="14"/>
                <w:color w:val="auto"/>
              </w:rPr>
              <w:t>convertible preferred stock</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102</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203</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(4,664)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(4,664)</w:t>
            </w:r>
          </w:p>
        </w:tc>
        <w:tc>
          <w:tcPr>
            <w:tcW w:w="0" w:type="dxa"/>
            <w:vAlign w:val="bottom"/>
          </w:tcPr>
          <w:p>
            <w:pPr>
              <w:spacing w:after="0"/>
              <w:rPr>
                <w:sz w:val="1"/>
                <w:szCs w:val="1"/>
                <w:color w:val="auto"/>
              </w:rPr>
            </w:pPr>
          </w:p>
        </w:tc>
      </w:tr>
      <w:tr>
        <w:trPr>
          <w:trHeight w:val="156"/>
        </w:trPr>
        <w:tc>
          <w:tcPr>
            <w:tcW w:w="3640" w:type="dxa"/>
            <w:vAlign w:val="bottom"/>
            <w:gridSpan w:val="2"/>
          </w:tcPr>
          <w:p>
            <w:pPr>
              <w:jc w:val="right"/>
              <w:ind w:right="1628"/>
              <w:spacing w:after="0" w:line="155" w:lineRule="exact"/>
              <w:rPr>
                <w:sz w:val="20"/>
                <w:szCs w:val="20"/>
                <w:color w:val="auto"/>
              </w:rPr>
            </w:pPr>
            <w:r>
              <w:rPr>
                <w:rFonts w:ascii="Arial" w:cs="Arial" w:eastAsia="Arial" w:hAnsi="Arial"/>
                <w:sz w:val="14"/>
                <w:szCs w:val="14"/>
                <w:color w:val="auto"/>
                <w:w w:val="90"/>
              </w:rPr>
              <w:t>Balance as of December 31, 2016</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3,333,333</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1,500</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5,714,286</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7,500</w:t>
            </w:r>
          </w:p>
        </w:tc>
        <w:tc>
          <w:tcPr>
            <w:tcW w:w="2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8,975,000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(4,827)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Issuance of series A redeemable convertible preferred</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dividend</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3,720,864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20" w:type="dxa"/>
            <w:vAlign w:val="bottom"/>
          </w:tcPr>
          <w:p>
            <w:pPr>
              <w:ind w:left="120"/>
              <w:spacing w:after="0" w:line="130" w:lineRule="exact"/>
              <w:rPr>
                <w:sz w:val="20"/>
                <w:szCs w:val="20"/>
                <w:color w:val="auto"/>
              </w:rPr>
            </w:pPr>
            <w:r>
              <w:rPr>
                <w:rFonts w:ascii="Arial" w:cs="Arial" w:eastAsia="Arial" w:hAnsi="Arial"/>
                <w:sz w:val="14"/>
                <w:szCs w:val="14"/>
                <w:color w:val="auto"/>
              </w:rPr>
              <w:t>Issuance of series A redeemable convertible preferred</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tcPr>
          <w:p>
            <w:pPr>
              <w:ind w:left="280"/>
              <w:spacing w:after="0"/>
              <w:rPr>
                <w:sz w:val="20"/>
                <w:szCs w:val="20"/>
                <w:color w:val="auto"/>
              </w:rPr>
            </w:pPr>
            <w:r>
              <w:rPr>
                <w:rFonts w:ascii="Arial" w:cs="Arial" w:eastAsia="Arial" w:hAnsi="Arial"/>
                <w:sz w:val="14"/>
                <w:szCs w:val="14"/>
                <w:color w:val="auto"/>
              </w:rPr>
              <w:t>stock, net of issuance costs of $85</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22,015,349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8"/>
              </w:rPr>
              <w:t>17,415</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Vesting of restricted stock awards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549,999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 expense</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Accretion of issuance costs related to redeemable</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2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(18,648)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jc w:val="right"/>
              <w:ind w:right="1628"/>
              <w:spacing w:after="0" w:line="149" w:lineRule="exact"/>
              <w:rPr>
                <w:sz w:val="20"/>
                <w:szCs w:val="20"/>
                <w:color w:val="auto"/>
              </w:rPr>
            </w:pPr>
            <w:r>
              <w:rPr>
                <w:rFonts w:ascii="Arial" w:cs="Arial" w:eastAsia="Arial" w:hAnsi="Arial"/>
                <w:sz w:val="14"/>
                <w:szCs w:val="14"/>
                <w:color w:val="auto"/>
                <w:w w:val="89"/>
              </w:rPr>
              <w:t>Balance as of December 31, 2017</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3,333,333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1,500</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31,450,499</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25,000</w:t>
            </w:r>
          </w:p>
        </w:tc>
        <w:tc>
          <w:tcPr>
            <w:tcW w:w="200" w:type="dxa"/>
            <w:vAlign w:val="bottom"/>
            <w:tcBorders>
              <w:right w:val="single" w:sz="8" w:color="auto"/>
            </w:tcBorders>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9,524,999</w:t>
            </w: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(23,475)</w:t>
            </w:r>
          </w:p>
        </w:tc>
        <w:tc>
          <w:tcPr>
            <w:tcW w:w="2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(4,664)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Amortization of deferred offering costs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license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Non-cash research and development expense related to derivative liability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long-term liability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(3,314)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(16,382)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Changes in restricted cash</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8,695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17,415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Payments of issuance costs on debt facility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8,695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17,371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5,357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Issuance of warrants associated with debt facility</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included in accrued expenses</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Accretion of issuance costs related to redeemable convertible preferred stock</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 xml:space="preserve">AVROBIO, Inc. (the “Company” or “AVROBIO”) is a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Through December 31, 2017, the Company has funded its operations primarily with proceeds from the sale of series Seed redeemable convertible preferred stock (the “Series Seed Preferred Stock”) and series A redeemable convertible preferred stock (the “Series A Preferred Stock”), (the Series Seed Preferred Stock and the Series A Preferred Stock are collectively referred to as the “Preferred Stock”). The Company has incurred recurring losses since its inception, including net losses of $4,664 and $18,648 for the years ended December 31, 2016 and 2017, respectively. In addition, as of December 31, 2017, the Company had an accumulated deficit of $23,475. The Company expects to continue to generate operating losses for the near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66"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The Company believes the cash and cash equivalents on hand as of December 31, 2017 of $5,963, together with the $60,500 of gross cash proceeds received from the Company’s sale of series B redeemable convertible preferred stock (the “Series B Preferred Stock”) in January 2018 (see Note 17) will be sufficient to fund its operations and capital expenditure requirements through at least April 6, 2019.</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AVROBIO, Inc. and its wholly owned subsidiaries. All intercompany transactions and balances have been eliminated in consolidation.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240" w:top="460"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Significant estimates and assumptions reflected in these consolidated financial statements include, but are not limited to, the accrual for research and development expenses, stock-based compensation expense, the valuation of equity and derivative instruments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the accompanying consolidated statements of operations and comprehensive loss, the unaudited pro forma basic and diluted net loss per share attributable to common stockholders for the year ended December 31, 2017 has been computed using the weighted-average number of common shares outstanding after giving pro forma effect to the conversion of all outstanding shares of redeemable convertible preferred stock into 34,783,832 shares of common stock and the conversion of the outstanding warrant to purchase shares of redeemable convertible preferred stock as of December 31, 2017 into a warrant to purchase shares of common stock, as if such conversion had occurred at the beginning of the period presented or the date of original issuance, whichever is later. Accordingly, the effect of the accretion to redemption value of the redeemable convertible preferred stock has been excluded from the determination of pro forma basic and diluted loss per share attributable to common stockholders. Additionally, the changes in the fair value of the warrant to purchase redeemable convertible preferred stock has been excluded from the determination of pro forma basic and diluted net loss per share attributable to common stockholders as these instruments are not required be recorded at fair value once it become a warrant to purchase common stock.</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acquisition to be cash equivalents. Cash and cash equivalents include cash held in banks and amounts held in interest-bearing money market accounts. Cash equivalents are carried at cost, which approximates their fair market value.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As of December 31, 2016 and 2017, restricted cash consisted of $24 used to secure a letter of credit for the benefit of the landlord in connection with the Company’s lease agreement (Note 14). These amounts are classified as other assets in the Company’s consolidated balance sheets.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Periodically, the Company maintains deposits in accredited financial institutions in excess of federally insured limits. The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240" w:top="460"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Company deposits its cash and cash equivalents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11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issuance costs until such financings are consummated. After consummation of the equity financing, these costs are recorded as a reduction of the proceeds generated as a result of the offering. Should the planned equity financing be abandoned, the deferred issuance costs will be expensed immediately as a charge to operating expenses in the consolidated statements of operations. As of December 31, 2017, the Company recorded deferred issuance costs of $85 within other assets on the consolidated balance sheet related to the Series B Preferred Stock offering which was consummated in January 2018 (Note 17). There were no amounts deferred as of December 31, 2016.</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Property and equipment are recorded at cost. Depreciation and amortization is calculated using the straight-line method over the following estimated useful lives of the assets: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2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office equipment</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2 years</w:t>
            </w: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Lesser of lease term or</w:t>
            </w: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spacing w:after="0"/>
              <w:rPr>
                <w:sz w:val="20"/>
                <w:szCs w:val="20"/>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r>
    </w:tbl>
    <w:p>
      <w:pPr>
        <w:spacing w:after="0" w:line="20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Upon disposal, retirement or sale, the cost of assets disposed of and the related accumulated depreciation are removed from the accounts and any resulting gain or loss is included in the results of operations. Expenditures for repairs and maintenance that do not improve or extend the lives of the respective assets are charged to expense as incurred.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To date, the Company has not recorded any impairment losses on long-lived assets.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Certain assets and liabilities of the Company are carried at fair value under GAAP (see Note 3).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4" w:lineRule="exact"/>
        <w:rPr>
          <w:sz w:val="20"/>
          <w:szCs w:val="20"/>
          <w:color w:val="auto"/>
        </w:rPr>
      </w:pPr>
    </w:p>
    <w:p>
      <w:pPr>
        <w:ind w:left="1060" w:hanging="424"/>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30" w:lineRule="exact"/>
        <w:rPr>
          <w:rFonts w:ascii="Arial" w:cs="Arial" w:eastAsia="Arial" w:hAnsi="Arial"/>
          <w:sz w:val="18"/>
          <w:szCs w:val="18"/>
          <w:color w:val="auto"/>
        </w:rPr>
      </w:pPr>
    </w:p>
    <w:p>
      <w:pPr>
        <w:ind w:left="1060" w:right="500" w:hanging="424"/>
        <w:spacing w:after="0" w:line="264"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6"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78"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The Company has entered into various research and development related contracts with parties both inside and outside of the United States. The payments to these agreements are recorded as research and development expenses as incurred. The Company records accrued liabilities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For stock-based awards issued to 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73"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Stock-based awards issued to non-employees are recorded at their fair values, and are periodically revalued as the awards vest and are recognized as expense over the related service period. For stock-based awards granted to non-employees subject to graded vesting that only contain service conditions, the Company has elected to recognize stock-based compensation expense using the straight-line recognition method.</w:t>
      </w:r>
    </w:p>
    <w:p>
      <w:pPr>
        <w:spacing w:after="0" w:line="166"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70"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 xml:space="preserve">Given the absence of an active market for the Company’s common stock, the Company and the Board, the members of which the Company believes have extensive business, finance, and venture capital experience, were required to estimate the fair value of the Company’s common stock at the time of each grant of a stock-based award. The Company and the Board determined the estimated fair value of the Company’s equity instruments based on a number of factors, including external market conditions affecting the biotechnology industry sector. The Company and the Board utilized various valuation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to estimate the fair value of its common stock. Each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methodology includes estimates and assumptions that require the Company’s judgment. These estimates and assumptions include a number of objective and subjective factors in determining the value of the Company’s common stock at each grant date, including: (1) prices paid for the Company’s redeemable convertible preferred stock, which the Company had sold to outside investors in arm’s-length transactions, and the rights, preferences, and privileges of the Company’s redeemable convertible preferred stock and common stock; (2) valuations performed by an independent valuation specialist; (3) the Company’s stage of development; (4) the fact that the grants of stock-based awards involved illiquid securities in a private company; and (5) the likelihood of achieving a liquidity event for the common stock underlying the stock-based awards, such as an IPO or sale of the Company, given prevailing market conditions.</w:t>
      </w:r>
    </w:p>
    <w:p>
      <w:pPr>
        <w:spacing w:after="0" w:line="18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As there is no public market for its common stock,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60"/>
          </w:cols>
          <w:pgMar w:left="240" w:top="460" w:right="4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640" w:firstLine="441"/>
        <w:spacing w:after="0" w:line="342" w:lineRule="auto"/>
        <w:rPr>
          <w:sz w:val="20"/>
          <w:szCs w:val="20"/>
          <w:color w:val="auto"/>
        </w:rPr>
      </w:pPr>
      <w:r>
        <w:rPr>
          <w:rFonts w:ascii="Arial" w:cs="Arial" w:eastAsia="Arial" w:hAnsi="Arial"/>
          <w:sz w:val="16"/>
          <w:szCs w:val="16"/>
          <w:color w:val="auto"/>
        </w:rPr>
        <w:t>See Note 10 for the assumptions used by the Company in determining the grant date fair value of stock-based awards granted, as well as a summary of the stock-based award activity under the Company’s stock-based compensation plan for the year ended December 31, 2017.</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Warrant to Purchase Preferred Stock</w:t>
      </w:r>
    </w:p>
    <w:p>
      <w:pPr>
        <w:spacing w:after="0" w:line="117"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The Company classifies the warrant for the purchase of shares of its redeemable convertible preferred stock (see Note 7) as a liability on its consolidated balance sheets as the warrant is a free-standing financial instrument that may require the Company to transfer assets upon exercise. The preferred stock warrant liability was initially recorded at fair value upon the date of issuance and is subsequently remeasured to fair value at each reporting date. Changes in the fair value of the warrant to purchase preferred stock are recognized as a component of other income (expense), net in the consolidated statements of operations and comprehensive loss. Changes in the fair value of the warrant to purchase preferred stock will continue to be recognized until the warrant is exercised, expires or qualifies for equity classification.</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utilizes the Black-Scholes option-pricing model, which incorporates assumptions and estimates, to value the warrant. The Company assesses these assumptions and estimates on a quarterly basis as additional information impacting the assumptions is obtained. Estimates and assumptions impacting the fair value measurement include the fair value per share of the underlying redeemable convertible preferred stock issuable upon exercise of the warrant, the remaining contractual term of the warrant, the risk-free interest rate, the expected dividend yield and the expected volatility of the price of the underlying redeemable convertible preferred stock.</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Comprehensive income (loss) is defined as the change in stockholders’ equity of a business enterprise during a period from transactions and other events and circumstances from non-owner sources. Comprehensive income (loss) includes net income (loss) as well as other changes in stockholders’ (deficit) equity which includes certain changes in equity that are excluded from net income (loss). Comprehensive loss has been disclosed in the accompanying statements of operations and comprehensive loss and equals the Company’s net loss for all periods presented.</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functional currency of the Company’s international operations in Canada and Australia is the U.S. dollar. Accordingly, all operating assets and liabilities of these international subsidiaries are remeasured into U.S. dollars using the exchange rates in effect at the balance sheet date or historical rates, as appropriate, while expenses are remeasured into U.S. dollars at the average rates in effect during the period. Any differences resulting from the remeasurement of assets, liabilities, and operations of the Canadian and Australian subsidiaries are recorded within other income (expense), net in the consolidated statements of operations and comprehensive loss. During the years ended December 31, 2016 and 2017, the Company recorded foreign exchange losses of $6 and $19, respectively, in other expense.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Deferred tax assets and liabilities are determined on the basis of the differences between the consolidated financial statements and tax basis of assets and liabilities using enacted tax rates in effect for the year in which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100"/>
        <w:spacing w:after="0" w:line="312" w:lineRule="auto"/>
        <w:rPr>
          <w:sz w:val="20"/>
          <w:szCs w:val="20"/>
          <w:color w:val="auto"/>
        </w:rPr>
      </w:pPr>
      <w:r>
        <w:rPr>
          <w:rFonts w:ascii="Arial" w:cs="Arial" w:eastAsia="Arial" w:hAnsi="Arial"/>
          <w:sz w:val="16"/>
          <w:szCs w:val="16"/>
          <w:color w:val="auto"/>
        </w:rPr>
        <w:t>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The Company categorizes leases at their inception as either operating or capital leases. On certain lease arrangements, the Company may receive rent holidays or other incentives. The Company recognizes lease costs on a straight-line basis once control of the space is achieved, without regard to deferred payment terms, such as rent holidays, that defer the commencement date of required payments or escalating payment amounts. The difference between required lease payments and rent expense has been recorded as deferred rent and other accrued expenses and other current liabilities in the accompanying consolidated balance sheets. Additionally, incentives received are treated as a reduction of costs over the term of the agreement, as they are considered an inseparable part of the lease agreement.</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Net income (loss) per share attributable to common stockholders is determined using the two-class method, which includes the weighted-average number of shares of common stock outstanding during the period and other securities that participate in dividends (a participating security). In periods of income, the redeemable convertible preferred stock would be considered participating securities because the shares include rights to participate in dividends with the common stock; however, the redeemable convertible preferred stock is not considered a participating security in periods of loss as they do not have an obligation to share in the Company’s net losses.</w:t>
      </w:r>
    </w:p>
    <w:p>
      <w:pPr>
        <w:spacing w:after="0" w:line="18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Under the two-class method, basic net income (loss) per share attributable to common stockholders is computed by dividing the net income (loss) attributable to common stockholders by the weighted-average number of shares of common stock outstanding during the period. Diluted net income (loss) per share attributable to common stockholders is computed using the more dilutive of (1) the two-class method or (2) the if-converted method. The Company allocates net income first to the holders of Preferred Stock based on dividend rights under the Company’s certificate of incorporation and then to preferred and common stockholders based on ownership interests.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17.</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In July 2017, the FASB issued ASU 2017-11, </w:t>
      </w:r>
      <w:r>
        <w:rPr>
          <w:rFonts w:ascii="Arial" w:cs="Arial" w:eastAsia="Arial" w:hAnsi="Arial"/>
          <w:sz w:val="17"/>
          <w:szCs w:val="17"/>
          <w:i w:val="1"/>
          <w:iCs w:val="1"/>
          <w:color w:val="auto"/>
        </w:rPr>
        <w:t>Earnings Per Share (Topic 260), Distinguishing Liabilities from Equity (Topic 480),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Part I applies to entities that issue financial instruments such as warrants, convertible debt or convertible preferred stock that contain</w:t>
      </w:r>
      <w:r>
        <w:rPr>
          <w:rFonts w:ascii="Arial" w:cs="Arial" w:eastAsia="Arial" w:hAnsi="Arial"/>
          <w:sz w:val="17"/>
          <w:szCs w:val="17"/>
          <w:i w:val="1"/>
          <w:iCs w:val="1"/>
          <w:color w:val="auto"/>
        </w:rPr>
        <w:t xml:space="preserve"> </w:t>
      </w:r>
      <w:r>
        <w:rPr>
          <w:rFonts w:ascii="Arial" w:cs="Arial" w:eastAsia="Arial" w:hAnsi="Arial"/>
          <w:sz w:val="17"/>
          <w:szCs w:val="17"/>
          <w:color w:val="auto"/>
        </w:rPr>
        <w:t>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The Company is currently evaluating the impact that the adoption of ASU 2017-11 will have on its consolidated financial statements.</w:t>
      </w:r>
    </w:p>
    <w:p>
      <w:pPr>
        <w:spacing w:after="0" w:line="18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is currently evaluating the impact that the adoption of ASU 2017-09 will have on its consolidated financial statements.</w:t>
      </w:r>
    </w:p>
    <w:p>
      <w:pPr>
        <w:spacing w:after="0" w:line="16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which requires restricted cash to be presented with cash and cash equivalents on the statement of cash flows and disclosure of how the statement of cash flows reconciles to the balance sheet if restricted cash is shown separately from cash and cash equivalents on the balance sheet. For public entities, the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standard is effective for annual periods beginning after December 15, 2017, including interim periods within those fiscal years. For all other entities, the standard is effective for annual periods beginning after December 15, 2018, including interim periods within fiscal years beginning after December 15, 2019. Early adoption is permitted. The Company is currently evaluating the impact that the adoption of ASU 2016-18 will have on its consolidated financial statements.</w:t>
      </w:r>
    </w:p>
    <w:p>
      <w:pPr>
        <w:spacing w:after="0" w:line="18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xml:space="preserve"> (“ASU 2016-15”), to address diversity in practice in how certain cash receipts and cash payments are presented and classified in the statement of cash flows. For public entities, the standard is effective for annual periods beginning after December 15, 2017, including interim periods within those fiscal years. For all other entities, the standard is effective for fiscal years beginning after December 15, 2018, and interim periods within fiscal years beginning after December 15, 2019. The Company is currently evaluating the impact that the adoption of ASU 2016-15 will have on its consolidated financial statements.</w:t>
      </w:r>
    </w:p>
    <w:p>
      <w:pPr>
        <w:spacing w:after="0" w:line="19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ASU 2016-02 supersedes the previous leases standard, ASC 840, </w:t>
      </w:r>
      <w:r>
        <w:rPr>
          <w:rFonts w:ascii="Arial" w:cs="Arial" w:eastAsia="Arial" w:hAnsi="Arial"/>
          <w:sz w:val="16"/>
          <w:szCs w:val="16"/>
          <w:i w:val="1"/>
          <w:iCs w:val="1"/>
          <w:color w:val="auto"/>
        </w:rPr>
        <w:t>Leases</w:t>
      </w:r>
      <w:r>
        <w:rPr>
          <w:rFonts w:ascii="Arial" w:cs="Arial" w:eastAsia="Arial" w:hAnsi="Arial"/>
          <w:sz w:val="16"/>
          <w:szCs w:val="16"/>
          <w:color w:val="auto"/>
        </w:rPr>
        <w:t>. For public entities, not-for-profit entities and an employee benefit plan that files financial statements with the U.S. Securities and Exchange Commission (SEC), the standard is effective for public entities for annual periods beginning after December 15, 2018 including interim periods within those fiscal years. For all other entities, the standard is effective for fiscal years beginning after December 15, 2019, and interim periods within fiscal years beginning after December 15, 2020. Early adoption is permitted.</w:t>
      </w:r>
    </w:p>
    <w:p>
      <w:pPr>
        <w:spacing w:after="0" w:line="16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 xml:space="preserve">In September 2017, the FASB issued ASU No. 2017-13, </w:t>
      </w:r>
      <w:r>
        <w:rPr>
          <w:rFonts w:ascii="Arial" w:cs="Arial" w:eastAsia="Arial" w:hAnsi="Arial"/>
          <w:sz w:val="18"/>
          <w:szCs w:val="18"/>
          <w:i w:val="1"/>
          <w:iCs w:val="1"/>
          <w:color w:val="auto"/>
        </w:rPr>
        <w:t>Revenue Recognition (Topic 605), 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Leases (Topic 840), and Leases (Topic 842)</w:t>
      </w:r>
      <w:r>
        <w:rPr>
          <w:rFonts w:ascii="Arial" w:cs="Arial" w:eastAsia="Arial" w:hAnsi="Arial"/>
          <w:sz w:val="18"/>
          <w:szCs w:val="18"/>
          <w:color w:val="auto"/>
        </w:rPr>
        <w:t>, which provides additional clarification and implementation guidance related to ASU 2016-02 and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effective date and transition requirements as ASU 2016-02. The Company is currently evaluating the impact that the adoption of ASU 2016-02 will have on its consolidated financial statements.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21"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and indicate the level of the fair value hierarchy utilized to determine such fair values as of December 31, 2016 and 2017:</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December 31, 2016 Using:</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Level 1</w:t>
            </w: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140" w:type="dxa"/>
            <w:vAlign w:val="bottom"/>
            <w:gridSpan w:val="4"/>
          </w:tcPr>
          <w:p>
            <w:pPr>
              <w:ind w:left="36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20" w:type="dxa"/>
            <w:vAlign w:val="bottom"/>
            <w:gridSpan w:val="2"/>
          </w:tcPr>
          <w:p>
            <w:pPr>
              <w:jc w:val="right"/>
              <w:ind w:right="43"/>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2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December 31, 2017 Using:</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Level 1</w:t>
            </w: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140" w:type="dxa"/>
            <w:vAlign w:val="bottom"/>
            <w:gridSpan w:val="4"/>
          </w:tcPr>
          <w:p>
            <w:pPr>
              <w:ind w:left="36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$5,684</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5,708</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5,708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Derivative liability</w:t>
            </w:r>
          </w:p>
        </w:tc>
        <w:tc>
          <w:tcPr>
            <w:tcW w:w="220" w:type="dxa"/>
            <w:vAlign w:val="bottom"/>
            <w:gridSpan w:val="2"/>
          </w:tcPr>
          <w:p>
            <w:pPr>
              <w:jc w:val="right"/>
              <w:ind w:right="43"/>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$ 371</w:t>
            </w:r>
          </w:p>
        </w:tc>
        <w:tc>
          <w:tcPr>
            <w:tcW w:w="3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$ 406</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years ended December 31, 2016 and 2017, there were no transfers between Level 1, Level 2 and Level 3.</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the Warrant to Purchase Preferred Stock</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warrant to purchase redeemable convertible preferred stock liability in the table above is composed of the fair value of a warrant to purchase shares of Series A Preferred Stock that was issued to a lender in connection with a loan and security agreement in 2017 (the “Loan Agreement”) (Note 7). The fair value of the warrant to purchase preferred stock was determined based on significant inputs not observable in the market, which represents a Level 3 measurement within the fair value hierarchy.</w:t>
      </w:r>
    </w:p>
    <w:p>
      <w:pPr>
        <w:spacing w:after="0" w:line="18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In order to determine the fair value of the warrant to purchase preferred stock, the Company utilizes available facts and circumstances to estimate the number of shares of Series A Preferred Stock for which the warrant will ultimately be exercisable. The Company then used the Black-Scholes option-pricing model, which incorporates assumptions and estimates, to value the warrant to purchase preferred stock. Estimates and assumptions impacting the fair value measurement include the fair value of the underlying shares of Series A Preferred Stock, the remaining contractual term of the warrant, risk-free interest rate, expected dividend yield and expected volatility of the price of the underlying preferred stock. The Company determined the fair value of the underlying preferred stock based on various valuation methodologies. The Company lacks company-specific</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240" w:top="460" w:right="4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35"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historical and implied volatility information of its stock. Therefore, it estimates its expected stock volatility based on the historical volatility of publicly traded guideline companies for a term equal to the remaining contractual term of the warrant. The risk-free interest rate is determined by reference to the U.S. Treasury yield curve for time periods approximately equal to the remaining contractual term of the warrant. The Company estimated no expected dividend yield based on the fact that the Company has never paid or declared dividends and does not intend to do so in the foreseeable future.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assumptions that the Company used to determine the fair value of the warrant to purchase preferred stock are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June 23, 2017</w:t>
            </w:r>
          </w:p>
        </w:tc>
        <w:tc>
          <w:tcPr>
            <w:tcW w:w="20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320" w:type="dxa"/>
            <w:vAlign w:val="bottom"/>
            <w:gridSpan w:val="2"/>
          </w:tcPr>
          <w:p>
            <w:pPr>
              <w:jc w:val="center"/>
              <w:ind w:left="2114"/>
              <w:spacing w:after="0"/>
              <w:rPr>
                <w:sz w:val="20"/>
                <w:szCs w:val="20"/>
                <w:color w:val="auto"/>
              </w:rPr>
            </w:pPr>
            <w:r>
              <w:rPr>
                <w:rFonts w:ascii="Arial" w:cs="Arial" w:eastAsia="Arial" w:hAnsi="Arial"/>
                <w:sz w:val="14"/>
                <w:szCs w:val="14"/>
                <w:b w:val="1"/>
                <w:bCs w:val="1"/>
                <w:color w:val="auto"/>
                <w:w w:val="89"/>
              </w:rPr>
              <w:t>(Date of issuance)</w:t>
            </w:r>
          </w:p>
        </w:tc>
        <w:tc>
          <w:tcPr>
            <w:tcW w:w="2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contractual term (years)</w:t>
            </w:r>
          </w:p>
        </w:tc>
        <w:tc>
          <w:tcPr>
            <w:tcW w:w="2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8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20" w:type="dxa"/>
            <w:vAlign w:val="bottom"/>
            <w:gridSpan w:val="2"/>
          </w:tcPr>
          <w:p>
            <w:pPr>
              <w:jc w:val="center"/>
              <w:ind w:left="2134"/>
              <w:spacing w:after="0"/>
              <w:rPr>
                <w:sz w:val="20"/>
                <w:szCs w:val="20"/>
                <w:color w:val="auto"/>
              </w:rPr>
            </w:pPr>
            <w:r>
              <w:rPr>
                <w:rFonts w:ascii="Arial" w:cs="Arial" w:eastAsia="Arial" w:hAnsi="Arial"/>
                <w:sz w:val="18"/>
                <w:szCs w:val="18"/>
                <w:color w:val="auto"/>
                <w:w w:val="90"/>
              </w:rPr>
              <w:t>2.15%</w:t>
            </w:r>
          </w:p>
        </w:tc>
        <w:tc>
          <w:tcPr>
            <w:tcW w:w="2060" w:type="dxa"/>
            <w:vAlign w:val="bottom"/>
            <w:gridSpan w:val="2"/>
          </w:tcPr>
          <w:p>
            <w:pPr>
              <w:jc w:val="center"/>
              <w:ind w:left="794"/>
              <w:spacing w:after="0"/>
              <w:rPr>
                <w:sz w:val="20"/>
                <w:szCs w:val="20"/>
                <w:color w:val="auto"/>
              </w:rPr>
            </w:pPr>
            <w:r>
              <w:rPr>
                <w:rFonts w:ascii="Arial" w:cs="Arial" w:eastAsia="Arial" w:hAnsi="Arial"/>
                <w:sz w:val="18"/>
                <w:szCs w:val="18"/>
                <w:color w:val="auto"/>
                <w:w w:val="90"/>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320" w:type="dxa"/>
            <w:vAlign w:val="bottom"/>
            <w:gridSpan w:val="2"/>
            <w:shd w:val="clear" w:color="auto" w:fill="CCEEFF"/>
          </w:tcPr>
          <w:p>
            <w:pPr>
              <w:jc w:val="center"/>
              <w:ind w:left="2114"/>
              <w:spacing w:after="0"/>
              <w:rPr>
                <w:sz w:val="20"/>
                <w:szCs w:val="20"/>
                <w:color w:val="auto"/>
              </w:rPr>
            </w:pPr>
            <w:r>
              <w:rPr>
                <w:rFonts w:ascii="Arial" w:cs="Arial" w:eastAsia="Arial" w:hAnsi="Arial"/>
                <w:sz w:val="18"/>
                <w:szCs w:val="18"/>
                <w:color w:val="auto"/>
                <w:w w:val="91"/>
              </w:rPr>
              <w:t>80.00%</w:t>
            </w:r>
          </w:p>
        </w:tc>
        <w:tc>
          <w:tcPr>
            <w:tcW w:w="2060" w:type="dxa"/>
            <w:vAlign w:val="bottom"/>
            <w:gridSpan w:val="2"/>
            <w:shd w:val="clear" w:color="auto" w:fill="CCEEFF"/>
          </w:tcPr>
          <w:p>
            <w:pPr>
              <w:jc w:val="center"/>
              <w:ind w:left="774"/>
              <w:spacing w:after="0"/>
              <w:rPr>
                <w:sz w:val="20"/>
                <w:szCs w:val="20"/>
                <w:color w:val="auto"/>
              </w:rPr>
            </w:pPr>
            <w:r>
              <w:rPr>
                <w:rFonts w:ascii="Arial" w:cs="Arial" w:eastAsia="Arial" w:hAnsi="Arial"/>
                <w:sz w:val="18"/>
                <w:szCs w:val="18"/>
                <w:color w:val="auto"/>
                <w:w w:val="91"/>
              </w:rPr>
              <w:t>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20" w:type="dxa"/>
            <w:vAlign w:val="bottom"/>
          </w:tcPr>
          <w:p>
            <w:pPr>
              <w:spacing w:after="0"/>
              <w:rPr>
                <w:sz w:val="18"/>
                <w:szCs w:val="18"/>
                <w:color w:val="auto"/>
              </w:rPr>
            </w:pPr>
          </w:p>
        </w:tc>
        <w:tc>
          <w:tcPr>
            <w:tcW w:w="1100" w:type="dxa"/>
            <w:vAlign w:val="bottom"/>
          </w:tcPr>
          <w:p>
            <w:pPr>
              <w:ind w:left="4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18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A Preferred Stock per share</w:t>
            </w:r>
          </w:p>
        </w:tc>
        <w:tc>
          <w:tcPr>
            <w:tcW w:w="3320" w:type="dxa"/>
            <w:vAlign w:val="bottom"/>
            <w:gridSpan w:val="2"/>
            <w:shd w:val="clear" w:color="auto" w:fill="CCEEFF"/>
          </w:tcPr>
          <w:p>
            <w:pPr>
              <w:jc w:val="center"/>
              <w:ind w:left="2114"/>
              <w:spacing w:after="0"/>
              <w:rPr>
                <w:sz w:val="20"/>
                <w:szCs w:val="20"/>
                <w:color w:val="auto"/>
              </w:rPr>
            </w:pPr>
            <w:r>
              <w:rPr>
                <w:rFonts w:ascii="Arial" w:cs="Arial" w:eastAsia="Arial" w:hAnsi="Arial"/>
                <w:sz w:val="18"/>
                <w:szCs w:val="18"/>
                <w:color w:val="auto"/>
                <w:w w:val="88"/>
              </w:rPr>
              <w:t>$0.79</w:t>
            </w:r>
          </w:p>
        </w:tc>
        <w:tc>
          <w:tcPr>
            <w:tcW w:w="2060" w:type="dxa"/>
            <w:vAlign w:val="bottom"/>
            <w:gridSpan w:val="2"/>
            <w:shd w:val="clear" w:color="auto" w:fill="CCEEFF"/>
          </w:tcPr>
          <w:p>
            <w:pPr>
              <w:jc w:val="center"/>
              <w:ind w:left="774"/>
              <w:spacing w:after="0"/>
              <w:rPr>
                <w:sz w:val="20"/>
                <w:szCs w:val="20"/>
                <w:color w:val="auto"/>
              </w:rPr>
            </w:pPr>
            <w:r>
              <w:rPr>
                <w:rFonts w:ascii="Arial" w:cs="Arial" w:eastAsia="Arial" w:hAnsi="Arial"/>
                <w:sz w:val="18"/>
                <w:szCs w:val="18"/>
                <w:color w:val="auto"/>
                <w:w w:val="88"/>
              </w:rPr>
              <w:t>$1.42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340" w:firstLine="441"/>
        <w:spacing w:after="0" w:line="277" w:lineRule="auto"/>
        <w:rPr>
          <w:sz w:val="20"/>
          <w:szCs w:val="20"/>
          <w:color w:val="auto"/>
        </w:rPr>
      </w:pPr>
      <w:r>
        <w:rPr>
          <w:rFonts w:ascii="Arial" w:cs="Arial" w:eastAsia="Arial" w:hAnsi="Arial"/>
          <w:sz w:val="18"/>
          <w:szCs w:val="18"/>
          <w:color w:val="auto"/>
        </w:rPr>
        <w:t>The following table sets forth a summary of changes in the fair value of the Company’s preferred stock warrant liability for which fair value is determined by Level 3 inputs: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4"/>
              </w:rPr>
              <w:t>Warrant</w:t>
            </w:r>
          </w:p>
        </w:tc>
      </w:tr>
      <w:tr>
        <w:trPr>
          <w:trHeight w:val="17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4"/>
              </w:rPr>
              <w:t>Liability</w:t>
            </w:r>
          </w:p>
        </w:tc>
      </w:tr>
      <w:tr>
        <w:trPr>
          <w:trHeight w:val="210"/>
        </w:trPr>
        <w:tc>
          <w:tcPr>
            <w:tcW w:w="20" w:type="dxa"/>
            <w:vAlign w:val="bottom"/>
          </w:tcPr>
          <w:p>
            <w:pPr>
              <w:spacing w:after="0"/>
              <w:rPr>
                <w:sz w:val="18"/>
                <w:szCs w:val="18"/>
                <w:color w:val="auto"/>
              </w:rPr>
            </w:pPr>
          </w:p>
        </w:tc>
        <w:tc>
          <w:tcPr>
            <w:tcW w:w="10420" w:type="dxa"/>
            <w:vAlign w:val="bottom"/>
            <w:tcBorders>
              <w:top w:val="single" w:sz="8" w:color="CCEEFF"/>
            </w:tcBorders>
            <w:shd w:val="clear" w:color="auto" w:fill="CCEEFF"/>
          </w:tcPr>
          <w:p>
            <w:pPr>
              <w:jc w:val="right"/>
              <w:ind w:right="7910"/>
              <w:spacing w:after="0"/>
              <w:rPr>
                <w:sz w:val="20"/>
                <w:szCs w:val="20"/>
                <w:color w:val="auto"/>
              </w:rPr>
            </w:pPr>
            <w:r>
              <w:rPr>
                <w:rFonts w:ascii="Arial" w:cs="Arial" w:eastAsia="Arial" w:hAnsi="Arial"/>
                <w:sz w:val="18"/>
                <w:szCs w:val="18"/>
                <w:color w:val="auto"/>
                <w:w w:val="88"/>
              </w:rPr>
              <w:t>Balance as of December 31, 2016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Initial fair value of warrant to purchase redeemable convertible preferred stock</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23"/>
        </w:trPr>
        <w:tc>
          <w:tcPr>
            <w:tcW w:w="10440" w:type="dxa"/>
            <w:vAlign w:val="bottom"/>
            <w:gridSpan w:val="2"/>
          </w:tcPr>
          <w:p>
            <w:pPr>
              <w:jc w:val="right"/>
              <w:ind w:right="7910"/>
              <w:spacing w:after="0"/>
              <w:rPr>
                <w:sz w:val="20"/>
                <w:szCs w:val="20"/>
                <w:color w:val="auto"/>
              </w:rPr>
            </w:pPr>
            <w:r>
              <w:rPr>
                <w:rFonts w:ascii="Arial" w:cs="Arial" w:eastAsia="Arial" w:hAnsi="Arial"/>
                <w:sz w:val="18"/>
                <w:szCs w:val="18"/>
                <w:color w:val="auto"/>
                <w:w w:val="88"/>
              </w:rPr>
              <w:t>Balance as of December 31, 2017</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Derivative</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In January 2016, in connection with a license agreement entered into with University Health Network (“UHN”), and as part of the initial consideration for the license, the Company issued 4,800,000 shares of common stock to UHN pursuant to a stock purchase agreement (the “Stock Purchase Agreement”). See Note 11 for further discussion on the license agreement. The shares were fully vested on the date of issuance and did not contain any restrictions. The Stock Purchase Agreement contains a provision requiring the Company to make a cash payment to UHN of up to $2,000 if UHN’s fully diluted ownership is reduced within specified percentages as part of an IPO by the Company. The Company concluded the anti-dilution feature represented a derivative instrument and should be measured at fair value, with changes in fair value recognized as a gain or loss to other income (expense), net in the consolidated statements of operations and comprehensive loss. The initial fair value of the derivative of $49 was recorded as research and development expense in January 2016.</w:t>
      </w:r>
    </w:p>
    <w:p>
      <w:pPr>
        <w:spacing w:after="0" w:line="17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On December 31, 2016 and 2017, the Company remeasured the fair value of the derivative, using current assumptions, resulting in an increase in fair value of $39 and $283, respectively, which was recorded in other expense in the accompanying consolidated statements of operations and comprehensive loss for the years ended December 31, 2016 and 2017. The Company will continue to re-measure the fair value of the liability at the end of each reporting period until the completion of an IPO.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60" w:right="4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a summary of changes in the fair value of the Company’s derivative liability for which fair value is determined by</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Level 3 inputs: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5"/>
          </w:tcPr>
          <w:p>
            <w:pPr>
              <w:ind w:left="12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4"/>
          </w:tcPr>
          <w:p>
            <w:pPr>
              <w:ind w:left="6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Initial fair value of derivative liability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Balance as of December 31, 2016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Balance as of December 31, 2017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6"/>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2016</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research and development costs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8"/>
              </w:rPr>
              <w:t>$ —</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$ 163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Prepaid rent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4"/>
              </w:rPr>
              <w:t>$ 19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460" w:right="419" w:bottom="1440" w:gutter="0" w:footer="0" w:header="0"/>
        </w:sectPr>
      </w:pPr>
    </w:p>
    <w:p>
      <w:pPr>
        <w:spacing w:after="0" w:line="1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Property and equipment, net consisted of the following:</w:t>
      </w: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Laboratory and office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Leasehold improvements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Computer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December 31,</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2017</w:t>
      </w:r>
    </w:p>
    <w:p>
      <w:pPr>
        <w:spacing w:after="0" w:line="9" w:lineRule="exact"/>
        <w:rPr>
          <w:sz w:val="20"/>
          <w:szCs w:val="20"/>
          <w:color w:val="auto"/>
        </w:rPr>
      </w:pPr>
    </w:p>
    <w:p>
      <w:pPr>
        <w:ind w:left="561" w:hanging="561"/>
        <w:spacing w:after="0"/>
        <w:tabs>
          <w:tab w:leader="none" w:pos="56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126</w:t>
      </w:r>
    </w:p>
    <w:p>
      <w:pPr>
        <w:spacing w:after="0" w:line="7" w:lineRule="exact"/>
        <w:rPr>
          <w:rFonts w:ascii="Arial" w:cs="Arial" w:eastAsia="Arial" w:hAnsi="Arial"/>
          <w:sz w:val="18"/>
          <w:szCs w:val="18"/>
          <w:color w:val="auto"/>
        </w:rPr>
      </w:pPr>
    </w:p>
    <w:p>
      <w:pPr>
        <w:ind w:left="561"/>
        <w:spacing w:after="0"/>
        <w:rPr>
          <w:rFonts w:ascii="Arial" w:cs="Arial" w:eastAsia="Arial" w:hAnsi="Arial"/>
          <w:sz w:val="18"/>
          <w:szCs w:val="18"/>
          <w:color w:val="auto"/>
        </w:rPr>
      </w:pPr>
      <w:r>
        <w:rPr>
          <w:rFonts w:ascii="Arial" w:cs="Arial" w:eastAsia="Arial" w:hAnsi="Arial"/>
          <w:sz w:val="18"/>
          <w:szCs w:val="18"/>
          <w:color w:val="auto"/>
        </w:rPr>
        <w:t>240</w:t>
      </w:r>
    </w:p>
    <w:p>
      <w:pPr>
        <w:spacing w:after="0" w:line="9" w:lineRule="exact"/>
        <w:rPr>
          <w:rFonts w:ascii="Arial" w:cs="Arial" w:eastAsia="Arial" w:hAnsi="Arial"/>
          <w:sz w:val="18"/>
          <w:szCs w:val="18"/>
          <w:color w:val="auto"/>
        </w:rPr>
      </w:pPr>
    </w:p>
    <w:p>
      <w:pPr>
        <w:ind w:left="661"/>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1" w:lineRule="exact"/>
        <w:rPr>
          <w:rFonts w:ascii="Arial" w:cs="Arial" w:eastAsia="Arial" w:hAnsi="Arial"/>
          <w:sz w:val="18"/>
          <w:szCs w:val="18"/>
          <w:color w:val="auto"/>
        </w:rPr>
      </w:pPr>
    </w:p>
    <w:p>
      <w:pPr>
        <w:ind w:left="561"/>
        <w:spacing w:after="0"/>
        <w:rPr>
          <w:rFonts w:ascii="Arial" w:cs="Arial" w:eastAsia="Arial" w:hAnsi="Arial"/>
          <w:sz w:val="18"/>
          <w:szCs w:val="18"/>
          <w:color w:val="auto"/>
        </w:rPr>
      </w:pPr>
      <w:r>
        <w:rPr>
          <w:rFonts w:ascii="Arial" w:cs="Arial" w:eastAsia="Arial" w:hAnsi="Arial"/>
          <w:sz w:val="18"/>
          <w:szCs w:val="18"/>
          <w:color w:val="auto"/>
        </w:rPr>
        <w:t>394</w:t>
      </w:r>
    </w:p>
    <w:p>
      <w:pPr>
        <w:spacing w:after="0" w:line="23" w:lineRule="exact"/>
        <w:rPr>
          <w:rFonts w:ascii="Arial" w:cs="Arial" w:eastAsia="Arial" w:hAnsi="Arial"/>
          <w:sz w:val="18"/>
          <w:szCs w:val="18"/>
          <w:color w:val="auto"/>
        </w:rPr>
      </w:pPr>
    </w:p>
    <w:p>
      <w:pPr>
        <w:ind w:left="601"/>
        <w:spacing w:after="0"/>
        <w:rPr>
          <w:rFonts w:ascii="Arial" w:cs="Arial" w:eastAsia="Arial" w:hAnsi="Arial"/>
          <w:sz w:val="18"/>
          <w:szCs w:val="18"/>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5314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20320</wp:posOffset>
            </wp:positionV>
            <wp:extent cx="53149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5" w:lineRule="exact"/>
        <w:rPr>
          <w:sz w:val="20"/>
          <w:szCs w:val="20"/>
          <w:color w:val="auto"/>
        </w:rPr>
      </w:pPr>
    </w:p>
    <w:p>
      <w:pPr>
        <w:ind w:left="561" w:hanging="561"/>
        <w:spacing w:after="0"/>
        <w:tabs>
          <w:tab w:leader="none" w:pos="56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314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53149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59" w:space="720"/>
            <w:col w:w="961"/>
          </w:cols>
          <w:pgMar w:left="240" w:top="460" w:right="419" w:bottom="1440" w:gutter="0" w:footer="0" w:header="0"/>
          <w:type w:val="continuous"/>
        </w:sectPr>
      </w:pPr>
    </w:p>
    <w:p>
      <w:pPr>
        <w:spacing w:after="0" w:line="79"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As of December 31, 2016, the Company did not hold any property and equipment. Depreciation and amortization expense for the year ended December 31, 2017 was $45.</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60" w:right="419" w:bottom="1440" w:gutter="0" w:footer="0" w:header="0"/>
          <w:type w:val="continuous"/>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 costs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professional fees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Preferred stock issuance cost</w:t>
            </w: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551</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2,098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On June 23, 2017, the Company entered into the Loan Agreement with a lender, which provided for the issuance of term loans of up to $10,000, subject to the achievement of various development and corporate milestones. Any outstanding principal amounts under the Loan Agreement will accrue interest at a floating per annum rate equal to the greater of 1% and the “prime rate,” as defined in the Loan Agreement, minus 3%. 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 As of December 31, 2017, the Company had not drawn down from the facility and $3,500 was available to the Company.</w:t>
      </w:r>
    </w:p>
    <w:p>
      <w:pPr>
        <w:spacing w:after="0" w:line="17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Loan Agreement contains customary indemnification obligations and customary events of default. In the event of default by the Company under the Loan Agreement, the lender would be entitled to exercise their remedies thereunder, including the right to accelerate the debt, upon which the Company may be required to repay all amounts then outstanding under the Loan Agreement or the lender may take possession of the collateral securing the Loan Agreement. No events of default had occurred through December 31, 2017.</w:t>
      </w:r>
    </w:p>
    <w:p>
      <w:pPr>
        <w:spacing w:after="0" w:line="18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Loan Agreement also includes certain restrictions on, among other things, the Company’s ability to incur additional indebtedness, change the name or location of its business, merge with or acquire other entities, pay dividends or make other distributions to holders of the Company’s capital stock, make certain investments, engage in transactions with affiliates, create liens, open new deposit accounts, sell assets or pay subordinated debt.</w:t>
      </w:r>
    </w:p>
    <w:p>
      <w:pPr>
        <w:spacing w:after="0" w:line="14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In connection with the Loan Agreement, the Company agreed to issue a warrant to the lender for the purchase of up to 188,702 shares of the Company’s Series A Preferred Stock with an exercise price of $0.7949 per share. The warrant expires on June 22, 2027. The warrant is initially exercisable for the purchase of up to 28,305 shares of Series A Preferred Stock and can become exercisable for up to an additional 160,397 shares of Series A Preferred Stock based on the amounts drawn under the Loan Agreement. On the issuance date of the warrant, the Company recorded a deferred financing cost and a liability for the warrant to purchase preferred stock in the Company’s consolidated balance sheet equal to the issuance-date fair value of the warrant. As of December 31, 2017, the warrant is exercisable for up to 28,305 shares of Series A Preferred Stock.</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 (continued)</w:t>
      </w:r>
    </w:p>
    <w:p>
      <w:pPr>
        <w:spacing w:after="0" w:line="13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On the date of issuance, the fair value of the warrant was determined to be $18. The Company remeasured the liability associated with the warrant as of December 31, 2017 and determined that the fair value of the preferred stock warrant liability was $35. The Company recognized a loss of $17 in the consolidated statements of operations and comprehensive loss for the year ended December 31, 2017, related to the change in fair value of the warrant.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21" w:lineRule="exact"/>
        <w:rPr>
          <w:sz w:val="20"/>
          <w:szCs w:val="20"/>
          <w:color w:val="auto"/>
        </w:rPr>
      </w:pPr>
    </w:p>
    <w:p>
      <w:pPr>
        <w:ind w:left="200" w:right="180" w:firstLine="441"/>
        <w:spacing w:after="0" w:line="288" w:lineRule="auto"/>
        <w:rPr>
          <w:sz w:val="20"/>
          <w:szCs w:val="20"/>
          <w:color w:val="auto"/>
        </w:rPr>
      </w:pPr>
      <w:r>
        <w:rPr>
          <w:rFonts w:ascii="Arial" w:cs="Arial" w:eastAsia="Arial" w:hAnsi="Arial"/>
          <w:sz w:val="16"/>
          <w:szCs w:val="16"/>
          <w:color w:val="auto"/>
        </w:rPr>
        <w:t>As of December 31, 2016, the authorized capital stock of the Company included 22,380,952 shares of $0.0001 par value preferred stock, of which 3,333,333 shares have been designated as Series Seed Preferred Stock and 19,047,619 shares have been designated as Series A Preferred Stock. As of December 31, 2017, the authorized capital stock of the Company included 34,972,535 shares of $0.0001 par value preferred stock, of</w:t>
      </w:r>
    </w:p>
    <w:p>
      <w:pPr>
        <w:ind w:left="200"/>
        <w:spacing w:after="0"/>
        <w:rPr>
          <w:sz w:val="20"/>
          <w:szCs w:val="20"/>
          <w:color w:val="auto"/>
        </w:rPr>
      </w:pPr>
      <w:r>
        <w:rPr>
          <w:rFonts w:ascii="Arial" w:cs="Arial" w:eastAsia="Arial" w:hAnsi="Arial"/>
          <w:sz w:val="16"/>
          <w:szCs w:val="16"/>
          <w:color w:val="auto"/>
        </w:rPr>
        <w:t>which 3,333,333 shares have been designated as Series Seed Preferred Stock and 31,639,202 shares have been designated as Series A Preferred Stock.</w:t>
      </w:r>
    </w:p>
    <w:p>
      <w:pPr>
        <w:spacing w:after="0" w:line="234"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January 2016, the Company issued and sold 3,333,333 shares of Series Seed Preferred Stock at a price of $0.45 per share, for total proceeds of $1,398, net of issuance costs of $102.</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July 2016, the Company issued and sold 5,714,286 shares of Series A Preferred Stock, at a price of $1.3125 per share, for total proceeds of $7,297, net of issuance costs of $203. The terms of the Series A Preferred Stock Purchase Agreement included the obligation of the investors to purchase, and the Company to sell, up to 13,333,333 additional shares of Series A Preferred Stock at $1.3125 per share contingent upon the achievement of certain specified milestones or at the election of a required vote by the investors and the Board. The Company concluded that the right to participate in the future issuance of Series A Preferred Stock did not meet the definition of a freestanding financial instrument, as the rights were not legally detachable from the Series A Preferred Stock.</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March 2017, the Company amended certain provisions of the Series A Preferred Stock. The changes included issuing additional instruments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through the preferred stock dividend in the amount of 3,720,864 shares of Series A Preferred Stock, which effectively repriced the outstanding shares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Series A Preferred Stock, changing the purchase price for future shares, and decreasing the redemption price per share such that total redemption value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was not affected. Concurrent with the amendment, the Company issued 4,403,070 additional shares of Series A Preferred Stock at a purchase price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$0.7949 per share, for total proceeds of $3,452, net of issuance costs of $48. Additionally, the number of shares of Series A Preferred Stock which could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 issued in the future was changed to 17,612,279 shares. The Company assessed the changes to the terms and concluded that it represented a material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change to substantive terms of the instrument, and therefore represented, for accounting purposes, an extinguishment and re-issuance of the Series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Preferred Stock outstanding at the time. As the carrying value of the outstanding shares of Series A Preferred Stock prior to the extinguishment was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deemed to equal the aggregate fair value of the reissued shares and the shares issued as a dividend, no gain or loss was recognized on extinguishment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Series A Preferred Stock.</w:t>
      </w:r>
    </w:p>
    <w:p>
      <w:pPr>
        <w:spacing w:after="0" w:line="21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October 2017, the Company issued and sold an additional 17,612,279 shares of Series A Preferred Stock, at a price of $0.7949 per share, for total proceeds of $13,963, net of issuance costs of $37.</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each balance sheet date, the Preferred Stock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6"/>
              </w:rPr>
              <w:t>December 31, 2016</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4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3"/>
              </w:rPr>
              <w:t>Preferred</w:t>
            </w:r>
          </w:p>
        </w:tc>
        <w:tc>
          <w:tcPr>
            <w:tcW w:w="8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Preferred</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22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5"/>
              </w:rPr>
              <w:t>Liquidation</w:t>
            </w: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4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Shares</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Issued and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Authorized</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Outstanding</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12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Preference</w:t>
            </w:r>
          </w:p>
        </w:tc>
        <w:tc>
          <w:tcPr>
            <w:tcW w:w="4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3,333,333</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$1,500,000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1,500,000</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19,047,619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5,714,286</w:t>
            </w:r>
          </w:p>
        </w:tc>
        <w:tc>
          <w:tcPr>
            <w:tcW w:w="8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7,500,000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7,500,000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5,714,286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22,380,952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9,047,619</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9,000,000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9,000,000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9,047,619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6"/>
              </w:rPr>
              <w:t>December 31, 2017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Preferred</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4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6"/>
              </w:rPr>
              <w:t>Preferred</w:t>
            </w:r>
          </w:p>
        </w:tc>
        <w:tc>
          <w:tcPr>
            <w:tcW w:w="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Liquidation</w:t>
            </w:r>
          </w:p>
        </w:tc>
        <w:tc>
          <w:tcPr>
            <w:tcW w:w="4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Issuable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Shares</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Issued and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Authorized</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Preference</w:t>
            </w:r>
          </w:p>
        </w:tc>
        <w:tc>
          <w:tcPr>
            <w:tcW w:w="4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1,500,000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31,639,202</w:t>
            </w:r>
          </w:p>
        </w:tc>
        <w:tc>
          <w:tcPr>
            <w:tcW w:w="2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31,450,499</w:t>
            </w:r>
          </w:p>
        </w:tc>
        <w:tc>
          <w:tcPr>
            <w:tcW w:w="280" w:type="dxa"/>
            <w:vAlign w:val="bottom"/>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25,000,000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25,000,000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31,450,499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34,972,535</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34,783,832</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$ 26,500,000</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26,500,000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34,783,832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the holders of the Preferred Stock have the following rights and preferences: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holders of the Preferred Stock are entitled to vote, together with the holders of common stock, on all matters submitted to the stockholders for a vote and are entitled to the number of votes equal to the number of whole shares of common stock into which such holders of Preferred Stock could convert on the record date for determination of stockholders entitled to vote. Except for the actions requiring the approval or consent of the majority of the holders of Preferred Stock, the holders of Preferred Stock shall vote together with the holders of common stock and vote as a single class.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The holders of the Preferred Stock are entitled to receive noncumulative dividends when, as and if declared by the Board. The Company may not pay any dividends on shares of common stock of the Company unless the holders of Preferred Stock then outstanding simultaneously receive dividends at least equal to a fixed percentage of Preferred Stock. Through December 31, 2017, no cash dividends have been declared or paid.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the event of any voluntary or involuntary liquidation event, dissolution, winding up of the Company or upon the occurrence of certain events designated by a majority of the holders of the Preferred Stock to be a deemed liquidation event, each holder of the then outstanding Series A Preferred Stock will be entitled to receive, prior and in preference to any distributions to the holders of Series Seed Preferred Stock and common stock, an amount equal to the greater of (i) $0.7949 per share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240" w:top="460" w:right="4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After the payment of all preferential amounts to the holders of Series A Preferred Stock, each holder of the then outstanding Series Seed Preferred Stock will be entitled to receive, prior and in preference to any distributions to the holders of common stock, an amount equal to the greater of (i) $0.45 per share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88" w:lineRule="exact"/>
        <w:rPr>
          <w:sz w:val="20"/>
          <w:szCs w:val="20"/>
          <w:color w:val="auto"/>
        </w:rPr>
      </w:pPr>
    </w:p>
    <w:p>
      <w:pPr>
        <w:ind w:left="200" w:right="740" w:firstLine="441"/>
        <w:spacing w:after="0" w:line="308" w:lineRule="auto"/>
        <w:rPr>
          <w:sz w:val="20"/>
          <w:szCs w:val="20"/>
          <w:color w:val="auto"/>
        </w:rPr>
      </w:pPr>
      <w:r>
        <w:rPr>
          <w:rFonts w:ascii="Arial" w:cs="Arial" w:eastAsia="Arial" w:hAnsi="Arial"/>
          <w:sz w:val="17"/>
          <w:szCs w:val="17"/>
          <w:color w:val="auto"/>
        </w:rPr>
        <w:t>After payments have been made in full to the holders of the Preferred Stock, then, to the extent available, the remaining amounts will be distributed among the holders of the shares of common stock, pro rata based on the number of shares held by each holder.</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share of Preferred Stock is convertible into common stock, at any time, at the option of the holder, and without the payment of additional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consideration, at the applicable conversion ratio then in effect for each series of Preferred Stock, initially set to be one-for-one, and subject to adjustment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accordance with anti-dilution provisions. In addition, each share of Preferred Stock will be automatically converted into common stock at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applicable conversion ratio then in effect for each series of Preferred Stock upon the earlier of a qualified IPO which results in net proceeds of at least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$50,000 and the listing of the Company’s common stock on the New York Stock Exchange or the Nasdaq Stock Market, or upon a vote of the holders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majority of the outstanding Preferred Stock. As of December 31, 2017, each share of Preferred Stock was convertible into one share of common stock</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and can be adjusted in the event of any stock dividend, stock split, combination or other similar recapitalization with respect to the Preferred Stock.</w:t>
      </w:r>
    </w:p>
    <w:p>
      <w:pPr>
        <w:spacing w:after="0" w:line="222"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Company evaluated each series of its Preferred Stock and determined that each individual series is considered an equity host. In making this determination, the Company’s analysis followed the whole instrument approach which compares an individual feature against the entire preferred stock instrument which includes that feature. The Company’s analysis was based on a consideration of the economic characteristics and risks of each series of Preferred Stock. More specifically, the Company evaluated all of the stated and implied substantive terms and features, including: (1) whether the Preferred Stock included redemption features, (2) how and when any redemption features could be exercised, (3) whether the holders of Preferred Stock were entitled to dividends, (4) the voting rights of the Preferred Stock and (5) the existence and nature of any conversion rights. As a result of the Company’s conclusion that the Preferred Stock represents an equity host, the conversion feature of all series of Preferred Stock is considered to be clearly and closely related to the associated Preferred Stock host instrument. Accordingly, the conversion feature of all series of Preferred Stock is not considered an embedded derivative that requires bifurcation.</w:t>
      </w:r>
    </w:p>
    <w:p>
      <w:pPr>
        <w:spacing w:after="0" w:line="18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accounts for potential beneficial conversion features at the time of issuance. The Company’s common stock into which each series of the Company’s Preferred Stock is convertible had an estimated fair value less than the effective conversion prices of the Preferred Stock at the time of each of the issuances of Preferred Stock. Therefore, there was no intrinsic value on the respective commitment dates. In addition, the Company considered the other features included within the Preferred Stock and determined that none of the other features required bifurcation and separate accounting.</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240" w:top="460"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Series Seed Preferred Stock and Series A Preferred Stock are redeemable at $0.45 per share and $0.7949 per share, respectively, (adjusted in the event of any stock dividend, stock split, combination or other similar activity) plus any declared but unpaid dividends, on or after July 21, 2021 at the written election of at least a majority of the holders of Preferred Stock voting together as a single class. The redemption is paid in three annual installments. No bifurcation of the redemption feature was required as the feature does not contain the characteristics of a derivative instrument.</w:t>
      </w:r>
    </w:p>
    <w:p>
      <w:pPr>
        <w:spacing w:after="0" w:line="15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the Preferred Stock is redeemable upon the passage of time, the Preferred Stock has been classified outside of permanent equity. The Company has elected to record the changes in the redemption value immediately as they occur.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Common Stock</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As of December 31, 2016 and 2017, the authorized capital stock of the Company included 40,000,000 and 51,000,000 shares of common stock, $0.0001 par value, respectively. The voting, dividend and liquidation rights of the holders of the Company’s common stock are subject to and qualified by the rights, powers and preferences of the holders of the Preferred Stock set forth above.</w:t>
      </w:r>
    </w:p>
    <w:p>
      <w:pPr>
        <w:spacing w:after="0" w:line="181"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On January 27, 2016, the Company modified the terms of 1,366,666 shares of common stock which were issued to four employees in November 17, 2015 to add a vesting condition. The restrictions lapse according to the time-based vesting conditions of each award. During each of the years ended December 31, 2016 and 2017, 341,666 shares of these restricted common stock awards vested.</w:t>
      </w:r>
    </w:p>
    <w:p>
      <w:pPr>
        <w:spacing w:after="0" w:line="166"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Each share of common stock entitles the holder to one vote, together with the holders of the Preferred Stock, on all matters submitted to the stockholders for a vote. The holders of the Preferred Stock, voting as a single class, are entitled to elect three directors of the Company. The holders of common stock, together with the holders of the Preferred Stock and voting as a single class, are entitled to elect two directors of the Company. The holders of common stock and of any other class or series of voting stock (including the Preferred Stock), voting together as a single class, are entitled to elect the remaining directors of the Company. Common stockholders are entitled to receive dividends, as may be declared by the Board, if any, subject to the preferential dividend rights of the Preferred Stock. Through December 31, 2017, no cash dividends have been declared or paid.</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2016 and 2017, the Company has reserved the following shares of common stock for future issuance: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2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2016</w:t>
            </w:r>
          </w:p>
        </w:tc>
        <w:tc>
          <w:tcPr>
            <w:tcW w:w="122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reserved for Series Seed Preferred Stock outstanding</w:t>
            </w:r>
          </w:p>
        </w:tc>
        <w:tc>
          <w:tcPr>
            <w:tcW w:w="35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Shares reserved for Series A Preferred Stock outstanding</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5,714,286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31,450,499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vesting of restricted stock awards</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1,691,667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1,141,668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2,476,906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4,276,504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88"/>
              </w:rPr>
              <w:t>Shares reserved for issuance under the 2015 Stock Option and Grant Plan</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217,772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593,795</w:t>
            </w:r>
          </w:p>
        </w:tc>
        <w:tc>
          <w:tcPr>
            <w:tcW w:w="80" w:type="dxa"/>
            <w:vAlign w:val="bottom"/>
            <w:shd w:val="clear" w:color="auto" w:fill="CCEEFF"/>
          </w:tcPr>
          <w:p>
            <w:pPr>
              <w:spacing w:after="0"/>
              <w:rPr>
                <w:sz w:val="18"/>
                <w:szCs w:val="18"/>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w w:val="95"/>
              </w:rPr>
              <w:t>Total shares of authorized common stock reserved for future issuance</w:t>
            </w:r>
          </w:p>
        </w:tc>
        <w:tc>
          <w:tcPr>
            <w:tcW w:w="35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13,433,964</w:t>
            </w:r>
          </w:p>
        </w:tc>
        <w:tc>
          <w:tcPr>
            <w:tcW w:w="2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40,795,799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420" w:type="dxa"/>
            <w:vAlign w:val="bottom"/>
            <w:gridSpan w:val="2"/>
          </w:tcPr>
          <w:p>
            <w:pPr>
              <w:jc w:val="right"/>
              <w:ind w:right="3979"/>
              <w:spacing w:after="0"/>
              <w:rPr>
                <w:sz w:val="20"/>
                <w:szCs w:val="20"/>
                <w:color w:val="auto"/>
              </w:rPr>
            </w:pPr>
            <w:r>
              <w:rPr>
                <w:rFonts w:ascii="Arial" w:cs="Arial" w:eastAsia="Arial" w:hAnsi="Arial"/>
                <w:sz w:val="18"/>
                <w:szCs w:val="18"/>
                <w:color w:val="auto"/>
                <w:w w:val="91"/>
              </w:rPr>
              <w:t>F-23</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54"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total number of common shares that may be issued under the 2015 Plan was 5,536,966 shares as of December 31, 2017, of which 593,795 shares remained available for future grant.</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Shares that expire, are terminated, surrendered or canceled under the 2015 Plan without having been fully exercised will be available for future awards. In addition, shares of common stock that are tendered to the Company by a participant to exercise an award are added to the number of shares of common stock available for future awards.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2015 Plan is administered by the Board. Equity awards granted to employees and members of the Board typically vest over four years.</w:t>
      </w:r>
    </w:p>
    <w:p>
      <w:pPr>
        <w:spacing w:after="0" w:line="237"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During the years ended December 31, 2016 and 2017, the Company granted options to purchase 2,476,906 shares and 1,789,598 shares, respectively, of common stock to employees and members of the Board.</w:t>
      </w:r>
    </w:p>
    <w:p>
      <w:pPr>
        <w:spacing w:after="0" w:line="170"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During the year ended December 31, 2017, the Company granted options to purchase 10,000 shares of common stock to a non-employee. The stock-based compensation expense for options granted to non-employees is nominal during the year ended December 31, 2017. The Company did not grant options to purchase shares of common stock to non-employees during the year ended December 31, 2016.</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were as follows, presented on a weighted-average basis:</w:t>
      </w:r>
    </w:p>
    <w:p>
      <w:pPr>
        <w:spacing w:after="0" w:line="18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Year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5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680" w:type="dxa"/>
            <w:vAlign w:val="bottom"/>
            <w:gridSpan w:val="3"/>
          </w:tcPr>
          <w:p>
            <w:pPr>
              <w:jc w:val="right"/>
              <w:ind w:right="260"/>
              <w:spacing w:after="0"/>
              <w:rPr>
                <w:sz w:val="20"/>
                <w:szCs w:val="20"/>
                <w:color w:val="auto"/>
              </w:rPr>
            </w:pPr>
            <w:r>
              <w:rPr>
                <w:rFonts w:ascii="Arial" w:cs="Arial" w:eastAsia="Arial" w:hAnsi="Arial"/>
                <w:sz w:val="18"/>
                <w:szCs w:val="18"/>
                <w:color w:val="auto"/>
              </w:rPr>
              <w:t>1.39%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84.54%</w:t>
            </w: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8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50"/>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680" w:type="dxa"/>
            <w:vAlign w:val="bottom"/>
            <w:gridSpan w:val="3"/>
          </w:tcPr>
          <w:p>
            <w:pPr>
              <w:jc w:val="right"/>
              <w:ind w:right="4680"/>
              <w:spacing w:after="0"/>
              <w:rPr>
                <w:sz w:val="20"/>
                <w:szCs w:val="20"/>
                <w:color w:val="auto"/>
              </w:rPr>
            </w:pPr>
            <w:r>
              <w:rPr>
                <w:rFonts w:ascii="Arial" w:cs="Arial" w:eastAsia="Arial" w:hAnsi="Arial"/>
                <w:sz w:val="18"/>
                <w:szCs w:val="18"/>
                <w:color w:val="auto"/>
              </w:rPr>
              <w:t>F-24</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stock option activity for the year ended December 31,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3"/>
            <w:vMerge w:val="restart"/>
          </w:tcPr>
          <w:p>
            <w:pPr>
              <w:jc w:val="center"/>
              <w:ind w:left="433"/>
              <w:spacing w:after="0"/>
              <w:rPr>
                <w:sz w:val="20"/>
                <w:szCs w:val="20"/>
                <w:color w:val="auto"/>
              </w:rPr>
            </w:pPr>
            <w:r>
              <w:rPr>
                <w:rFonts w:ascii="Arial" w:cs="Arial" w:eastAsia="Arial" w:hAnsi="Arial"/>
                <w:sz w:val="14"/>
                <w:szCs w:val="14"/>
                <w:b w:val="1"/>
                <w:bCs w:val="1"/>
                <w:color w:val="auto"/>
                <w:w w:val="94"/>
              </w:rPr>
              <w:t>Weighted-</w:t>
            </w: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24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5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left="43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5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0" w:type="dxa"/>
            <w:vAlign w:val="bottom"/>
          </w:tcPr>
          <w:p>
            <w:pPr>
              <w:jc w:val="right"/>
              <w:ind w:right="74"/>
              <w:spacing w:after="0"/>
              <w:rPr>
                <w:sz w:val="20"/>
                <w:szCs w:val="20"/>
                <w:color w:val="auto"/>
              </w:rPr>
            </w:pPr>
            <w:r>
              <w:rPr>
                <w:rFonts w:ascii="Arial" w:cs="Arial" w:eastAsia="Arial" w:hAnsi="Arial"/>
                <w:sz w:val="14"/>
                <w:szCs w:val="14"/>
                <w:b w:val="1"/>
                <w:bCs w:val="1"/>
                <w:color w:val="auto"/>
              </w:rPr>
              <w:t>Options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2016</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2,476,906</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1,799,598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0.22</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Cancelled or forfeited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4,276,504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2017</w:t>
            </w:r>
          </w:p>
        </w:tc>
        <w:tc>
          <w:tcPr>
            <w:tcW w:w="800" w:type="dxa"/>
            <w:vAlign w:val="bottom"/>
            <w:tcBorders>
              <w:bottom w:val="single" w:sz="8" w:color="auto"/>
            </w:tcBorders>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0.16</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8.46</w:t>
            </w:r>
          </w:p>
        </w:tc>
        <w:tc>
          <w:tcPr>
            <w:tcW w:w="660" w:type="dxa"/>
            <w:vAlign w:val="bottom"/>
            <w:gridSpan w:val="2"/>
            <w:vMerge w:val="restart"/>
          </w:tcPr>
          <w:p>
            <w:pPr>
              <w:ind w:left="540"/>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633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766,284</w:t>
            </w:r>
          </w:p>
        </w:tc>
        <w:tc>
          <w:tcPr>
            <w:tcW w:w="6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December 31, 2017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3,510,220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 at December 31, 2017.</w:t>
      </w:r>
    </w:p>
    <w:p>
      <w:pPr>
        <w:spacing w:after="0" w:line="18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weighted-average grant-date fair value of the Company’s stock options granted during the years ended December 31, 2016 and 2017 was $0.12 and $0.36,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The Company has granted restricted common stock with time-based vesting conditions to certain employees of the Company. The purchase price of the restricted stock awards are determined by the Board. The Company also, in January 2016, modified 1,366,666 shares of common stock which were issued to four employees in November 17, 2015 to add a vesting condition (see Note 9). Unvested shares of restricted common stock may not be sold or transferred by the holder. These restrictions lapse according to the time-based vesting conditions of each award. The Company has the option to repurchase the restricted stock awards at the original purchase price if the grantee terminates its working relationship with the Company prior to the vesting date.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restricted common stock activity for the year ended December 31,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9"/>
              </w:rPr>
              <w:t>Number of</w:t>
            </w:r>
          </w:p>
        </w:tc>
        <w:tc>
          <w:tcPr>
            <w:tcW w:w="144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w w:val="92"/>
              </w:rPr>
              <w:t>Weighted-Average</w:t>
            </w:r>
          </w:p>
        </w:tc>
        <w:tc>
          <w:tcPr>
            <w:tcW w:w="1340" w:type="dxa"/>
            <w:vAlign w:val="bottom"/>
            <w:gridSpan w:val="4"/>
          </w:tcPr>
          <w:p>
            <w:pPr>
              <w:ind w:left="640"/>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6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154"/>
              <w:spacing w:after="0"/>
              <w:rPr>
                <w:sz w:val="20"/>
                <w:szCs w:val="20"/>
                <w:color w:val="auto"/>
              </w:rPr>
            </w:pPr>
            <w:r>
              <w:rPr>
                <w:rFonts w:ascii="Arial" w:cs="Arial" w:eastAsia="Arial" w:hAnsi="Arial"/>
                <w:sz w:val="14"/>
                <w:szCs w:val="14"/>
                <w:b w:val="1"/>
                <w:bCs w:val="1"/>
                <w:color w:val="auto"/>
                <w:w w:val="90"/>
              </w:rPr>
              <w:t>Value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Issued and unvested as of December 31, 2016</w:t>
            </w:r>
          </w:p>
        </w:tc>
        <w:tc>
          <w:tcPr>
            <w:tcW w:w="27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1,691,667</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Vested</w:t>
            </w:r>
          </w:p>
        </w:tc>
        <w:tc>
          <w:tcPr>
            <w:tcW w:w="3940" w:type="dxa"/>
            <w:vAlign w:val="bottom"/>
            <w:gridSpan w:val="3"/>
          </w:tcPr>
          <w:p>
            <w:pPr>
              <w:jc w:val="right"/>
              <w:ind w:right="320"/>
              <w:spacing w:after="0"/>
              <w:rPr>
                <w:sz w:val="20"/>
                <w:szCs w:val="20"/>
                <w:color w:val="auto"/>
              </w:rPr>
            </w:pPr>
            <w:r>
              <w:rPr>
                <w:rFonts w:ascii="Arial" w:cs="Arial" w:eastAsia="Arial" w:hAnsi="Arial"/>
                <w:sz w:val="18"/>
                <w:szCs w:val="18"/>
                <w:color w:val="auto"/>
              </w:rPr>
              <w:t>(549,999)</w:t>
            </w:r>
          </w:p>
        </w:tc>
        <w:tc>
          <w:tcPr>
            <w:tcW w:w="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Forfeited, canceled or expired</w:t>
            </w:r>
          </w:p>
        </w:tc>
        <w:tc>
          <w:tcPr>
            <w:tcW w:w="27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Issued and unvested as of December 31, 2017</w:t>
            </w:r>
          </w:p>
        </w:tc>
        <w:tc>
          <w:tcPr>
            <w:tcW w:w="27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1,141,668</w:t>
            </w:r>
          </w:p>
        </w:tc>
        <w:tc>
          <w:tcPr>
            <w:tcW w:w="380" w:type="dxa"/>
            <w:vAlign w:val="bottom"/>
          </w:tcPr>
          <w:p>
            <w:pPr>
              <w:spacing w:after="0"/>
              <w:rPr>
                <w:sz w:val="19"/>
                <w:szCs w:val="19"/>
                <w:color w:val="auto"/>
              </w:rPr>
            </w:pPr>
          </w:p>
        </w:tc>
        <w:tc>
          <w:tcPr>
            <w:tcW w:w="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940" w:type="dxa"/>
            <w:vAlign w:val="bottom"/>
            <w:gridSpan w:val="3"/>
          </w:tcPr>
          <w:p>
            <w:pPr>
              <w:jc w:val="right"/>
              <w:ind w:right="2580"/>
              <w:spacing w:after="0"/>
              <w:rPr>
                <w:sz w:val="20"/>
                <w:szCs w:val="20"/>
                <w:color w:val="auto"/>
              </w:rPr>
            </w:pPr>
            <w:r>
              <w:rPr>
                <w:rFonts w:ascii="Arial" w:cs="Arial" w:eastAsia="Arial" w:hAnsi="Arial"/>
                <w:sz w:val="18"/>
                <w:szCs w:val="18"/>
                <w:color w:val="auto"/>
              </w:rPr>
              <w:t>F-25</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35"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The weighted-average grant date fair value of restricted common stock awards granted during the year ended December 31, 2016 was $0.10 per share. The total fair value of restricted common stock vested during the years ended December 31, 2016 and 2017 was $34 and $55, respectively.</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7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$ 32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8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stock based compensation expense</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As of December 31, 2017, total unrecognized compensation cost related to the unvested stock-based awards was $897, which is expected to be recognized over a weighted-average period of 3.26 years.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with UHN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93"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For the years ended December 31, 2016 and 2017, the Company recorded research and development expense of $87 and $16, respectively, which consists of the license option fee, the upfront fee and maintenance fees.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4,800,000 shares of the Company’s common stock. The fair value of the shares issued to UHN of $480 and the upfront fee was expensed upon the execution of the agreement. In addition, the Company agreed to pay UHN up to $2,000 upon the closing of an IPO if certain criteria are met. This obligation is considered a derivative instrument and was initially recorded at fair value of $49.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173"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agreement requires the Company to meet certain due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5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For the years ended December 31, 2016 and 2017, the Company recorded research and development expense related to this agreement with UHN of $785 and $151, respectively, which consists of upfront fees, the fair value of the shares and derivative instrument issued to UHN, and license maintenance fees and development milestone payments.</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60"/>
          </w:cols>
          <w:pgMar w:left="240" w:top="460" w:right="4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As consideration for this agreement, the Company paid an upfront license fee of $500 in cash and issued 233,765 shares of Series B Preferred Stock to BioMarin at the time of our Series B Preferred Stock financing in January 2018. Both the upfront cash payment of $500 and the value of the shares Series B Preferred Stock issued of $500 were recorded as research and development expense during the year ended December 31, 2017.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w:t>
      </w:r>
    </w:p>
    <w:p>
      <w:pPr>
        <w:spacing w:after="0" w:line="17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 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The Company recorded research and development expense of $1,000 for the year ended December 31, 2017, which consisted of upfront fees related to the license.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00"/>
          </w:cols>
          <w:pgMar w:left="24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For the years ended December 31, 2016 and 2017, the Company did not record a current or deferred income tax expense or (benefit) due to current and historical losses incurred by the Company. The Company’s operations are predominantly based in the United States and the Company’s foreign subsidiaries generated de minimis profit for the years ended December 31, 2016 and 2017.</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enactment of the Tax Cuts and Jobs Act (“TCJA”) in December 2017, as further described below, resulted in a remeasurement of the Company’s net deferred tax asset due to the reduction in the corporate income tax rate from 35% to a 21% flat tax, which is included in the Company’s 2017 rate reconciliation.</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 reconciliation of income tax expense (benefit) computed at the statutory federal income tax rate to income taxes as reflected in the consolidated financial statements is as follows:</w:t>
      </w:r>
    </w:p>
    <w:p>
      <w:pPr>
        <w:spacing w:after="0" w:line="189"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Year Ended</w:t>
      </w:r>
    </w:p>
    <w:p>
      <w:pPr>
        <w:jc w:val="center"/>
        <w:ind w:left="92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expense at statutory rate</w:t>
            </w:r>
          </w:p>
        </w:tc>
        <w:tc>
          <w:tcPr>
            <w:tcW w:w="5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6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(0.8)</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U.S.—TCJA</w:t>
            </w:r>
          </w:p>
        </w:tc>
        <w:tc>
          <w:tcPr>
            <w:tcW w:w="520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5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Research and development tax credits</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5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(40.6)</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(24.9)</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5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gridSpan w:val="2"/>
            <w:vMerge w:val="continue"/>
          </w:tcPr>
          <w:p>
            <w:pPr>
              <w:spacing w:after="0"/>
              <w:rPr>
                <w:sz w:val="19"/>
                <w:szCs w:val="19"/>
                <w:color w:val="auto"/>
              </w:rPr>
            </w:pPr>
          </w:p>
        </w:tc>
        <w:tc>
          <w:tcPr>
            <w:tcW w:w="52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140" w:type="dxa"/>
            <w:vAlign w:val="bottom"/>
            <w:gridSpan w:val="3"/>
          </w:tcPr>
          <w:p>
            <w:pPr>
              <w:jc w:val="right"/>
              <w:ind w:right="4720"/>
              <w:spacing w:after="0"/>
              <w:rPr>
                <w:sz w:val="20"/>
                <w:szCs w:val="20"/>
                <w:color w:val="auto"/>
              </w:rPr>
            </w:pPr>
            <w:r>
              <w:rPr>
                <w:rFonts w:ascii="Arial" w:cs="Arial" w:eastAsia="Arial" w:hAnsi="Arial"/>
                <w:sz w:val="18"/>
                <w:szCs w:val="18"/>
                <w:color w:val="auto"/>
              </w:rPr>
              <w:t>F-29</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Deferred taxes are recognized for temporary differences between the basis of assets and liabilities for financial statement and income tax purposes.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significant components of the Company’s deferred tax assets and liabilities are comprised of the following:</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U.S., foreign, and state net operating loss carryforwards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1,435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Capitalized start up and organizational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Equity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Derivative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Accruals and 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(1,898)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(6,466)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deferred tax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Total deferred tax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deferred tax assets. As of December 31, 2016 and 2017, based on the Company’s history of operating losses, the Company has concluded that it is not more likely than not that the benefit of its deferred tax assets will be realized. Accordingly, the Company has provided a full valuation allowance for deferred tax assets as of December 31, 2016 and 2017. The valuation allowance increased $1,898 and $4,568 during the years ended December 31, 2016 and 2017, respectively, due primarily to net operating losses generated.</w:t>
      </w:r>
    </w:p>
    <w:p>
      <w:pPr>
        <w:spacing w:after="0" w:line="18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As of December 31, 2016 and 2017, the Company had U.S. federal net operating loss carryforwards of $3,659 and $19,007, respectively, that may be available to offset future income tax liabilities. The TCJA will generally allow losses incurred after 2017 to be carried over indefinitely, but will generally limit the net operating loss deduction to the lesser of the net operating loss carryover or 80% of a corporation’s taxable income. Also, there will be no carryback for net operating losses incurred after 2017. Net operating losses incurred prior to 2018 will generally be deductible to the extent of the lesser of a corporation’s net operating loss carryover or 100% of a corporation’s taxable income, and be available to offset future taxable income for a period of twenty years.</w:t>
      </w:r>
    </w:p>
    <w:p>
      <w:pPr>
        <w:spacing w:after="0" w:line="19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Company has early adopted the provisions of ASU 2016-09</w:t>
      </w:r>
      <w:r>
        <w:rPr>
          <w:rFonts w:ascii="Arial" w:cs="Arial" w:eastAsia="Arial" w:hAnsi="Arial"/>
          <w:sz w:val="18"/>
          <w:szCs w:val="18"/>
          <w:i w:val="1"/>
          <w:iCs w:val="1"/>
          <w:color w:val="auto"/>
        </w:rPr>
        <w:t>, Compensation—Stock Compensation (Topic 718 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for its year ended December 31, 2016. ASU 2016-09 requires companies to include the benefit of an option</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in its net operating loss carryforward deferred tax asset. The Company did not have any deductions associated with stock-based payments, and therefore the adoption of ASU 2016-09 did not impact the Company’s deferred tax asset for net operating loss carryforwards. Furthermore, since the Company has historically maintained a full valuation allowance on its net worldwide deferred tax asset, there is no net impact to retained earnings from the adoption of ASU 2016-09.</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59" w:right="4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 (continued)</w:t>
      </w:r>
    </w:p>
    <w:p>
      <w:pPr>
        <w:spacing w:after="0" w:line="13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of December 31, 2016 and 2017, the Company also had U.S. state net operating loss carryforwards of $3,619 and $18,866, respectively, which may be available to offset future taxable income. These losses expire at various dates through 2037.</w:t>
      </w:r>
    </w:p>
    <w:p>
      <w:pPr>
        <w:spacing w:after="0" w:line="17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As of December 31, 2016 and 2017, the Company does not have federal research and development tax credit carryforwards, as the Company qualifies for, and has elected to, apply such federal research credits against its payroll tax liability in accordance with certain provisions of the Internal Revenue Code. As of December 31, 2016 and 2017, the Company had state research and development tax credit carryforwards of approximately $30 and $119, respectively, available to reduce future tax liabilities which expire at various dates through 2032. For all years through December 31, 2017, the Company generated research credits but has not conducted a study to document the qualified activities. This study may result in an adjustment to the Company’s research and development credit carryforwards.</w:t>
      </w:r>
    </w:p>
    <w:p>
      <w:pPr>
        <w:spacing w:after="0" w:line="178" w:lineRule="exact"/>
        <w:rPr>
          <w:sz w:val="20"/>
          <w:szCs w:val="20"/>
          <w:color w:val="auto"/>
        </w:rPr>
      </w:pPr>
    </w:p>
    <w:p>
      <w:pPr>
        <w:ind w:left="200" w:right="200" w:firstLine="441"/>
        <w:spacing w:after="0" w:line="288" w:lineRule="auto"/>
        <w:rPr>
          <w:sz w:val="20"/>
          <w:szCs w:val="20"/>
          <w:color w:val="auto"/>
        </w:rPr>
      </w:pPr>
      <w:r>
        <w:rPr>
          <w:rFonts w:ascii="Arial" w:cs="Arial" w:eastAsia="Arial" w:hAnsi="Arial"/>
          <w:sz w:val="16"/>
          <w:szCs w:val="16"/>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w:t>
      </w:r>
    </w:p>
    <w:p>
      <w:pPr>
        <w:ind w:left="200" w:right="60"/>
        <w:spacing w:after="0" w:line="253" w:lineRule="auto"/>
        <w:rPr>
          <w:sz w:val="20"/>
          <w:szCs w:val="20"/>
          <w:color w:val="auto"/>
        </w:rPr>
      </w:pPr>
      <w:r>
        <w:rPr>
          <w:rFonts w:ascii="Arial" w:cs="Arial" w:eastAsia="Arial" w:hAnsi="Arial"/>
          <w:sz w:val="18"/>
          <w:szCs w:val="18"/>
          <w:color w:val="auto"/>
        </w:rPr>
        <w:t>50 percent, as defined under Sections 382 and 383 of the Internal Revenue Code, respectively, as well as similar state provisions. This could limit the amount of tax attributes that can be utilized annually to offset future tax liabilities. The amount of the annual limitation is determined based on the value of the Company immediately prior to the ownership change. Subsequent ownership changes may further affect the limitation in future years. The Company has completed numerous financings since its inception, which may have resulted in a change in control as defined by Sections 382 and 383 of the Internal Revenue Code, or could result in a change in control in the future.</w:t>
      </w:r>
    </w:p>
    <w:p>
      <w:pPr>
        <w:spacing w:after="0" w:line="19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files income tax returns in Australia, Canada, the United States, and in several states. The foreign, federal and state income tax returns are generally subject to tax examinations for the tax years ended December 31, 2015 through December 31, 2017. To the extent the Company has tax attribute carryforwards, the tax years in which the attribute was generated may still be adjusted upon examination by foreign tax authorities, the Internal Revenue Service, or state tax authorities to the extent utilized in a future period.</w:t>
      </w:r>
    </w:p>
    <w:p>
      <w:pPr>
        <w:spacing w:after="0" w:line="18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The TCJA was enacted in December 2017. Among other things, the TCJA reduces the U.S. federal corporate tax rate from 35% to 21% for tax years beginning in 2018, and requires companies to pay a one-time transition tax on previously unremitted earnings of non-U.S. subsidiaries that were previously tax deferred and creates new taxes on certain foreign sourced earnings. The SEC staff issued Staff Accounting Bulletin (“SAB”) 118, that provides guidance on accounting for enactment effects of the TCJA. SAB 118 provides a measurement period of up to one year from the TCJA’s enactment date for companies to complete their accounting under ASC 740. In accordance with SAB 118, to the extent that a company’s accounting for certain income tax effects of the TCJA is incomplete but it is able to determine a reasonable estimate, it must record a provisional estimate in its consolidated financial statements. If a company cannot determine a provisional estimate to be included in its consolidated financial statements, it should continue to apply ASC 740 on the basis of the provisions of the tax laws that were in effect immediately before the enactment of the TCJA.</w:t>
      </w:r>
    </w:p>
    <w:p>
      <w:pPr>
        <w:spacing w:after="0" w:line="166"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In connection with the Company’s initial analysis of the impact of the enactment of the TCJA, the Company has not recorded an income tax expense. For various reasons that are discussed more fully below, the Company has not completed its accounting for the income tax effects of certain elements of the TCJA. However, with</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240" w:top="460"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 (continued)</w:t>
      </w:r>
    </w:p>
    <w:p>
      <w:pPr>
        <w:spacing w:after="0" w:line="135"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respect to the remeasurement of deferred tax assets and liabilities, the Company has remeasured its deferred tax assets and liabilities based on the rates at which they are expected to reverse in the future, which is generally 21% under the TCJA. The impact of the remeasurement of the Company’s deferred tax assets and liabilities is included in the rate reconciliation above.</w:t>
      </w:r>
    </w:p>
    <w:p>
      <w:pPr>
        <w:spacing w:after="0" w:line="181"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Company is still analyzing certain aspects of the TCJA, including considering additional technical guidance and refining its calculations, that could potentially affect the measurement of these balances or potentially give rise to new deferred tax amounts. This includes the potential impacts of the global low-taxed income (“GILTI”) provision within the TCJA on deferred tax assets and liabilities. The Company has not yet elected a policy as to whether it will recognize deferred taxes for basis differences expected to reverse as GILTI or whether the Company will account for GILTI as a period cost if and when incurred. Additionally, with respect to the transition tax, which is a tax on previously untaxed accumulated and current earnings and profits (E&amp;P) of certain of the Company’s non-U.S. subsidiaries. The Company is currently evaluating the impact of this issue, and has not finalized a conclusion at this time and therefore cannot determine a provisional estimate to be included in its consolidated financial statements, and in accordance with SAB 118 it will continue to apply ASC 740 on the basis of the provisions of the tax laws that were in effect immediately before the enactment of the TCJA.</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Net Loss per Share and Unaudited Pro Forma Net Loss per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For purposes of the diluted net loss per share calculation, stock options, unvested restricted stock, Preferred Stock and the warrant to purchase shares of Series A Preferred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7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 because including them would have had an anti-dilutive effect:</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1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1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89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2,476,906</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4,276,504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Restricted common stock</w:t>
            </w:r>
          </w:p>
        </w:tc>
        <w:tc>
          <w:tcPr>
            <w:tcW w:w="840" w:type="dxa"/>
            <w:vAlign w:val="bottom"/>
          </w:tcPr>
          <w:p>
            <w:pPr>
              <w:jc w:val="right"/>
              <w:spacing w:after="0"/>
              <w:rPr>
                <w:sz w:val="20"/>
                <w:szCs w:val="20"/>
                <w:color w:val="auto"/>
              </w:rPr>
            </w:pPr>
            <w:r>
              <w:rPr>
                <w:rFonts w:ascii="Arial" w:cs="Arial" w:eastAsia="Arial" w:hAnsi="Arial"/>
                <w:sz w:val="18"/>
                <w:szCs w:val="18"/>
                <w:color w:val="auto"/>
              </w:rPr>
              <w:t>1,691,667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1,141,668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9,047,619</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34,783,832</w:t>
            </w: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900" w:type="dxa"/>
            <w:vAlign w:val="bottom"/>
          </w:tcPr>
          <w:p>
            <w:pPr>
              <w:spacing w:after="0" w:line="201" w:lineRule="exact"/>
              <w:rPr>
                <w:sz w:val="20"/>
                <w:szCs w:val="20"/>
                <w:color w:val="auto"/>
              </w:rPr>
            </w:pPr>
            <w:r>
              <w:rPr>
                <w:rFonts w:ascii="Arial" w:cs="Arial" w:eastAsia="Arial" w:hAnsi="Arial"/>
                <w:sz w:val="18"/>
                <w:szCs w:val="18"/>
                <w:color w:val="auto"/>
              </w:rPr>
              <w:t>Warrants to purchase redeemable convertible preferred stock (as converted</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to common stock)</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28,305</w:t>
            </w:r>
          </w:p>
        </w:tc>
        <w:tc>
          <w:tcPr>
            <w:tcW w:w="80" w:type="dxa"/>
            <w:vAlign w:val="bottom"/>
          </w:tcPr>
          <w:p>
            <w:pPr>
              <w:spacing w:after="0"/>
              <w:rPr>
                <w:sz w:val="20"/>
                <w:szCs w:val="20"/>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17"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The unaudited pro forma basic and diluted net loss per share attributable to common stockholders for the year ended December 31, 2017 has been prepared to give effect to adjustments arising upon the closing of a qualified IPO. The unaudited pro forma net loss attributable to common stockholders used in the calculation of unaudited pro forma basic and diluted net loss per share attributable to common stockholders does not include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240" w:top="460" w:right="4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Net Loss per Share and Unaudited Pro Forma Net Loss per Share (continued)</w:t>
      </w:r>
    </w:p>
    <w:p>
      <w:pPr>
        <w:spacing w:after="0" w:line="135"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the effects of the accretion of Preferred Stock to redemption value or the change in fair value of the warrant to purchase shares of Series A Preferred Stock because the calculation gives effect to the conversion of shares of Preferred Stock outstanding as of December 31, 2017 into common stock and the conversion of the warrant to purchase shares of Series A Preferred Stock outstanding as of December 31, 2017 into a warrant to purchase shares of common stock, as if such conversion had occurred at the beginning of the period presented or the date of original issuance, whichever is later.</w:t>
      </w:r>
    </w:p>
    <w:p>
      <w:pPr>
        <w:spacing w:after="0" w:line="154"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 reconciliation of pro forma net loss and the pro forma weighted-average number of common shares used in computing pro forma basic and diluted net loss per share applicable to common stockholders is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Net loss attributable to common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issuance costs on redeemable convertible preferred stock</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Change in the fair value of preferred stock warrant liability</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 forma net loss attributable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(18,631)</w:t>
            </w:r>
          </w:p>
        </w:tc>
        <w:tc>
          <w:tcPr>
            <w:tcW w:w="0" w:type="dxa"/>
            <w:vAlign w:val="bottom"/>
          </w:tcPr>
          <w:p>
            <w:pPr>
              <w:spacing w:after="0"/>
              <w:rPr>
                <w:sz w:val="1"/>
                <w:szCs w:val="1"/>
                <w:color w:val="auto"/>
              </w:rPr>
            </w:pPr>
          </w:p>
        </w:tc>
      </w:tr>
      <w:tr>
        <w:trPr>
          <w:trHeight w:val="20"/>
        </w:trPr>
        <w:tc>
          <w:tcPr>
            <w:tcW w:w="1002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Weighted-average number of common shares used in computing net loss per share attributable to common stockholders—basic</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diluted</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9,238,612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0" w:type="dxa"/>
            <w:vAlign w:val="bottom"/>
          </w:tcPr>
          <w:p>
            <w:pPr>
              <w:spacing w:after="0" w:line="201" w:lineRule="exact"/>
              <w:rPr>
                <w:sz w:val="20"/>
                <w:szCs w:val="20"/>
                <w:color w:val="auto"/>
              </w:rPr>
            </w:pPr>
            <w:r>
              <w:rPr>
                <w:rFonts w:ascii="Arial" w:cs="Arial" w:eastAsia="Arial" w:hAnsi="Arial"/>
                <w:sz w:val="18"/>
                <w:szCs w:val="18"/>
                <w:color w:val="auto"/>
              </w:rPr>
              <w:t>Pro forma adjustment to reflect assumed conversion of redeemable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convertible preferred stock into common stock</w:t>
            </w: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19,363,856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Pro forma weighted-average number of common shares used in computing pro forma net loss per share attributable to common</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28,602,468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20" w:type="dxa"/>
            <w:vAlign w:val="bottom"/>
            <w:gridSpan w:val="2"/>
          </w:tcPr>
          <w:p>
            <w:pPr>
              <w:spacing w:after="0"/>
              <w:rPr>
                <w:sz w:val="20"/>
                <w:szCs w:val="20"/>
                <w:color w:val="auto"/>
              </w:rPr>
            </w:pPr>
            <w:r>
              <w:rPr>
                <w:rFonts w:ascii="Arial" w:cs="Arial" w:eastAsia="Arial" w:hAnsi="Arial"/>
                <w:sz w:val="18"/>
                <w:szCs w:val="18"/>
                <w:color w:val="auto"/>
              </w:rPr>
              <w:t>Pro forma net loss per share attributable to common stockholders—basic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right="8220" w:hanging="436"/>
        <w:spacing w:after="0" w:line="425" w:lineRule="auto"/>
        <w:tabs>
          <w:tab w:leader="none" w:pos="469"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Lease Agreements</w:t>
      </w:r>
    </w:p>
    <w:p>
      <w:pPr>
        <w:spacing w:after="0" w:line="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January 2016, the Company entered into a sub-lease agreement for office space located in Cambridge Massachusetts, United States, which was a month to month rental. In February 2017, the Company terminated the office lease agreement.</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In September 2016, the Company entered into a lease agreement for office space located in Cambridge Massachusetts, United States, which expires on March 31, 2024. The base rent will be increased by 3% annually. The Company recognizes rent expense on a straight-line basis over the lease period and has recorded deferred rent for rent expense incurred but not yet paid. The Company received a tenant incentive allowance of $100 in 2017. Such incentive allowance is being amortized as a reduction of rent expense on a straight-line basis over the lease period. In accordance with the lease agreement, the Company was required to maintain a security deposit of $24. The Company issued a letter of credit to the landlord related to the security deposit and the letter of credit is secured by restricted cash, which is recorded in other assets on the accompanying consolidated balance sheets.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Commitments and Contingencies (continued)</w:t>
      </w:r>
    </w:p>
    <w:p>
      <w:pPr>
        <w:spacing w:after="0" w:line="135"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In August 2017, the Company entered into a sub-lease agreement for laboratory space located in Cambridge Massachusetts, United States, which expires in August 2020. The annual lease payments are subject to a 3% increase each year. The Company recognizes rent expense on a straight-line basis over the lease period and has recorded deferred rent for rent expense incurred but not yet paid.</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6"/>
              </w:rPr>
              <w:t>The Company recorded rent expense of $78 and $335 during the years ended December 31, 2016 and 2017, respectively.</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6"/>
              </w:rPr>
              <w:t>The following table summarizes the future minimum lease payments due under operating leases as of December 31, 2017:</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9"/>
        </w:trPr>
        <w:tc>
          <w:tcPr>
            <w:tcW w:w="986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1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2018</w:t>
            </w:r>
          </w:p>
        </w:tc>
        <w:tc>
          <w:tcPr>
            <w:tcW w:w="82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395</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2019</w:t>
            </w:r>
          </w:p>
        </w:tc>
        <w:tc>
          <w:tcPr>
            <w:tcW w:w="8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8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years ended December 31, 2016 and 2017, and, to the best of its knowledge, no material legal proceedings are currently pending or threatened.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Company is also party to various agreements, principally relating to licensed technology, that require future payments relating to milestones not met at December 31, 2016 and 2017, or royalties on future sales of specified products. No milestone or royalty payments under these agreements are expected to be payable in the immediate future. See Note 11 for discussion of these arrangements.</w:t>
      </w:r>
    </w:p>
    <w:p>
      <w:pPr>
        <w:spacing w:after="0" w:line="18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69" w:lineRule="exact"/>
        <w:rPr>
          <w:sz w:val="20"/>
          <w:szCs w:val="20"/>
          <w:color w:val="auto"/>
        </w:rPr>
      </w:pPr>
    </w:p>
    <w:p>
      <w:pPr>
        <w:ind w:left="480" w:hanging="276"/>
        <w:spacing w:after="0"/>
        <w:tabs>
          <w:tab w:leader="none" w:pos="4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UHN</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connection with the Company’s entry into a license agreement with UHN (Note 11) on January 27, 2016, the Company issued UHN 4,800,000 shares of its common stock. As a result of the issuance of common stock,</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240" w:top="460" w:right="4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Related Party Transactions (continued)</w:t>
      </w:r>
    </w:p>
    <w:p>
      <w:pPr>
        <w:spacing w:after="0" w:line="135"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UHN owned 21.63% and 9.65% of the Company’s fully diluted equity as of December 31, 2016 and 2017, respectively. Upon the closing of the sale of shares of common stock in an IPO, if UHN’s fully-diluted percentage ownership of the Company is reduced within a range of specified percentages, then the Company is obligated to pay UHN an amount up to $2,000. See Note 3 for further discussion on the accounting treatment for this provision.</w:t>
      </w:r>
    </w:p>
    <w:p>
      <w:pPr>
        <w:spacing w:after="0" w:line="147"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During the years ended December 31, 2016 and 2017, the Company recognized $872 and $167 respectively, of research and development expense related to the license agreements with UHN. Refer to Note 11 for additional information regarding the UHN license agreements.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recorded research and development expenses of $7 and $3 related to participation on the scientific advisory board and consulting services performed by a member of the Board who is affiliated with UHN during the years ended December 31, 2016 and 2017, respectively. As of December 31, 2016 and 2017, there was $7 and $10, respectively, included in accrued expenses on the Company’s consolidated balance sheets related to these services.</w:t>
      </w:r>
    </w:p>
    <w:p>
      <w:pPr>
        <w:spacing w:after="0" w:line="18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For the years ended December 31, 2016 and 2017 the Company recorded expenses of $13 and $86, respectively, related to consulting services provided by an entity affiliated with an officer of the Company and a member of the Board. The entity is also a shareholder of the Company and owned 2.25% and 1.00% of the Company’s fully diluted equity as of December 31, 2016 and 2017, respectively.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For the years ended December 31, 2016 and 2017, the Company recorded expenses of $78 and $15, respectively, related to services provided by an entity affiliated with a member of the Board and the use of office space.</w:t>
      </w:r>
    </w:p>
    <w:p>
      <w:pPr>
        <w:spacing w:after="0" w:line="17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In August 2017, the Company entered into a sub-lease agreement with an entity affiliated with the Company’s CEO. The executive resigned from the affiliated entity in September 2017. The Company recorded rent expense of $31 under this sub-lease agreement prior to such resignation for the two month period in 2017.</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14 for additional information on the terms of these sublease agreements.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Benefit Plans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Matching contributions to the plan may be made at the discretion of the Company’s Board. The Company made no contributions to the plan during the years ended December 31, 2016 and 2017.</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Company has completed an evaluation of all subsequent events after the audited balance sheet date of December 31, 2017 through April 6, 2018, the date these consolidated financial statements were submitted to the SEC, to ensure that these consolidated financial statements include appropriate disclosure of events both</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00"/>
          </w:cols>
          <w:pgMar w:left="24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Subsequent Events (continued)</w:t>
      </w:r>
    </w:p>
    <w:p>
      <w:pPr>
        <w:spacing w:after="0" w:line="135"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recognized in the consolidated financial statements as of December 31, 2017, and events which occurred subsequently but were not recognized in the consolidated financial statements. The Company has concluded that no subsequent events have occurred that require disclosure, except as disclosed within these consolidated financial statements and except as described below.</w:t>
      </w:r>
    </w:p>
    <w:p>
      <w:pPr>
        <w:spacing w:after="0" w:line="181"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On January 12, 2018, the Company entered into a lease agreement for office space located in Cambridge Massachusetts, United States, which expires in January 2023, with a landlord who is an affiliate of the landlord of the Company’s current lease facility. In accordance with the lease agreement, the Company is required to maintain a security deposit of $209. In contemplation of this agreement, the Company terminated its existing lease agreement.</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On January 19, 2018, the Company entered into a stock purchase agreement for the sale of 28,285,557 shares of Series B Preferred Stock for $2.1389 per share. The total gross proceeds received were $60,500. In addition, the Company issued 233,765 shares of Series B Preferred Stock to BioMarin as required by the Company’s license agreement with BioMarin (Note 11). The rights and preferences of the Series B Preferred Stock are similar to the Company’s Series A Preferred Stock, in that holders of outstanding Series B Preferred Stock have priority and preference to Series Seed Preferred Stock and common stock in the case of a liquidation or redemption event. The issue price and conversion price of the Series B Preferred Stock is $2.1389 per share, and each share of Series B Preferred Stock is convertible into common stock on a one-for-one basis.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January 2018, the Company granted 3,114,710 stock options with an exercise price of $1.21 per share.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80"/>
          </w:cols>
          <w:pgMar w:left="240" w:top="460"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9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gridSpan w:val="4"/>
          </w:tcPr>
          <w:p>
            <w:pPr>
              <w:ind w:left="2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57,928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58,481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60,216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Deferred rent, net of current portion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Redeemable convertible preferred stock (Note 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87,500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tcPr>
          <w:p>
            <w:pPr>
              <w:ind w:left="340"/>
              <w:spacing w:after="0" w:line="201" w:lineRule="exact"/>
              <w:rPr>
                <w:sz w:val="20"/>
                <w:szCs w:val="20"/>
                <w:color w:val="auto"/>
              </w:rPr>
            </w:pPr>
            <w:r>
              <w:rPr>
                <w:rFonts w:ascii="Arial" w:cs="Arial" w:eastAsia="Arial" w:hAnsi="Arial"/>
                <w:sz w:val="18"/>
                <w:szCs w:val="18"/>
                <w:color w:val="auto"/>
              </w:rPr>
              <w:t>Common stock, $0.0001 par value; 51,000,000 and 82,000,000 shares authorized as of</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auto"/>
              </w:rPr>
              <w:t>December 31, 2017 and March 31, 2018, respectively; 10,666,667 shares issued as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auto"/>
                <w:w w:val="97"/>
              </w:rPr>
              <w:t>December 31, 2017 and March 31, 2018; 9,524,999 and 9,652,082 shares outstanding as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auto"/>
              </w:rPr>
              <w:t>December 31, 2017 and March 31, 2018, respectively; 73,969,821 shares issued 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auto"/>
              </w:rPr>
              <w:t>72,955,236 shares outstanding as of March 31, 2018 (pro forma)</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(23,475)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(33,621)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(33,621)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(deficit)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(23,135)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(33,511)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auto"/>
              </w:rPr>
              <w:t>Total liabilities, redeemable convertible preferred stock and stockholders’ (deficit) equity</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60,216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23"/>
        </w:trPr>
        <w:tc>
          <w:tcPr>
            <w:tcW w:w="8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income, net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80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Accretion of issuance costs on redeemable convertible preferred stock</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 diluted (Note 12)</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Weighted-average number of common shares used in computing net loss per share attributable to common</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9,014,861</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9,606,064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Pro forma net loss per share attributable to common stockholders—basic and diluted (Note 12)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Pro forma weighted-average number of common shares used in computing pro forma net income (loss) per</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attributable to common stockholders—basic and diluted</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66,888,472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(DEFICIT)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980" w:type="dxa"/>
            <w:vAlign w:val="bottom"/>
            <w:gridSpan w:val="4"/>
          </w:tcPr>
          <w:p>
            <w:pPr>
              <w:jc w:val="center"/>
              <w:ind w:left="231"/>
              <w:spacing w:after="0"/>
              <w:rPr>
                <w:sz w:val="20"/>
                <w:szCs w:val="20"/>
                <w:color w:val="auto"/>
              </w:rPr>
            </w:pPr>
            <w:r>
              <w:rPr>
                <w:rFonts w:ascii="Arial" w:cs="Arial" w:eastAsia="Arial" w:hAnsi="Arial"/>
                <w:sz w:val="13"/>
                <w:szCs w:val="13"/>
                <w:b w:val="1"/>
                <w:bCs w:val="1"/>
                <w:color w:val="auto"/>
                <w:w w:val="81"/>
              </w:rPr>
              <w:t>Series Seed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4"/>
          </w:tcPr>
          <w:p>
            <w:pPr>
              <w:jc w:val="center"/>
              <w:ind w:left="391"/>
              <w:spacing w:after="0"/>
              <w:rPr>
                <w:sz w:val="20"/>
                <w:szCs w:val="20"/>
                <w:color w:val="auto"/>
              </w:rPr>
            </w:pPr>
            <w:r>
              <w:rPr>
                <w:rFonts w:ascii="Arial" w:cs="Arial" w:eastAsia="Arial" w:hAnsi="Arial"/>
                <w:sz w:val="13"/>
                <w:szCs w:val="13"/>
                <w:b w:val="1"/>
                <w:bCs w:val="1"/>
                <w:color w:val="auto"/>
                <w:w w:val="84"/>
              </w:rPr>
              <w:t>Series A</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4"/>
          </w:tcPr>
          <w:p>
            <w:pPr>
              <w:jc w:val="center"/>
              <w:ind w:left="391"/>
              <w:spacing w:after="0"/>
              <w:rPr>
                <w:sz w:val="20"/>
                <w:szCs w:val="20"/>
                <w:color w:val="auto"/>
              </w:rPr>
            </w:pPr>
            <w:r>
              <w:rPr>
                <w:rFonts w:ascii="Arial" w:cs="Arial" w:eastAsia="Arial" w:hAnsi="Arial"/>
                <w:sz w:val="13"/>
                <w:szCs w:val="13"/>
                <w:b w:val="1"/>
                <w:bCs w:val="1"/>
                <w:color w:val="auto"/>
                <w:w w:val="84"/>
              </w:rPr>
              <w:t>Series B</w:t>
            </w: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80" w:type="dxa"/>
            <w:vAlign w:val="bottom"/>
            <w:gridSpan w:val="4"/>
          </w:tcPr>
          <w:p>
            <w:pPr>
              <w:jc w:val="center"/>
              <w:ind w:left="251"/>
              <w:spacing w:after="0" w:line="135" w:lineRule="exact"/>
              <w:rPr>
                <w:sz w:val="20"/>
                <w:szCs w:val="20"/>
                <w:color w:val="auto"/>
              </w:rPr>
            </w:pPr>
            <w:r>
              <w:rPr>
                <w:rFonts w:ascii="Arial" w:cs="Arial" w:eastAsia="Arial" w:hAnsi="Arial"/>
                <w:sz w:val="13"/>
                <w:szCs w:val="13"/>
                <w:b w:val="1"/>
                <w:bCs w:val="1"/>
                <w:color w:val="auto"/>
                <w:w w:val="86"/>
              </w:rPr>
              <w:t>Redeemable</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6"/>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Redeemable</w:t>
            </w:r>
          </w:p>
        </w:tc>
        <w:tc>
          <w:tcPr>
            <w:tcW w:w="1540" w:type="dxa"/>
            <w:vAlign w:val="bottom"/>
            <w:tcBorders>
              <w:right w:val="single" w:sz="8" w:color="auto"/>
            </w:tcBorders>
            <w:gridSpan w:val="6"/>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Redeemable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0"/>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80" w:type="dxa"/>
            <w:vAlign w:val="bottom"/>
            <w:gridSpan w:val="4"/>
          </w:tcPr>
          <w:p>
            <w:pPr>
              <w:jc w:val="center"/>
              <w:ind w:left="231"/>
              <w:spacing w:after="0" w:line="140" w:lineRule="exact"/>
              <w:rPr>
                <w:sz w:val="20"/>
                <w:szCs w:val="20"/>
                <w:color w:val="auto"/>
              </w:rPr>
            </w:pPr>
            <w:r>
              <w:rPr>
                <w:rFonts w:ascii="Arial" w:cs="Arial" w:eastAsia="Arial" w:hAnsi="Arial"/>
                <w:sz w:val="13"/>
                <w:szCs w:val="13"/>
                <w:b w:val="1"/>
                <w:bCs w:val="1"/>
                <w:color w:val="auto"/>
                <w:w w:val="89"/>
              </w:rPr>
              <w:t>Convertible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6"/>
          </w:tcPr>
          <w:p>
            <w:pPr>
              <w:jc w:val="center"/>
              <w:ind w:right="180"/>
              <w:spacing w:after="0" w:line="140" w:lineRule="exact"/>
              <w:rPr>
                <w:sz w:val="20"/>
                <w:szCs w:val="20"/>
                <w:color w:val="auto"/>
              </w:rPr>
            </w:pPr>
            <w:r>
              <w:rPr>
                <w:rFonts w:ascii="Arial" w:cs="Arial" w:eastAsia="Arial" w:hAnsi="Arial"/>
                <w:sz w:val="13"/>
                <w:szCs w:val="13"/>
                <w:b w:val="1"/>
                <w:bCs w:val="1"/>
                <w:color w:val="auto"/>
                <w:w w:val="89"/>
              </w:rPr>
              <w:t>Convertible</w:t>
            </w:r>
          </w:p>
        </w:tc>
        <w:tc>
          <w:tcPr>
            <w:tcW w:w="1540" w:type="dxa"/>
            <w:vAlign w:val="bottom"/>
            <w:tcBorders>
              <w:right w:val="single" w:sz="8" w:color="auto"/>
            </w:tcBorders>
            <w:gridSpan w:val="6"/>
          </w:tcPr>
          <w:p>
            <w:pPr>
              <w:jc w:val="center"/>
              <w:ind w:right="140"/>
              <w:spacing w:after="0" w:line="140" w:lineRule="exact"/>
              <w:rPr>
                <w:sz w:val="20"/>
                <w:szCs w:val="20"/>
                <w:color w:val="auto"/>
              </w:rPr>
            </w:pPr>
            <w:r>
              <w:rPr>
                <w:rFonts w:ascii="Arial" w:cs="Arial" w:eastAsia="Arial" w:hAnsi="Arial"/>
                <w:sz w:val="13"/>
                <w:szCs w:val="13"/>
                <w:b w:val="1"/>
                <w:bCs w:val="1"/>
                <w:color w:val="auto"/>
                <w:w w:val="89"/>
              </w:rPr>
              <w:t>Convertible</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4"/>
          </w:tcPr>
          <w:p>
            <w:pPr>
              <w:jc w:val="right"/>
              <w:ind w:right="120"/>
              <w:spacing w:after="0" w:line="140" w:lineRule="exact"/>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83"/>
              </w:rPr>
              <w:t>Total</w:t>
            </w: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8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86"/>
              </w:rPr>
              <w:t>Preferred Stock</w:t>
            </w:r>
          </w:p>
        </w:tc>
        <w:tc>
          <w:tcPr>
            <w:tcW w:w="162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88"/>
              </w:rPr>
              <w:t>Preferred Stock</w:t>
            </w:r>
          </w:p>
        </w:tc>
        <w:tc>
          <w:tcPr>
            <w:tcW w:w="154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3"/>
                <w:szCs w:val="13"/>
                <w:b w:val="1"/>
                <w:bCs w:val="1"/>
                <w:color w:val="auto"/>
                <w:w w:val="88"/>
              </w:rPr>
              <w:t>Preferred Stock</w:t>
            </w:r>
          </w:p>
        </w:tc>
        <w:tc>
          <w:tcPr>
            <w:tcW w:w="60" w:type="dxa"/>
            <w:vAlign w:val="bottom"/>
          </w:tcPr>
          <w:p>
            <w:pPr>
              <w:spacing w:after="0"/>
              <w:rPr>
                <w:sz w:val="12"/>
                <w:szCs w:val="12"/>
                <w:color w:val="auto"/>
              </w:rPr>
            </w:pPr>
          </w:p>
        </w:tc>
        <w:tc>
          <w:tcPr>
            <w:tcW w:w="1060" w:type="dxa"/>
            <w:vAlign w:val="bottom"/>
            <w:gridSpan w:val="3"/>
          </w:tcPr>
          <w:p>
            <w:pPr>
              <w:ind w:left="200"/>
              <w:spacing w:after="0"/>
              <w:rPr>
                <w:sz w:val="20"/>
                <w:szCs w:val="20"/>
                <w:color w:val="auto"/>
              </w:rPr>
            </w:pPr>
            <w:r>
              <w:rPr>
                <w:rFonts w:ascii="Arial" w:cs="Arial" w:eastAsia="Arial" w:hAnsi="Arial"/>
                <w:sz w:val="13"/>
                <w:szCs w:val="13"/>
                <w:b w:val="1"/>
                <w:bCs w:val="1"/>
                <w:color w:val="auto"/>
                <w:w w:val="88"/>
              </w:rPr>
              <w:t>Common Stock</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2"/>
              </w:rPr>
              <w:t>Paid-in</w:t>
            </w:r>
          </w:p>
        </w:tc>
        <w:tc>
          <w:tcPr>
            <w:tcW w:w="880" w:type="dxa"/>
            <w:vAlign w:val="bottom"/>
            <w:gridSpan w:val="4"/>
          </w:tcPr>
          <w:p>
            <w:pPr>
              <w:ind w:left="60"/>
              <w:spacing w:after="0"/>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12"/>
                <w:szCs w:val="12"/>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Stockholders’</w:t>
            </w: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jc w:val="right"/>
              <w:ind w:right="89"/>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3"/>
          </w:tcPr>
          <w:p>
            <w:pPr>
              <w:ind w:left="120"/>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00"/>
              <w:spacing w:after="0" w:line="129"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rPr>
              <w:t>Deficit</w:t>
            </w:r>
          </w:p>
        </w:tc>
        <w:tc>
          <w:tcPr>
            <w:tcW w:w="1020" w:type="dxa"/>
            <w:vAlign w:val="bottom"/>
            <w:gridSpan w:val="4"/>
          </w:tcPr>
          <w:p>
            <w:pPr>
              <w:jc w:val="center"/>
              <w:ind w:right="40"/>
              <w:spacing w:after="0" w:line="129" w:lineRule="exact"/>
              <w:rPr>
                <w:sz w:val="20"/>
                <w:szCs w:val="20"/>
                <w:color w:val="auto"/>
              </w:rPr>
            </w:pPr>
            <w:r>
              <w:rPr>
                <w:rFonts w:ascii="Arial" w:cs="Arial" w:eastAsia="Arial" w:hAnsi="Arial"/>
                <w:sz w:val="13"/>
                <w:szCs w:val="13"/>
                <w:b w:val="1"/>
                <w:bCs w:val="1"/>
                <w:color w:val="auto"/>
                <w:w w:val="89"/>
              </w:rPr>
              <w:t>(Deficit) Equity</w:t>
            </w:r>
          </w:p>
        </w:tc>
      </w:tr>
      <w:tr>
        <w:trPr>
          <w:trHeight w:val="142"/>
        </w:trPr>
        <w:tc>
          <w:tcPr>
            <w:tcW w:w="20" w:type="dxa"/>
            <w:vAlign w:val="bottom"/>
          </w:tcPr>
          <w:p>
            <w:pPr>
              <w:spacing w:after="0"/>
              <w:rPr>
                <w:sz w:val="12"/>
                <w:szCs w:val="12"/>
                <w:color w:val="auto"/>
              </w:rPr>
            </w:pPr>
          </w:p>
        </w:tc>
        <w:tc>
          <w:tcPr>
            <w:tcW w:w="23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December 31, 2017</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3,333,333</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1,500</w:t>
            </w: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31,450,499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25,000</w:t>
            </w: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9,524,999</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339</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(23,475)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(23,135)</w:t>
            </w:r>
          </w:p>
        </w:tc>
        <w:tc>
          <w:tcPr>
            <w:tcW w:w="100" w:type="dxa"/>
            <w:vAlign w:val="bottom"/>
            <w:tcBorders>
              <w:top w:val="single" w:sz="8" w:color="CCEEFF"/>
            </w:tcBorders>
            <w:shd w:val="clear" w:color="auto" w:fill="CCEEFF"/>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360" w:type="dxa"/>
            <w:vAlign w:val="bottom"/>
          </w:tcPr>
          <w:p>
            <w:pPr>
              <w:ind w:left="120"/>
              <w:spacing w:after="0" w:line="130" w:lineRule="exact"/>
              <w:rPr>
                <w:sz w:val="20"/>
                <w:szCs w:val="20"/>
                <w:color w:val="auto"/>
              </w:rPr>
            </w:pPr>
            <w:r>
              <w:rPr>
                <w:rFonts w:ascii="Arial" w:cs="Arial" w:eastAsia="Arial" w:hAnsi="Arial"/>
                <w:sz w:val="14"/>
                <w:szCs w:val="14"/>
                <w:color w:val="auto"/>
              </w:rPr>
              <w:t>Issuance of series B redeemable</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280"/>
              <w:spacing w:after="0" w:line="149" w:lineRule="exact"/>
              <w:rPr>
                <w:sz w:val="20"/>
                <w:szCs w:val="20"/>
                <w:color w:val="auto"/>
              </w:rPr>
            </w:pPr>
            <w:r>
              <w:rPr>
                <w:rFonts w:ascii="Arial" w:cs="Arial" w:eastAsia="Arial" w:hAnsi="Arial"/>
                <w:sz w:val="14"/>
                <w:szCs w:val="14"/>
                <w:color w:val="auto"/>
                <w:w w:val="99"/>
              </w:rPr>
              <w:t>convertible preferred stock, net of</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360" w:type="dxa"/>
            <w:vAlign w:val="bottom"/>
          </w:tcPr>
          <w:p>
            <w:pPr>
              <w:ind w:left="280"/>
              <w:spacing w:after="0"/>
              <w:rPr>
                <w:sz w:val="20"/>
                <w:szCs w:val="20"/>
                <w:color w:val="auto"/>
              </w:rPr>
            </w:pPr>
            <w:r>
              <w:rPr>
                <w:rFonts w:ascii="Arial" w:cs="Arial" w:eastAsia="Arial" w:hAnsi="Arial"/>
                <w:sz w:val="14"/>
                <w:szCs w:val="14"/>
                <w:color w:val="auto"/>
              </w:rPr>
              <w:t>issuance costs of $2,243</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28,285,557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58,257</w:t>
            </w: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Issuance of series B redeemable</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convertible preferred stock to</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settled accrued liability of license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233,765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Vesting of restricted stock awards</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127,083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Accretion of issuance costs related</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 redeemable convertible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stock</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2,243</w:t>
            </w: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(1,904)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(2,243)</w:t>
            </w:r>
          </w:p>
        </w:tc>
      </w:tr>
      <w:tr>
        <w:trPr>
          <w:trHeight w:val="149"/>
        </w:trPr>
        <w:tc>
          <w:tcPr>
            <w:tcW w:w="2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w w:val="98"/>
              </w:rPr>
              <w:t>Stock-based compensation expense</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(8,242)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(8,242)</w:t>
            </w:r>
          </w:p>
        </w:tc>
      </w:tr>
      <w:tr>
        <w:trPr>
          <w:trHeight w:val="156"/>
        </w:trPr>
        <w:tc>
          <w:tcPr>
            <w:tcW w:w="2380" w:type="dxa"/>
            <w:vAlign w:val="bottom"/>
            <w:gridSpan w:val="2"/>
          </w:tcPr>
          <w:p>
            <w:pPr>
              <w:spacing w:after="0" w:line="155" w:lineRule="exact"/>
              <w:rPr>
                <w:sz w:val="20"/>
                <w:szCs w:val="20"/>
                <w:color w:val="auto"/>
              </w:rPr>
            </w:pPr>
            <w:r>
              <w:rPr>
                <w:rFonts w:ascii="Arial" w:cs="Arial" w:eastAsia="Arial" w:hAnsi="Arial"/>
                <w:sz w:val="14"/>
                <w:szCs w:val="14"/>
                <w:color w:val="auto"/>
              </w:rPr>
              <w:t>Balances as of March 31, 2018</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3,333,333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1,500</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31,450,499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25,000</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28,519,322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61,000</w:t>
            </w: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9,652,082</w:t>
            </w: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(33,621)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(33,511)</w:t>
            </w:r>
          </w:p>
        </w:tc>
        <w:tc>
          <w:tcPr>
            <w:tcW w:w="100" w:type="dxa"/>
            <w:vAlign w:val="bottom"/>
          </w:tcPr>
          <w:p>
            <w:pPr>
              <w:spacing w:after="0"/>
              <w:rPr>
                <w:sz w:val="13"/>
                <w:szCs w:val="13"/>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Reclassification of warrants to</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 shares of redeemable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convertible preferred stock into</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warrants to purchase common</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2360" w:type="dxa"/>
            <w:vAlign w:val="bottom"/>
          </w:tcPr>
          <w:p>
            <w:pPr>
              <w:ind w:left="120"/>
              <w:spacing w:after="0" w:line="130" w:lineRule="exact"/>
              <w:rPr>
                <w:sz w:val="20"/>
                <w:szCs w:val="20"/>
                <w:color w:val="auto"/>
              </w:rPr>
            </w:pPr>
            <w:r>
              <w:rPr>
                <w:rFonts w:ascii="Arial" w:cs="Arial" w:eastAsia="Arial" w:hAnsi="Arial"/>
                <w:sz w:val="14"/>
                <w:szCs w:val="14"/>
                <w:color w:val="auto"/>
              </w:rPr>
              <w:t>Conversion of redeemable</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280"/>
              <w:spacing w:after="0" w:line="149" w:lineRule="exact"/>
              <w:rPr>
                <w:sz w:val="20"/>
                <w:szCs w:val="20"/>
                <w:color w:val="auto"/>
              </w:rPr>
            </w:pPr>
            <w:r>
              <w:rPr>
                <w:rFonts w:ascii="Arial" w:cs="Arial" w:eastAsia="Arial" w:hAnsi="Arial"/>
                <w:sz w:val="14"/>
                <w:szCs w:val="14"/>
                <w:color w:val="auto"/>
              </w:rPr>
              <w:t>convertible preferred stock into</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2360" w:type="dxa"/>
            <w:vAlign w:val="bottom"/>
          </w:tcPr>
          <w:p>
            <w:pPr>
              <w:ind w:left="280"/>
              <w:spacing w:after="0"/>
              <w:rPr>
                <w:sz w:val="20"/>
                <w:szCs w:val="20"/>
                <w:color w:val="auto"/>
              </w:rPr>
            </w:pPr>
            <w:r>
              <w:rPr>
                <w:rFonts w:ascii="Arial" w:cs="Arial" w:eastAsia="Arial" w:hAnsi="Arial"/>
                <w:sz w:val="14"/>
                <w:szCs w:val="14"/>
                <w:color w:val="auto"/>
              </w:rPr>
              <w:t>common stock</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(3,333,333)</w:t>
            </w:r>
          </w:p>
        </w:tc>
        <w:tc>
          <w:tcPr>
            <w:tcW w:w="700" w:type="dxa"/>
            <w:vAlign w:val="bottom"/>
            <w:gridSpan w:val="4"/>
          </w:tcPr>
          <w:p>
            <w:pPr>
              <w:jc w:val="right"/>
              <w:ind w:right="140"/>
              <w:spacing w:after="0"/>
              <w:rPr>
                <w:sz w:val="20"/>
                <w:szCs w:val="20"/>
                <w:color w:val="auto"/>
              </w:rPr>
            </w:pPr>
            <w:r>
              <w:rPr>
                <w:rFonts w:ascii="Arial" w:cs="Arial" w:eastAsia="Arial" w:hAnsi="Arial"/>
                <w:sz w:val="14"/>
                <w:szCs w:val="14"/>
                <w:color w:val="auto"/>
              </w:rPr>
              <w:t>(1,500)</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(31,450,499)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(25,000)</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(28,519,322)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w w:val="91"/>
              </w:rPr>
              <w:t>(61,000)</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63,303,154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87,494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87,500</w:t>
            </w:r>
          </w:p>
        </w:tc>
        <w:tc>
          <w:tcPr>
            <w:tcW w:w="100" w:type="dxa"/>
            <w:vAlign w:val="bottom"/>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 forma balance as of March 31,</w:t>
            </w: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72,955,236</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87,650</w:t>
            </w: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(33,621)</w:t>
            </w:r>
          </w:p>
        </w:tc>
        <w:tc>
          <w:tcPr>
            <w:tcW w:w="240" w:type="dxa"/>
            <w:vAlign w:val="bottom"/>
            <w:gridSpan w:val="2"/>
            <w:shd w:val="clear" w:color="auto" w:fill="CCEEFF"/>
          </w:tcPr>
          <w:p>
            <w:pPr>
              <w:jc w:val="right"/>
              <w:ind w:right="43"/>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54,036</w:t>
            </w:r>
          </w:p>
        </w:tc>
        <w:tc>
          <w:tcPr>
            <w:tcW w:w="10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240" w:top="459" w:right="4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w:t>
      </w:r>
    </w:p>
    <w:p>
      <w:pPr>
        <w:jc w:val="center"/>
        <w:ind w:left="92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(2,077)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(8,242)</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Impairment loss of property and equipment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offering costs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Deferred rent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r>
      <w:tr>
        <w:trPr>
          <w:trHeight w:val="216"/>
        </w:trPr>
        <w:tc>
          <w:tcPr>
            <w:tcW w:w="20" w:type="dxa"/>
            <w:vAlign w:val="bottom"/>
          </w:tcPr>
          <w:p>
            <w:pPr>
              <w:spacing w:after="0"/>
              <w:rPr>
                <w:sz w:val="18"/>
                <w:szCs w:val="18"/>
                <w:color w:val="auto"/>
              </w:rPr>
            </w:pPr>
          </w:p>
        </w:tc>
        <w:tc>
          <w:tcPr>
            <w:tcW w:w="780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(2,011)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(5,980)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58,263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Payments of initial public offering costs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58,208</w:t>
            </w:r>
          </w:p>
        </w:tc>
        <w:tc>
          <w:tcPr>
            <w:tcW w:w="120" w:type="dxa"/>
            <w:vAlign w:val="bottom"/>
            <w:shd w:val="clear" w:color="auto" w:fill="CCEEFF"/>
          </w:tcPr>
          <w:p>
            <w:pPr>
              <w:spacing w:after="0"/>
              <w:rPr>
                <w:sz w:val="18"/>
                <w:szCs w:val="18"/>
                <w:color w:val="auto"/>
              </w:rPr>
            </w:pP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1,421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51,965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CEEFF"/>
          </w:tcPr>
          <w:p>
            <w:pPr>
              <w:spacing w:after="0"/>
              <w:rPr>
                <w:sz w:val="18"/>
                <w:szCs w:val="18"/>
                <w:color w:val="auto"/>
              </w:rPr>
            </w:pP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6,778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57,928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paid for by landlord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Property and equipment held for sale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included in accrued expenses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Accretion of issuance costs related to redeemable convertible preferred stock</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2,240</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59"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 xml:space="preserve">AVROBIO, Inc. (the “Company” or “AVROBIO”) is a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Through March 31, 2018, the Company has funded its operations primarily with proceeds from the sale of series Seed redeemable convertible preferred stock (the “Series Seed Preferred Stock”), series A redeemable convertible preferred stock (the “Series A Preferred Stock”) and series B redeemable convertible preferred stock (the “Series B Preferred Stock”), (the Series Seed Preferred Stock, the Series A Preferred Stock and the Series B Preferred Stock are collectively referred to as the “Preferred Stock”). The Company has incurred recurring losses since its inception, including net losses of $8,242 for the three months ended March 31, 2018. In addition, as of March 31, 2018, the Company had an accumulated deficit of $33,621. The Company expects to continue to generate operating losses for the near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Company believes the cash and cash equivalents on hand as of March 31, 2018 of $57,928 will be sufficient to fund its operations and capital expenditure requirements through at least May 11, 2019.</w:t>
      </w:r>
    </w:p>
    <w:p>
      <w:pPr>
        <w:spacing w:after="0" w:line="275" w:lineRule="exact"/>
        <w:rPr>
          <w:sz w:val="20"/>
          <w:szCs w:val="20"/>
          <w:color w:val="auto"/>
        </w:rPr>
      </w:pPr>
    </w:p>
    <w:p>
      <w:pPr>
        <w:ind w:left="640" w:right="7440" w:hanging="436"/>
        <w:spacing w:after="0" w:line="378" w:lineRule="auto"/>
        <w:tabs>
          <w:tab w:leader="none" w:pos="379"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200" w:right="120" w:firstLine="441"/>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unaudited condensed consolidated interim financial statements have been prepared on the same basis as the audited annual consolidated financial statements as of and for the year ended December 31, 2017, and, in the opinion of management, reflect all adjustments, consisting of normal recurring adjustments, necessary for the fair presentation of the Company’s financial position as of March 31, 2018, and the results of its operations and its cash flows for the three months ended March 31, 2017 and 2018.</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00"/>
          </w:cols>
          <w:pgMar w:left="240" w:top="460"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The results for the three months ended March 31, 2018 are not necessarily indicative of the results to be expected for the year ending December 31, 2018, any other interim periods, or any future year or period. These interim financial statements should be read in conjunction with the audited financial statements as of and for the year ended December 31, 2017, and the notes thereto, which are included elsewhere in the Company’s confidentially submitted Registration Statement on Form S-1.</w:t>
      </w:r>
    </w:p>
    <w:p>
      <w:pPr>
        <w:spacing w:after="0" w:line="18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2017 included in the Company’s Form S-1. Since the date of such consolidated financial statements, there have been no changes to the Company’s significant accounting policies.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accompanying unaudited pro forma condensed consolidated balance sheet and statement of redeemable convertible preferred stock and stockholders’ (deficit) equity as of March 31, 2018 has been prepared to give effect, upon the closing of a qualified initial public offering (“IPO”), to the conversion of all outstanding shares of redeemable convertible preferred stock into 63,303,154 shares of common stock and the conversion of the outstanding warrant to purchase shares of redeemable convertible preferred stock as of March 31, 2018 into a warrant to purchase shares of common stock as if the Company’s proposed IPO had occurred on March 31, 2018.</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the accompanying unaudited condensed consolidated statements of operations and comprehensive loss, the unaudited pro forma basic and diluted net loss per share attributable to common stockholders for the three months ended March 31, 2018 has been computed using the weighted-average number of common shares outstanding after giving pro forma effect to the conversion of all outstanding shares of redeemable convertible preferred stock into shares of common stock and the conversion of the outstanding warrant to purchase shares of redeemable convertible preferred stock as of March 31, 2018 into a warrant to purchase shares of common stock, as if such conversion had occurred at the beginning of the period presented or the date of original issuance, whichever is later. Accordingly, the effect of the accretion to redemption value of the redeemable convertible preferred stock has been excluded from the determination of pro forma basic and diluted loss per share attributable to common stockholders. Additionally, the changes in the fair value of the warrant to purchase redeemable convertible preferred stock has been excluded from the determination of pro forma basic and diluted net loss per share attributable to common stockholders as these instruments are not required be recorded at fair value once it becomes a warrant to purchase common stock.</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16.</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80"/>
          </w:cols>
          <w:pgMar w:left="240" w:top="460" w:right="4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21"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The following table presents information about the Company’s financial assets and liabilities measured at fair value on a recurring basis and indicates the level of the fair value hierarchy utilized to determine such fair values as of December 31, 2017 and March 31, 2018, respectively:</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December 31, 2017 Using:</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82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92"/>
              </w:rPr>
              <w:t>Level 2</w:t>
            </w:r>
          </w:p>
        </w:tc>
        <w:tc>
          <w:tcPr>
            <w:tcW w:w="360" w:type="dxa"/>
            <w:vAlign w:val="bottom"/>
          </w:tcPr>
          <w:p>
            <w:pPr>
              <w:spacing w:after="0"/>
              <w:rPr>
                <w:sz w:val="12"/>
                <w:szCs w:val="12"/>
                <w:color w:val="auto"/>
              </w:rPr>
            </w:pPr>
          </w:p>
        </w:tc>
        <w:tc>
          <w:tcPr>
            <w:tcW w:w="8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5,684</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5,708</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Derivative liability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371</w:t>
            </w:r>
          </w:p>
        </w:tc>
        <w:tc>
          <w:tcPr>
            <w:tcW w:w="3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5"/>
              </w:rPr>
              <w:t>March 31, 2018 Using:</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82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92"/>
              </w:rPr>
              <w:t>Level 2</w:t>
            </w:r>
          </w:p>
        </w:tc>
        <w:tc>
          <w:tcPr>
            <w:tcW w:w="360" w:type="dxa"/>
            <w:vAlign w:val="bottom"/>
          </w:tcPr>
          <w:p>
            <w:pPr>
              <w:spacing w:after="0"/>
              <w:rPr>
                <w:sz w:val="12"/>
                <w:szCs w:val="12"/>
                <w:color w:val="auto"/>
              </w:rPr>
            </w:pPr>
          </w:p>
        </w:tc>
        <w:tc>
          <w:tcPr>
            <w:tcW w:w="8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57,459</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57,459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57,483</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57,483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Derivative liability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958</w:t>
            </w:r>
          </w:p>
        </w:tc>
        <w:tc>
          <w:tcPr>
            <w:tcW w:w="3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958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1,005</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three months ended March 31, 2017 and 2018, there were no transfers between Level 1, Level 2 and Level 3.</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the Warrant to Purchase Preferred Stock</w:t>
      </w:r>
    </w:p>
    <w:p>
      <w:pPr>
        <w:spacing w:after="0" w:line="117"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The warrant to purchase preferred stock liability in the table above is composed of the fair value of a warrant to purchase shares of Series A Preferred Stock that was issued to a lender in connection with a loan and security agreement in 2017. The fair value of the warrant to purchase preferred stock was determined based on significant inputs not observable in the market, which represents a Level 3 measurement within the fair value hierarchy.</w:t>
      </w:r>
    </w:p>
    <w:p>
      <w:pPr>
        <w:spacing w:after="0" w:line="14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In order to determine the fair value of the warrant to purchase preferred stock, the Company utilizes available facts and circumstances to estimate the number of shares of Series A Preferred Stock for which the warrant will ultimately be exercisable. The Company then used the Black-Scholes option-pricing model, which incorporates assumptions and estimates, to value the warrant to purchase preferred stock. Estimates and</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240" w:top="460" w:right="4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35"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assumptions impacting the fair value measurement include the fair value of the underlying shares of Series A Preferred Stock, the remaining contractual term of the warrant, risk-free interest rate, expected dividend yield and expected volatility of the price of the underlying preferred stock. The Company determined the fair value of the underlying preferred stock based on various valuation methodologies. The Company lacks company-specific historical and implied volatility information of its stock. Therefore, it estimates its expected stock volatility based on the historical volatility of publicly traded guideline companies for a term equal to the remaining contractual term of the warrant. The risk-free interest rate is determined by reference to the U.S. Treasury yield curve for time periods approximately equal to the remaining contractual term of the warrant. The Company estimated no expected dividend yield based on the fact that the Company has never paid or declared dividends and does not intend to do so in the foreseeable future.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assumptions that the Company used to determine the fair value of the warrant to purchase preferred stock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860" w:type="dxa"/>
            <w:vAlign w:val="bottom"/>
            <w:gridSpan w:val="4"/>
          </w:tcPr>
          <w:p>
            <w:pPr>
              <w:ind w:left="2000"/>
              <w:spacing w:after="0"/>
              <w:rPr>
                <w:sz w:val="20"/>
                <w:szCs w:val="20"/>
                <w:color w:val="auto"/>
              </w:rPr>
            </w:pPr>
            <w:r>
              <w:rPr>
                <w:rFonts w:ascii="Arial" w:cs="Arial" w:eastAsia="Arial" w:hAnsi="Arial"/>
                <w:sz w:val="14"/>
                <w:szCs w:val="14"/>
                <w:b w:val="1"/>
                <w:bCs w:val="1"/>
                <w:color w:val="auto"/>
              </w:rPr>
              <w:t>December 31, 2017</w:t>
            </w:r>
          </w:p>
        </w:tc>
        <w:tc>
          <w:tcPr>
            <w:tcW w:w="1720" w:type="dxa"/>
            <w:vAlign w:val="bottom"/>
            <w:gridSpan w:val="4"/>
          </w:tcPr>
          <w:p>
            <w:pPr>
              <w:ind w:left="540"/>
              <w:spacing w:after="0"/>
              <w:rPr>
                <w:sz w:val="20"/>
                <w:szCs w:val="20"/>
                <w:color w:val="auto"/>
              </w:rPr>
            </w:pPr>
            <w:r>
              <w:rPr>
                <w:rFonts w:ascii="Arial" w:cs="Arial" w:eastAsia="Arial" w:hAnsi="Arial"/>
                <w:sz w:val="14"/>
                <w:szCs w:val="14"/>
                <w:b w:val="1"/>
                <w:bCs w:val="1"/>
                <w:color w:val="auto"/>
              </w:rPr>
              <w:t>March 31, 2018</w:t>
            </w: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contractual term</w:t>
            </w:r>
          </w:p>
        </w:tc>
        <w:tc>
          <w:tcPr>
            <w:tcW w:w="2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7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2.40%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82.00%</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82.00%</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A Preferred Stock per share</w:t>
            </w:r>
          </w:p>
        </w:tc>
        <w:tc>
          <w:tcPr>
            <w:tcW w:w="242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7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following table sets forth a summary of changes in the fair value of the Company’s preferred stock warrant liability for which fair value is determined by Level 3 inputs: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4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Warrant</w:t>
            </w: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4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Liability</w:t>
            </w: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4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Change in fair value.</w:t>
            </w:r>
          </w:p>
        </w:tc>
        <w:tc>
          <w:tcPr>
            <w:tcW w:w="4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2018</w:t>
            </w:r>
          </w:p>
        </w:tc>
        <w:tc>
          <w:tcPr>
            <w:tcW w:w="42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Derivative</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In January 2016, in connection with a license agreement entered into with University Health Network (“UHN”), and as part of the initial consideration for the license, the Company issued 4,800,000 shares of common stock to UHN pursuant to a stock purchase agreement (the “Stock Purchase Agreement”). The Stock Purchase Agreement contains a provision requiring the Company to make a cash payment to UHN of up to $2,000 if UHN’s fully diluted ownership is reduced within specified percentages as part of an IPO by the Company. The Company concluded the anti-dilution feature represented a derivative instrument and should be measured at fair value, with changes in fair value recognized as a gain or loss to other income (expense), net in the consolidated statements of operations and comprehensive loss. The initial fair value of the derivative of $49 was recorded as research and development expense in January 2016.</w:t>
      </w:r>
    </w:p>
    <w:p>
      <w:pPr>
        <w:spacing w:after="0" w:line="18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On March 31, 2017 and 2018, the Company remeasured the fair value of the derivative, using current assumptions, resulting in an increase in fair value of $32 and $587, respectively, which was recorded in other expense in the accompanying condensed consolidated statements of operations and comprehensive loss for the three months ended March 31, 2017 and 2018. The Company will continue to re-measure the fair value of the liability at the end of each reporting period until the completion of an IPO.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240" w:top="459" w:right="4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a summary of changes in the fair value of the Company’s derivative liability for which fair value is determined by</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Level 3 inputs: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6"/>
          </w:tcPr>
          <w:p>
            <w:pPr>
              <w:ind w:left="4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Prepaid development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Prepaid 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345</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260" w:type="dxa"/>
            <w:vAlign w:val="bottom"/>
            <w:gridSpan w:val="7"/>
          </w:tcPr>
          <w:p>
            <w:pPr>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7"/>
          </w:tcPr>
          <w:p>
            <w:pPr>
              <w:ind w:left="3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office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and amortization expense for the three months ended March 31, 2017 and 2018 was $2 and $21,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240" w:top="460"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1280" w:type="dxa"/>
            <w:vAlign w:val="bottom"/>
            <w:gridSpan w:val="4"/>
          </w:tcPr>
          <w:p>
            <w:pPr>
              <w:ind w:left="5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20" w:type="dxa"/>
            <w:vAlign w:val="bottom"/>
          </w:tcPr>
          <w:p>
            <w:pPr>
              <w:spacing w:after="0"/>
              <w:rPr>
                <w:sz w:val="14"/>
                <w:szCs w:val="14"/>
                <w:color w:val="auto"/>
              </w:rPr>
            </w:pPr>
          </w:p>
        </w:tc>
        <w:tc>
          <w:tcPr>
            <w:tcW w:w="8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Short-term deferred 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Consulting and professional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issuance cost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Legal services fee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w:t>
      </w:r>
    </w:p>
    <w:p>
      <w:pPr>
        <w:spacing w:after="0" w:line="121"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On June 23, 2017, the Company entered into the Loan Agreement with a lender, which provided for the issuance of term loans of up to $10,000, subject to the achievement of various development and corporate milestones. Any outstanding principal amounts under the Loan Agreement will accrue interest at a floating per annum rate equal to the greater of 1% and the “prime rate,” as defined in the Loan Agreement, minus 3%.</w:t>
      </w:r>
    </w:p>
    <w:p>
      <w:pPr>
        <w:spacing w:after="0" w:line="14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 As of March 31, 2018, the Company had not drawn down from the facility and $10,000 was available to the Company.</w:t>
      </w:r>
    </w:p>
    <w:p>
      <w:pPr>
        <w:spacing w:after="0" w:line="17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Loan Agreement contains customary indemnification obligations and customary events of default. In the event of default by the Company under the Loan Agreement, the lender would be entitled to exercise their remedies thereunder, including the right to accelerate the debt, upon which the Company may be required to repay all amounts then outstanding under the Loan Agreement or the lender may take possession of the collateral securing the Loan Agreement. No events of default had occurred through March 31, 2018.</w:t>
      </w:r>
    </w:p>
    <w:p>
      <w:pPr>
        <w:spacing w:after="0" w:line="18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Loan Agreement also includes certain restrictions on, among other things, the Company’s ability to incur additional indebtedness, change the name or location of its business, merge with or acquire other entities, pay dividends or make other distributions to holders of the Company’s capital stock, make certain investments, engage in transactions with affiliates, create liens, open new deposit accounts, sell assets or pay subordinated debt.</w:t>
      </w:r>
    </w:p>
    <w:p>
      <w:pPr>
        <w:spacing w:after="0" w:line="14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In connection with the Loan Agreement, the Company agreed to issue a warrant to the lender for the purchase of up to 188,702 shares of the Company’s Series A Preferred Stock with an exercise price of $0.7949 per share. The warrant expires on June 22, 2027. The warrant is initially exercisable for the purchase of up to 28,305 shares of Series A Preferred Stock and can become exercisable for up to an additional 160,397 shares of Series A Preferred Stock based on the amounts drawn under the Loan Agreement. On the issuance date of the warrant, the Company recorded a deferred financing cost and a liability for the warrant to purchase preferred stock in the Company’s consolidated balance sheet equal to the issuance-date fair value of the warrant. As of March 31, 2018, the warrant is exercisable for up to 28,305 shares of Series A Preferred Stock.</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240" w:top="460" w:right="4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 (continued)</w:t>
      </w:r>
    </w:p>
    <w:p>
      <w:pPr>
        <w:spacing w:after="0" w:line="13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On the date of issuance, the fair value of the warrant was determined to be $18. The Company remeasured the liability associated with the warrant as of December 31, 2017 and March 31, 2018, and determined that the fair value of the preferred stock warrant liability was $35 and $47, respectively. The Company recognized a loss of $12 in the condensed consolidated statements of operations and comprehensive loss for the three months ended March 31, 2018, related to the change in fair value of the warrant.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21"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color w:val="auto"/>
        </w:rPr>
        <w:t>As of March 31, 2018, the authorized capital stock of the Company included 63,491,857 shares of $0.0001 par value preferred stock, of which 3,333,333 shares have been designated as Series Seed redeemable convertible preferred stock (the “Series Seed Preferred Stock), 31,639,202 shares have been designated as Series A redeemable convertible preferred stock (the “Series A Preferred Stock) and 28,519,322 shares have been designated as Series B redeemable convertible preferred stock (the “Series B Preferred Stock) (the Series Seed Preferred Stock, the Series A Preferred Stock and the Series B Preferred Stock are collectively referred to as the “Preferred Stock”).</w:t>
      </w:r>
    </w:p>
    <w:p>
      <w:pPr>
        <w:spacing w:after="0" w:line="17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January 2018, the Company issued and sold 28,519,322 shares of Series B Preferred Stock, at a price of $2.1389 per share, for total proceeds of $58,757, net of issuance costs of $2,243.</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and March 31, 2018, the Preferred Stock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2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5"/>
              </w:rPr>
              <w:t>Liquidation</w:t>
            </w: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Preference</w:t>
            </w:r>
          </w:p>
        </w:tc>
        <w:tc>
          <w:tcPr>
            <w:tcW w:w="26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31,639,202</w:t>
            </w:r>
          </w:p>
        </w:tc>
        <w:tc>
          <w:tcPr>
            <w:tcW w:w="2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31,450,499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25,000,000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25,000,000</w:t>
            </w:r>
          </w:p>
        </w:tc>
        <w:tc>
          <w:tcPr>
            <w:tcW w:w="2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31,450,499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34,972,535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34,783,832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26,500,000</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26,500,000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34,783,832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March 31, 2018</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2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5"/>
              </w:rPr>
              <w:t>Liquidation</w:t>
            </w: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Preference</w:t>
            </w:r>
          </w:p>
        </w:tc>
        <w:tc>
          <w:tcPr>
            <w:tcW w:w="26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31,639,202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31,450,499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25,000,000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25,000,000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31,450,499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28,519,322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28,519,322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61,000,000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61,000,000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28,519,322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63,491,857</w:t>
            </w: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63,303,154</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87,500,000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87,500,000</w:t>
            </w:r>
          </w:p>
        </w:tc>
        <w:tc>
          <w:tcPr>
            <w:tcW w:w="2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63,303,154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of March 31, 2018, the rights and preferences of the holders of the Preferred Stock had not been changed since December 31, 2017, except for the following which were amended upon issuance of Series B Preferred Stock:</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the event of any voluntary or involuntary liquidation event, dissolution, winding up of the Company or upon the occurrence of certain events designated by a majority of the holders of the Preferred Stock to be 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deemed liquidation event, each holder of the then outstanding Series A Preferred Stock and Series B Preferred Stock will be entitled to receive, prior and in preference to any distributions to the holders of Series Seed Preferred Stock and common stock, an amount equal to the greater of (i) $0.7949 per share for Series A and $2.1389 per share for Series B Preferred Stock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After the payment of all preferential amounts to the holders of Series A Preferred Stock and Series B Preferred Stock, each holder of the then outstanding Series Seed Preferred Stock will be entitled to receive, prior and in preference to any distributions to the holders of common stock, an amount equal to the greater of (i) $0.45 per share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88" w:lineRule="exact"/>
        <w:rPr>
          <w:sz w:val="20"/>
          <w:szCs w:val="20"/>
          <w:color w:val="auto"/>
        </w:rPr>
      </w:pPr>
    </w:p>
    <w:p>
      <w:pPr>
        <w:ind w:left="200" w:right="760" w:firstLine="441"/>
        <w:spacing w:after="0" w:line="308" w:lineRule="auto"/>
        <w:rPr>
          <w:sz w:val="20"/>
          <w:szCs w:val="20"/>
          <w:color w:val="auto"/>
        </w:rPr>
      </w:pPr>
      <w:r>
        <w:rPr>
          <w:rFonts w:ascii="Arial" w:cs="Arial" w:eastAsia="Arial" w:hAnsi="Arial"/>
          <w:sz w:val="17"/>
          <w:szCs w:val="17"/>
          <w:color w:val="auto"/>
        </w:rPr>
        <w:t>After payments have been made in full to the holders of the Preferred Stock, then, to the extent available, the remaining amounts will be distributed among the holders of the shares of common stock, pro rata based on the number of shares held by each holder.</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Each share of Preferred Stock is convertible into common stock, at any time, at the option of the holder, and without the payment of additional consideration, at the applicable conversion ratio then in effect for each series of Preferred Stock, initially set to be one-for-one, and subject to adjustment in accordance with anti-dilution provisions. In addition, each share of Preferred Stock will be automatically converted into common stock at the applicable conversion ratio then in effect for each series of Preferred Stock upon the earlier of a qualified IPO which results in net proceeds of at least $50,000 with the issuance price at least 1.5 times the original issue price of Series B Preferred Stock and the listing of the Company’s common stock on the New York Stock Exchange or the Nasdaq Stock Market, or upon a vote of the holders of a majority of the outstanding Preferred Stock. As of March 31, 2018, each share of Preferred Stock was convertible into one share of common stock and can be adjusted in the event of any stock dividend, stock split, combination or other similar recapitalization with respect to the Preferred Stock.</w:t>
      </w:r>
    </w:p>
    <w:p>
      <w:pPr>
        <w:spacing w:after="0" w:line="179"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Company evaluated each series of its Preferred Stock and determined that each individual series is considered an equity host. In making this determination, the Company’s analysis followed the whole instrument approach which compares an individual feature against the entire preferred stock instrument which includes that feature. The Company’s analysis was based on a consideration of the economic characteristics and risks of each series of Preferred Stock. More specifically, the Company evaluated all of the stated and implied substantive terms and features, including: (1) whether the Preferred Stock included redemption features, (2) how and when any redemption features could be exercised, (3) whether the holders of Preferred Stock were entitled to dividends, (4) the voting rights of the Preferred Stock and (5) the existence and nature of any conversion rights.</w:t>
      </w:r>
    </w:p>
    <w:p>
      <w:pPr>
        <w:spacing w:after="0" w:line="16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As a result of the Company’s conclusion that the Preferred Stock represents an equity host, the conversion feature of all series of Preferred Stock is considered to be clearly and closely related to the associated Preferred Stock host instrument. Accordingly, the conversion feature of all series of Preferred Stock is not considered an embedded derivative that requires bifurcation.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20"/>
          </w:cols>
          <w:pgMar w:left="240" w:top="460"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accounts for potential beneficial conversion features at the time of issuance. The Company’s common stock into which each series of the Company’s Preferred Stock is convertible had an estimated fair value less than the effective conversion prices of the Preferred Stock at the time of each of the issuances of Preferred Stock. Therefore, there was no intrinsic value on the respective commitment dates. In addition, the Company considered the other features included within the Preferred Stock and determined that none of the other features required bifurcation and separate accounting.</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Series Seed Preferred Stock, Series A Preferred Stock and Series B Preferred Stock are redeemable at $0.45 per share, $0.7949 per share and $2.1389 per share, respectively, (adjusted in the event of any stock dividend, stock split, combination or other similar activity) plus any declared but unpaid dividends, on or after January 19, 2023 at the written election of at least a majority of the holders of Preferred Stock voting together as a single class. The redemption is paid in three annual installments. No bifurcation of the redemption feature was required as the feature does not contain the characteristics of a derivative instrument.</w:t>
      </w:r>
    </w:p>
    <w:p>
      <w:pPr>
        <w:spacing w:after="0" w:line="18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As the Preferred Stock is redeemable upon the passage of time, the Preferred Stock has been classified outside of permanent equity. The Company has elected to record the changes in the redemption value immediately as they occur.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Common Stock</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As of March 31, 2018, the authorized capital stock of the Company included 82,000,000 shares of common stock, $0.0001 par value, respectively. The voting, dividend and liquidation rights of the holders of the Company’s common stock are subject to and qualified by the rights, powers and preferences of the holders of the Preferred Stock set forth above.</w:t>
      </w:r>
    </w:p>
    <w:p>
      <w:pPr>
        <w:spacing w:after="0" w:line="18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Each share of common stock entitles the holder to one vote, together with the holders of the Preferred Stock, on all matters submitted to the stockholders for a vote. The holders of the Preferred Stock, voting as a single class, are entitled to elect three directors of the Company. The holders of common stock, together with the holders of the Preferred Stock and voting as a single class, are entitled to elect two directors of the Company. The holders of common stock and of any other class or series of voting stock (including the Preferred Stock), voting together as a single class, are entitled to elect the remaining directors of the Company. Common stockholders are entitled to receive dividends, as may be declared by the Board, if any, subject to the preferential dividend rights of the Preferred Stock. Through March 31 2018, no cash dividends have been declared or paid.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00"/>
          </w:cols>
          <w:pgMar w:left="24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Common Stock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2017 and March 31, 2018, the Company has reserved the following shares of common stock for future issuance: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28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22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reserved for Series Seed Preferred Stock outstanding</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Shares reserved for Series A Preferred Stock outstanding</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31,450,499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31,450,499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Series B Preferred Stock outstanding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28,519,322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Shares reserved for vesting of restricted stock awards</w:t>
            </w:r>
          </w:p>
        </w:tc>
        <w:tc>
          <w:tcPr>
            <w:tcW w:w="920" w:type="dxa"/>
            <w:vAlign w:val="bottom"/>
          </w:tcPr>
          <w:p>
            <w:pPr>
              <w:jc w:val="right"/>
              <w:spacing w:after="0"/>
              <w:rPr>
                <w:sz w:val="20"/>
                <w:szCs w:val="20"/>
                <w:color w:val="auto"/>
              </w:rPr>
            </w:pPr>
            <w:r>
              <w:rPr>
                <w:rFonts w:ascii="Arial" w:cs="Arial" w:eastAsia="Arial" w:hAnsi="Arial"/>
                <w:sz w:val="18"/>
                <w:szCs w:val="18"/>
                <w:color w:val="auto"/>
              </w:rPr>
              <w:t>1,141,668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1,014,585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4,276,504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7,391,214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Shares reserved for issuance under the 2015 Stock Option and Grant Plan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593,795</w:t>
            </w:r>
          </w:p>
        </w:tc>
        <w:tc>
          <w:tcPr>
            <w:tcW w:w="2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241,506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of authorized common stock reserved for future issuance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40,795,799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71,950,459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54"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total number of common shares that may be issued under the 2015 Plan was 8,299,387 shares as of March 31, 2018, of which 241,506 shares remained available for future grant.</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Shares that expire, are terminated, surrendered or canceled under the 2015 Plan without having been fully exercised will be available for future awards. In addition, shares of common stock that are tendered to the Company by a participant to exercise an award are added to the number of shares of common stock available for future awards.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2015 Plan is administered by the Board. Equity awards granted to employees and members of the Board typically vest over four years.</w:t>
      </w:r>
    </w:p>
    <w:p>
      <w:pPr>
        <w:spacing w:after="0" w:line="23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During the three months ended March 31, 2018, the Company granted options to purchase 3,114,710 shares of common stock to employees and members of the Board. No options were granted by the Company during the three months ended March 31, 2017.</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were as follows, presented on a weighted-average basis: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6"/>
          </w:tcPr>
          <w:p>
            <w:pPr>
              <w:jc w:val="center"/>
              <w:ind w:left="585"/>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4"/>
              </w:rPr>
              <w:t>March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73"/>
              <w:spacing w:after="0"/>
              <w:rPr>
                <w:sz w:val="20"/>
                <w:szCs w:val="20"/>
                <w:color w:val="auto"/>
              </w:rPr>
            </w:pPr>
            <w:r>
              <w:rPr>
                <w:rFonts w:ascii="Arial" w:cs="Arial" w:eastAsia="Arial" w:hAnsi="Arial"/>
                <w:sz w:val="18"/>
                <w:szCs w:val="18"/>
                <w:color w:val="auto"/>
              </w:rPr>
              <w:t>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33"/>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84.00%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20" w:type="dxa"/>
            <w:vAlign w:val="bottom"/>
            <w:gridSpan w:val="6"/>
          </w:tcPr>
          <w:p>
            <w:pPr>
              <w:ind w:left="420"/>
              <w:spacing w:after="0"/>
              <w:rPr>
                <w:sz w:val="20"/>
                <w:szCs w:val="20"/>
                <w:color w:val="auto"/>
              </w:rPr>
            </w:pPr>
            <w:r>
              <w:rPr>
                <w:rFonts w:ascii="Arial" w:cs="Arial" w:eastAsia="Arial" w:hAnsi="Arial"/>
                <w:sz w:val="18"/>
                <w:szCs w:val="18"/>
                <w:color w:val="auto"/>
                <w:w w:val="93"/>
              </w:rPr>
              <w:t>The following table summarizes the Company’s stock option activity for the three months ended March 31, 2018:</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24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54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Contractual</w:t>
            </w: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5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0" w:type="dxa"/>
            <w:vAlign w:val="bottom"/>
          </w:tcPr>
          <w:p>
            <w:pPr>
              <w:jc w:val="right"/>
              <w:ind w:right="74"/>
              <w:spacing w:after="0"/>
              <w:rPr>
                <w:sz w:val="20"/>
                <w:szCs w:val="20"/>
                <w:color w:val="auto"/>
              </w:rPr>
            </w:pPr>
            <w:r>
              <w:rPr>
                <w:rFonts w:ascii="Arial" w:cs="Arial" w:eastAsia="Arial" w:hAnsi="Arial"/>
                <w:sz w:val="14"/>
                <w:szCs w:val="14"/>
                <w:b w:val="1"/>
                <w:bCs w:val="1"/>
                <w:color w:val="auto"/>
              </w:rPr>
              <w:t>Options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4,276,504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3,114,710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9.96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Cancelled or forfeited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2018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7,391,214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660" w:type="dxa"/>
            <w:vAlign w:val="bottom"/>
            <w:gridSpan w:val="2"/>
            <w:shd w:val="clear" w:color="auto" w:fill="CCEEFF"/>
          </w:tcPr>
          <w:p>
            <w:pPr>
              <w:jc w:val="center"/>
              <w:ind w:left="41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March 31, 2018</w:t>
            </w:r>
          </w:p>
        </w:tc>
        <w:tc>
          <w:tcPr>
            <w:tcW w:w="800" w:type="dxa"/>
            <w:vAlign w:val="bottom"/>
            <w:tcBorders>
              <w:bottom w:val="single" w:sz="8" w:color="auto"/>
            </w:tcBorders>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0.16</w:t>
            </w:r>
          </w:p>
        </w:tc>
        <w:tc>
          <w:tcPr>
            <w:tcW w:w="340" w:type="dxa"/>
            <w:vAlign w:val="bottom"/>
          </w:tcPr>
          <w:p>
            <w:pPr>
              <w:spacing w:after="0" w:line="20" w:lineRule="exact"/>
              <w:rPr>
                <w:sz w:val="1"/>
                <w:szCs w:val="1"/>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color w:val="auto"/>
              </w:rPr>
              <w:t>8.22</w:t>
            </w:r>
          </w:p>
        </w:tc>
        <w:tc>
          <w:tcPr>
            <w:tcW w:w="660" w:type="dxa"/>
            <w:vAlign w:val="bottom"/>
            <w:gridSpan w:val="2"/>
            <w:vMerge w:val="restart"/>
          </w:tcPr>
          <w:p>
            <w:pPr>
              <w:jc w:val="center"/>
              <w:ind w:left="414"/>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1,194</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921,090</w:t>
            </w:r>
          </w:p>
        </w:tc>
        <w:tc>
          <w:tcPr>
            <w:tcW w:w="6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March 31, 2018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6,460,124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660" w:type="dxa"/>
            <w:vAlign w:val="bottom"/>
            <w:gridSpan w:val="2"/>
            <w:shd w:val="clear" w:color="auto" w:fill="CCEEFF"/>
          </w:tcPr>
          <w:p>
            <w:pPr>
              <w:jc w:val="center"/>
              <w:ind w:left="41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 at March 31, 2018.</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weighted-average grant-date fair value of the Company’s stock options granted during the three months ended March 31, 2018 was $1.09.</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restricted common stock activity for the three months ended March 31,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9"/>
              </w:rPr>
              <w:t>Number of</w:t>
            </w:r>
          </w:p>
        </w:tc>
        <w:tc>
          <w:tcPr>
            <w:tcW w:w="158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Issued and unvested as of December 31, 2017</w:t>
            </w:r>
          </w:p>
        </w:tc>
        <w:tc>
          <w:tcPr>
            <w:tcW w:w="39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1,141,668</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Vested</w:t>
            </w:r>
          </w:p>
        </w:tc>
        <w:tc>
          <w:tcPr>
            <w:tcW w:w="5140" w:type="dxa"/>
            <w:vAlign w:val="bottom"/>
            <w:gridSpan w:val="3"/>
          </w:tcPr>
          <w:p>
            <w:pPr>
              <w:jc w:val="right"/>
              <w:ind w:right="380"/>
              <w:spacing w:after="0"/>
              <w:rPr>
                <w:sz w:val="20"/>
                <w:szCs w:val="20"/>
                <w:color w:val="auto"/>
              </w:rPr>
            </w:pPr>
            <w:r>
              <w:rPr>
                <w:rFonts w:ascii="Arial" w:cs="Arial" w:eastAsia="Arial" w:hAnsi="Arial"/>
                <w:sz w:val="18"/>
                <w:szCs w:val="18"/>
                <w:color w:val="auto"/>
              </w:rPr>
              <w:t>(127,083)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Forfeited, canceled or expired</w:t>
            </w:r>
          </w:p>
        </w:tc>
        <w:tc>
          <w:tcPr>
            <w:tcW w:w="39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Issued an unvested as of March 31, 2018</w:t>
            </w:r>
          </w:p>
        </w:tc>
        <w:tc>
          <w:tcPr>
            <w:tcW w:w="39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1,014,585</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140" w:type="dxa"/>
            <w:vAlign w:val="bottom"/>
            <w:gridSpan w:val="3"/>
          </w:tcPr>
          <w:p>
            <w:pPr>
              <w:jc w:val="right"/>
              <w:ind w:right="3780"/>
              <w:spacing w:after="0"/>
              <w:rPr>
                <w:sz w:val="20"/>
                <w:szCs w:val="20"/>
                <w:color w:val="auto"/>
              </w:rPr>
            </w:pPr>
            <w:r>
              <w:rPr>
                <w:rFonts w:ascii="Arial" w:cs="Arial" w:eastAsia="Arial" w:hAnsi="Arial"/>
                <w:sz w:val="18"/>
                <w:szCs w:val="18"/>
                <w:color w:val="auto"/>
              </w:rPr>
              <w:t>F-51</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total fair value of restricted common stock vested during the three months ended March 31, 2017 and 2018 was $9 and $13, respectively.</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2017</w:t>
            </w: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stock based compensation expense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As of March 31, 2018, total unrecognized compensation cost related to the unvested stock-based awards was $4,201, which is expected to be recognized over a weighted-average period of 3.75 years.</w:t>
      </w:r>
    </w:p>
    <w:p>
      <w:pPr>
        <w:spacing w:after="0" w:line="275" w:lineRule="exact"/>
        <w:rPr>
          <w:sz w:val="20"/>
          <w:szCs w:val="20"/>
          <w:color w:val="auto"/>
        </w:rPr>
      </w:pPr>
    </w:p>
    <w:p>
      <w:pPr>
        <w:ind w:left="640" w:right="8900" w:hanging="436"/>
        <w:spacing w:after="0" w:line="425" w:lineRule="auto"/>
        <w:tabs>
          <w:tab w:leader="none" w:pos="46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License Agreements </w:t>
      </w:r>
      <w:r>
        <w:rPr>
          <w:rFonts w:ascii="Arial" w:cs="Arial" w:eastAsia="Arial" w:hAnsi="Arial"/>
          <w:sz w:val="16"/>
          <w:szCs w:val="16"/>
          <w:b w:val="1"/>
          <w:bCs w:val="1"/>
          <w:i w:val="1"/>
          <w:iCs w:val="1"/>
          <w:color w:val="auto"/>
        </w:rPr>
        <w:t>Agreements with UHN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 digit percentage of annual net sales of licensed products and a lower single-digit royalty percentage in certain circumstances. Additionally, the Company has agreed to pay a low double-digit royalty percentage of all sublicensing revenue. The agreement requires the Company to meet certain performance milestones within specified timeframes.</w:t>
      </w:r>
    </w:p>
    <w:p>
      <w:pPr>
        <w:spacing w:after="0" w:line="16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240" w:top="460" w:right="4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three months ended March 31, 2017 and 2018, no upfront fee and maintenance fees were incurred related to Fabry license agreement.</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4,800,000 shares of the Company’s common stock. The fair value of the shares issued to UHN of $480 and the upfront fee was expensed upon the execution of the agreement. In addition, the Company agreed to pay UHN up to $2,000 upon the closing of an IPO if certain criteria are met. This obligation is considered a derivative instrument and was initially recorded at fair value of $49.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 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173"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The agreement requires the Company to meet certain due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58"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For the three months ended March 31, 2017 and 2018, the Company recorded research and development expense related to this agreement with UHN of $151 and $41, respectively, which consists of upfront fees, the fair value of the shares and derivative instrument issued to UHN, and license maintenance fees and development milestone payments.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20"/>
          </w:cols>
          <w:pgMar w:left="240" w:top="460"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As consideration for this agreement, the Company paid an upfront license fee of $500 in cash and issued 233,765 shares of Series B Preferred Stock to BioMarin at the time of our Series B Preferred Stock financing in January 2018. Both the upfront cash payment of $500 and the value of the shares Series B Preferred Stock issued of $500 were recorded as research and development expense during the year ended December 31, 2017.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upfront fees related to the license were recorded for the three months ended March 31, 2018.</w:t>
      </w:r>
    </w:p>
    <w:p>
      <w:pPr>
        <w:spacing w:after="0" w:line="166"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 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No upfront fees related to the license were recorded for the three months ended March 31, 2018.</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On November 17, 2016, the Company entered into a license agreement with affiliates of Lund University, along with certain other relevant rights holders that may be added from time to time, pursuant to which such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00"/>
          </w:cols>
          <w:pgMar w:left="24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200" w:right="100"/>
        <w:spacing w:after="0" w:line="285" w:lineRule="auto"/>
        <w:rPr>
          <w:sz w:val="20"/>
          <w:szCs w:val="20"/>
          <w:color w:val="auto"/>
        </w:rPr>
      </w:pPr>
      <w:r>
        <w:rPr>
          <w:rFonts w:ascii="Arial" w:cs="Arial" w:eastAsia="Arial" w:hAnsi="Arial"/>
          <w:sz w:val="16"/>
          <w:szCs w:val="16"/>
          <w:color w:val="auto"/>
        </w:rPr>
        <w:t>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w:t>
      </w:r>
    </w:p>
    <w:p>
      <w:pPr>
        <w:spacing w:after="0" w:line="2" w:lineRule="exact"/>
        <w:rPr>
          <w:sz w:val="20"/>
          <w:szCs w:val="20"/>
          <w:color w:val="auto"/>
        </w:rPr>
      </w:pPr>
    </w:p>
    <w:p>
      <w:pPr>
        <w:jc w:val="both"/>
        <w:ind w:left="200" w:right="40" w:firstLine="4"/>
        <w:spacing w:after="0" w:line="273" w:lineRule="auto"/>
        <w:tabs>
          <w:tab w:leader="none" w:pos="50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upfront fees related to the license were recorded for the three months ended March 31, 2017 and 2018.</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Net Loss per Share and Unaudited Pro Forma Net Loss per Share</w:t>
      </w:r>
    </w:p>
    <w:p>
      <w:pPr>
        <w:spacing w:after="0" w:line="12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For purposes of the diluted net loss per share calculation, stock options, unvested restricted stock, the warrant to purchase shares of Series A Preferred Stock and Preferred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7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 because including them would have had an anti-dilutive effect:</w:t>
      </w:r>
    </w:p>
    <w:p>
      <w:pPr>
        <w:spacing w:after="0" w:line="200"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Three Months Ended</w:t>
      </w:r>
    </w:p>
    <w:p>
      <w:pPr>
        <w:jc w:val="center"/>
        <w:ind w:left="8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2,476,906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7,391,214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Restricted common stock</w:t>
            </w:r>
          </w:p>
        </w:tc>
        <w:tc>
          <w:tcPr>
            <w:tcW w:w="920" w:type="dxa"/>
            <w:vAlign w:val="bottom"/>
          </w:tcPr>
          <w:p>
            <w:pPr>
              <w:jc w:val="right"/>
              <w:spacing w:after="0"/>
              <w:rPr>
                <w:sz w:val="20"/>
                <w:szCs w:val="20"/>
                <w:color w:val="auto"/>
              </w:rPr>
            </w:pPr>
            <w:r>
              <w:rPr>
                <w:rFonts w:ascii="Arial" w:cs="Arial" w:eastAsia="Arial" w:hAnsi="Arial"/>
                <w:sz w:val="18"/>
                <w:szCs w:val="18"/>
                <w:color w:val="auto"/>
              </w:rPr>
              <w:t>1,606,251</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1,014,585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17,171,553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63,303,154</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Warrants to purchase redeemable convertible preferred stock (as converted to common stock)</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28,035</w:t>
            </w:r>
          </w:p>
        </w:tc>
        <w:tc>
          <w:tcPr>
            <w:tcW w:w="80" w:type="dxa"/>
            <w:vAlign w:val="bottom"/>
          </w:tcPr>
          <w:p>
            <w:pPr>
              <w:spacing w:after="0"/>
              <w:rPr>
                <w:sz w:val="20"/>
                <w:szCs w:val="20"/>
                <w:color w:val="auto"/>
              </w:rPr>
            </w:pP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unaudited pro forma basic and diluted net loss per share attributable to common stockholders for the three months ended March 31, 2018 has been prepared to give effect to adjustments arising upon the closing of a qualified IPO. The unaudited pro forma net loss attributable to common stockholders used in the calculation of unaudited pro forma basic and diluted net loss per share attributable to common stockholders does not include the effects of the accretion of Preferred Stock to redemption value or the change in fair value of the warrant to purchase shares of Series A Preferred Stock because the calculation gives effect to the conversion of shares of Preferred Stock outstanding as of March 31, 2018 into common stock and the conversion of the warrant to purchase shares of Series A Preferred Stock outstanding as of March 31, 2018 into a warrant to purchase shares of common stock, as if such conversion had occurred at the beginning of the period presented or the date of original issuance, whichever is later.</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240" w:top="459" w:right="4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Net Loss per Share and Unaudited Pro Forma Net Loss per Share (continued)</w:t>
      </w:r>
    </w:p>
    <w:p>
      <w:pPr>
        <w:spacing w:after="0" w:line="135"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 reconciliation of pro forma net loss and the pro forma weighted-average number of common shares used in computing pro forma basic and diluted net loss per share applicable to common stockholders is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March 31,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issuance cost on redeemable convertible preferred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 forma net loss attributable to common stockholders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(8,230)</w:t>
            </w:r>
          </w:p>
        </w:tc>
        <w:tc>
          <w:tcPr>
            <w:tcW w:w="0" w:type="dxa"/>
            <w:vAlign w:val="bottom"/>
          </w:tcPr>
          <w:p>
            <w:pPr>
              <w:spacing w:after="0"/>
              <w:rPr>
                <w:sz w:val="1"/>
                <w:szCs w:val="1"/>
                <w:color w:val="auto"/>
              </w:rPr>
            </w:pPr>
          </w:p>
        </w:tc>
      </w:tr>
      <w:tr>
        <w:trPr>
          <w:trHeight w:val="223"/>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number of common shares used in computing net loss per share attributable to common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9,606,064</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 forma adjustment to reflect assumed conversion of redeemable convertible preferred stock into common stock</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57,282,408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weighted-average number of common shares used in computing pro forma net loss per share attributable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common stockholders—basic and diluted</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66,888,472</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stockholders—basic and diluted</w:t>
            </w:r>
          </w:p>
        </w:tc>
        <w:tc>
          <w:tcPr>
            <w:tcW w:w="1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right="8220" w:hanging="436"/>
        <w:spacing w:after="0" w:line="425" w:lineRule="auto"/>
        <w:tabs>
          <w:tab w:leader="none" w:pos="469"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Lease Agreements</w:t>
      </w:r>
    </w:p>
    <w:p>
      <w:pPr>
        <w:spacing w:after="0" w:line="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On January 12, 2018, the Company entered into a lease agreement for office space located in Cambridge, Massachusetts. The lease agreement expires in January 2023, with a landlord who is an affiliate of the landlord of the Company’s current lease facility. The annual lease payments are subject to a 3% increase each year. The Company recognizes rent expense on a straight-line basis over the lease period and has recorded deferred rent for rent expense incurred but not yet paid. The Company received a tenant incentive allowance of $181 in 2018. Such incentive allowance is being amortized as a reduction of rent expense on a straight-line basis over the lease period. In accordance with the lease agreement, the Company is required to maintain a security deposit of $209, which was recorded in other assets. In contemplation of this agreement, the Company terminated its existing lease agreement.</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recorded rent expense of $57 and $171 during the three months ended March 31, 2017 and 2018, respectively.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three months ended March 31, 2017 and 2018, and, to the best of its knowledge, no material legal proceedings are currently pending or threatened.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Company is also party to various agreements, principally relating to licensed technology, that require future payments relating to milestones not met at December 31, 2017 and March 31, 2018, or royalties on future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240" w:top="460" w:right="4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sales of specified products. No milestone or royalty payments under these agreements are expected to be payable in the immediate future.</w:t>
      </w:r>
    </w:p>
    <w:p>
      <w:pPr>
        <w:spacing w:after="0" w:line="23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UHN</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In connection with the Company’s entry into a license agreement with UHN on January 27, 2016, the Company issued UHN 4,800,000 shares of its common stock. As a result of the issuance of common stock, UHN owned 9.65% and 5.90% of the Company’s fully diluted equity as of December 31, 2017 and March 31, 2018, respectively. Upon the closing of the sale of shares of common stock in an IPO, if UHN’s fully-diluted percentage ownership of the Company is reduced within a range of specified percentages, then the Company is obligated to pay UHN an amount up to $2,000. See Note 3 for further discussion on the accounting treatment for this provision.</w:t>
      </w:r>
    </w:p>
    <w:p>
      <w:pPr>
        <w:spacing w:after="0" w:line="173"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During the three months ended March 31, 2017 and 2018, the Company recognized $151 and $41 respectively, of research and development expense related to the license agreements with UHN.</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recorded research and development expenses of $7 and $3 related to participation on the scientific advisory board and consulting services performed by a member of the Board who is affiliated with UHN during the years ended December 31, 2016 and 2017, respectively. As of December 31, 2016 and 2017, there was $7 and $10, respectively, included in accrued expenses on the Company’s consolidated balance sheets related to these services.</w:t>
      </w:r>
    </w:p>
    <w:p>
      <w:pPr>
        <w:spacing w:after="0" w:line="18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For the years ended December 31, 2016 and 2017 the Company recorded expenses of $13 and $86, respectively, related to consulting services provided by an entity affiliated with an officer of the Company and a member of the Board. The entity is also a shareholder of the Company and owned 2.25% and 1.00% of the Company’s fully diluted equity as of December 31, 2016 and 2017, respectively.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For the three months ended March 31, 2017, the Company recorded expenses of $15 related to services provided by an entity affiliated with a member of the Board and the use of office space. The lease was terminated in February 2017.</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Recently Issued Accounting Pronouncements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Earnings Per Share (Topic 260), Distinguishing Liabilities from Equity (Topic 480),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(Topic 815) I. Accounting for Certain Financial Instruments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00"/>
          </w:cols>
          <w:pgMar w:left="240" w:top="460"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Recently Issued Accounting Pronouncements (continued)</w:t>
      </w:r>
    </w:p>
    <w:p>
      <w:pPr>
        <w:spacing w:after="0" w:line="135"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i w:val="1"/>
          <w:iCs w:val="1"/>
          <w:color w:val="auto"/>
        </w:rPr>
        <w:t>with Down Round Features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Part I applies to entities that issue financial instruments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The Company is currently evaluating the impact that the adoption of ASU 2017-11 will have on its consolidated financial statements.</w:t>
      </w:r>
    </w:p>
    <w:p>
      <w:pPr>
        <w:spacing w:after="0" w:line="16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is currently evaluating the impact that the adoption of ASU 2017-09 will have on its consolidated financial statements.</w:t>
      </w:r>
    </w:p>
    <w:p>
      <w:pPr>
        <w:spacing w:after="0" w:line="16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which requires restricted cash to be presented with cash and cash equivalents on the statement of cash flows and disclosure of how the statement of cash flows reconciles to the balance sheet if restricted cash is shown separately from cash and cash equivalents on the balance sheet. For public entities, the standard is effective for annual periods beginning after December 15, 2017, including interim periods within those fiscal years. For all other entities, the standard is effective for annual periods beginning after December 15, 2018, including interim periods within fiscal years beginning after December 15, 2019. Early adoption is permitted. The Company is currently evaluating the impact that the adoption of ASU 2016-18 will have on its consolidated financial statements.</w:t>
      </w:r>
    </w:p>
    <w:p>
      <w:pPr>
        <w:spacing w:after="0" w:line="189"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xml:space="preserve"> (“ASU 2016-15”), to address diversity in practice in how certain cash receipts and cash payments are presented and classified in the statement of cash flows. For public entities, the standard is effective for annual periods beginning after December 15, 2017, including interim periods within those fiscal years. For all other entities, the standard is effective for fiscal years beginning after December 15, 2018, and interim periods within fiscal years beginning after December 15, 2019. The Company is currently evaluating the impact that the adoption of ASU 2016-15 will have on its consolidated financial statements.</w:t>
      </w:r>
    </w:p>
    <w:p>
      <w:pPr>
        <w:spacing w:after="0" w:line="193"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80"/>
          </w:cols>
          <w:pgMar w:left="240" w:top="459" w:right="4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Recently Issued Accounting Pronouncements (continued)</w:t>
      </w:r>
    </w:p>
    <w:p>
      <w:pPr>
        <w:spacing w:after="0" w:line="135"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w:t>
      </w:r>
    </w:p>
    <w:p>
      <w:pPr>
        <w:ind w:left="200"/>
        <w:spacing w:after="0" w:line="292" w:lineRule="auto"/>
        <w:rPr>
          <w:sz w:val="20"/>
          <w:szCs w:val="20"/>
          <w:color w:val="auto"/>
        </w:rPr>
      </w:pPr>
      <w:r>
        <w:rPr>
          <w:rFonts w:ascii="Arial" w:cs="Arial" w:eastAsia="Arial" w:hAnsi="Arial"/>
          <w:sz w:val="16"/>
          <w:szCs w:val="16"/>
          <w:color w:val="auto"/>
        </w:rPr>
        <w:t>12 months regardless of their classification. Leases with a term of 12 months or less may be accounted for similar to existing guidance for operating leases today. ASU 2016-02 supersedes the previous leases standard, ASC 840, Leases. For public entities, not-for-profit entities and an employee benefit plan that files financial statements with the U.S. Securities and Exchange Commission (SEC), the standard is effective for public entities for annual periods beginning after December 15, 2018 including interim periods within those fiscal years. For all other entities, the standard is effective for fiscal years beginning after December 15, 2019, and interim periods within fiscal years beginning after December 15, 2020. Early adoption is permitted.</w:t>
      </w:r>
    </w:p>
    <w:p>
      <w:pPr>
        <w:spacing w:after="0" w:line="163"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 xml:space="preserve">In September 2017, the FASB issued ASU No. 2017-13, </w:t>
      </w:r>
      <w:r>
        <w:rPr>
          <w:rFonts w:ascii="Arial" w:cs="Arial" w:eastAsia="Arial" w:hAnsi="Arial"/>
          <w:sz w:val="18"/>
          <w:szCs w:val="18"/>
          <w:i w:val="1"/>
          <w:iCs w:val="1"/>
          <w:color w:val="auto"/>
        </w:rPr>
        <w:t>Revenue Recognition (Topic 605), 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Leases (Topic 840), and Leases (Topic 842)</w:t>
      </w:r>
      <w:r>
        <w:rPr>
          <w:rFonts w:ascii="Arial" w:cs="Arial" w:eastAsia="Arial" w:hAnsi="Arial"/>
          <w:sz w:val="18"/>
          <w:szCs w:val="18"/>
          <w:color w:val="auto"/>
        </w:rPr>
        <w:t>, which provides additional clarification and implementation guidance related to ASU 2016-02 and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effective date and transition requirements as ASU 2016-02. The Company is currently evaluating the impact that the adoption of ASU 2016-02 will have on its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left="200" w:right="260" w:firstLine="441"/>
        <w:spacing w:after="0" w:line="297" w:lineRule="auto"/>
        <w:rPr>
          <w:sz w:val="20"/>
          <w:szCs w:val="20"/>
          <w:color w:val="auto"/>
        </w:rPr>
      </w:pPr>
      <w:r>
        <w:rPr>
          <w:rFonts w:ascii="Arial" w:cs="Arial" w:eastAsia="Arial" w:hAnsi="Arial"/>
          <w:sz w:val="16"/>
          <w:szCs w:val="16"/>
          <w:color w:val="auto"/>
        </w:rPr>
        <w:t>The Company has completed an evaluation of all subsequent events after the unaudited balance sheet date of March 31, 2018 through May 11, 2018, the date these unaudited condensed consolidated financial statements were submitted to the SEC, to ensure that these consolidated financial statements include appropriate disclosure of events both recognized in the consolidated financial statements as of March 31, 2018, and events which occurred subsequently but were not recognized in the consolidated financial statements. The Company has concluded that no subsequent events have occurred that require disclosure, except as disclosed within these unaudited condensed consolidated financial statements.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00"/>
          </w:cols>
          <w:pgMar w:left="240" w:top="460"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5760"/>
        <w:spacing w:after="0"/>
        <w:rPr>
          <w:sz w:val="20"/>
          <w:szCs w:val="20"/>
          <w:color w:val="auto"/>
        </w:rPr>
      </w:pPr>
      <w:r>
        <w:rPr>
          <w:rFonts w:ascii="Arial" w:cs="Arial" w:eastAsia="Arial" w:hAnsi="Arial"/>
          <w:sz w:val="29"/>
          <w:szCs w:val="29"/>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2673985</wp:posOffset>
            </wp:positionV>
            <wp:extent cx="1551940" cy="3943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5519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ind w:right="3519"/>
        <w:spacing w:after="0"/>
        <w:rPr>
          <w:sz w:val="20"/>
          <w:szCs w:val="20"/>
          <w:color w:val="auto"/>
        </w:rPr>
      </w:pPr>
      <w:r>
        <w:rPr>
          <w:rFonts w:ascii="Arial" w:cs="Arial" w:eastAsia="Arial" w:hAnsi="Arial"/>
          <w:sz w:val="32"/>
          <w:szCs w:val="32"/>
          <w:i w:val="1"/>
          <w:iCs w:val="1"/>
          <w:color w:val="auto"/>
        </w:rPr>
        <w:t>Common Stock</w:t>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9"/>
          <w:szCs w:val="19"/>
          <w:i w:val="1"/>
          <w:iCs w:val="1"/>
          <w:color w:val="auto"/>
        </w:rPr>
        <w:t>PRELIMINARY PROSPECTUS</w:t>
      </w:r>
    </w:p>
    <w:p>
      <w:pPr>
        <w:sectPr>
          <w:pgSz w:w="11900" w:h="16838" w:orient="portrait"/>
          <w:cols w:equalWidth="0" w:num="1">
            <w:col w:w="10219"/>
          </w:cols>
          <w:pgMar w:left="240" w:top="459" w:right="1440" w:bottom="1440" w:gutter="0" w:footer="0" w:header="0"/>
          <w:type w:val="continuous"/>
        </w:sectPr>
      </w:pPr>
    </w:p>
    <w:bookmarkStart w:id="232" w:name="page233"/>
    <w:bookmarkEnd w:id="232"/>
    <w:p>
      <w:pPr>
        <w:jc w:val="center"/>
        <w:spacing w:after="0"/>
        <w:rPr>
          <w:sz w:val="20"/>
          <w:szCs w:val="20"/>
          <w:color w:val="auto"/>
        </w:rPr>
      </w:pPr>
      <w:r>
        <w:rPr>
          <w:rFonts w:ascii="Arial" w:cs="Arial" w:eastAsia="Arial" w:hAnsi="Arial"/>
          <w:sz w:val="36"/>
          <w:szCs w:val="36"/>
          <w:i w:val="1"/>
          <w:iCs w:val="1"/>
          <w:color w:val="auto"/>
        </w:rPr>
        <w:t>MORGAN STANLEY</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36"/>
          <w:szCs w:val="36"/>
          <w:i w:val="1"/>
          <w:iCs w:val="1"/>
          <w:color w:val="auto"/>
        </w:rPr>
        <w:t>COWEN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auto"/>
        </w:rPr>
        <w:t>WELLS FARGO SECURITIES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36"/>
          <w:szCs w:val="36"/>
          <w:i w:val="1"/>
          <w:iCs w:val="1"/>
          <w:color w:val="auto"/>
        </w:rPr>
        <w:t>WEDBUSH PACGROW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560"/>
        <w:spacing w:after="0"/>
        <w:rPr>
          <w:sz w:val="20"/>
          <w:szCs w:val="20"/>
          <w:color w:val="auto"/>
        </w:rPr>
      </w:pPr>
      <w:r>
        <w:rPr>
          <w:rFonts w:ascii="Arial" w:cs="Arial" w:eastAsia="Arial" w:hAnsi="Arial"/>
          <w:sz w:val="18"/>
          <w:szCs w:val="18"/>
          <w:i w:val="1"/>
          <w:iCs w:val="1"/>
          <w:color w:val="auto"/>
        </w:rPr>
        <w:t>, 2018</w:t>
      </w:r>
    </w:p>
    <w:p>
      <w:pPr>
        <w:sectPr>
          <w:pgSz w:w="11900" w:h="16838" w:orient="portrait"/>
          <w:cols w:equalWidth="0" w:num="1">
            <w:col w:w="9019"/>
          </w:cols>
          <w:pgMar w:left="1440" w:top="111" w:right="1440"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The following table sets forth the fees and expenses, other than underwriting discounts and commissions, payable in connection with the registration of the common stock hereunder. All amounts are estimates except the SEC registration fee.</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5320" w:type="dxa"/>
            <w:vAlign w:val="bottom"/>
            <w:gridSpan w:val="3"/>
          </w:tcPr>
          <w:p>
            <w:pPr>
              <w:jc w:val="center"/>
              <w:ind w:left="4039"/>
              <w:spacing w:after="0"/>
              <w:rPr>
                <w:sz w:val="20"/>
                <w:szCs w:val="20"/>
                <w:color w:val="auto"/>
              </w:rPr>
            </w:pPr>
            <w:r>
              <w:rPr>
                <w:rFonts w:ascii="Arial" w:cs="Arial" w:eastAsia="Arial" w:hAnsi="Arial"/>
                <w:sz w:val="14"/>
                <w:szCs w:val="14"/>
                <w:b w:val="1"/>
                <w:bCs w:val="1"/>
                <w:color w:val="auto"/>
              </w:rPr>
              <w:t>AMOUNT TO</w:t>
            </w: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BE PAID</w:t>
            </w: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10,739</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FINRA filing fee</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13,438</w:t>
            </w:r>
          </w:p>
        </w:tc>
        <w:tc>
          <w:tcPr>
            <w:tcW w:w="140" w:type="dxa"/>
            <w:vAlign w:val="bottom"/>
          </w:tcPr>
          <w:p>
            <w:pPr>
              <w:spacing w:after="0"/>
              <w:rPr>
                <w:sz w:val="18"/>
                <w:szCs w:val="18"/>
                <w:color w:val="auto"/>
              </w:rPr>
            </w:pPr>
          </w:p>
        </w:tc>
      </w:tr>
    </w:tbl>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3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Printing and mailing</w:t>
            </w:r>
          </w:p>
        </w:tc>
        <w:tc>
          <w:tcPr>
            <w:tcW w:w="3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3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3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3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5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6660" w:type="dxa"/>
            <w:vAlign w:val="bottom"/>
            <w:gridSpan w:val="3"/>
          </w:tcPr>
          <w:p>
            <w:pPr>
              <w:spacing w:after="0"/>
              <w:rPr>
                <w:sz w:val="20"/>
                <w:szCs w:val="20"/>
                <w:color w:val="auto"/>
              </w:rPr>
            </w:pPr>
            <w:r>
              <w:rPr>
                <w:rFonts w:ascii="Arial" w:cs="Arial" w:eastAsia="Arial" w:hAnsi="Arial"/>
                <w:sz w:val="18"/>
                <w:szCs w:val="18"/>
                <w:color w:val="auto"/>
              </w:rPr>
              <w:t>*  To be completed by amendment.</w:t>
            </w:r>
          </w:p>
        </w:tc>
        <w:tc>
          <w:tcPr>
            <w:tcW w:w="3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66"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We have adopted provisions in our certificate of incorporation and bylaws to be in effect upon the closing of this offering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52" w:lineRule="exact"/>
        <w:rPr>
          <w:sz w:val="20"/>
          <w:szCs w:val="20"/>
          <w:color w:val="auto"/>
        </w:rPr>
      </w:pPr>
    </w:p>
    <w:p>
      <w:pPr>
        <w:ind w:left="1060" w:hanging="424"/>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purchases, redemptions or other distributions;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240" w:top="460" w:right="41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our bylaws provide that:</w:t>
      </w:r>
    </w:p>
    <w:p>
      <w:pPr>
        <w:spacing w:after="0" w:line="131" w:lineRule="exact"/>
        <w:rPr>
          <w:sz w:val="20"/>
          <w:szCs w:val="20"/>
          <w:color w:val="auto"/>
        </w:rPr>
      </w:pPr>
    </w:p>
    <w:p>
      <w:pPr>
        <w:ind w:left="1060" w:right="40" w:hanging="424"/>
        <w:spacing w:after="0" w:line="277"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75" w:lineRule="exact"/>
        <w:rPr>
          <w:rFonts w:ascii="Arial" w:cs="Arial" w:eastAsia="Arial" w:hAnsi="Arial"/>
          <w:sz w:val="18"/>
          <w:szCs w:val="18"/>
          <w:color w:val="auto"/>
        </w:rPr>
      </w:pPr>
    </w:p>
    <w:p>
      <w:pPr>
        <w:jc w:val="both"/>
        <w:ind w:left="1060" w:right="480" w:hanging="424"/>
        <w:spacing w:after="0" w:line="264"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entered into indemnification agreements with each of our directors and intend to enter into such agreements with our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78"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or the Securities Act.</w:t>
      </w:r>
    </w:p>
    <w:p>
      <w:pPr>
        <w:spacing w:after="0" w:line="124"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underwriting agreement filed as Exhibit 1.1 to this registration statement provides for indemnification of us and our directors and officers by the underwriters against certain liabilities under the Securities Act and the Securities Exchange Act of 1934.</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the three years preceding the filing of this registration statement, we have issued the following securities that were not registered under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Securities Act:</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Issuances of Capital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November 2015, we sold an aggregate of 5,200,000 shares of common stock to our three founders and a consultant for nominal value.</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January 2016, we sold an aggregate of 4,800,000 shares of common stock to one stockholder for nominal value.</w:t>
      </w:r>
    </w:p>
    <w:p>
      <w:pPr>
        <w:spacing w:after="0" w:line="225"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In January 2016, we sold an aggregate of 3,333,333 shares of our Series Seed preferred stock to one investor for aggregate consideration of approximately $1.5 million.</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In July 2016, with subsequent closings in March 2017 and October 2017, we sold an aggregate of 31,450,499 shares of our Series A preferred stock to 4 investors for aggregate consideration of approximately $25 million.</w:t>
      </w:r>
    </w:p>
    <w:p>
      <w:pPr>
        <w:spacing w:after="0" w:line="170"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In January 2018, we sold an aggregate of 28,285,557 shares of our Series B preferred stock to 15 investors for aggregate consideration of approximately $60.5 million and issued an additional 233,765 shares of our Series B preferred stock to one investor as partial consideration under a license agreement.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60"/>
          </w:cols>
          <w:pgMar w:left="240" w:top="459" w:right="4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No underwriters were involved in the foregoing sales of securities.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Grants and Exercises of Stock Options and Restricted Stock Awards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granted stock options to purchase an aggregate of 7,391,214 shares of our common stock, with exercise prices ranging from $0.01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$1.21 per share, to employees, directors and consultants pursuant to the Amended and Restated 2015 Stock Option and Grant Plan, or the 2015 Plan. No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of common stock have been issued upon the exercise of stock options pursuant to the 2015 Plan.</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April 2016, we issued an aggregate of 666,667 shares of restricted stock to one employee under the 2015 Plan.</w:t>
      </w:r>
    </w:p>
    <w:p>
      <w:pPr>
        <w:spacing w:after="0" w:line="225"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The issuances of the securities described above were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Issuance of Warrant</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 June 2017, we issued a warrant to purchase an aggregate of 28,305 shares of our Series A preferred stock, with an exercise price of $0.7949 per share, to Silicon Valley Bank. No shares of Series A preferred stock have been issued upon the exercise of this warrant. The issuance of this warrant was deemed to be exempt from registration pursuant to Section 4(a)(2) of the Securities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48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140" w:type="dxa"/>
            <w:vAlign w:val="bottom"/>
            <w:gridSpan w:val="4"/>
            <w:vMerge w:val="restart"/>
          </w:tcPr>
          <w:p>
            <w:pPr>
              <w:ind w:left="80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130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rPr>
              <w:t>NO.</w:t>
            </w:r>
          </w:p>
        </w:tc>
        <w:tc>
          <w:tcPr>
            <w:tcW w:w="3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1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60" w:type="dxa"/>
            <w:vAlign w:val="bottom"/>
            <w:shd w:val="clear" w:color="auto" w:fill="000000"/>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1.1*</w:t>
            </w:r>
          </w:p>
        </w:tc>
        <w:tc>
          <w:tcPr>
            <w:tcW w:w="1040" w:type="dxa"/>
            <w:vAlign w:val="bottom"/>
          </w:tcPr>
          <w:p>
            <w:pPr>
              <w:spacing w:after="0"/>
              <w:rPr>
                <w:sz w:val="24"/>
                <w:szCs w:val="24"/>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4"/>
        </w:trPr>
        <w:tc>
          <w:tcPr>
            <w:tcW w:w="44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040" w:type="dxa"/>
            <w:vAlign w:val="bottom"/>
          </w:tcPr>
          <w:p>
            <w:pPr>
              <w:spacing w:after="0"/>
              <w:rPr>
                <w:sz w:val="24"/>
                <w:szCs w:val="24"/>
                <w:color w:val="auto"/>
              </w:rPr>
            </w:pPr>
          </w:p>
        </w:tc>
        <w:tc>
          <w:tcPr>
            <w:tcW w:w="69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Third Amended and Restated Certificate of Incorporation of the Registrant, as currently in effect</w:t>
            </w:r>
          </w:p>
        </w:tc>
        <w:tc>
          <w:tcPr>
            <w:tcW w:w="2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3.2*</w:t>
            </w:r>
          </w:p>
        </w:tc>
        <w:tc>
          <w:tcPr>
            <w:tcW w:w="1040" w:type="dxa"/>
            <w:vAlign w:val="bottom"/>
          </w:tcPr>
          <w:p>
            <w:pPr>
              <w:spacing w:after="0"/>
              <w:rPr>
                <w:sz w:val="24"/>
                <w:szCs w:val="24"/>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auto"/>
                <w:w w:val="92"/>
              </w:rPr>
              <w:t>Amendment to Third Amended and Restated Certificate of Incorporation of the Registrant (to be adopted prior to the effectiveness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auto"/>
              </w:rPr>
              <w:t>of this registration statement)</w:t>
            </w:r>
          </w:p>
        </w:tc>
        <w:tc>
          <w:tcPr>
            <w:tcW w:w="0" w:type="dxa"/>
            <w:vAlign w:val="bottom"/>
          </w:tcPr>
          <w:p>
            <w:pPr>
              <w:spacing w:after="0"/>
              <w:rPr>
                <w:sz w:val="1"/>
                <w:szCs w:val="1"/>
                <w:color w:val="auto"/>
              </w:rPr>
            </w:pPr>
          </w:p>
        </w:tc>
      </w:tr>
      <w:tr>
        <w:trPr>
          <w:trHeight w:val="310"/>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3.3*</w:t>
            </w:r>
          </w:p>
        </w:tc>
        <w:tc>
          <w:tcPr>
            <w:tcW w:w="1040" w:type="dxa"/>
            <w:vAlign w:val="bottom"/>
          </w:tcPr>
          <w:p>
            <w:pPr>
              <w:spacing w:after="0"/>
              <w:rPr>
                <w:sz w:val="24"/>
                <w:szCs w:val="24"/>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auto"/>
                <w:w w:val="97"/>
              </w:rPr>
              <w:t>Form of Fourth Amended and Restated Certificate of Incorporation of the Registrant (to be effective upon the closing of this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auto"/>
              </w:rPr>
              <w:t>offering)</w:t>
            </w:r>
          </w:p>
        </w:tc>
        <w:tc>
          <w:tcPr>
            <w:tcW w:w="0" w:type="dxa"/>
            <w:vAlign w:val="bottom"/>
          </w:tcPr>
          <w:p>
            <w:pPr>
              <w:spacing w:after="0"/>
              <w:rPr>
                <w:sz w:val="1"/>
                <w:szCs w:val="1"/>
                <w:color w:val="auto"/>
              </w:rPr>
            </w:pPr>
          </w:p>
        </w:tc>
      </w:tr>
      <w:tr>
        <w:trPr>
          <w:trHeight w:val="284"/>
        </w:trPr>
        <w:tc>
          <w:tcPr>
            <w:tcW w:w="44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1040" w:type="dxa"/>
            <w:vAlign w:val="bottom"/>
          </w:tcPr>
          <w:p>
            <w:pPr>
              <w:spacing w:after="0"/>
              <w:rPr>
                <w:sz w:val="24"/>
                <w:szCs w:val="24"/>
                <w:color w:val="auto"/>
              </w:rPr>
            </w:pPr>
          </w:p>
        </w:tc>
        <w:tc>
          <w:tcPr>
            <w:tcW w:w="34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By-laws of the Registrant, as currently in effect</w:t>
            </w:r>
          </w:p>
        </w:tc>
        <w:tc>
          <w:tcPr>
            <w:tcW w:w="6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3.5*</w:t>
            </w:r>
          </w:p>
        </w:tc>
        <w:tc>
          <w:tcPr>
            <w:tcW w:w="1040" w:type="dxa"/>
            <w:vAlign w:val="bottom"/>
          </w:tcPr>
          <w:p>
            <w:pPr>
              <w:spacing w:after="0"/>
              <w:rPr>
                <w:sz w:val="24"/>
                <w:szCs w:val="24"/>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auto"/>
              </w:rPr>
              <w:t>Form of Amended and Restated By-laws (to be effective upon the closing of this offering)</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4.1*</w:t>
            </w:r>
          </w:p>
        </w:tc>
        <w:tc>
          <w:tcPr>
            <w:tcW w:w="1040" w:type="dxa"/>
            <w:vAlign w:val="bottom"/>
          </w:tcPr>
          <w:p>
            <w:pPr>
              <w:spacing w:after="0"/>
              <w:rPr>
                <w:sz w:val="24"/>
                <w:szCs w:val="24"/>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auto"/>
              </w:rPr>
              <w:t>Form of Specimen Common Stock Certificate</w:t>
            </w:r>
          </w:p>
        </w:tc>
        <w:tc>
          <w:tcPr>
            <w:tcW w:w="0" w:type="dxa"/>
            <w:vAlign w:val="bottom"/>
          </w:tcPr>
          <w:p>
            <w:pPr>
              <w:spacing w:after="0"/>
              <w:rPr>
                <w:sz w:val="1"/>
                <w:szCs w:val="1"/>
                <w:color w:val="auto"/>
              </w:rPr>
            </w:pPr>
          </w:p>
        </w:tc>
      </w:tr>
      <w:tr>
        <w:trPr>
          <w:trHeight w:val="284"/>
        </w:trPr>
        <w:tc>
          <w:tcPr>
            <w:tcW w:w="44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040" w:type="dxa"/>
            <w:vAlign w:val="bottom"/>
          </w:tcPr>
          <w:p>
            <w:pPr>
              <w:spacing w:after="0"/>
              <w:rPr>
                <w:sz w:val="24"/>
                <w:szCs w:val="24"/>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0000EE"/>
                <w:w w:val="90"/>
              </w:rPr>
              <w:t>Second Amended and Restated Investors’ Rights Agreement among the Registrant and certain of its stockholders, dated January 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2018</w:t>
            </w:r>
          </w:p>
        </w:tc>
        <w:tc>
          <w:tcPr>
            <w:tcW w:w="3060" w:type="dxa"/>
            <w:vAlign w:val="bottom"/>
            <w:tcBorders>
              <w:top w:val="single" w:sz="8" w:color="0000EE"/>
            </w:tcBorders>
          </w:tcPr>
          <w:p>
            <w:pPr>
              <w:spacing w:after="0"/>
              <w:rPr>
                <w:sz w:val="17"/>
                <w:szCs w:val="17"/>
                <w:color w:val="auto"/>
              </w:rPr>
            </w:pPr>
          </w:p>
        </w:tc>
        <w:tc>
          <w:tcPr>
            <w:tcW w:w="218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24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1040" w:type="dxa"/>
            <w:vAlign w:val="bottom"/>
          </w:tcPr>
          <w:p>
            <w:pPr>
              <w:spacing w:after="0"/>
              <w:rPr>
                <w:sz w:val="24"/>
                <w:szCs w:val="24"/>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0000EE"/>
              </w:rPr>
              <w:t>Warrant to Purchase Stock issued to Silicon Valley Bank, dated June 23, 2017</w:t>
            </w:r>
          </w:p>
        </w:tc>
        <w:tc>
          <w:tcPr>
            <w:tcW w:w="0" w:type="dxa"/>
            <w:vAlign w:val="bottom"/>
          </w:tcPr>
          <w:p>
            <w:pPr>
              <w:spacing w:after="0"/>
              <w:rPr>
                <w:sz w:val="1"/>
                <w:szCs w:val="1"/>
                <w:color w:val="auto"/>
              </w:rPr>
            </w:pPr>
          </w:p>
        </w:tc>
      </w:tr>
      <w:tr>
        <w:trPr>
          <w:trHeight w:val="385"/>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60" w:type="dxa"/>
            <w:vAlign w:val="bottom"/>
            <w:tcBorders>
              <w:top w:val="single" w:sz="8" w:color="0000EE"/>
            </w:tcBorders>
          </w:tcPr>
          <w:p>
            <w:pPr>
              <w:spacing w:after="0"/>
              <w:rPr>
                <w:sz w:val="24"/>
                <w:szCs w:val="24"/>
                <w:color w:val="auto"/>
              </w:rPr>
            </w:pPr>
          </w:p>
        </w:tc>
        <w:tc>
          <w:tcPr>
            <w:tcW w:w="2180" w:type="dxa"/>
            <w:vAlign w:val="bottom"/>
            <w:tcBorders>
              <w:top w:val="single" w:sz="8" w:color="0000EE"/>
            </w:tcBorders>
          </w:tcPr>
          <w:p>
            <w:pPr>
              <w:ind w:left="480"/>
              <w:spacing w:after="0"/>
              <w:rPr>
                <w:sz w:val="20"/>
                <w:szCs w:val="20"/>
                <w:color w:val="auto"/>
              </w:rPr>
            </w:pPr>
            <w:r>
              <w:rPr>
                <w:rFonts w:ascii="Arial" w:cs="Arial" w:eastAsia="Arial" w:hAnsi="Arial"/>
                <w:sz w:val="18"/>
                <w:szCs w:val="18"/>
                <w:color w:val="auto"/>
              </w:rPr>
              <w:t>II-3</w:t>
            </w:r>
          </w:p>
        </w:tc>
        <w:tc>
          <w:tcPr>
            <w:tcW w:w="39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2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EXHIBIT</w:t>
            </w:r>
          </w:p>
        </w:tc>
        <w:tc>
          <w:tcPr>
            <w:tcW w:w="2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20" w:type="dxa"/>
            <w:vAlign w:val="bottom"/>
            <w:gridSpan w:val="9"/>
            <w:vMerge w:val="restart"/>
          </w:tcPr>
          <w:p>
            <w:pPr>
              <w:ind w:left="134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10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6"/>
              </w:rPr>
              <w:t>NO.</w:t>
            </w:r>
          </w:p>
        </w:tc>
        <w:tc>
          <w:tcPr>
            <w:tcW w:w="2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2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2"/>
                <w:szCs w:val="22"/>
                <w:color w:val="auto"/>
              </w:rPr>
            </w:pPr>
          </w:p>
        </w:tc>
        <w:tc>
          <w:tcPr>
            <w:tcW w:w="60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3"/>
              </w:rPr>
              <w:t>Form of Opinion of Goodwin Procter LLP (final opinion to be filed by amendment)</w:t>
            </w:r>
          </w:p>
        </w:tc>
        <w:tc>
          <w:tcPr>
            <w:tcW w:w="378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w:t>
            </w:r>
          </w:p>
        </w:tc>
        <w:tc>
          <w:tcPr>
            <w:tcW w:w="760" w:type="dxa"/>
            <w:vAlign w:val="bottom"/>
          </w:tcPr>
          <w:p>
            <w:pPr>
              <w:spacing w:after="0"/>
              <w:rPr>
                <w:sz w:val="24"/>
                <w:szCs w:val="24"/>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0000EE"/>
              </w:rPr>
              <w:t>2015 Amended and Restated Stock Option and Grant Plan, as amended, and forms of award agreements thereunder</w:t>
            </w: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220" w:type="dxa"/>
            <w:vAlign w:val="bottom"/>
            <w:gridSpan w:val="3"/>
          </w:tcPr>
          <w:p>
            <w:pPr>
              <w:spacing w:after="0"/>
              <w:rPr>
                <w:sz w:val="20"/>
                <w:szCs w:val="20"/>
                <w:color w:val="auto"/>
              </w:rPr>
            </w:pPr>
            <w:r>
              <w:rPr>
                <w:rFonts w:ascii="Arial" w:cs="Arial" w:eastAsia="Arial" w:hAnsi="Arial"/>
                <w:sz w:val="18"/>
                <w:szCs w:val="18"/>
                <w:color w:val="auto"/>
              </w:rPr>
              <w:t>10.2#*</w:t>
            </w:r>
          </w:p>
        </w:tc>
        <w:tc>
          <w:tcPr>
            <w:tcW w:w="9820" w:type="dxa"/>
            <w:vAlign w:val="bottom"/>
            <w:gridSpan w:val="11"/>
          </w:tcPr>
          <w:p>
            <w:pPr>
              <w:spacing w:after="0"/>
              <w:rPr>
                <w:sz w:val="20"/>
                <w:szCs w:val="20"/>
                <w:color w:val="auto"/>
              </w:rPr>
            </w:pPr>
            <w:r>
              <w:rPr>
                <w:rFonts w:ascii="Arial" w:cs="Arial" w:eastAsia="Arial" w:hAnsi="Arial"/>
                <w:sz w:val="18"/>
                <w:szCs w:val="18"/>
                <w:color w:val="auto"/>
                <w:w w:val="96"/>
              </w:rPr>
              <w:t>2018 Stock Option and Incentive Plan and forms of award agreements thereunder (to be effective upon the effectiveness of this</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registration statement)</w:t>
            </w:r>
          </w:p>
        </w:tc>
        <w:tc>
          <w:tcPr>
            <w:tcW w:w="0" w:type="dxa"/>
            <w:vAlign w:val="bottom"/>
          </w:tcPr>
          <w:p>
            <w:pPr>
              <w:spacing w:after="0"/>
              <w:rPr>
                <w:sz w:val="1"/>
                <w:szCs w:val="1"/>
                <w:color w:val="auto"/>
              </w:rPr>
            </w:pPr>
          </w:p>
        </w:tc>
      </w:tr>
      <w:tr>
        <w:trPr>
          <w:trHeight w:val="324"/>
        </w:trPr>
        <w:tc>
          <w:tcPr>
            <w:tcW w:w="1220" w:type="dxa"/>
            <w:vAlign w:val="bottom"/>
            <w:gridSpan w:val="3"/>
          </w:tcPr>
          <w:p>
            <w:pPr>
              <w:spacing w:after="0"/>
              <w:rPr>
                <w:sz w:val="20"/>
                <w:szCs w:val="20"/>
                <w:color w:val="auto"/>
              </w:rPr>
            </w:pPr>
            <w:r>
              <w:rPr>
                <w:rFonts w:ascii="Arial" w:cs="Arial" w:eastAsia="Arial" w:hAnsi="Arial"/>
                <w:sz w:val="18"/>
                <w:szCs w:val="18"/>
                <w:color w:val="auto"/>
              </w:rPr>
              <w:t>10.3#*</w:t>
            </w:r>
          </w:p>
        </w:tc>
        <w:tc>
          <w:tcPr>
            <w:tcW w:w="9820" w:type="dxa"/>
            <w:vAlign w:val="bottom"/>
            <w:gridSpan w:val="11"/>
          </w:tcPr>
          <w:p>
            <w:pPr>
              <w:spacing w:after="0"/>
              <w:rPr>
                <w:sz w:val="20"/>
                <w:szCs w:val="20"/>
                <w:color w:val="auto"/>
              </w:rPr>
            </w:pPr>
            <w:r>
              <w:rPr>
                <w:rFonts w:ascii="Arial" w:cs="Arial" w:eastAsia="Arial" w:hAnsi="Arial"/>
                <w:sz w:val="18"/>
                <w:szCs w:val="18"/>
                <w:color w:val="auto"/>
              </w:rPr>
              <w:t>Senior Executive Cash Incentive Bonus Plan</w:t>
            </w:r>
          </w:p>
        </w:tc>
        <w:tc>
          <w:tcPr>
            <w:tcW w:w="0" w:type="dxa"/>
            <w:vAlign w:val="bottom"/>
          </w:tcPr>
          <w:p>
            <w:pPr>
              <w:spacing w:after="0"/>
              <w:rPr>
                <w:sz w:val="1"/>
                <w:szCs w:val="1"/>
                <w:color w:val="auto"/>
              </w:rPr>
            </w:pPr>
          </w:p>
        </w:tc>
      </w:tr>
      <w:tr>
        <w:trPr>
          <w:trHeight w:val="324"/>
        </w:trPr>
        <w:tc>
          <w:tcPr>
            <w:tcW w:w="1220" w:type="dxa"/>
            <w:vAlign w:val="bottom"/>
            <w:gridSpan w:val="3"/>
          </w:tcPr>
          <w:p>
            <w:pPr>
              <w:spacing w:after="0"/>
              <w:rPr>
                <w:sz w:val="20"/>
                <w:szCs w:val="20"/>
                <w:color w:val="auto"/>
              </w:rPr>
            </w:pPr>
            <w:r>
              <w:rPr>
                <w:rFonts w:ascii="Arial" w:cs="Arial" w:eastAsia="Arial" w:hAnsi="Arial"/>
                <w:sz w:val="18"/>
                <w:szCs w:val="18"/>
                <w:color w:val="auto"/>
              </w:rPr>
              <w:t>10.4#*</w:t>
            </w:r>
          </w:p>
        </w:tc>
        <w:tc>
          <w:tcPr>
            <w:tcW w:w="9820" w:type="dxa"/>
            <w:vAlign w:val="bottom"/>
            <w:gridSpan w:val="11"/>
          </w:tcPr>
          <w:p>
            <w:pPr>
              <w:spacing w:after="0"/>
              <w:rPr>
                <w:sz w:val="20"/>
                <w:szCs w:val="20"/>
                <w:color w:val="auto"/>
              </w:rPr>
            </w:pPr>
            <w:r>
              <w:rPr>
                <w:rFonts w:ascii="Arial" w:cs="Arial" w:eastAsia="Arial" w:hAnsi="Arial"/>
                <w:sz w:val="18"/>
                <w:szCs w:val="18"/>
                <w:color w:val="auto"/>
              </w:rPr>
              <w:t>Form of Indemnification Agreement</w:t>
            </w:r>
          </w:p>
        </w:tc>
        <w:tc>
          <w:tcPr>
            <w:tcW w:w="0" w:type="dxa"/>
            <w:vAlign w:val="bottom"/>
          </w:tcPr>
          <w:p>
            <w:pPr>
              <w:spacing w:after="0"/>
              <w:rPr>
                <w:sz w:val="1"/>
                <w:szCs w:val="1"/>
                <w:color w:val="auto"/>
              </w:rPr>
            </w:pPr>
          </w:p>
        </w:tc>
      </w:tr>
      <w:tr>
        <w:trPr>
          <w:trHeight w:val="284"/>
        </w:trPr>
        <w:tc>
          <w:tcPr>
            <w:tcW w:w="1220" w:type="dxa"/>
            <w:vAlign w:val="bottom"/>
            <w:gridSpan w:val="3"/>
          </w:tcPr>
          <w:p>
            <w:pPr>
              <w:spacing w:after="0"/>
              <w:rPr>
                <w:sz w:val="20"/>
                <w:szCs w:val="20"/>
                <w:color w:val="auto"/>
              </w:rPr>
            </w:pPr>
            <w:r>
              <w:rPr>
                <w:rFonts w:ascii="Arial" w:cs="Arial" w:eastAsia="Arial" w:hAnsi="Arial"/>
                <w:sz w:val="18"/>
                <w:szCs w:val="18"/>
                <w:color w:val="auto"/>
              </w:rPr>
              <w:t>10.5†</w:t>
            </w:r>
          </w:p>
        </w:tc>
        <w:tc>
          <w:tcPr>
            <w:tcW w:w="9820" w:type="dxa"/>
            <w:vAlign w:val="bottom"/>
            <w:gridSpan w:val="11"/>
          </w:tcPr>
          <w:p>
            <w:pPr>
              <w:spacing w:after="0"/>
              <w:rPr>
                <w:sz w:val="20"/>
                <w:szCs w:val="20"/>
                <w:color w:val="auto"/>
              </w:rPr>
            </w:pPr>
            <w:r>
              <w:rPr>
                <w:rFonts w:ascii="Arial" w:cs="Arial" w:eastAsia="Arial" w:hAnsi="Arial"/>
                <w:sz w:val="18"/>
                <w:szCs w:val="18"/>
                <w:color w:val="0000EE"/>
                <w:w w:val="92"/>
              </w:rPr>
              <w:t>Exclusive License Agreement, by and between the Registrant and University Health Network, dated November 4, 2016, as amended</w:t>
            </w:r>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10.6†</w:t>
            </w:r>
          </w:p>
        </w:tc>
        <w:tc>
          <w:tcPr>
            <w:tcW w:w="792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0"/>
              </w:rPr>
              <w:t>License Agreement, by and between the Registrant and BioMarin Pharmaceutical Inc., dated August 31, 2017</w:t>
            </w:r>
          </w:p>
        </w:tc>
        <w:tc>
          <w:tcPr>
            <w:tcW w:w="1620" w:type="dxa"/>
            <w:vAlign w:val="bottom"/>
            <w:tcBorders>
              <w:top w:val="single" w:sz="8" w:color="0000EE"/>
            </w:tcBorders>
            <w:gridSpan w:val="3"/>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10.7†</w:t>
            </w:r>
          </w:p>
        </w:tc>
        <w:tc>
          <w:tcPr>
            <w:tcW w:w="9820" w:type="dxa"/>
            <w:vAlign w:val="bottom"/>
            <w:gridSpan w:val="11"/>
          </w:tcPr>
          <w:p>
            <w:pPr>
              <w:spacing w:after="0"/>
              <w:rPr>
                <w:sz w:val="20"/>
                <w:szCs w:val="20"/>
                <w:color w:val="auto"/>
              </w:rPr>
            </w:pPr>
            <w:r>
              <w:rPr>
                <w:rFonts w:ascii="Arial" w:cs="Arial" w:eastAsia="Arial" w:hAnsi="Arial"/>
                <w:sz w:val="18"/>
                <w:szCs w:val="18"/>
                <w:color w:val="0000EE"/>
              </w:rPr>
              <w:t>Exclusive License Agreement, by and among the Registrant, Stefan Karlsson and Maria Dahl, dated January 30, 2017</w:t>
            </w:r>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10.8†</w:t>
            </w:r>
          </w:p>
        </w:tc>
        <w:tc>
          <w:tcPr>
            <w:tcW w:w="848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w w:val="98"/>
              </w:rPr>
              <w:t>License Agreement, by and between the Registrant and GenStem Therapeutics, Inc., dated October 2, 2017</w:t>
            </w:r>
          </w:p>
        </w:tc>
        <w:tc>
          <w:tcPr>
            <w:tcW w:w="1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220" w:type="dxa"/>
            <w:vAlign w:val="bottom"/>
            <w:gridSpan w:val="3"/>
          </w:tcPr>
          <w:p>
            <w:pPr>
              <w:spacing w:after="0"/>
              <w:rPr>
                <w:sz w:val="20"/>
                <w:szCs w:val="20"/>
                <w:color w:val="auto"/>
              </w:rPr>
            </w:pPr>
            <w:r>
              <w:rPr>
                <w:rFonts w:ascii="Arial" w:cs="Arial" w:eastAsia="Arial" w:hAnsi="Arial"/>
                <w:sz w:val="18"/>
                <w:szCs w:val="18"/>
                <w:color w:val="auto"/>
              </w:rPr>
              <w:t>10.9#*</w:t>
            </w:r>
          </w:p>
        </w:tc>
        <w:tc>
          <w:tcPr>
            <w:tcW w:w="9820" w:type="dxa"/>
            <w:vAlign w:val="bottom"/>
            <w:gridSpan w:val="11"/>
          </w:tcPr>
          <w:p>
            <w:pPr>
              <w:spacing w:after="0"/>
              <w:rPr>
                <w:sz w:val="20"/>
                <w:szCs w:val="20"/>
                <w:color w:val="auto"/>
              </w:rPr>
            </w:pPr>
            <w:r>
              <w:rPr>
                <w:rFonts w:ascii="Arial" w:cs="Arial" w:eastAsia="Arial" w:hAnsi="Arial"/>
                <w:sz w:val="18"/>
                <w:szCs w:val="18"/>
                <w:color w:val="auto"/>
                <w:w w:val="92"/>
              </w:rPr>
              <w:t>Amended and Restated Employment Agreement, by and between the Registrant and Geoff MacKay (to be entered into in connection</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with this offering)</w:t>
            </w:r>
          </w:p>
        </w:tc>
        <w:tc>
          <w:tcPr>
            <w:tcW w:w="0" w:type="dxa"/>
            <w:vAlign w:val="bottom"/>
          </w:tcPr>
          <w:p>
            <w:pPr>
              <w:spacing w:after="0"/>
              <w:rPr>
                <w:sz w:val="1"/>
                <w:szCs w:val="1"/>
                <w:color w:val="auto"/>
              </w:rPr>
            </w:pPr>
          </w:p>
        </w:tc>
      </w:tr>
      <w:tr>
        <w:trPr>
          <w:trHeight w:val="310"/>
        </w:trPr>
        <w:tc>
          <w:tcPr>
            <w:tcW w:w="1220" w:type="dxa"/>
            <w:vAlign w:val="bottom"/>
            <w:gridSpan w:val="3"/>
          </w:tcPr>
          <w:p>
            <w:pPr>
              <w:spacing w:after="0"/>
              <w:rPr>
                <w:sz w:val="20"/>
                <w:szCs w:val="20"/>
                <w:color w:val="auto"/>
              </w:rPr>
            </w:pPr>
            <w:r>
              <w:rPr>
                <w:rFonts w:ascii="Arial" w:cs="Arial" w:eastAsia="Arial" w:hAnsi="Arial"/>
                <w:sz w:val="18"/>
                <w:szCs w:val="18"/>
                <w:color w:val="auto"/>
              </w:rPr>
              <w:t>10.10#*</w:t>
            </w:r>
          </w:p>
        </w:tc>
        <w:tc>
          <w:tcPr>
            <w:tcW w:w="9820" w:type="dxa"/>
            <w:vAlign w:val="bottom"/>
            <w:gridSpan w:val="11"/>
          </w:tcPr>
          <w:p>
            <w:pPr>
              <w:spacing w:after="0"/>
              <w:rPr>
                <w:sz w:val="20"/>
                <w:szCs w:val="20"/>
                <w:color w:val="auto"/>
              </w:rPr>
            </w:pPr>
            <w:r>
              <w:rPr>
                <w:rFonts w:ascii="Arial" w:cs="Arial" w:eastAsia="Arial" w:hAnsi="Arial"/>
                <w:sz w:val="18"/>
                <w:szCs w:val="18"/>
                <w:color w:val="auto"/>
                <w:w w:val="96"/>
              </w:rPr>
              <w:t>Amended and Restated Employment Agreement, by and between the Registrant and Nerissa Kreher, M.D. (to be entered into in</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connection with this offering)</w:t>
            </w:r>
          </w:p>
        </w:tc>
        <w:tc>
          <w:tcPr>
            <w:tcW w:w="0" w:type="dxa"/>
            <w:vAlign w:val="bottom"/>
          </w:tcPr>
          <w:p>
            <w:pPr>
              <w:spacing w:after="0"/>
              <w:rPr>
                <w:sz w:val="1"/>
                <w:szCs w:val="1"/>
                <w:color w:val="auto"/>
              </w:rPr>
            </w:pPr>
          </w:p>
        </w:tc>
      </w:tr>
      <w:tr>
        <w:trPr>
          <w:trHeight w:val="310"/>
        </w:trPr>
        <w:tc>
          <w:tcPr>
            <w:tcW w:w="1220" w:type="dxa"/>
            <w:vAlign w:val="bottom"/>
            <w:gridSpan w:val="3"/>
          </w:tcPr>
          <w:p>
            <w:pPr>
              <w:spacing w:after="0"/>
              <w:rPr>
                <w:sz w:val="20"/>
                <w:szCs w:val="20"/>
                <w:color w:val="auto"/>
              </w:rPr>
            </w:pPr>
            <w:r>
              <w:rPr>
                <w:rFonts w:ascii="Arial" w:cs="Arial" w:eastAsia="Arial" w:hAnsi="Arial"/>
                <w:sz w:val="18"/>
                <w:szCs w:val="18"/>
                <w:color w:val="auto"/>
              </w:rPr>
              <w:t>10.11#*</w:t>
            </w:r>
          </w:p>
        </w:tc>
        <w:tc>
          <w:tcPr>
            <w:tcW w:w="9820" w:type="dxa"/>
            <w:vAlign w:val="bottom"/>
            <w:gridSpan w:val="11"/>
          </w:tcPr>
          <w:p>
            <w:pPr>
              <w:spacing w:after="0"/>
              <w:rPr>
                <w:sz w:val="20"/>
                <w:szCs w:val="20"/>
                <w:color w:val="auto"/>
              </w:rPr>
            </w:pPr>
            <w:r>
              <w:rPr>
                <w:rFonts w:ascii="Arial" w:cs="Arial" w:eastAsia="Arial" w:hAnsi="Arial"/>
                <w:sz w:val="18"/>
                <w:szCs w:val="18"/>
                <w:color w:val="auto"/>
                <w:w w:val="93"/>
              </w:rPr>
              <w:t>Amended and Restated Employment Agreement, by and between the Registrant and Katina Dorton (to be entered into in connection</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with this offering)</w:t>
            </w:r>
          </w:p>
        </w:tc>
        <w:tc>
          <w:tcPr>
            <w:tcW w:w="0" w:type="dxa"/>
            <w:vAlign w:val="bottom"/>
          </w:tcPr>
          <w:p>
            <w:pPr>
              <w:spacing w:after="0"/>
              <w:rPr>
                <w:sz w:val="1"/>
                <w:szCs w:val="1"/>
                <w:color w:val="auto"/>
              </w:rPr>
            </w:pPr>
          </w:p>
        </w:tc>
      </w:tr>
      <w:tr>
        <w:trPr>
          <w:trHeight w:val="28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10.12</w:t>
            </w:r>
          </w:p>
        </w:tc>
        <w:tc>
          <w:tcPr>
            <w:tcW w:w="760" w:type="dxa"/>
            <w:vAlign w:val="bottom"/>
          </w:tcPr>
          <w:p>
            <w:pPr>
              <w:spacing w:after="0"/>
              <w:rPr>
                <w:sz w:val="24"/>
                <w:szCs w:val="24"/>
                <w:color w:val="auto"/>
              </w:rPr>
            </w:pPr>
          </w:p>
        </w:tc>
        <w:tc>
          <w:tcPr>
            <w:tcW w:w="83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Lease Agreement, dated as of January 12, 2018, by and between the Registrant and ARE-MA Region No. 59, LLC</w:t>
            </w:r>
          </w:p>
        </w:tc>
        <w:tc>
          <w:tcPr>
            <w:tcW w:w="15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10.13</w:t>
            </w:r>
          </w:p>
        </w:tc>
        <w:tc>
          <w:tcPr>
            <w:tcW w:w="760" w:type="dxa"/>
            <w:vAlign w:val="bottom"/>
          </w:tcPr>
          <w:p>
            <w:pPr>
              <w:spacing w:after="0"/>
              <w:rPr>
                <w:sz w:val="24"/>
                <w:szCs w:val="24"/>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0000EE"/>
              </w:rPr>
              <w:t>Loan and Security Agreement, by and among the Registrant and Silicon Valley Bank, dated June 23, 2017</w:t>
            </w:r>
          </w:p>
        </w:tc>
        <w:tc>
          <w:tcPr>
            <w:tcW w:w="0" w:type="dxa"/>
            <w:vAlign w:val="bottom"/>
          </w:tcPr>
          <w:p>
            <w:pPr>
              <w:spacing w:after="0"/>
              <w:rPr>
                <w:sz w:val="1"/>
                <w:szCs w:val="1"/>
                <w:color w:val="auto"/>
              </w:rPr>
            </w:pPr>
          </w:p>
        </w:tc>
      </w:tr>
      <w:tr>
        <w:trPr>
          <w:trHeight w:val="345"/>
        </w:trPr>
        <w:tc>
          <w:tcPr>
            <w:tcW w:w="1220" w:type="dxa"/>
            <w:vAlign w:val="bottom"/>
            <w:gridSpan w:val="3"/>
          </w:tcPr>
          <w:p>
            <w:pPr>
              <w:spacing w:after="0"/>
              <w:rPr>
                <w:sz w:val="20"/>
                <w:szCs w:val="20"/>
                <w:color w:val="auto"/>
              </w:rPr>
            </w:pPr>
            <w:r>
              <w:rPr>
                <w:rFonts w:ascii="Arial" w:cs="Arial" w:eastAsia="Arial" w:hAnsi="Arial"/>
                <w:sz w:val="18"/>
                <w:szCs w:val="18"/>
                <w:color w:val="auto"/>
              </w:rPr>
              <w:t>10.14#*</w:t>
            </w:r>
          </w:p>
        </w:tc>
        <w:tc>
          <w:tcPr>
            <w:tcW w:w="76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w w:val="90"/>
              </w:rPr>
              <w:t>2018 Employee Stock Purchase Plan (to be effective upon the effectiveness of this registration statement)</w:t>
            </w:r>
          </w:p>
        </w:tc>
        <w:tc>
          <w:tcPr>
            <w:tcW w:w="2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60" w:type="dxa"/>
            <w:vAlign w:val="bottom"/>
            <w:gridSpan w:val="2"/>
          </w:tcPr>
          <w:p>
            <w:pPr>
              <w:spacing w:after="0"/>
              <w:rPr>
                <w:sz w:val="20"/>
                <w:szCs w:val="20"/>
                <w:color w:val="auto"/>
              </w:rPr>
            </w:pPr>
            <w:r>
              <w:rPr>
                <w:rFonts w:ascii="Arial" w:cs="Arial" w:eastAsia="Arial" w:hAnsi="Arial"/>
                <w:sz w:val="18"/>
                <w:szCs w:val="18"/>
                <w:color w:val="auto"/>
              </w:rPr>
              <w:t>21.1</w:t>
            </w:r>
          </w:p>
        </w:tc>
        <w:tc>
          <w:tcPr>
            <w:tcW w:w="760" w:type="dxa"/>
            <w:vAlign w:val="bottom"/>
          </w:tcPr>
          <w:p>
            <w:pPr>
              <w:spacing w:after="0"/>
              <w:rPr>
                <w:sz w:val="24"/>
                <w:szCs w:val="24"/>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0000EE"/>
              </w:rPr>
              <w:t>Subsidiaries of the Registrant</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9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24"/>
                <w:szCs w:val="24"/>
                <w:color w:val="auto"/>
              </w:rPr>
            </w:pPr>
          </w:p>
        </w:tc>
        <w:tc>
          <w:tcPr>
            <w:tcW w:w="58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Consent of Ernst &amp; Young LLP, Independent Registered Public Accounting Firm</w:t>
            </w:r>
          </w:p>
        </w:tc>
        <w:tc>
          <w:tcPr>
            <w:tcW w:w="39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gridSpan w:val="2"/>
          </w:tcPr>
          <w:p>
            <w:pPr>
              <w:spacing w:after="0"/>
              <w:rPr>
                <w:sz w:val="20"/>
                <w:szCs w:val="20"/>
                <w:color w:val="auto"/>
              </w:rPr>
            </w:pPr>
            <w:r>
              <w:rPr>
                <w:rFonts w:ascii="Arial" w:cs="Arial" w:eastAsia="Arial" w:hAnsi="Arial"/>
                <w:sz w:val="18"/>
                <w:szCs w:val="18"/>
                <w:color w:val="auto"/>
              </w:rPr>
              <w:t>23.2*</w:t>
            </w:r>
          </w:p>
        </w:tc>
        <w:tc>
          <w:tcPr>
            <w:tcW w:w="760" w:type="dxa"/>
            <w:vAlign w:val="bottom"/>
          </w:tcPr>
          <w:p>
            <w:pPr>
              <w:spacing w:after="0"/>
              <w:rPr>
                <w:sz w:val="24"/>
                <w:szCs w:val="24"/>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Consent of Goodwin Procter LLP (included in Exhibit 5.1)</w:t>
            </w:r>
          </w:p>
        </w:tc>
        <w:tc>
          <w:tcPr>
            <w:tcW w:w="0" w:type="dxa"/>
            <w:vAlign w:val="bottom"/>
          </w:tcPr>
          <w:p>
            <w:pPr>
              <w:spacing w:after="0"/>
              <w:rPr>
                <w:sz w:val="1"/>
                <w:szCs w:val="1"/>
                <w:color w:val="auto"/>
              </w:rPr>
            </w:pPr>
          </w:p>
        </w:tc>
      </w:tr>
      <w:tr>
        <w:trPr>
          <w:trHeight w:val="284"/>
        </w:trPr>
        <w:tc>
          <w:tcPr>
            <w:tcW w:w="460" w:type="dxa"/>
            <w:vAlign w:val="bottom"/>
            <w:gridSpan w:val="2"/>
          </w:tcPr>
          <w:p>
            <w:pPr>
              <w:spacing w:after="0"/>
              <w:rPr>
                <w:sz w:val="20"/>
                <w:szCs w:val="20"/>
                <w:color w:val="auto"/>
              </w:rPr>
            </w:pPr>
            <w:r>
              <w:rPr>
                <w:rFonts w:ascii="Arial" w:cs="Arial" w:eastAsia="Arial" w:hAnsi="Arial"/>
                <w:sz w:val="18"/>
                <w:szCs w:val="18"/>
                <w:color w:val="auto"/>
              </w:rPr>
              <w:t>24.1</w:t>
            </w:r>
          </w:p>
        </w:tc>
        <w:tc>
          <w:tcPr>
            <w:tcW w:w="760" w:type="dxa"/>
            <w:vAlign w:val="bottom"/>
          </w:tcPr>
          <w:p>
            <w:pPr>
              <w:spacing w:after="0"/>
              <w:rPr>
                <w:sz w:val="24"/>
                <w:szCs w:val="24"/>
                <w:color w:val="auto"/>
              </w:rPr>
            </w:pPr>
          </w:p>
        </w:tc>
        <w:tc>
          <w:tcPr>
            <w:tcW w:w="9820" w:type="dxa"/>
            <w:vAlign w:val="bottom"/>
            <w:gridSpan w:val="11"/>
          </w:tcPr>
          <w:p>
            <w:pPr>
              <w:spacing w:after="0"/>
              <w:rPr>
                <w:rFonts w:ascii="Arial" w:cs="Arial" w:eastAsia="Arial" w:hAnsi="Arial"/>
                <w:sz w:val="18"/>
                <w:szCs w:val="18"/>
                <w:color w:val="0000EE"/>
              </w:rPr>
            </w:pPr>
            <w:hyperlink w:anchor="page239">
              <w:r>
                <w:rPr>
                  <w:rFonts w:ascii="Arial" w:cs="Arial" w:eastAsia="Arial" w:hAnsi="Arial"/>
                  <w:sz w:val="18"/>
                  <w:szCs w:val="18"/>
                  <w:color w:val="0000EE"/>
                </w:rPr>
                <w:t>Power of Attorney (included in page II-6)</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46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640" w:hanging="436"/>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be included by amendment</w:t>
      </w:r>
    </w:p>
    <w:p>
      <w:pPr>
        <w:spacing w:after="0" w:line="23" w:lineRule="exact"/>
        <w:rPr>
          <w:sz w:val="20"/>
          <w:szCs w:val="20"/>
          <w:color w:val="auto"/>
        </w:rPr>
      </w:pPr>
    </w:p>
    <w:p>
      <w:pPr>
        <w:ind w:left="640" w:hanging="436"/>
        <w:spacing w:after="0"/>
        <w:tabs>
          <w:tab w:leader="none" w:pos="6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Application has been made to the Securities and Exchange Commission for confidential treatment of certain provisions. Omitted material for</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which confidential treatment has been requested has been filed separately with the Securities and Exchange Commission.</w:t>
      </w:r>
    </w:p>
    <w:p>
      <w:pPr>
        <w:spacing w:after="0" w:line="9" w:lineRule="exact"/>
        <w:rPr>
          <w:sz w:val="20"/>
          <w:szCs w:val="20"/>
          <w:color w:val="auto"/>
        </w:rPr>
      </w:pPr>
    </w:p>
    <w:p>
      <w:pPr>
        <w:ind w:left="5580" w:right="4520" w:hanging="5376"/>
        <w:spacing w:after="0" w:line="517" w:lineRule="auto"/>
        <w:tabs>
          <w:tab w:leader="none" w:pos="63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Indicates a management contract or any compensatory plan, contract or arrangement II-4</w:t>
      </w:r>
    </w:p>
    <w:p>
      <w:pPr>
        <w:sectPr>
          <w:pgSz w:w="11900" w:h="16838" w:orient="portrait"/>
          <w:cols w:equalWidth="0" w:num="1">
            <w:col w:w="11240"/>
          </w:cols>
          <w:pgMar w:left="240" w:top="459" w:right="4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Registrant hereby undertakes that:</w:t>
      </w:r>
    </w:p>
    <w:p>
      <w:pPr>
        <w:spacing w:after="0" w:line="131" w:lineRule="exact"/>
        <w:rPr>
          <w:sz w:val="20"/>
          <w:szCs w:val="20"/>
          <w:color w:val="auto"/>
        </w:rPr>
      </w:pPr>
    </w:p>
    <w:p>
      <w:pPr>
        <w:ind w:left="1060" w:right="140" w:hanging="299"/>
        <w:spacing w:after="0" w:line="27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 will provide to the underwriter at the closing as specified in the underwriting agreement, certificates in such denominations and registered in such names as required by the underwriter to permit prompt delivery to each purchaser.</w:t>
      </w:r>
    </w:p>
    <w:p>
      <w:pPr>
        <w:spacing w:after="0" w:line="75" w:lineRule="exact"/>
        <w:rPr>
          <w:rFonts w:ascii="Arial" w:cs="Arial" w:eastAsia="Arial" w:hAnsi="Arial"/>
          <w:sz w:val="18"/>
          <w:szCs w:val="18"/>
          <w:color w:val="auto"/>
        </w:rPr>
      </w:pPr>
    </w:p>
    <w:p>
      <w:pPr>
        <w:ind w:left="1060" w:right="120" w:hanging="310"/>
        <w:spacing w:after="0" w:line="259"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as amended, the information omitted from a form of prospectus filed as part of this registration statement in reliance upon Rule 430A and contained in the form of prospectus filed by the Registrant pursuant to Rule 424(b)(1) or (4) or 497(h) under the Securities Act of 1933, as amended,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1060" w:right="220" w:hanging="299"/>
        <w:spacing w:after="0" w:line="264"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80"/>
          </w:cols>
          <w:pgMar w:left="240" w:top="460" w:right="4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S-1 to be signed on its behalf by the undersigned, thereunto duly authorized, in the City of Cambridge, Commonwealth of Massachusetts, on the 25th day of May, 2018.</w:t>
      </w:r>
    </w:p>
    <w:p>
      <w:pPr>
        <w:spacing w:after="0" w:line="14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5715</wp:posOffset>
            </wp:positionV>
            <wp:extent cx="256413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Geoff MacKay</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President, Chief Executive Officer, and Principal</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Executive Officer</w:t>
      </w: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Each individual whose signature appears below hereby constitutes and appoints each of Geoff MacKay and Katina Dorton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7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and Power of Attorney has been signed by the following person in the capacities and on the date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222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2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520" w:type="dxa"/>
            <w:vAlign w:val="bottom"/>
            <w:gridSpan w:val="3"/>
          </w:tcPr>
          <w:p>
            <w:pPr>
              <w:jc w:val="center"/>
              <w:ind w:left="433"/>
              <w:spacing w:after="0"/>
              <w:rPr>
                <w:sz w:val="20"/>
                <w:szCs w:val="20"/>
                <w:color w:val="auto"/>
              </w:rPr>
            </w:pPr>
            <w:r>
              <w:rPr>
                <w:rFonts w:ascii="Arial" w:cs="Arial" w:eastAsia="Arial" w:hAnsi="Arial"/>
                <w:sz w:val="14"/>
                <w:szCs w:val="14"/>
                <w:b w:val="1"/>
                <w:bCs w:val="1"/>
                <w:color w:val="auto"/>
              </w:rPr>
              <w:t>DATE</w:t>
            </w:r>
          </w:p>
        </w:tc>
      </w:tr>
      <w:tr>
        <w:trPr>
          <w:trHeight w:val="20"/>
        </w:trPr>
        <w:tc>
          <w:tcPr>
            <w:tcW w:w="2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99"/>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Geoff MacKay</w:t>
            </w: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 President, Chief Executive Officer, and</w:t>
            </w:r>
          </w:p>
        </w:tc>
        <w:tc>
          <w:tcPr>
            <w:tcW w:w="1520" w:type="dxa"/>
            <w:vAlign w:val="bottom"/>
            <w:gridSpan w:val="3"/>
          </w:tcPr>
          <w:p>
            <w:pPr>
              <w:jc w:val="center"/>
              <w:ind w:left="433"/>
              <w:spacing w:after="0"/>
              <w:rPr>
                <w:sz w:val="20"/>
                <w:szCs w:val="20"/>
                <w:color w:val="auto"/>
              </w:rPr>
            </w:pPr>
            <w:r>
              <w:rPr>
                <w:rFonts w:ascii="Arial" w:cs="Arial" w:eastAsia="Arial" w:hAnsi="Arial"/>
                <w:sz w:val="18"/>
                <w:szCs w:val="18"/>
                <w:color w:val="auto"/>
                <w:w w:val="91"/>
              </w:rPr>
              <w:t>May 25, 2018</w:t>
            </w: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Geoff MacKay</w:t>
            </w: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Katina Dorton</w:t>
            </w: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Chief Financial Officer and Principal Financial</w:t>
            </w:r>
          </w:p>
        </w:tc>
        <w:tc>
          <w:tcPr>
            <w:tcW w:w="1520" w:type="dxa"/>
            <w:vAlign w:val="bottom"/>
            <w:gridSpan w:val="3"/>
          </w:tcPr>
          <w:p>
            <w:pPr>
              <w:jc w:val="center"/>
              <w:ind w:left="433"/>
              <w:spacing w:after="0"/>
              <w:rPr>
                <w:sz w:val="20"/>
                <w:szCs w:val="20"/>
                <w:color w:val="auto"/>
              </w:rPr>
            </w:pPr>
            <w:r>
              <w:rPr>
                <w:rFonts w:ascii="Arial" w:cs="Arial" w:eastAsia="Arial" w:hAnsi="Arial"/>
                <w:sz w:val="18"/>
                <w:szCs w:val="18"/>
                <w:color w:val="auto"/>
                <w:w w:val="91"/>
              </w:rPr>
              <w:t>May 25, 2018</w:t>
            </w: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Katina Dorton</w:t>
            </w: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and Accounting Officer</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Bruce Booth</w:t>
            </w: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Chairman of the Board of Director</w:t>
            </w:r>
            <w:r>
              <w:rPr>
                <w:rFonts w:ascii="Arial" w:cs="Arial" w:eastAsia="Arial" w:hAnsi="Arial"/>
                <w:sz w:val="18"/>
                <w:szCs w:val="18"/>
                <w:color w:val="auto"/>
              </w:rPr>
              <w:t>s</w:t>
            </w:r>
          </w:p>
        </w:tc>
        <w:tc>
          <w:tcPr>
            <w:tcW w:w="1520" w:type="dxa"/>
            <w:vAlign w:val="bottom"/>
            <w:gridSpan w:val="3"/>
          </w:tcPr>
          <w:p>
            <w:pPr>
              <w:jc w:val="center"/>
              <w:ind w:left="433"/>
              <w:spacing w:after="0"/>
              <w:rPr>
                <w:sz w:val="20"/>
                <w:szCs w:val="20"/>
                <w:color w:val="auto"/>
              </w:rPr>
            </w:pPr>
            <w:r>
              <w:rPr>
                <w:rFonts w:ascii="Arial" w:cs="Arial" w:eastAsia="Arial" w:hAnsi="Arial"/>
                <w:sz w:val="18"/>
                <w:szCs w:val="18"/>
                <w:color w:val="auto"/>
                <w:w w:val="91"/>
              </w:rPr>
              <w:t>May 25, 2018</w:t>
            </w: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Bruce Booth, D.Phil.</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Ian T. Clark</w:t>
            </w: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520" w:type="dxa"/>
            <w:vAlign w:val="bottom"/>
            <w:gridSpan w:val="3"/>
          </w:tcPr>
          <w:p>
            <w:pPr>
              <w:jc w:val="center"/>
              <w:ind w:left="433"/>
              <w:spacing w:after="0"/>
              <w:rPr>
                <w:sz w:val="20"/>
                <w:szCs w:val="20"/>
                <w:color w:val="auto"/>
              </w:rPr>
            </w:pPr>
            <w:r>
              <w:rPr>
                <w:rFonts w:ascii="Arial" w:cs="Arial" w:eastAsia="Arial" w:hAnsi="Arial"/>
                <w:sz w:val="18"/>
                <w:szCs w:val="18"/>
                <w:color w:val="auto"/>
                <w:w w:val="91"/>
              </w:rPr>
              <w:t>May 25, 2018</w:t>
            </w:r>
          </w:p>
        </w:tc>
      </w:tr>
      <w:tr>
        <w:trPr>
          <w:trHeight w:val="224"/>
        </w:trPr>
        <w:tc>
          <w:tcPr>
            <w:tcW w:w="490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Ian T. Clark</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 Annalisa Jenkins</w:t>
            </w: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520" w:type="dxa"/>
            <w:vAlign w:val="bottom"/>
            <w:gridSpan w:val="3"/>
          </w:tcPr>
          <w:p>
            <w:pPr>
              <w:jc w:val="center"/>
              <w:ind w:left="433"/>
              <w:spacing w:after="0"/>
              <w:rPr>
                <w:sz w:val="20"/>
                <w:szCs w:val="20"/>
                <w:color w:val="auto"/>
              </w:rPr>
            </w:pPr>
            <w:r>
              <w:rPr>
                <w:rFonts w:ascii="Arial" w:cs="Arial" w:eastAsia="Arial" w:hAnsi="Arial"/>
                <w:sz w:val="18"/>
                <w:szCs w:val="18"/>
                <w:color w:val="auto"/>
                <w:w w:val="91"/>
              </w:rPr>
              <w:t>May 25, 2018</w:t>
            </w:r>
          </w:p>
        </w:tc>
      </w:tr>
    </w:tbl>
    <w:p>
      <w:pPr>
        <w:ind w:left="1340"/>
        <w:spacing w:after="0"/>
        <w:rPr>
          <w:sz w:val="20"/>
          <w:szCs w:val="20"/>
          <w:color w:val="auto"/>
        </w:rPr>
      </w:pPr>
      <w:r>
        <w:rPr>
          <w:rFonts w:ascii="Arial" w:cs="Arial" w:eastAsia="Arial" w:hAnsi="Arial"/>
          <w:sz w:val="18"/>
          <w:szCs w:val="18"/>
          <w:color w:val="auto"/>
        </w:rPr>
        <w:t>Annalisa Jenkins, M.B.B.S., F.R.C.P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311277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20"/>
          </w:cols>
          <w:pgMar w:left="240" w:top="460"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222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2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2700" w:type="dxa"/>
            <w:vAlign w:val="bottom"/>
          </w:tcPr>
          <w:p>
            <w:pPr>
              <w:spacing w:after="0"/>
              <w:rPr>
                <w:sz w:val="16"/>
                <w:szCs w:val="16"/>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DATE</w:t>
            </w:r>
          </w:p>
        </w:tc>
      </w:tr>
      <w:tr>
        <w:trPr>
          <w:trHeight w:val="20"/>
        </w:trPr>
        <w:tc>
          <w:tcPr>
            <w:tcW w:w="2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99"/>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Christopher Paige</w:t>
            </w:r>
          </w:p>
        </w:tc>
        <w:tc>
          <w:tcPr>
            <w:tcW w:w="2200" w:type="dxa"/>
            <w:vAlign w:val="bottom"/>
            <w:gridSpan w:val="2"/>
          </w:tcPr>
          <w:p>
            <w:pPr>
              <w:ind w:left="100"/>
              <w:spacing w:after="0"/>
              <w:rPr>
                <w:sz w:val="20"/>
                <w:szCs w:val="20"/>
                <w:color w:val="auto"/>
              </w:rPr>
            </w:pPr>
            <w:r>
              <w:rPr>
                <w:rFonts w:ascii="Arial" w:cs="Arial" w:eastAsia="Arial" w:hAnsi="Arial"/>
                <w:sz w:val="18"/>
                <w:szCs w:val="18"/>
                <w:i w:val="1"/>
                <w:iCs w:val="1"/>
                <w:color w:val="auto"/>
              </w:rPr>
              <w:t>Director</w:t>
            </w:r>
          </w:p>
        </w:tc>
        <w:tc>
          <w:tcPr>
            <w:tcW w:w="3400" w:type="dxa"/>
            <w:vAlign w:val="bottom"/>
            <w:gridSpan w:val="3"/>
          </w:tcPr>
          <w:p>
            <w:pPr>
              <w:jc w:val="center"/>
              <w:ind w:left="2310"/>
              <w:spacing w:after="0"/>
              <w:rPr>
                <w:sz w:val="20"/>
                <w:szCs w:val="20"/>
                <w:color w:val="auto"/>
              </w:rPr>
            </w:pPr>
            <w:r>
              <w:rPr>
                <w:rFonts w:ascii="Arial" w:cs="Arial" w:eastAsia="Arial" w:hAnsi="Arial"/>
                <w:sz w:val="18"/>
                <w:szCs w:val="18"/>
                <w:color w:val="auto"/>
                <w:w w:val="91"/>
              </w:rPr>
              <w:t>May 25, 2018</w:t>
            </w: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Christopher Paige, Ph.D.</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8"/>
              </w:rPr>
              <w:t>/s/ Scott G. Requadt</w:t>
            </w:r>
          </w:p>
        </w:tc>
        <w:tc>
          <w:tcPr>
            <w:tcW w:w="2200" w:type="dxa"/>
            <w:vAlign w:val="bottom"/>
            <w:gridSpan w:val="2"/>
          </w:tcPr>
          <w:p>
            <w:pPr>
              <w:ind w:left="100"/>
              <w:spacing w:after="0"/>
              <w:rPr>
                <w:sz w:val="20"/>
                <w:szCs w:val="20"/>
                <w:color w:val="auto"/>
              </w:rPr>
            </w:pPr>
            <w:r>
              <w:rPr>
                <w:rFonts w:ascii="Arial" w:cs="Arial" w:eastAsia="Arial" w:hAnsi="Arial"/>
                <w:sz w:val="18"/>
                <w:szCs w:val="18"/>
                <w:i w:val="1"/>
                <w:iCs w:val="1"/>
                <w:color w:val="auto"/>
              </w:rPr>
              <w:t>Director</w:t>
            </w:r>
          </w:p>
        </w:tc>
        <w:tc>
          <w:tcPr>
            <w:tcW w:w="3400" w:type="dxa"/>
            <w:vAlign w:val="bottom"/>
            <w:gridSpan w:val="3"/>
          </w:tcPr>
          <w:p>
            <w:pPr>
              <w:jc w:val="center"/>
              <w:ind w:left="2310"/>
              <w:spacing w:after="0"/>
              <w:rPr>
                <w:sz w:val="20"/>
                <w:szCs w:val="20"/>
                <w:color w:val="auto"/>
              </w:rPr>
            </w:pPr>
            <w:r>
              <w:rPr>
                <w:rFonts w:ascii="Arial" w:cs="Arial" w:eastAsia="Arial" w:hAnsi="Arial"/>
                <w:sz w:val="18"/>
                <w:szCs w:val="18"/>
                <w:color w:val="auto"/>
                <w:w w:val="91"/>
              </w:rPr>
              <w:t>May 25, 2018</w:t>
            </w: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Scott G. Requadt</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7"/>
              </w:rPr>
              <w:t>/s/ Joshua Resnick</w:t>
            </w:r>
          </w:p>
        </w:tc>
        <w:tc>
          <w:tcPr>
            <w:tcW w:w="2200" w:type="dxa"/>
            <w:vAlign w:val="bottom"/>
            <w:gridSpan w:val="2"/>
          </w:tcPr>
          <w:p>
            <w:pPr>
              <w:ind w:left="100"/>
              <w:spacing w:after="0"/>
              <w:rPr>
                <w:sz w:val="20"/>
                <w:szCs w:val="20"/>
                <w:color w:val="auto"/>
              </w:rPr>
            </w:pPr>
            <w:r>
              <w:rPr>
                <w:rFonts w:ascii="Arial" w:cs="Arial" w:eastAsia="Arial" w:hAnsi="Arial"/>
                <w:sz w:val="18"/>
                <w:szCs w:val="18"/>
                <w:i w:val="1"/>
                <w:iCs w:val="1"/>
                <w:color w:val="auto"/>
              </w:rPr>
              <w:t>Director</w:t>
            </w:r>
          </w:p>
        </w:tc>
        <w:tc>
          <w:tcPr>
            <w:tcW w:w="3400" w:type="dxa"/>
            <w:vAlign w:val="bottom"/>
            <w:gridSpan w:val="3"/>
          </w:tcPr>
          <w:p>
            <w:pPr>
              <w:jc w:val="center"/>
              <w:ind w:left="2310"/>
              <w:spacing w:after="0"/>
              <w:rPr>
                <w:sz w:val="20"/>
                <w:szCs w:val="20"/>
                <w:color w:val="auto"/>
              </w:rPr>
            </w:pPr>
            <w:r>
              <w:rPr>
                <w:rFonts w:ascii="Arial" w:cs="Arial" w:eastAsia="Arial" w:hAnsi="Arial"/>
                <w:sz w:val="18"/>
                <w:szCs w:val="18"/>
                <w:color w:val="auto"/>
                <w:w w:val="91"/>
              </w:rPr>
              <w:t>May 25, 2018</w:t>
            </w:r>
          </w:p>
        </w:tc>
      </w:tr>
      <w:tr>
        <w:trPr>
          <w:trHeight w:val="224"/>
        </w:trPr>
        <w:tc>
          <w:tcPr>
            <w:tcW w:w="49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Joshua Resnick, M.D.</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pacing w:after="0" w:line="1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720"/>
          </w:cols>
          <w:pgMar w:left="240" w:top="459" w:right="9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AVROBIO,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AvroBio,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DOES HEREBY CERTIFY:</w:t>
      </w:r>
    </w:p>
    <w:p>
      <w:pPr>
        <w:spacing w:after="0" w:line="121" w:lineRule="exact"/>
        <w:rPr>
          <w:sz w:val="20"/>
          <w:szCs w:val="20"/>
          <w:color w:val="auto"/>
        </w:rPr>
      </w:pPr>
    </w:p>
    <w:p>
      <w:pPr>
        <w:ind w:right="20" w:firstLine="921"/>
        <w:spacing w:after="0" w:line="277" w:lineRule="auto"/>
        <w:tabs>
          <w:tab w:leader="none" w:pos="1093"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That the name of this corporation is AVROBIO, Inc., and that this corporation was originally incorporated pursuant to the General Corporation Law on November 17, 2015 under the name AvroBio, Inc.</w:t>
      </w:r>
    </w:p>
    <w:p>
      <w:pPr>
        <w:spacing w:after="0" w:line="62" w:lineRule="exact"/>
        <w:rPr>
          <w:rFonts w:ascii="Arial" w:cs="Arial" w:eastAsia="Arial" w:hAnsi="Arial"/>
          <w:sz w:val="18"/>
          <w:szCs w:val="18"/>
          <w:b w:val="1"/>
          <w:bCs w:val="1"/>
          <w:color w:val="auto"/>
        </w:rPr>
      </w:pPr>
    </w:p>
    <w:p>
      <w:pPr>
        <w:ind w:right="60" w:firstLine="921"/>
        <w:spacing w:after="0" w:line="259" w:lineRule="auto"/>
        <w:tabs>
          <w:tab w:leader="none" w:pos="1093"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That the Board of Directors of the Corporation (the “Board of Directors”) duly adopted resolutions proposing to amend and restate the Second Amended and Restated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3" w:lineRule="exact"/>
        <w:rPr>
          <w:sz w:val="20"/>
          <w:szCs w:val="20"/>
          <w:color w:val="auto"/>
        </w:rPr>
      </w:pPr>
    </w:p>
    <w:p>
      <w:pPr>
        <w:ind w:right="220" w:firstLine="913"/>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Second Amended and Restated Certificate of Incorporation of this corporation be amended and restated in its entirety to</w:t>
      </w:r>
      <w:r>
        <w:rPr>
          <w:rFonts w:ascii="Arial" w:cs="Arial" w:eastAsia="Arial" w:hAnsi="Arial"/>
          <w:sz w:val="18"/>
          <w:szCs w:val="18"/>
          <w:b w:val="1"/>
          <w:bCs w:val="1"/>
          <w:color w:val="auto"/>
        </w:rPr>
        <w:t xml:space="preserve"> </w:t>
      </w:r>
      <w:r>
        <w:rPr>
          <w:rFonts w:ascii="Arial" w:cs="Arial" w:eastAsia="Arial" w:hAnsi="Arial"/>
          <w:sz w:val="18"/>
          <w:szCs w:val="18"/>
          <w:color w:val="auto"/>
        </w:rPr>
        <w:t>read as follows: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AVROBIO,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SECOND: </w:t>
      </w:r>
      <w:r>
        <w:rPr>
          <w:rFonts w:ascii="Arial" w:cs="Arial" w:eastAsia="Arial" w:hAnsi="Arial"/>
          <w:sz w:val="16"/>
          <w:szCs w:val="16"/>
          <w:color w:val="auto"/>
        </w:rPr>
        <w:t>The address of the registered office of the Corporation in the State of Delaware is 251 Little Falls Drive, in the City of Wilmington,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County of New Castle, 19808, and its registered agent at such address is: Corporation Service Company.</w:t>
      </w:r>
    </w:p>
    <w:p>
      <w:pPr>
        <w:spacing w:after="0" w:line="207" w:lineRule="exact"/>
        <w:rPr>
          <w:sz w:val="20"/>
          <w:szCs w:val="20"/>
          <w:color w:val="auto"/>
        </w:rPr>
      </w:pPr>
    </w:p>
    <w:p>
      <w:pPr>
        <w:ind w:right="300" w:firstLine="913"/>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organized under the General Corporation Law.</w:t>
      </w:r>
    </w:p>
    <w:p>
      <w:pPr>
        <w:spacing w:after="0" w:line="162" w:lineRule="exact"/>
        <w:rPr>
          <w:sz w:val="20"/>
          <w:szCs w:val="20"/>
          <w:color w:val="auto"/>
        </w:rPr>
      </w:pPr>
    </w:p>
    <w:p>
      <w:pPr>
        <w:ind w:right="180" w:firstLine="913"/>
        <w:spacing w:after="0" w:line="347" w:lineRule="auto"/>
        <w:rPr>
          <w:sz w:val="20"/>
          <w:szCs w:val="20"/>
          <w:color w:val="auto"/>
        </w:rPr>
      </w:pPr>
      <w:r>
        <w:rPr>
          <w:rFonts w:ascii="Arial" w:cs="Arial" w:eastAsia="Arial" w:hAnsi="Arial"/>
          <w:sz w:val="16"/>
          <w:szCs w:val="16"/>
          <w:b w:val="1"/>
          <w:bCs w:val="1"/>
          <w:color w:val="auto"/>
        </w:rPr>
        <w:t xml:space="preserve">FOURTH: </w:t>
      </w:r>
      <w:r>
        <w:rPr>
          <w:rFonts w:ascii="Arial" w:cs="Arial" w:eastAsia="Arial" w:hAnsi="Arial"/>
          <w:sz w:val="16"/>
          <w:szCs w:val="16"/>
          <w:color w:val="auto"/>
        </w:rPr>
        <w:t>The total number of shares of all classes of stock which the Corporation shall have authority to issue is (i) 82,000,000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$0.0001 par value per share (“</w:t>
      </w:r>
      <w:r>
        <w:rPr>
          <w:rFonts w:ascii="Arial" w:cs="Arial" w:eastAsia="Arial" w:hAnsi="Arial"/>
          <w:sz w:val="16"/>
          <w:szCs w:val="16"/>
          <w:b w:val="1"/>
          <w:bCs w:val="1"/>
          <w:color w:val="auto"/>
        </w:rPr>
        <w:t>Common Stock</w:t>
      </w:r>
      <w:r>
        <w:rPr>
          <w:rFonts w:ascii="Arial" w:cs="Arial" w:eastAsia="Arial" w:hAnsi="Arial"/>
          <w:sz w:val="16"/>
          <w:szCs w:val="16"/>
          <w:color w:val="auto"/>
        </w:rPr>
        <w:t>”), and (ii) 63,491,857 of Preferred Stock, $0.0001 par value per share (“</w:t>
      </w:r>
      <w:r>
        <w:rPr>
          <w:rFonts w:ascii="Arial" w:cs="Arial" w:eastAsia="Arial" w:hAnsi="Arial"/>
          <w:sz w:val="16"/>
          <w:szCs w:val="16"/>
          <w:b w:val="1"/>
          <w:bCs w:val="1"/>
          <w:color w:val="auto"/>
        </w:rPr>
        <w:t>Preferred Stock</w:t>
      </w:r>
      <w:r>
        <w:rPr>
          <w:rFonts w:ascii="Arial" w:cs="Arial" w:eastAsia="Arial" w:hAnsi="Arial"/>
          <w:sz w:val="16"/>
          <w:szCs w:val="16"/>
          <w:color w:val="auto"/>
        </w:rPr>
        <w:t>”).</w:t>
      </w:r>
    </w:p>
    <w:p>
      <w:pPr>
        <w:spacing w:after="0" w:line="12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ectPr>
          <w:pgSz w:w="11900" w:h="16838" w:orient="portrait"/>
          <w:cols w:equalWidth="0" w:num="1">
            <w:col w:w="11420"/>
          </w:cols>
          <w:pgMar w:left="240" w:top="121" w:right="239" w:bottom="1440" w:gutter="0" w:footer="0" w:header="0"/>
        </w:sectPr>
      </w:pPr>
    </w:p>
    <w:bookmarkStart w:id="241" w:name="page242"/>
    <w:bookmarkEnd w:id="24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COMMON STOCK</w:t>
      </w:r>
    </w:p>
    <w:p>
      <w:pPr>
        <w:spacing w:after="0" w:line="117" w:lineRule="exact"/>
        <w:rPr>
          <w:sz w:val="20"/>
          <w:szCs w:val="20"/>
          <w:color w:val="auto"/>
        </w:rPr>
      </w:pPr>
    </w:p>
    <w:p>
      <w:pPr>
        <w:ind w:firstLine="921"/>
        <w:spacing w:after="0" w:line="277" w:lineRule="auto"/>
        <w:tabs>
          <w:tab w:leader="none" w:pos="1093"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62" w:lineRule="exact"/>
        <w:rPr>
          <w:rFonts w:ascii="Arial" w:cs="Arial" w:eastAsia="Arial" w:hAnsi="Arial"/>
          <w:sz w:val="18"/>
          <w:szCs w:val="18"/>
          <w:color w:val="auto"/>
        </w:rPr>
      </w:pPr>
    </w:p>
    <w:p>
      <w:pPr>
        <w:ind w:right="20" w:firstLine="921"/>
        <w:spacing w:after="0" w:line="289" w:lineRule="auto"/>
        <w:tabs>
          <w:tab w:leader="none" w:pos="1093"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xml:space="preserve">. The holders of the Common Stock are entitled to one vote for each share of Common Stock held at all meetings of stockholders (and written actions in lieu of meetings);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Common Stock, as such, shall not be entitled to vote on any amendment to this Third Amended and Restated Certificate of Incorporation (the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66" w:lineRule="exact"/>
        <w:rPr>
          <w:rFonts w:ascii="Arial" w:cs="Arial" w:eastAsia="Arial" w:hAnsi="Arial"/>
          <w:sz w:val="16"/>
          <w:szCs w:val="16"/>
          <w:color w:val="auto"/>
        </w:rPr>
      </w:pPr>
    </w:p>
    <w:p>
      <w:pPr>
        <w:ind w:left="680" w:hanging="216"/>
        <w:spacing w:after="0"/>
        <w:tabs>
          <w:tab w:leader="none" w:pos="6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3"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7"/>
          <w:szCs w:val="17"/>
          <w:color w:val="auto"/>
        </w:rPr>
        <w:t>3,333,333 shares of the authorized Preferred Stock of the Corporation are hereby designated “</w:t>
      </w:r>
      <w:r>
        <w:rPr>
          <w:rFonts w:ascii="Arial" w:cs="Arial" w:eastAsia="Arial" w:hAnsi="Arial"/>
          <w:sz w:val="17"/>
          <w:szCs w:val="17"/>
          <w:b w:val="1"/>
          <w:bCs w:val="1"/>
          <w:color w:val="auto"/>
        </w:rPr>
        <w:t>Series Seed Preferred Stock</w:t>
      </w:r>
      <w:r>
        <w:rPr>
          <w:rFonts w:ascii="Arial" w:cs="Arial" w:eastAsia="Arial" w:hAnsi="Arial"/>
          <w:sz w:val="17"/>
          <w:szCs w:val="17"/>
          <w:color w:val="auto"/>
        </w:rPr>
        <w:t>”, 31,639,202 shares of the authorized Preferred Stock of the Corporation are hereby designated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and 28,519,322 shares of the authorized Preferred Stock of the Corporation are hereby designated “</w:t>
      </w:r>
      <w:r>
        <w:rPr>
          <w:rFonts w:ascii="Arial" w:cs="Arial" w:eastAsia="Arial" w:hAnsi="Arial"/>
          <w:sz w:val="17"/>
          <w:szCs w:val="17"/>
          <w:b w:val="1"/>
          <w:bCs w:val="1"/>
          <w:color w:val="auto"/>
        </w:rPr>
        <w:t>Series B Preferred Stock</w:t>
      </w:r>
      <w:r>
        <w:rPr>
          <w:rFonts w:ascii="Arial" w:cs="Arial" w:eastAsia="Arial" w:hAnsi="Arial"/>
          <w:sz w:val="17"/>
          <w:szCs w:val="17"/>
          <w:color w:val="auto"/>
        </w:rPr>
        <w:t>”. The rights, preferences, powers, privileges and restrictions, qualifications and limitations of each series of Preferred Stock are set forth below. Unless otherwise indicated, references to “sections” or “subsections” in this Part B of this Article Fourth refer to sections and subsections of Part B of this Article Fourth.</w:t>
      </w:r>
    </w:p>
    <w:p>
      <w:pPr>
        <w:spacing w:after="0" w:line="64" w:lineRule="exact"/>
        <w:rPr>
          <w:sz w:val="20"/>
          <w:szCs w:val="20"/>
          <w:color w:val="auto"/>
        </w:rPr>
      </w:pPr>
    </w:p>
    <w:p>
      <w:pPr>
        <w:ind w:left="1100" w:hanging="179"/>
        <w:spacing w:after="0"/>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the Certificate of Incorporation) (i) the holders of the Series B Preferred Stock then outstanding shall first receive, or simultaneously receive, a dividend on each outstanding share of Series B Preferred Stock in an amount at least equal to $0.171112, (ii) the holders of the Series A Preferred Stock then outstanding shall first receive, or simultaneously receive, a dividend on each outstanding share of Series A Preferred Stock in an amount at least equal to $0.0636 and (iii) the holders of the Series Seed Preferred Stock then outstanding shall first receive, or simultaneously receive, a dividend on each outstanding share of Series Seed Preferred Stock in an amount at least equal to $0.0225, in each case subject to appropriate adjustment in the event of any stock dividend, stock split, combination or other similar recapitalization with respect to the Series A Preferred Stock, the Series B Preferred Stock or the Series Seed Preferred Stock, as applicable. The “</w:t>
      </w:r>
      <w:r>
        <w:rPr>
          <w:rFonts w:ascii="Arial" w:cs="Arial" w:eastAsia="Arial" w:hAnsi="Arial"/>
          <w:sz w:val="17"/>
          <w:szCs w:val="17"/>
          <w:b w:val="1"/>
          <w:bCs w:val="1"/>
          <w:color w:val="auto"/>
        </w:rPr>
        <w:t>Series B Original Issue Price</w:t>
      </w:r>
      <w:r>
        <w:rPr>
          <w:rFonts w:ascii="Arial" w:cs="Arial" w:eastAsia="Arial" w:hAnsi="Arial"/>
          <w:sz w:val="17"/>
          <w:szCs w:val="17"/>
          <w:color w:val="auto"/>
        </w:rPr>
        <w:t>” shall mean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42" w:name="page243"/>
    <w:bookmarkEnd w:id="24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$2.1389 per share, subject to appropriate adjustment in the event of any stock dividend, stock split, combination or other similar recapitalization with respect to the Series B Preferred Stock. The “</w:t>
      </w:r>
      <w:r>
        <w:rPr>
          <w:rFonts w:ascii="Arial" w:cs="Arial" w:eastAsia="Arial" w:hAnsi="Arial"/>
          <w:sz w:val="18"/>
          <w:szCs w:val="18"/>
          <w:b w:val="1"/>
          <w:bCs w:val="1"/>
          <w:color w:val="auto"/>
        </w:rPr>
        <w:t>Series A Original Issue Price</w:t>
      </w:r>
      <w:r>
        <w:rPr>
          <w:rFonts w:ascii="Arial" w:cs="Arial" w:eastAsia="Arial" w:hAnsi="Arial"/>
          <w:sz w:val="18"/>
          <w:szCs w:val="18"/>
          <w:color w:val="auto"/>
        </w:rPr>
        <w:t>” shall mean $0.7949 per share, subject to appropriate adjustment in the event of any stock dividend, stock split, combination or other similar recapitalization with respect to the Series A Preferred Stock. The “</w:t>
      </w:r>
      <w:r>
        <w:rPr>
          <w:rFonts w:ascii="Arial" w:cs="Arial" w:eastAsia="Arial" w:hAnsi="Arial"/>
          <w:sz w:val="18"/>
          <w:szCs w:val="18"/>
          <w:b w:val="1"/>
          <w:bCs w:val="1"/>
          <w:color w:val="auto"/>
        </w:rPr>
        <w:t>Series Seed Original Issue Price</w:t>
      </w:r>
      <w:r>
        <w:rPr>
          <w:rFonts w:ascii="Arial" w:cs="Arial" w:eastAsia="Arial" w:hAnsi="Arial"/>
          <w:sz w:val="18"/>
          <w:szCs w:val="18"/>
          <w:color w:val="auto"/>
        </w:rPr>
        <w:t>” (and collectively with the Series A Original Issue Price and the Series B Original Issue Price, the “</w:t>
      </w:r>
      <w:r>
        <w:rPr>
          <w:rFonts w:ascii="Arial" w:cs="Arial" w:eastAsia="Arial" w:hAnsi="Arial"/>
          <w:sz w:val="18"/>
          <w:szCs w:val="18"/>
          <w:b w:val="1"/>
          <w:bCs w:val="1"/>
          <w:color w:val="auto"/>
        </w:rPr>
        <w:t>Original Issue Price</w:t>
      </w:r>
      <w:r>
        <w:rPr>
          <w:rFonts w:ascii="Arial" w:cs="Arial" w:eastAsia="Arial" w:hAnsi="Arial"/>
          <w:sz w:val="18"/>
          <w:szCs w:val="18"/>
          <w:color w:val="auto"/>
        </w:rPr>
        <w:t>”) shall mean $0.45 per share, subject to appropriate adjustment in the event of any stock dividend, stock split, combination or other similar recapitalization with respect to the Series Seed Preferred Stock.</w:t>
      </w:r>
    </w:p>
    <w:p>
      <w:pPr>
        <w:spacing w:after="0" w:line="85" w:lineRule="exact"/>
        <w:rPr>
          <w:sz w:val="20"/>
          <w:szCs w:val="20"/>
          <w:color w:val="auto"/>
        </w:rPr>
      </w:pPr>
    </w:p>
    <w:p>
      <w:pPr>
        <w:ind w:left="1100" w:hanging="179"/>
        <w:spacing w:after="0"/>
        <w:tabs>
          <w:tab w:leader="none" w:pos="110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117" w:lineRule="exact"/>
        <w:rPr>
          <w:sz w:val="20"/>
          <w:szCs w:val="20"/>
          <w:color w:val="auto"/>
        </w:rPr>
      </w:pPr>
    </w:p>
    <w:p>
      <w:pPr>
        <w:ind w:firstLine="1484"/>
        <w:spacing w:after="0" w:line="285"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Preferential Payments to Holders of Series A and Series B Preferred Stock</w:t>
      </w:r>
      <w:r>
        <w:rPr>
          <w:rFonts w:ascii="Arial" w:cs="Arial" w:eastAsia="Arial" w:hAnsi="Arial"/>
          <w:sz w:val="16"/>
          <w:szCs w:val="16"/>
          <w:color w:val="auto"/>
        </w:rPr>
        <w:t xml:space="preserve">. In the event of any voluntary or involuntary liquidation, dissolution or winding up of the Corporation or Deemed Liquidation Event (as defined below), the holders of shares of Series A Preferred Stock and Series B Preferred Stock then outstanding shall be entitled to be paid out of the assets of the Corporation available for distribution to its stockholders,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before any payment shall be made to the holders of Series Seed Preferred Stock or Common Stock by reason of their ownership thereof, an amount per share equal to (a) in the case of the holders of shares of Series A Preferred Stock, the greater of (i) one (1) times the Series A Original Issue Price, plus any dividends declared but unpaid thereon, or (ii) such amount per share as would have been payable had all shares of Series A Preferred 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winding up or Deemed Liquidation Event (the amount payable pursuant to this sentence is hereinafter referred to as the “</w:t>
      </w:r>
      <w:r>
        <w:rPr>
          <w:rFonts w:ascii="Arial" w:cs="Arial" w:eastAsia="Arial" w:hAnsi="Arial"/>
          <w:sz w:val="16"/>
          <w:szCs w:val="16"/>
          <w:b w:val="1"/>
          <w:bCs w:val="1"/>
          <w:color w:val="auto"/>
        </w:rPr>
        <w:t>Series A Liquidation Amoun</w:t>
      </w:r>
      <w:r>
        <w:rPr>
          <w:rFonts w:ascii="Arial" w:cs="Arial" w:eastAsia="Arial" w:hAnsi="Arial"/>
          <w:sz w:val="16"/>
          <w:szCs w:val="16"/>
          <w:color w:val="auto"/>
        </w:rPr>
        <w:t xml:space="preserve">t”), and (b) in the case of the holders of shares of Series B Preferred Stock, the greater of (i) one (1) times the Series B Original Issue Price, plus any dividends declared but unpaid thereon, or (ii) such amount per share as would have been payable had all shares of Series B Preferred 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winding up or Deemed Liquidation Event (the amount payable pursuant to this sentence is hereinafter referred to as the “</w:t>
      </w:r>
      <w:r>
        <w:rPr>
          <w:rFonts w:ascii="Arial" w:cs="Arial" w:eastAsia="Arial" w:hAnsi="Arial"/>
          <w:sz w:val="16"/>
          <w:szCs w:val="16"/>
          <w:b w:val="1"/>
          <w:bCs w:val="1"/>
          <w:color w:val="auto"/>
        </w:rPr>
        <w:t>Series B Liquidation</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If upon any such liquidation, dissolution or winding up of the Corporation or Deemed Liquidation Event, the assets of the Corporation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distribution to its stockholders shall be insufficient to pay the holders of shares of Series A Preferred Stock and Series B Preferred Stock the full amount to which they shall be entitled under this </w:t>
      </w:r>
      <w:r>
        <w:rPr>
          <w:rFonts w:ascii="Arial" w:cs="Arial" w:eastAsia="Arial" w:hAnsi="Arial"/>
          <w:sz w:val="16"/>
          <w:szCs w:val="16"/>
          <w:u w:val="single" w:color="auto"/>
          <w:color w:val="auto"/>
        </w:rPr>
        <w:t>Subsection 2.1</w:t>
      </w:r>
      <w:r>
        <w:rPr>
          <w:rFonts w:ascii="Arial" w:cs="Arial" w:eastAsia="Arial" w:hAnsi="Arial"/>
          <w:sz w:val="16"/>
          <w:szCs w:val="16"/>
          <w:color w:val="auto"/>
        </w:rPr>
        <w:t>, the holders of shares of Series A Preferred Stock and Series B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70" w:lineRule="exact"/>
        <w:rPr>
          <w:sz w:val="20"/>
          <w:szCs w:val="20"/>
          <w:color w:val="auto"/>
        </w:rPr>
      </w:pPr>
    </w:p>
    <w:p>
      <w:pPr>
        <w:ind w:right="80" w:firstLine="1484"/>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Preferential Payments to Holders of Series Seed Preferred Stock</w:t>
      </w:r>
      <w:r>
        <w:rPr>
          <w:rFonts w:ascii="Arial" w:cs="Arial" w:eastAsia="Arial" w:hAnsi="Arial"/>
          <w:sz w:val="18"/>
          <w:szCs w:val="18"/>
          <w:color w:val="auto"/>
        </w:rPr>
        <w:t>. In the event of any voluntary or involuntary liquidation, dissolution or winding up of the Corporation or Deemed Liquidation Event, the holders of shares of Series Seed Preferred Stock then outstanding shall be entitled to be paid out of the assets of the Corporation available for distribution to its stockholders after payment of the Series A Liquidation Amount and the Series B Liquidation Amount and before any payment shall be made to the holders of Common Stock by reason of their ownership thereof, an amount per share equal to the greater of (i) one (1) times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43" w:name="page244"/>
    <w:bookmarkEnd w:id="243"/>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Series Seed Original Issue Price, plus any dividends declared but unpaid thereon, or (ii) such amount per share as would have been payable had all shares of Series Seed Preferred Stock been converted into Common Stock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immediately prior to such liquidation, dissolution, winding up or Deemed Liquidation Event (the amount payable pursuant to this sentence is hereinafter referred to as the “</w:t>
      </w:r>
      <w:r>
        <w:rPr>
          <w:rFonts w:ascii="Arial" w:cs="Arial" w:eastAsia="Arial" w:hAnsi="Arial"/>
          <w:sz w:val="17"/>
          <w:szCs w:val="17"/>
          <w:b w:val="1"/>
          <w:bCs w:val="1"/>
          <w:color w:val="auto"/>
        </w:rPr>
        <w:t>Series Seed Liquidation Amoun</w:t>
      </w:r>
      <w:r>
        <w:rPr>
          <w:rFonts w:ascii="Arial" w:cs="Arial" w:eastAsia="Arial" w:hAnsi="Arial"/>
          <w:sz w:val="17"/>
          <w:szCs w:val="17"/>
          <w:color w:val="auto"/>
        </w:rPr>
        <w:t xml:space="preserve">t”). If upon any such liquidation, dissolution or winding up of the Corporation or Deemed Liquidation Event, the assets of the Corporation available for distribution to its stockholders shall be insufficient to pay the holders of shares of Series Seed Preferred Stock the full amount to which they shall be entitled under this </w:t>
      </w:r>
      <w:r>
        <w:rPr>
          <w:rFonts w:ascii="Arial" w:cs="Arial" w:eastAsia="Arial" w:hAnsi="Arial"/>
          <w:sz w:val="17"/>
          <w:szCs w:val="17"/>
          <w:u w:val="single" w:color="auto"/>
          <w:color w:val="auto"/>
        </w:rPr>
        <w:t>Subsection 2.2</w:t>
      </w:r>
      <w:r>
        <w:rPr>
          <w:rFonts w:ascii="Arial" w:cs="Arial" w:eastAsia="Arial" w:hAnsi="Arial"/>
          <w:sz w:val="17"/>
          <w:szCs w:val="17"/>
          <w:color w:val="auto"/>
        </w:rPr>
        <w:t>, the holders of shares of Series Seed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71" w:lineRule="exact"/>
        <w:rPr>
          <w:sz w:val="20"/>
          <w:szCs w:val="20"/>
          <w:color w:val="auto"/>
        </w:rPr>
      </w:pPr>
    </w:p>
    <w:p>
      <w:pPr>
        <w:ind w:right="140" w:firstLine="1484"/>
        <w:spacing w:after="0" w:line="27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Payments to Holders of Common Stock</w:t>
      </w:r>
      <w:r>
        <w:rPr>
          <w:rFonts w:ascii="Arial" w:cs="Arial" w:eastAsia="Arial" w:hAnsi="Arial"/>
          <w:sz w:val="17"/>
          <w:szCs w:val="17"/>
          <w:color w:val="auto"/>
        </w:rPr>
        <w:t xml:space="preserve">. In the event of any voluntary or involuntary liquidation, dissolution or winding up of the Corporation or Deemed Liquidation Event, after the payment of all preferential amounts required to be paid to the holders of shares of Preferred Stock as set forth in </w:t>
      </w:r>
      <w:r>
        <w:rPr>
          <w:rFonts w:ascii="Arial" w:cs="Arial" w:eastAsia="Arial" w:hAnsi="Arial"/>
          <w:sz w:val="17"/>
          <w:szCs w:val="17"/>
          <w:u w:val="single" w:color="auto"/>
          <w:color w:val="auto"/>
        </w:rPr>
        <w:t>Subsections 2.1 and 2.2</w:t>
      </w:r>
      <w:r>
        <w:rPr>
          <w:rFonts w:ascii="Arial" w:cs="Arial" w:eastAsia="Arial" w:hAnsi="Arial"/>
          <w:sz w:val="17"/>
          <w:szCs w:val="17"/>
          <w:color w:val="auto"/>
        </w:rPr>
        <w:t xml:space="preserve"> above, the remaining assets of the Corporation available for distribution to its stockholders shall be distributed among the holders of shares of Common Stock, pro rata based on the number of shares held by each such holder.</w:t>
      </w:r>
    </w:p>
    <w:p>
      <w:pPr>
        <w:spacing w:after="0" w:line="6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113" w:lineRule="exact"/>
        <w:rPr>
          <w:sz w:val="20"/>
          <w:szCs w:val="20"/>
          <w:color w:val="auto"/>
        </w:rPr>
      </w:pPr>
    </w:p>
    <w:p>
      <w:pPr>
        <w:ind w:firstLine="1940"/>
        <w:spacing w:after="0" w:line="258"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u w:val="single" w:color="auto"/>
          <w:color w:val="auto"/>
        </w:rPr>
        <w:t>Definition</w:t>
      </w:r>
      <w:r>
        <w:rPr>
          <w:rFonts w:ascii="Arial" w:cs="Arial" w:eastAsia="Arial" w:hAnsi="Arial"/>
          <w:sz w:val="18"/>
          <w:szCs w:val="18"/>
          <w:color w:val="auto"/>
        </w:rPr>
        <w:t>. Each of the following events shall be considered a “</w:t>
      </w:r>
      <w:r>
        <w:rPr>
          <w:rFonts w:ascii="Arial" w:cs="Arial" w:eastAsia="Arial" w:hAnsi="Arial"/>
          <w:sz w:val="18"/>
          <w:szCs w:val="18"/>
          <w:b w:val="1"/>
          <w:bCs w:val="1"/>
          <w:color w:val="auto"/>
        </w:rPr>
        <w:t>Deemed Liquidation Event</w:t>
      </w:r>
      <w:r>
        <w:rPr>
          <w:rFonts w:ascii="Arial" w:cs="Arial" w:eastAsia="Arial" w:hAnsi="Arial"/>
          <w:sz w:val="18"/>
          <w:szCs w:val="18"/>
          <w:color w:val="auto"/>
        </w:rPr>
        <w:t>” unless the Requisite Preferred Holders (as defined below) (and, in the case of any of the following events do not result in the holders of the Series B Preferred Stock receiving, in connection with such event, an amount equal to or greater than the Series B Original Issue Price for each outstanding share of their Series B Preferred Stock, then also the Requisite Series B Preferred (as defined below)) elect otherwise by written notice sent to the Corporation at least 15 days prior to the effective date of any such event:</w:t>
      </w:r>
    </w:p>
    <w:p>
      <w:pPr>
        <w:spacing w:after="0" w:line="93" w:lineRule="exact"/>
        <w:rPr>
          <w:sz w:val="20"/>
          <w:szCs w:val="20"/>
          <w:color w:val="auto"/>
        </w:rPr>
      </w:pPr>
    </w:p>
    <w:p>
      <w:pPr>
        <w:ind w:left="2960" w:hanging="562"/>
        <w:spacing w:after="0"/>
        <w:tabs>
          <w:tab w:leader="none" w:pos="2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30" w:lineRule="exact"/>
        <w:rPr>
          <w:rFonts w:ascii="Arial" w:cs="Arial" w:eastAsia="Arial" w:hAnsi="Arial"/>
          <w:sz w:val="18"/>
          <w:szCs w:val="18"/>
          <w:color w:val="auto"/>
        </w:rPr>
      </w:pPr>
    </w:p>
    <w:p>
      <w:pPr>
        <w:ind w:left="3420" w:hanging="454"/>
        <w:spacing w:after="0"/>
        <w:tabs>
          <w:tab w:leader="none" w:pos="34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130" w:lineRule="exact"/>
        <w:rPr>
          <w:rFonts w:ascii="Arial" w:cs="Arial" w:eastAsia="Arial" w:hAnsi="Arial"/>
          <w:sz w:val="18"/>
          <w:szCs w:val="18"/>
          <w:color w:val="auto"/>
        </w:rPr>
      </w:pPr>
    </w:p>
    <w:p>
      <w:pPr>
        <w:ind w:left="3420" w:right="420" w:hanging="454"/>
        <w:spacing w:after="0" w:line="277" w:lineRule="auto"/>
        <w:tabs>
          <w:tab w:leader="none" w:pos="34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 subsidiary of the Corporation is a constituent party and the Corporation issues shares of its capital stock pursuant to such merger or consolidation,</w:t>
      </w:r>
    </w:p>
    <w:p>
      <w:pPr>
        <w:spacing w:after="0" w:line="17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w:t>
      </w:r>
    </w:p>
    <w:p>
      <w:pPr>
        <w:ind w:right="380" w:firstLine="8"/>
        <w:spacing w:after="0" w:line="261" w:lineRule="auto"/>
        <w:tabs>
          <w:tab w:leader="none" w:pos="2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the surviving or resulting corporation is a wholly owned subsidiary of another corporation immediately following such merger or consolidation, the parent corporation of such surviving or resulting corporation;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44" w:name="page245"/>
    <w:bookmarkEnd w:id="244"/>
    <w:p>
      <w:pPr>
        <w:ind w:right="20" w:firstLine="2404"/>
        <w:spacing w:after="0" w:line="257" w:lineRule="auto"/>
        <w:tabs>
          <w:tab w:leader="none" w:pos="2651"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84"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For purposes of this Certificate of Incorporation, any actions requiring the approval or consent of the “</w:t>
      </w:r>
      <w:r>
        <w:rPr>
          <w:rFonts w:ascii="Arial" w:cs="Arial" w:eastAsia="Arial" w:hAnsi="Arial"/>
          <w:sz w:val="18"/>
          <w:szCs w:val="18"/>
          <w:b w:val="1"/>
          <w:bCs w:val="1"/>
          <w:color w:val="auto"/>
        </w:rPr>
        <w:t>Requisite Preferred Holders</w:t>
      </w:r>
      <w:r>
        <w:rPr>
          <w:rFonts w:ascii="Arial" w:cs="Arial" w:eastAsia="Arial" w:hAnsi="Arial"/>
          <w:sz w:val="18"/>
          <w:szCs w:val="18"/>
          <w:color w:val="auto"/>
        </w:rPr>
        <w:t>” shall require the affirmative written consent or vote of the holders of at least 66.67% of the then outstanding shares of Preferred Stock, voting as a single class on an as-converted basis.</w:t>
      </w:r>
    </w:p>
    <w:p>
      <w:pPr>
        <w:spacing w:after="0" w:line="7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117" w:lineRule="exact"/>
        <w:rPr>
          <w:sz w:val="20"/>
          <w:szCs w:val="20"/>
          <w:color w:val="auto"/>
        </w:rPr>
      </w:pPr>
    </w:p>
    <w:p>
      <w:pPr>
        <w:ind w:right="400" w:firstLine="2404"/>
        <w:spacing w:after="0" w:line="312" w:lineRule="auto"/>
        <w:tabs>
          <w:tab w:leader="none" w:pos="2641" w:val="left"/>
        </w:tabs>
        <w:numPr>
          <w:ilvl w:val="1"/>
          <w:numId w:val="132"/>
        </w:numPr>
        <w:rPr>
          <w:rFonts w:ascii="Arial" w:cs="Arial" w:eastAsia="Arial" w:hAnsi="Arial"/>
          <w:sz w:val="16"/>
          <w:szCs w:val="16"/>
          <w:color w:val="auto"/>
        </w:rPr>
      </w:pPr>
      <w:r>
        <w:rPr>
          <w:rFonts w:ascii="Arial" w:cs="Arial" w:eastAsia="Arial" w:hAnsi="Arial"/>
          <w:sz w:val="16"/>
          <w:szCs w:val="16"/>
          <w:color w:val="auto"/>
        </w:rPr>
        <w:t xml:space="preserve">The Corporation shall not have the power to effect a Deemed Liquidation Event referred to in </w:t>
      </w:r>
      <w:r>
        <w:rPr>
          <w:rFonts w:ascii="Arial" w:cs="Arial" w:eastAsia="Arial" w:hAnsi="Arial"/>
          <w:sz w:val="16"/>
          <w:szCs w:val="16"/>
          <w:u w:val="single" w:color="auto"/>
          <w:color w:val="auto"/>
        </w:rPr>
        <w:t>Subsection 2.4.1(a)(i)</w:t>
      </w:r>
      <w:r>
        <w:rPr>
          <w:rFonts w:ascii="Arial" w:cs="Arial" w:eastAsia="Arial" w:hAnsi="Arial"/>
          <w:sz w:val="16"/>
          <w:szCs w:val="16"/>
          <w:color w:val="auto"/>
        </w:rPr>
        <w:t xml:space="preserve"> unless the agreement or plan of merger or consolidation for such transaction (the “</w:t>
      </w:r>
      <w:r>
        <w:rPr>
          <w:rFonts w:ascii="Arial" w:cs="Arial" w:eastAsia="Arial" w:hAnsi="Arial"/>
          <w:sz w:val="16"/>
          <w:szCs w:val="16"/>
          <w:b w:val="1"/>
          <w:bCs w:val="1"/>
          <w:color w:val="auto"/>
        </w:rPr>
        <w:t>Merger Agreement</w:t>
      </w:r>
      <w:r>
        <w:rPr>
          <w:rFonts w:ascii="Arial" w:cs="Arial" w:eastAsia="Arial" w:hAnsi="Arial"/>
          <w:sz w:val="16"/>
          <w:szCs w:val="16"/>
          <w:color w:val="auto"/>
        </w:rPr>
        <w:t xml:space="preserve">”) provides that the consideration payable to the stockholders of the Corporation shall be allocated among the holders of capital stock of the Corporation in accordance with </w:t>
      </w:r>
      <w:r>
        <w:rPr>
          <w:rFonts w:ascii="Arial" w:cs="Arial" w:eastAsia="Arial" w:hAnsi="Arial"/>
          <w:sz w:val="16"/>
          <w:szCs w:val="16"/>
          <w:u w:val="single" w:color="auto"/>
          <w:color w:val="auto"/>
        </w:rPr>
        <w:t>Subsections 2.1, 2.2 and 2.3</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firstLine="2404"/>
        <w:spacing w:after="0" w:line="283" w:lineRule="auto"/>
        <w:tabs>
          <w:tab w:leader="none" w:pos="2651" w:val="left"/>
        </w:tabs>
        <w:numPr>
          <w:ilvl w:val="1"/>
          <w:numId w:val="132"/>
        </w:numPr>
        <w:rPr>
          <w:rFonts w:ascii="Arial" w:cs="Arial" w:eastAsia="Arial" w:hAnsi="Arial"/>
          <w:sz w:val="16"/>
          <w:szCs w:val="16"/>
          <w:color w:val="auto"/>
        </w:rPr>
      </w:pPr>
      <w:r>
        <w:rPr>
          <w:rFonts w:ascii="Arial" w:cs="Arial" w:eastAsia="Arial" w:hAnsi="Arial"/>
          <w:sz w:val="16"/>
          <w:szCs w:val="16"/>
          <w:color w:val="auto"/>
        </w:rPr>
        <w:t xml:space="preserve">In the event of a Deemed Liquidation Event referred to in </w:t>
      </w:r>
      <w:r>
        <w:rPr>
          <w:rFonts w:ascii="Arial" w:cs="Arial" w:eastAsia="Arial" w:hAnsi="Arial"/>
          <w:sz w:val="16"/>
          <w:szCs w:val="16"/>
          <w:u w:val="single" w:color="auto"/>
          <w:color w:val="auto"/>
        </w:rPr>
        <w:t>Subsection 2.4.1(a)(ii)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2.4.1(b)</w:t>
      </w:r>
      <w:r>
        <w:rPr>
          <w:rFonts w:ascii="Arial" w:cs="Arial" w:eastAsia="Arial" w:hAnsi="Arial"/>
          <w:sz w:val="16"/>
          <w:szCs w:val="16"/>
          <w:color w:val="auto"/>
        </w:rPr>
        <w:t>, if the Corporation does not effect a dissolution of the Corporation under the General Corporation Law within ninety (90) days after such Deemed Liquidation Event, then (i) the Corporation shall send a written notice (a “</w:t>
      </w:r>
      <w:r>
        <w:rPr>
          <w:rFonts w:ascii="Arial" w:cs="Arial" w:eastAsia="Arial" w:hAnsi="Arial"/>
          <w:sz w:val="16"/>
          <w:szCs w:val="16"/>
          <w:b w:val="1"/>
          <w:bCs w:val="1"/>
          <w:color w:val="auto"/>
        </w:rPr>
        <w:t>Liquidation Redemption Notice</w:t>
      </w:r>
      <w:r>
        <w:rPr>
          <w:rFonts w:ascii="Arial" w:cs="Arial" w:eastAsia="Arial" w:hAnsi="Arial"/>
          <w:sz w:val="16"/>
          <w:szCs w:val="16"/>
          <w:color w:val="auto"/>
        </w:rPr>
        <w:t>”) to each holder of Preferred Stock no later than the ninetieth (90</w:t>
      </w:r>
      <w:r>
        <w:rPr>
          <w:rFonts w:ascii="Arial" w:cs="Arial" w:eastAsia="Arial" w:hAnsi="Arial"/>
          <w:sz w:val="13"/>
          <w:szCs w:val="13"/>
          <w:color w:val="auto"/>
        </w:rPr>
        <w:t>th</w:t>
      </w:r>
      <w:r>
        <w:rPr>
          <w:rFonts w:ascii="Arial" w:cs="Arial" w:eastAsia="Arial" w:hAnsi="Arial"/>
          <w:sz w:val="16"/>
          <w:szCs w:val="16"/>
          <w:color w:val="auto"/>
        </w:rPr>
        <w:t>) day after the Deemed Liquidation Event (the “</w:t>
      </w:r>
      <w:r>
        <w:rPr>
          <w:rFonts w:ascii="Arial" w:cs="Arial" w:eastAsia="Arial" w:hAnsi="Arial"/>
          <w:sz w:val="16"/>
          <w:szCs w:val="16"/>
          <w:b w:val="1"/>
          <w:bCs w:val="1"/>
          <w:color w:val="auto"/>
        </w:rPr>
        <w:t>Redemption Deadline</w:t>
      </w:r>
      <w:r>
        <w:rPr>
          <w:rFonts w:ascii="Arial" w:cs="Arial" w:eastAsia="Arial" w:hAnsi="Arial"/>
          <w:sz w:val="16"/>
          <w:szCs w:val="16"/>
          <w:color w:val="auto"/>
        </w:rPr>
        <w:t>”) advising such holders of their right (and the requirements to be met to secure such right) pursuant to the terms of the following clause; (ii) to require the redemption of such shares of Preferred Stock, and (iii) if the Requisite Preferred Holders so request in a written instrument delivered to the Corporation not later than one hundred twenty (120) days after such Deemed Liquidation Event (the “</w:t>
      </w:r>
      <w:r>
        <w:rPr>
          <w:rFonts w:ascii="Arial" w:cs="Arial" w:eastAsia="Arial" w:hAnsi="Arial"/>
          <w:sz w:val="16"/>
          <w:szCs w:val="16"/>
          <w:b w:val="1"/>
          <w:bCs w:val="1"/>
          <w:color w:val="auto"/>
        </w:rPr>
        <w:t>Liquidation</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 Date</w:t>
      </w:r>
      <w:r>
        <w:rPr>
          <w:rFonts w:ascii="Arial" w:cs="Arial" w:eastAsia="Arial" w:hAnsi="Arial"/>
          <w:sz w:val="16"/>
          <w:szCs w:val="16"/>
          <w:color w:val="auto"/>
        </w:rPr>
        <w:t>”), the Corporation shall use the consideration received by the Corporation for such Deemed Liquidation Event (net of any retained</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associated with the assets sold or technology licensed, as determined in good faith by the Board of Directors)</w:t>
      </w:r>
      <w:r>
        <w:rPr>
          <w:rFonts w:ascii="Arial" w:cs="Arial" w:eastAsia="Arial" w:hAnsi="Arial"/>
          <w:sz w:val="16"/>
          <w:szCs w:val="16"/>
          <w:b w:val="1"/>
          <w:bCs w:val="1"/>
          <w:color w:val="auto"/>
        </w:rPr>
        <w:t>,</w:t>
      </w:r>
      <w:r>
        <w:rPr>
          <w:rFonts w:ascii="Arial" w:cs="Arial" w:eastAsia="Arial" w:hAnsi="Arial"/>
          <w:sz w:val="16"/>
          <w:szCs w:val="16"/>
          <w:color w:val="auto"/>
        </w:rPr>
        <w:t xml:space="preserve"> together with any other assets of the Corporation available for distribution to its stockholders, all to the extent permitted by Delaware law governing distributions to stockholders (the “</w:t>
      </w:r>
      <w:r>
        <w:rPr>
          <w:rFonts w:ascii="Arial" w:cs="Arial" w:eastAsia="Arial" w:hAnsi="Arial"/>
          <w:sz w:val="16"/>
          <w:szCs w:val="16"/>
          <w:b w:val="1"/>
          <w:bCs w:val="1"/>
          <w:color w:val="auto"/>
        </w:rPr>
        <w:t>Available</w:t>
      </w:r>
      <w:r>
        <w:rPr>
          <w:rFonts w:ascii="Arial" w:cs="Arial" w:eastAsia="Arial" w:hAnsi="Arial"/>
          <w:sz w:val="16"/>
          <w:szCs w:val="16"/>
          <w:color w:val="auto"/>
        </w:rPr>
        <w:t xml:space="preserve"> </w:t>
      </w:r>
      <w:r>
        <w:rPr>
          <w:rFonts w:ascii="Arial" w:cs="Arial" w:eastAsia="Arial" w:hAnsi="Arial"/>
          <w:sz w:val="16"/>
          <w:szCs w:val="16"/>
          <w:b w:val="1"/>
          <w:bCs w:val="1"/>
          <w:color w:val="auto"/>
        </w:rPr>
        <w:t>Proceeds</w:t>
      </w:r>
      <w:r>
        <w:rPr>
          <w:rFonts w:ascii="Arial" w:cs="Arial" w:eastAsia="Arial" w:hAnsi="Arial"/>
          <w:sz w:val="16"/>
          <w:szCs w:val="16"/>
          <w:color w:val="auto"/>
        </w:rPr>
        <w:t>”), on the one hundred fiftieth (150</w:t>
      </w:r>
      <w:r>
        <w:rPr>
          <w:rFonts w:ascii="Arial" w:cs="Arial" w:eastAsia="Arial" w:hAnsi="Arial"/>
          <w:sz w:val="13"/>
          <w:szCs w:val="13"/>
          <w:color w:val="auto"/>
        </w:rPr>
        <w:t>th</w:t>
      </w:r>
      <w:r>
        <w:rPr>
          <w:rFonts w:ascii="Arial" w:cs="Arial" w:eastAsia="Arial" w:hAnsi="Arial"/>
          <w:sz w:val="16"/>
          <w:szCs w:val="16"/>
          <w:color w:val="auto"/>
        </w:rPr>
        <w:t>) day after such Deemed Liquidation Event, to redeem all outstanding shares of (i) Series B Preferred Stock at a</w:t>
      </w:r>
      <w:r>
        <w:rPr>
          <w:rFonts w:ascii="Arial" w:cs="Arial" w:eastAsia="Arial" w:hAnsi="Arial"/>
          <w:sz w:val="16"/>
          <w:szCs w:val="16"/>
          <w:b w:val="1"/>
          <w:bCs w:val="1"/>
          <w:color w:val="auto"/>
        </w:rPr>
        <w:t xml:space="preserve"> </w:t>
      </w:r>
      <w:r>
        <w:rPr>
          <w:rFonts w:ascii="Arial" w:cs="Arial" w:eastAsia="Arial" w:hAnsi="Arial"/>
          <w:sz w:val="16"/>
          <w:szCs w:val="16"/>
          <w:color w:val="auto"/>
        </w:rPr>
        <w:t>price per share equal to the Series B Liquidation Amount, (ii) Series A Preferred Stock at a price per share equal to the Series A Liquidation Amount and</w:t>
      </w:r>
    </w:p>
    <w:p>
      <w:pPr>
        <w:spacing w:after="0" w:line="4" w:lineRule="exact"/>
        <w:rPr>
          <w:rFonts w:ascii="Arial" w:cs="Arial" w:eastAsia="Arial" w:hAnsi="Arial"/>
          <w:sz w:val="16"/>
          <w:szCs w:val="16"/>
          <w:color w:val="auto"/>
        </w:rPr>
      </w:pPr>
    </w:p>
    <w:p>
      <w:pPr>
        <w:ind w:right="360" w:firstLine="8"/>
        <w:spacing w:after="0" w:line="292" w:lineRule="auto"/>
        <w:tabs>
          <w:tab w:leader="none" w:pos="31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Series Seed Preferred Stock at a price per share equal to the Series Seed Liquidation Amount. Notwithstanding the foregoing, in the event of a redemption pursuant to the preceding sentence, if the Available Proceeds are not sufficient to redeem all outstanding shares of Preferred Stock, the Corporation shall ratably redeem each holder’s shares of Preferred Stock, in accordance with the priorities set forth in Sections 2.1 and 2.2, to the fullest extent of such Available Proceeds, and shall redeem the remaining shares as soon as it may lawfully do so under Delaware law governing distributions to stockholders. The provisions of Section 6 shall apply, with such necessary changes in the details thereof as are necessitated by the context, to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45" w:name="page246"/>
    <w:bookmarkEnd w:id="245"/>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redemption of the Preferred Stock pursuant to this Subsection 2.4.2. Prior to the distribution or redemption provided for in this </w:t>
      </w:r>
      <w:r>
        <w:rPr>
          <w:rFonts w:ascii="Arial" w:cs="Arial" w:eastAsia="Arial" w:hAnsi="Arial"/>
          <w:sz w:val="18"/>
          <w:szCs w:val="18"/>
          <w:u w:val="single" w:color="auto"/>
          <w:color w:val="auto"/>
        </w:rPr>
        <w:t>Subsection 2.4.2(b)</w:t>
      </w:r>
      <w:r>
        <w:rPr>
          <w:rFonts w:ascii="Arial" w:cs="Arial" w:eastAsia="Arial" w:hAnsi="Arial"/>
          <w:sz w:val="18"/>
          <w:szCs w:val="18"/>
          <w:color w:val="auto"/>
        </w:rPr>
        <w:t>, the Corporation shall not expend or dissipate the consideration received for such Deemed Liquidation Event, except to discharge expenses incurred in connection with such Deemed Liquidation Event.</w:t>
      </w:r>
    </w:p>
    <w:p>
      <w:pPr>
        <w:spacing w:after="0" w:line="73" w:lineRule="exact"/>
        <w:rPr>
          <w:sz w:val="20"/>
          <w:szCs w:val="20"/>
          <w:color w:val="auto"/>
        </w:rPr>
      </w:pPr>
    </w:p>
    <w:p>
      <w:pPr>
        <w:ind w:left="2640" w:hanging="236"/>
        <w:spacing w:after="0"/>
        <w:tabs>
          <w:tab w:leader="none" w:pos="2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Liquidation Redemption Notice shall state:</w:t>
      </w:r>
    </w:p>
    <w:p>
      <w:pPr>
        <w:spacing w:after="0" w:line="130" w:lineRule="exact"/>
        <w:rPr>
          <w:rFonts w:ascii="Arial" w:cs="Arial" w:eastAsia="Arial" w:hAnsi="Arial"/>
          <w:sz w:val="18"/>
          <w:szCs w:val="18"/>
          <w:color w:val="auto"/>
        </w:rPr>
      </w:pPr>
    </w:p>
    <w:p>
      <w:pPr>
        <w:ind w:left="3420" w:right="660" w:hanging="454"/>
        <w:spacing w:after="0" w:line="277" w:lineRule="auto"/>
        <w:tabs>
          <w:tab w:leader="none" w:pos="3420" w:val="left"/>
        </w:tabs>
        <w:numPr>
          <w:ilvl w:val="2"/>
          <w:numId w:val="134"/>
        </w:numPr>
        <w:rPr>
          <w:rFonts w:ascii="Arial" w:cs="Arial" w:eastAsia="Arial" w:hAnsi="Arial"/>
          <w:sz w:val="18"/>
          <w:szCs w:val="18"/>
          <w:color w:val="auto"/>
        </w:rPr>
      </w:pPr>
      <w:r>
        <w:rPr>
          <w:rFonts w:ascii="Arial" w:cs="Arial" w:eastAsia="Arial" w:hAnsi="Arial"/>
          <w:sz w:val="18"/>
          <w:szCs w:val="18"/>
          <w:color w:val="auto"/>
        </w:rPr>
        <w:t>The number of shares of Preferred Stock that the Corporation may be obligated to redeem pursuant to Subsection 2.4.2(b);</w:t>
      </w:r>
    </w:p>
    <w:p>
      <w:pPr>
        <w:spacing w:after="0" w:line="75" w:lineRule="exact"/>
        <w:rPr>
          <w:rFonts w:ascii="Arial" w:cs="Arial" w:eastAsia="Arial" w:hAnsi="Arial"/>
          <w:sz w:val="18"/>
          <w:szCs w:val="18"/>
          <w:color w:val="auto"/>
        </w:rPr>
      </w:pPr>
    </w:p>
    <w:p>
      <w:pPr>
        <w:ind w:left="3420" w:hanging="562"/>
        <w:spacing w:after="0"/>
        <w:tabs>
          <w:tab w:leader="none" w:pos="34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Redemption Deadline and the Liquidation Redemption Date;</w:t>
      </w:r>
    </w:p>
    <w:p>
      <w:pPr>
        <w:spacing w:after="0" w:line="130" w:lineRule="exact"/>
        <w:rPr>
          <w:rFonts w:ascii="Arial" w:cs="Arial" w:eastAsia="Arial" w:hAnsi="Arial"/>
          <w:sz w:val="18"/>
          <w:szCs w:val="18"/>
          <w:color w:val="auto"/>
        </w:rPr>
      </w:pPr>
    </w:p>
    <w:p>
      <w:pPr>
        <w:ind w:left="3420" w:hanging="562"/>
        <w:spacing w:after="0" w:line="277" w:lineRule="auto"/>
        <w:tabs>
          <w:tab w:leader="none" w:pos="34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Series B Liquidation Amount, the Series A Liquidation Amount and the Series Seed Liquidation Amount; and</w:t>
      </w:r>
    </w:p>
    <w:p>
      <w:pPr>
        <w:spacing w:after="0" w:line="75" w:lineRule="exact"/>
        <w:rPr>
          <w:rFonts w:ascii="Arial" w:cs="Arial" w:eastAsia="Arial" w:hAnsi="Arial"/>
          <w:sz w:val="18"/>
          <w:szCs w:val="18"/>
          <w:color w:val="auto"/>
        </w:rPr>
      </w:pPr>
    </w:p>
    <w:p>
      <w:pPr>
        <w:ind w:left="3420" w:right="840" w:hanging="562"/>
        <w:spacing w:after="0" w:line="277" w:lineRule="auto"/>
        <w:tabs>
          <w:tab w:leader="none" w:pos="34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manner and place designated for the holder to surrender his, her or its certificate or certificates representing the shares of Preferred Stock.</w:t>
      </w:r>
    </w:p>
    <w:p>
      <w:pPr>
        <w:spacing w:after="0" w:line="62" w:lineRule="exact"/>
        <w:rPr>
          <w:sz w:val="20"/>
          <w:szCs w:val="20"/>
          <w:color w:val="auto"/>
        </w:rPr>
      </w:pPr>
    </w:p>
    <w:p>
      <w:pPr>
        <w:ind w:right="220" w:firstLine="1940"/>
        <w:spacing w:after="0" w:line="302" w:lineRule="auto"/>
        <w:rPr>
          <w:sz w:val="20"/>
          <w:szCs w:val="20"/>
          <w:color w:val="auto"/>
        </w:rPr>
      </w:pPr>
      <w:r>
        <w:rPr>
          <w:rFonts w:ascii="Arial" w:cs="Arial" w:eastAsia="Arial" w:hAnsi="Arial"/>
          <w:sz w:val="16"/>
          <w:szCs w:val="16"/>
          <w:color w:val="auto"/>
        </w:rPr>
        <w:t xml:space="preserve">2.4.3 </w:t>
      </w:r>
      <w:r>
        <w:rPr>
          <w:rFonts w:ascii="Arial" w:cs="Arial" w:eastAsia="Arial" w:hAnsi="Arial"/>
          <w:sz w:val="16"/>
          <w:szCs w:val="16"/>
          <w:u w:val="single" w:color="auto"/>
          <w:color w:val="auto"/>
        </w:rPr>
        <w:t>Amount Deemed Paid or Distributed</w:t>
      </w:r>
      <w:r>
        <w:rPr>
          <w:rFonts w:ascii="Arial" w:cs="Arial" w:eastAsia="Arial" w:hAnsi="Arial"/>
          <w:sz w:val="16"/>
          <w:szCs w:val="16"/>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 of Directors (including a majority of the Preferred Directors (as defined below)).</w:t>
      </w:r>
    </w:p>
    <w:p>
      <w:pPr>
        <w:spacing w:after="0" w:line="46"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 xml:space="preserve">2.4.4 </w:t>
      </w:r>
      <w:r>
        <w:rPr>
          <w:rFonts w:ascii="Arial" w:cs="Arial" w:eastAsia="Arial" w:hAnsi="Arial"/>
          <w:sz w:val="17"/>
          <w:szCs w:val="17"/>
          <w:u w:val="single" w:color="auto"/>
          <w:color w:val="auto"/>
        </w:rPr>
        <w:t>Allocation of Escrow and Contingent Consideration</w:t>
      </w:r>
      <w:r>
        <w:rPr>
          <w:rFonts w:ascii="Arial" w:cs="Arial" w:eastAsia="Arial" w:hAnsi="Arial"/>
          <w:sz w:val="17"/>
          <w:szCs w:val="17"/>
          <w:color w:val="auto"/>
        </w:rPr>
        <w:t xml:space="preserve">. In the event of a Deemed Liquidation Event pursuant to </w:t>
      </w:r>
      <w:r>
        <w:rPr>
          <w:rFonts w:ascii="Arial" w:cs="Arial" w:eastAsia="Arial" w:hAnsi="Arial"/>
          <w:sz w:val="17"/>
          <w:szCs w:val="17"/>
          <w:u w:val="single" w:color="auto"/>
          <w:color w:val="auto"/>
        </w:rPr>
        <w:t>Subsection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2.4.1(a)(i)</w:t>
      </w:r>
      <w:r>
        <w:rPr>
          <w:rFonts w:ascii="Arial" w:cs="Arial" w:eastAsia="Arial" w:hAnsi="Arial"/>
          <w:sz w:val="17"/>
          <w:szCs w:val="17"/>
          <w:color w:val="auto"/>
        </w:rPr>
        <w:t>, if any portion of the consideration payable to the stockholders of the Corporation is payable only upon satisfaction of contingencies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Consideration</w:t>
      </w:r>
      <w:r>
        <w:rPr>
          <w:rFonts w:ascii="Arial" w:cs="Arial" w:eastAsia="Arial" w:hAnsi="Arial"/>
          <w:sz w:val="17"/>
          <w:szCs w:val="17"/>
          <w:color w:val="auto"/>
        </w:rPr>
        <w:t>”), the Merger Agreement shall provide that (a) the portion of such consideration that is not Additional Consideration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portion,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xml:space="preserve">”) shall be allocated among the holders of capital stock of the Corporation in accordance with </w:t>
      </w:r>
      <w:r>
        <w:rPr>
          <w:rFonts w:ascii="Arial" w:cs="Arial" w:eastAsia="Arial" w:hAnsi="Arial"/>
          <w:sz w:val="16"/>
          <w:szCs w:val="16"/>
          <w:u w:val="single" w:color="auto"/>
          <w:color w:val="auto"/>
        </w:rPr>
        <w:t>Subsections 2.1, 2.2 and 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if the Initial Consideration were the only consideration payable in connection with such Deemed Liquidation Event; and (b) any Additional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becomes payable to the stockholders of the Corporation upon satisfaction of such contingencies shall be allocated among the holders of capital stock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Corporation in accordance with </w:t>
      </w:r>
      <w:r>
        <w:rPr>
          <w:rFonts w:ascii="Arial" w:cs="Arial" w:eastAsia="Arial" w:hAnsi="Arial"/>
          <w:sz w:val="16"/>
          <w:szCs w:val="16"/>
          <w:u w:val="single" w:color="auto"/>
          <w:color w:val="auto"/>
        </w:rPr>
        <w:t>Subsections 2.1, 2.2 and 2.3</w:t>
      </w:r>
      <w:r>
        <w:rPr>
          <w:rFonts w:ascii="Arial" w:cs="Arial" w:eastAsia="Arial" w:hAnsi="Arial"/>
          <w:sz w:val="16"/>
          <w:szCs w:val="16"/>
          <w:color w:val="auto"/>
        </w:rPr>
        <w:t xml:space="preserve"> after taking into account the previous payment of the Initial Consideration as part of the same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transaction. For the purposes of this </w:t>
      </w:r>
      <w:r>
        <w:rPr>
          <w:rFonts w:ascii="Arial" w:cs="Arial" w:eastAsia="Arial" w:hAnsi="Arial"/>
          <w:sz w:val="17"/>
          <w:szCs w:val="17"/>
          <w:u w:val="single" w:color="auto"/>
          <w:color w:val="auto"/>
        </w:rPr>
        <w:t>Subsection 2.4.4</w:t>
      </w:r>
      <w:r>
        <w:rPr>
          <w:rFonts w:ascii="Arial" w:cs="Arial" w:eastAsia="Arial" w:hAnsi="Arial"/>
          <w:sz w:val="17"/>
          <w:szCs w:val="17"/>
          <w:color w:val="auto"/>
        </w:rPr>
        <w:t>, consideration placed into escrow or retained as holdback to be available for satisfaction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 or similar obligations in connection with such Deemed Liquidation Event shall be deemed to be Additional Consideration.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246" w:name="page247"/>
    <w:bookmarkEnd w:id="246"/>
    <w:p>
      <w:pPr>
        <w:ind w:left="1100" w:hanging="179"/>
        <w:spacing w:after="0"/>
        <w:tabs>
          <w:tab w:leader="none" w:pos="11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Voting</w:t>
      </w:r>
      <w:r>
        <w:rPr>
          <w:rFonts w:ascii="Arial" w:cs="Arial" w:eastAsia="Arial" w:hAnsi="Arial"/>
          <w:sz w:val="18"/>
          <w:szCs w:val="18"/>
          <w:color w:val="auto"/>
        </w:rPr>
        <w:t>.</w:t>
      </w:r>
    </w:p>
    <w:p>
      <w:pPr>
        <w:spacing w:after="0" w:line="117" w:lineRule="exact"/>
        <w:rPr>
          <w:sz w:val="20"/>
          <w:szCs w:val="20"/>
          <w:color w:val="auto"/>
        </w:rPr>
      </w:pPr>
    </w:p>
    <w:p>
      <w:pPr>
        <w:ind w:right="180" w:firstLine="1484"/>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explicitly provided by the other provisions of the Certificate of Incorporation, holders of Preferred Stock, to the maximum extent permitted by the General Corporation Law, shall vote together with the holders of Common Stock as a single class.</w:t>
      </w:r>
    </w:p>
    <w:p>
      <w:pPr>
        <w:spacing w:after="0" w:line="85" w:lineRule="exact"/>
        <w:rPr>
          <w:sz w:val="20"/>
          <w:szCs w:val="20"/>
          <w:color w:val="auto"/>
        </w:rPr>
      </w:pPr>
    </w:p>
    <w:p>
      <w:pPr>
        <w:ind w:right="60" w:firstLine="1484"/>
        <w:spacing w:after="0" w:line="285"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 of Directors</w:t>
      </w:r>
      <w:r>
        <w:rPr>
          <w:rFonts w:ascii="Arial" w:cs="Arial" w:eastAsia="Arial" w:hAnsi="Arial"/>
          <w:sz w:val="16"/>
          <w:szCs w:val="16"/>
          <w:color w:val="auto"/>
        </w:rPr>
        <w:t>. The holders of record of the shares of Preferred Stock exclusively and as a separate class, shall be entitled to elect three (3) directors of the Corporation (the “</w:t>
      </w:r>
      <w:r>
        <w:rPr>
          <w:rFonts w:ascii="Arial" w:cs="Arial" w:eastAsia="Arial" w:hAnsi="Arial"/>
          <w:sz w:val="16"/>
          <w:szCs w:val="16"/>
          <w:b w:val="1"/>
          <w:bCs w:val="1"/>
          <w:color w:val="auto"/>
        </w:rPr>
        <w:t>Preferred Directors</w:t>
      </w:r>
      <w:r>
        <w:rPr>
          <w:rFonts w:ascii="Arial" w:cs="Arial" w:eastAsia="Arial" w:hAnsi="Arial"/>
          <w:sz w:val="16"/>
          <w:szCs w:val="16"/>
          <w:color w:val="auto"/>
        </w:rPr>
        <w:t xml:space="preserve">”) and the holders of record of the shares of Common Stock, exclusively and as a separate class, shall be entitled to elect two (2) directors of the Corporation.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then any directorship not so filled shall remain vacant until such time as the holders of the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Series B Preferred Stock, Series A Preferred Stock and Series Seed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6"/>
          <w:szCs w:val="16"/>
          <w:u w:val="single" w:color="auto"/>
          <w:color w:val="auto"/>
        </w:rPr>
        <w:t>Subsection 3.2</w:t>
      </w:r>
      <w:r>
        <w:rPr>
          <w:rFonts w:ascii="Arial" w:cs="Arial" w:eastAsia="Arial" w:hAnsi="Arial"/>
          <w:sz w:val="16"/>
          <w:szCs w:val="16"/>
          <w:color w:val="auto"/>
        </w:rPr>
        <w:t>.</w:t>
      </w:r>
    </w:p>
    <w:p>
      <w:pPr>
        <w:spacing w:after="0" w:line="70" w:lineRule="exact"/>
        <w:rPr>
          <w:sz w:val="20"/>
          <w:szCs w:val="20"/>
          <w:color w:val="auto"/>
        </w:rPr>
      </w:pPr>
    </w:p>
    <w:p>
      <w:pPr>
        <w:ind w:firstLine="1484"/>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Preferred Stock Protective Provisions</w:t>
      </w:r>
      <w:r>
        <w:rPr>
          <w:rFonts w:ascii="Arial" w:cs="Arial" w:eastAsia="Arial" w:hAnsi="Arial"/>
          <w:sz w:val="18"/>
          <w:szCs w:val="18"/>
          <w:color w:val="auto"/>
        </w:rPr>
        <w:t xml:space="preserve">. At any time when any shares of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Requisite Preferred Holders,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of no force or effect: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47" w:name="page248"/>
    <w:bookmarkEnd w:id="247"/>
    <w:p>
      <w:pPr>
        <w:ind w:left="19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3.3.1 liquidate, dissolve or wind-up the affairs of the Corporation, or effect any merger or consolidation or any other Deemed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Liquidation Event;</w:t>
      </w:r>
    </w:p>
    <w:p>
      <w:pPr>
        <w:spacing w:after="0" w:line="10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3.3.2 amend, alter, or repeal any provision of the Certificate of Incorporation or the Corporation’s Bylaws;</w:t>
      </w:r>
    </w:p>
    <w:p>
      <w:pPr>
        <w:spacing w:after="0" w:line="117" w:lineRule="exact"/>
        <w:rPr>
          <w:sz w:val="20"/>
          <w:szCs w:val="20"/>
          <w:color w:val="auto"/>
        </w:rPr>
      </w:pPr>
    </w:p>
    <w:p>
      <w:pPr>
        <w:ind w:right="100" w:firstLine="1940"/>
        <w:spacing w:after="0" w:line="286" w:lineRule="auto"/>
        <w:rPr>
          <w:sz w:val="20"/>
          <w:szCs w:val="20"/>
          <w:color w:val="auto"/>
        </w:rPr>
      </w:pPr>
      <w:r>
        <w:rPr>
          <w:rFonts w:ascii="Arial" w:cs="Arial" w:eastAsia="Arial" w:hAnsi="Arial"/>
          <w:sz w:val="17"/>
          <w:szCs w:val="17"/>
          <w:color w:val="auto"/>
        </w:rPr>
        <w:t>3.3.3 create or authorize the creation of or issue any other security convertible into or exercisable for any equity security, having rights, preferences or privileges senior to or on parity with the Series B Preferred Stock or the Series A Preferred Stock, or increase the authorized number of shares of Preferred Stock, Series B Preferred Stock, Series A Preferred Stock or Series Seed Preferred Stock;</w:t>
      </w:r>
    </w:p>
    <w:p>
      <w:pPr>
        <w:spacing w:after="0" w:line="57" w:lineRule="exact"/>
        <w:rPr>
          <w:sz w:val="20"/>
          <w:szCs w:val="20"/>
          <w:color w:val="auto"/>
        </w:rPr>
      </w:pPr>
    </w:p>
    <w:p>
      <w:pPr>
        <w:ind w:firstLine="1940"/>
        <w:spacing w:after="0" w:line="259" w:lineRule="auto"/>
        <w:rPr>
          <w:sz w:val="20"/>
          <w:szCs w:val="20"/>
          <w:color w:val="auto"/>
        </w:rPr>
      </w:pPr>
      <w:r>
        <w:rPr>
          <w:rFonts w:ascii="Arial" w:cs="Arial" w:eastAsia="Arial" w:hAnsi="Arial"/>
          <w:sz w:val="18"/>
          <w:szCs w:val="18"/>
          <w:color w:val="auto"/>
        </w:rPr>
        <w:t>3.3.4 reclassify, alter or amend any existing security of the Corporation that is junior to the Series B Preferred Stock or the Series A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either the Series B Preferred Stock or the Series A Preferred Stock in respect of any such right, preference or privilege;</w:t>
      </w:r>
    </w:p>
    <w:p>
      <w:pPr>
        <w:spacing w:after="0" w:line="79" w:lineRule="exact"/>
        <w:rPr>
          <w:sz w:val="20"/>
          <w:szCs w:val="20"/>
          <w:color w:val="auto"/>
        </w:rPr>
      </w:pPr>
    </w:p>
    <w:p>
      <w:pPr>
        <w:ind w:right="300" w:firstLine="1940"/>
        <w:spacing w:after="0" w:line="302" w:lineRule="auto"/>
        <w:rPr>
          <w:sz w:val="20"/>
          <w:szCs w:val="20"/>
          <w:color w:val="auto"/>
        </w:rPr>
      </w:pPr>
      <w:r>
        <w:rPr>
          <w:rFonts w:ascii="Arial" w:cs="Arial" w:eastAsia="Arial" w:hAnsi="Arial"/>
          <w:sz w:val="16"/>
          <w:szCs w:val="16"/>
          <w:color w:val="auto"/>
        </w:rPr>
        <w:t>3.3.5 purchase or redeem (or permit any subsidiary to purchase or redeem) or pay any dividend on any capital stock prior to the Series B Preferred Stock or the Series A Preferred Stock, other than (i) redemptions of or dividends or distributions on Preferred Stock as expressly authorized herein, and (ii) stock repurchased from former employees or consultants in connection with the cessation of their employment/services, at the lower of fair market value or cost, as approved by the Board of Directors (including a majority of the Preferred Directors);</w:t>
      </w:r>
    </w:p>
    <w:p>
      <w:pPr>
        <w:spacing w:after="0" w:line="4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3.3.6 create or authorize the creation of any debt security (x) other than equipment leases in the ordinary course of business or</w:t>
      </w:r>
    </w:p>
    <w:p>
      <w:pPr>
        <w:spacing w:after="0" w:line="46" w:lineRule="exact"/>
        <w:rPr>
          <w:sz w:val="20"/>
          <w:szCs w:val="20"/>
          <w:color w:val="auto"/>
        </w:rPr>
      </w:pPr>
    </w:p>
    <w:p>
      <w:pPr>
        <w:ind w:right="260" w:firstLine="8"/>
        <w:spacing w:after="0" w:line="261" w:lineRule="auto"/>
        <w:tabs>
          <w:tab w:leader="none" w:pos="2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indebtedness for borrowed money not to exceed $200,000 in original principal amount, in each case as approved by the Board of Directors (including a majority of the Preferred Directors);</w:t>
      </w:r>
    </w:p>
    <w:p>
      <w:pPr>
        <w:spacing w:after="0" w:line="76" w:lineRule="exact"/>
        <w:rPr>
          <w:sz w:val="20"/>
          <w:szCs w:val="20"/>
          <w:color w:val="auto"/>
        </w:rPr>
      </w:pPr>
    </w:p>
    <w:p>
      <w:pPr>
        <w:jc w:val="both"/>
        <w:ind w:right="500" w:firstLine="1940"/>
        <w:spacing w:after="0" w:line="259" w:lineRule="auto"/>
        <w:rPr>
          <w:sz w:val="20"/>
          <w:szCs w:val="20"/>
          <w:color w:val="auto"/>
        </w:rPr>
      </w:pPr>
      <w:r>
        <w:rPr>
          <w:rFonts w:ascii="Arial" w:cs="Arial" w:eastAsia="Arial" w:hAnsi="Arial"/>
          <w:sz w:val="18"/>
          <w:szCs w:val="18"/>
          <w:color w:val="auto"/>
        </w:rPr>
        <w:t>3.3.7 create or hold capital stock in any subsidiary (other than a wholly-owned subsidiary; provided that such wholly-owned subsidiary (including any in existence on the Series B Original Issue Date (as defined below) has the same board of directors as the Corporation, unless approved by the Board of Directors (including a majority of the Preferred Directors)) or dispose of any subsidiary stock or all or substantially all of any subsidiary assets;</w:t>
      </w:r>
    </w:p>
    <w:p>
      <w:pPr>
        <w:spacing w:after="0" w:line="7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3.3.8 increase or decrease the size of the Board of Directors; or</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3.3.9 grant or create any lien on or security interests in any of the assets of the Corporation or any subsidiary.</w:t>
      </w:r>
    </w:p>
    <w:p>
      <w:pPr>
        <w:spacing w:after="0" w:line="117" w:lineRule="exact"/>
        <w:rPr>
          <w:sz w:val="20"/>
          <w:szCs w:val="20"/>
          <w:color w:val="auto"/>
        </w:rPr>
      </w:pPr>
    </w:p>
    <w:p>
      <w:pPr>
        <w:ind w:right="20" w:firstLine="1484"/>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Series B Preferred Stock Protective Provisions</w:t>
      </w:r>
      <w:r>
        <w:rPr>
          <w:rFonts w:ascii="Arial" w:cs="Arial" w:eastAsia="Arial" w:hAnsi="Arial"/>
          <w:sz w:val="18"/>
          <w:szCs w:val="18"/>
          <w:color w:val="auto"/>
        </w:rPr>
        <w:t>. At any time when any shares of Series B Preferred Stock are outstanding, the Corporation shall not, either directly or indirectly by amendment, merger, consolidation or otherwise, without (in addition to any other vote required by law or the Certificate of Incorporation) the written consent or affirmative vote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48" w:name="page249"/>
    <w:bookmarkEnd w:id="248"/>
    <w:p>
      <w:pPr>
        <w:ind w:right="2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holders of a majority of the then outstanding shares of Series B Preferred Stock (the “</w:t>
      </w:r>
      <w:r>
        <w:rPr>
          <w:rFonts w:ascii="Arial" w:cs="Arial" w:eastAsia="Arial" w:hAnsi="Arial"/>
          <w:sz w:val="18"/>
          <w:szCs w:val="18"/>
          <w:b w:val="1"/>
          <w:bCs w:val="1"/>
          <w:color w:val="auto"/>
        </w:rPr>
        <w:t>Requisite Series B Preferred</w:t>
      </w:r>
      <w:r>
        <w:rPr>
          <w:rFonts w:ascii="Arial" w:cs="Arial" w:eastAsia="Arial" w:hAnsi="Arial"/>
          <w:sz w:val="18"/>
          <w:szCs w:val="18"/>
          <w:color w:val="auto"/>
        </w:rPr>
        <w:t xml:space="preserve">”),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of no force or effect:</w:t>
      </w:r>
    </w:p>
    <w:p>
      <w:pPr>
        <w:spacing w:after="0" w:line="72" w:lineRule="exact"/>
        <w:rPr>
          <w:sz w:val="20"/>
          <w:szCs w:val="20"/>
          <w:color w:val="auto"/>
        </w:rPr>
      </w:pPr>
    </w:p>
    <w:p>
      <w:pPr>
        <w:ind w:right="620" w:firstLine="1940"/>
        <w:spacing w:after="0" w:line="277" w:lineRule="auto"/>
        <w:rPr>
          <w:sz w:val="20"/>
          <w:szCs w:val="20"/>
          <w:color w:val="auto"/>
        </w:rPr>
      </w:pPr>
      <w:r>
        <w:rPr>
          <w:rFonts w:ascii="Arial" w:cs="Arial" w:eastAsia="Arial" w:hAnsi="Arial"/>
          <w:sz w:val="18"/>
          <w:szCs w:val="18"/>
          <w:color w:val="auto"/>
        </w:rPr>
        <w:t>3.4.1 waive, amend or alter the rights, preferences or privileges of the Series B Preferred Stock adversely in a different and disproportionate manner than any other series of the Preferred Stock;</w:t>
      </w:r>
    </w:p>
    <w:p>
      <w:pPr>
        <w:spacing w:after="0" w:line="62" w:lineRule="exact"/>
        <w:rPr>
          <w:sz w:val="20"/>
          <w:szCs w:val="20"/>
          <w:color w:val="auto"/>
        </w:rPr>
      </w:pPr>
    </w:p>
    <w:p>
      <w:pPr>
        <w:ind w:right="100" w:firstLine="1940"/>
        <w:spacing w:after="0" w:line="264" w:lineRule="auto"/>
        <w:rPr>
          <w:sz w:val="20"/>
          <w:szCs w:val="20"/>
          <w:color w:val="auto"/>
        </w:rPr>
      </w:pPr>
      <w:r>
        <w:rPr>
          <w:rFonts w:ascii="Arial" w:cs="Arial" w:eastAsia="Arial" w:hAnsi="Arial"/>
          <w:sz w:val="18"/>
          <w:szCs w:val="18"/>
          <w:color w:val="auto"/>
        </w:rPr>
        <w:t>3.4.2 waive, amend, alter or repeal any provision of the Certificate of Incorporation or Bylaws of the Corporation in a manner that adversely affects the powers, preferences or rights of the Series B Preferred Stock in a different and disproportionate manner than any other series of Preferred Stock;</w:t>
      </w:r>
    </w:p>
    <w:p>
      <w:pPr>
        <w:spacing w:after="0" w:line="73"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3.4.3 amend, waive, alter or repeal the definition of Requisite Series B Preferred or the use thereof in Section 2.4.1, Section 4.4.2,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5.1.1 or Section 8;</w:t>
      </w:r>
    </w:p>
    <w:p>
      <w:pPr>
        <w:spacing w:after="0" w:line="103" w:lineRule="exact"/>
        <w:rPr>
          <w:sz w:val="20"/>
          <w:szCs w:val="20"/>
          <w:color w:val="auto"/>
        </w:rPr>
      </w:pPr>
    </w:p>
    <w:p>
      <w:pPr>
        <w:ind w:right="60" w:firstLine="1940"/>
        <w:spacing w:after="0" w:line="297" w:lineRule="auto"/>
        <w:rPr>
          <w:sz w:val="20"/>
          <w:szCs w:val="20"/>
          <w:color w:val="auto"/>
        </w:rPr>
      </w:pPr>
      <w:r>
        <w:rPr>
          <w:rFonts w:ascii="Arial" w:cs="Arial" w:eastAsia="Arial" w:hAnsi="Arial"/>
          <w:sz w:val="16"/>
          <w:szCs w:val="16"/>
          <w:color w:val="auto"/>
        </w:rPr>
        <w:t>3.4.4 waive, amend, alter or repeal (a) the Series B Original Issue Price, the Conversion Price (to the extent such action would reduce the rights, privileges and protections applicable to the Series B Preferred Stock) or the Series B Liquidation Amount, provided that no consent shall be required for (x) any alteration of the Conversion Price that results from the automatic operation of the provisions of Section 4 hereof and (y) any alteration of the Series B Original Issue Price that results from the automatic operation of the provisions of Section 1 hereof; or (b) Section 5.1 to the extent such action would reduce the rights, privileges and protections applicable to the Series B Preferred Stock as in effect on the date hereof; or</w:t>
      </w:r>
    </w:p>
    <w:p>
      <w:pPr>
        <w:spacing w:after="0" w:line="5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3.4.5 increase the authorized number of shares of Series B Preferred Stock.</w:t>
      </w:r>
    </w:p>
    <w:p>
      <w:pPr>
        <w:spacing w:after="0" w:line="117" w:lineRule="exact"/>
        <w:rPr>
          <w:sz w:val="20"/>
          <w:szCs w:val="20"/>
          <w:color w:val="auto"/>
        </w:rPr>
      </w:pPr>
    </w:p>
    <w:p>
      <w:pPr>
        <w:ind w:left="1100" w:hanging="179"/>
        <w:spacing w:after="0"/>
        <w:tabs>
          <w:tab w:leader="none" w:pos="110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the Preferred Stock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117" w:lineRule="exact"/>
        <w:rPr>
          <w:sz w:val="20"/>
          <w:szCs w:val="20"/>
          <w:color w:val="auto"/>
        </w:rPr>
      </w:pPr>
    </w:p>
    <w:p>
      <w:pPr>
        <w:ind w:firstLine="1940"/>
        <w:spacing w:after="0" w:line="293"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Conversion Ratio</w:t>
      </w:r>
      <w:r>
        <w:rPr>
          <w:rFonts w:ascii="Arial" w:cs="Arial" w:eastAsia="Arial" w:hAnsi="Arial"/>
          <w:sz w:val="16"/>
          <w:szCs w:val="16"/>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Original Issue Price for such series of Preferred Stock by the Conversion Price (as defined below) for such series of Preferred Stock in effect at the time of conversion. The “</w:t>
      </w:r>
      <w:r>
        <w:rPr>
          <w:rFonts w:ascii="Arial" w:cs="Arial" w:eastAsia="Arial" w:hAnsi="Arial"/>
          <w:sz w:val="16"/>
          <w:szCs w:val="16"/>
          <w:b w:val="1"/>
          <w:bCs w:val="1"/>
          <w:color w:val="auto"/>
        </w:rPr>
        <w:t>Conversion Price</w:t>
      </w:r>
      <w:r>
        <w:rPr>
          <w:rFonts w:ascii="Arial" w:cs="Arial" w:eastAsia="Arial" w:hAnsi="Arial"/>
          <w:sz w:val="16"/>
          <w:szCs w:val="16"/>
          <w:color w:val="auto"/>
        </w:rPr>
        <w:t>” per share for the Series B Preferred Stock, Series A Preferred Stock and Series Seed Preferred Stock shall initially be equal to Original Issue Price of such series of Preferred Stock. Such initial Conversion Price, and the rate at which shares of Preferred Stock may be converted into shares of Common Stock, shall be subject to adjustment as provided below.</w:t>
      </w:r>
    </w:p>
    <w:p>
      <w:pPr>
        <w:spacing w:after="0" w:line="57" w:lineRule="exact"/>
        <w:rPr>
          <w:sz w:val="20"/>
          <w:szCs w:val="20"/>
          <w:color w:val="auto"/>
        </w:rPr>
      </w:pPr>
    </w:p>
    <w:p>
      <w:pPr>
        <w:ind w:right="240" w:firstLine="1940"/>
        <w:spacing w:after="0" w:line="264"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249" w:name="page250"/>
    <w:bookmarkEnd w:id="249"/>
    <w:p>
      <w:pPr>
        <w:ind w:firstLine="1484"/>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of the Corporation. Whether or not fractional shares would be issuable upon such conversion shall be determined on the basis of the total number of shares of Preferred Stock the holder is holding at the time converting into Common Stock and the aggregate number of shares of Common Stock issuable upon such conversion.</w:t>
      </w:r>
    </w:p>
    <w:p>
      <w:pPr>
        <w:spacing w:after="0" w:line="6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117" w:lineRule="exact"/>
        <w:rPr>
          <w:sz w:val="20"/>
          <w:szCs w:val="20"/>
          <w:color w:val="auto"/>
        </w:rPr>
      </w:pPr>
    </w:p>
    <w:p>
      <w:pPr>
        <w:ind w:firstLine="1940"/>
        <w:spacing w:after="0" w:line="285"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6"/>
          <w:szCs w:val="16"/>
          <w:b w:val="1"/>
          <w:bCs w:val="1"/>
          <w:color w:val="auto"/>
        </w:rPr>
        <w:t>Conversion Time</w:t>
      </w:r>
      <w:r>
        <w:rPr>
          <w:rFonts w:ascii="Arial" w:cs="Arial" w:eastAsia="Arial" w:hAnsi="Arial"/>
          <w:sz w:val="16"/>
          <w:szCs w:val="16"/>
          <w:color w:val="auto"/>
        </w:rPr>
        <w:t xml:space="preserve">”), and the shares of Common Stock issuable upon conversion of the specified shares shall be deemed to be outstanding of record as of such date. The Corporation shall, as soon as practicable after the Conversion Time (i) issue and deliver to such holder of Preferred Stock,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(iii) pay all declared but unpaid dividends on the shares of Preferred Stock converted.</w:t>
      </w:r>
    </w:p>
    <w:p>
      <w:pPr>
        <w:spacing w:after="0" w:line="67" w:lineRule="exact"/>
        <w:rPr>
          <w:sz w:val="20"/>
          <w:szCs w:val="20"/>
          <w:color w:val="auto"/>
        </w:rPr>
      </w:pPr>
    </w:p>
    <w:p>
      <w:pPr>
        <w:ind w:right="140" w:firstLine="1940"/>
        <w:spacing w:after="0" w:line="312"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50" w:name="page251"/>
    <w:bookmarkEnd w:id="250"/>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Conversion Price of any series of Preferred Stock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70" w:lineRule="exact"/>
        <w:rPr>
          <w:sz w:val="20"/>
          <w:szCs w:val="20"/>
          <w:color w:val="auto"/>
        </w:rPr>
      </w:pPr>
    </w:p>
    <w:p>
      <w:pPr>
        <w:ind w:right="120" w:firstLine="1940"/>
        <w:spacing w:after="0" w:line="293"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u w:val="single" w:color="auto"/>
          <w:color w:val="auto"/>
        </w:rPr>
        <w:t>Effect of Conversion</w:t>
      </w:r>
      <w:r>
        <w:rPr>
          <w:rFonts w:ascii="Arial" w:cs="Arial" w:eastAsia="Arial" w:hAnsi="Arial"/>
          <w:sz w:val="16"/>
          <w:szCs w:val="16"/>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57" w:lineRule="exact"/>
        <w:rPr>
          <w:sz w:val="20"/>
          <w:szCs w:val="20"/>
          <w:color w:val="auto"/>
        </w:rPr>
      </w:pPr>
    </w:p>
    <w:p>
      <w:pPr>
        <w:ind w:right="220" w:firstLine="1940"/>
        <w:spacing w:after="0" w:line="277"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No Further Adjustment</w:t>
      </w:r>
      <w:r>
        <w:rPr>
          <w:rFonts w:ascii="Arial" w:cs="Arial" w:eastAsia="Arial" w:hAnsi="Arial"/>
          <w:sz w:val="18"/>
          <w:szCs w:val="18"/>
          <w:color w:val="auto"/>
        </w:rPr>
        <w:t>. Upon any such conversion, no adjustment to Conversion Price shall be made for any declared but unpaid dividends on the Preferred Stock surrendered for conversion or on the Common Stock delivered upon conversion.</w:t>
      </w:r>
    </w:p>
    <w:p>
      <w:pPr>
        <w:spacing w:after="0" w:line="62" w:lineRule="exact"/>
        <w:rPr>
          <w:sz w:val="20"/>
          <w:szCs w:val="20"/>
          <w:color w:val="auto"/>
        </w:rPr>
      </w:pPr>
    </w:p>
    <w:p>
      <w:pPr>
        <w:ind w:firstLine="1940"/>
        <w:spacing w:after="0" w:line="255"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8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Conversion Price for Diluting Issues</w:t>
      </w:r>
      <w:r>
        <w:rPr>
          <w:rFonts w:ascii="Arial" w:cs="Arial" w:eastAsia="Arial" w:hAnsi="Arial"/>
          <w:sz w:val="18"/>
          <w:szCs w:val="18"/>
          <w:color w:val="auto"/>
        </w:rPr>
        <w:t>.</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Special Definitions</w:t>
      </w:r>
      <w:r>
        <w:rPr>
          <w:rFonts w:ascii="Arial" w:cs="Arial" w:eastAsia="Arial" w:hAnsi="Arial"/>
          <w:sz w:val="18"/>
          <w:szCs w:val="18"/>
          <w:color w:val="auto"/>
        </w:rPr>
        <w:t>. For purposes of this Article Fourth, the following definitions shall apply:</w:t>
      </w:r>
    </w:p>
    <w:p>
      <w:pPr>
        <w:spacing w:after="0" w:line="113"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color w:val="auto"/>
        </w:rPr>
        <w:t>Option</w:t>
      </w:r>
      <w:r>
        <w:rPr>
          <w:rFonts w:ascii="Arial" w:cs="Arial" w:eastAsia="Arial" w:hAnsi="Arial"/>
          <w:sz w:val="17"/>
          <w:szCs w:val="17"/>
          <w:color w:val="auto"/>
        </w:rPr>
        <w:t>” shall mean rights, options or warrants to subscribe for, purchase or otherwise acquire Common Stock 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Convertible Securities.</w:t>
      </w:r>
    </w:p>
    <w:p>
      <w:pPr>
        <w:spacing w:after="0" w:line="99" w:lineRule="exact"/>
        <w:rPr>
          <w:sz w:val="20"/>
          <w:szCs w:val="20"/>
          <w:color w:val="auto"/>
        </w:rPr>
      </w:pPr>
    </w:p>
    <w:p>
      <w:pPr>
        <w:ind w:left="5620" w:right="340" w:hanging="3216"/>
        <w:spacing w:after="0" w:line="454" w:lineRule="auto"/>
        <w:tabs>
          <w:tab w:leader="none" w:pos="26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Original Issue Date</w:t>
      </w:r>
      <w:r>
        <w:rPr>
          <w:rFonts w:ascii="Arial" w:cs="Arial" w:eastAsia="Arial" w:hAnsi="Arial"/>
          <w:sz w:val="18"/>
          <w:szCs w:val="18"/>
          <w:color w:val="auto"/>
        </w:rPr>
        <w:t>” shall mean the date on which the first share of Series B Preferred Stock was issued. 11</w:t>
      </w:r>
    </w:p>
    <w:p>
      <w:pPr>
        <w:sectPr>
          <w:pgSz w:w="11900" w:h="16838" w:orient="portrait"/>
          <w:cols w:equalWidth="0" w:num="1">
            <w:col w:w="11360"/>
          </w:cols>
          <w:pgMar w:left="240" w:top="274" w:right="299" w:bottom="1440" w:gutter="0" w:footer="0" w:header="0"/>
        </w:sectPr>
      </w:pPr>
    </w:p>
    <w:bookmarkStart w:id="251" w:name="page252"/>
    <w:bookmarkEnd w:id="251"/>
    <w:p>
      <w:pPr>
        <w:ind w:right="460" w:firstLine="2404"/>
        <w:spacing w:after="0" w:line="282" w:lineRule="auto"/>
        <w:tabs>
          <w:tab w:leader="none" w:pos="2641"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53" w:lineRule="exact"/>
        <w:rPr>
          <w:rFonts w:ascii="Arial" w:cs="Arial" w:eastAsia="Arial" w:hAnsi="Arial"/>
          <w:sz w:val="18"/>
          <w:szCs w:val="18"/>
          <w:color w:val="auto"/>
        </w:rPr>
      </w:pPr>
    </w:p>
    <w:p>
      <w:pPr>
        <w:jc w:val="both"/>
        <w:ind w:right="20" w:firstLine="2404"/>
        <w:spacing w:after="0" w:line="314" w:lineRule="auto"/>
        <w:tabs>
          <w:tab w:leader="none" w:pos="2651"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Shares of Common Stock</w:t>
      </w:r>
      <w:r>
        <w:rPr>
          <w:rFonts w:ascii="Arial" w:cs="Arial" w:eastAsia="Arial" w:hAnsi="Arial"/>
          <w:sz w:val="16"/>
          <w:szCs w:val="16"/>
          <w:color w:val="auto"/>
        </w:rPr>
        <w:t xml:space="preserve">” shall mean all shares of Common Stock issued (or,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below, deemed to be issued) by the Corporation after the Series B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6"/>
          <w:szCs w:val="16"/>
          <w:b w:val="1"/>
          <w:bCs w:val="1"/>
          <w:color w:val="auto"/>
        </w:rPr>
        <w:t>Exempted Securities</w:t>
      </w:r>
      <w:r>
        <w:rPr>
          <w:rFonts w:ascii="Arial" w:cs="Arial" w:eastAsia="Arial" w:hAnsi="Arial"/>
          <w:sz w:val="16"/>
          <w:szCs w:val="16"/>
          <w:color w:val="auto"/>
        </w:rPr>
        <w:t>”):</w:t>
      </w:r>
    </w:p>
    <w:p>
      <w:pPr>
        <w:spacing w:after="0" w:line="51" w:lineRule="exact"/>
        <w:rPr>
          <w:rFonts w:ascii="Arial" w:cs="Arial" w:eastAsia="Arial" w:hAnsi="Arial"/>
          <w:sz w:val="16"/>
          <w:szCs w:val="16"/>
          <w:color w:val="auto"/>
        </w:rPr>
      </w:pPr>
    </w:p>
    <w:p>
      <w:pPr>
        <w:ind w:left="3420" w:right="180" w:hanging="454"/>
        <w:spacing w:after="0" w:line="277" w:lineRule="auto"/>
        <w:tabs>
          <w:tab w:leader="none" w:pos="34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as a dividend or distribution on Preferred Stock;</w:t>
      </w:r>
    </w:p>
    <w:p>
      <w:pPr>
        <w:spacing w:after="0" w:line="75" w:lineRule="exact"/>
        <w:rPr>
          <w:rFonts w:ascii="Arial" w:cs="Arial" w:eastAsia="Arial" w:hAnsi="Arial"/>
          <w:sz w:val="18"/>
          <w:szCs w:val="18"/>
          <w:color w:val="auto"/>
        </w:rPr>
      </w:pPr>
    </w:p>
    <w:p>
      <w:pPr>
        <w:ind w:left="3420" w:right="320" w:hanging="454"/>
        <w:spacing w:after="0" w:line="342" w:lineRule="auto"/>
        <w:tabs>
          <w:tab w:leader="none" w:pos="342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16"/>
          <w:szCs w:val="16"/>
          <w:u w:val="single" w:color="auto"/>
          <w:color w:val="auto"/>
        </w:rPr>
        <w:t>Subsection 4.5</w:t>
      </w:r>
      <w:r>
        <w:rPr>
          <w:rFonts w:ascii="Arial" w:cs="Arial" w:eastAsia="Arial" w:hAnsi="Arial"/>
          <w:sz w:val="16"/>
          <w:szCs w:val="16"/>
          <w:color w:val="auto"/>
        </w:rPr>
        <w:t xml:space="preserve">, </w:t>
      </w:r>
      <w:r>
        <w:rPr>
          <w:rFonts w:ascii="Arial" w:cs="Arial" w:eastAsia="Arial" w:hAnsi="Arial"/>
          <w:sz w:val="16"/>
          <w:szCs w:val="16"/>
          <w:u w:val="single" w:color="auto"/>
          <w:color w:val="auto"/>
        </w:rPr>
        <w:t>4.6</w:t>
      </w:r>
      <w:r>
        <w:rPr>
          <w:rFonts w:ascii="Arial" w:cs="Arial" w:eastAsia="Arial" w:hAnsi="Arial"/>
          <w:sz w:val="16"/>
          <w:szCs w:val="16"/>
          <w:color w:val="auto"/>
        </w:rPr>
        <w:t xml:space="preserve">, </w:t>
      </w:r>
      <w:r>
        <w:rPr>
          <w:rFonts w:ascii="Arial" w:cs="Arial" w:eastAsia="Arial" w:hAnsi="Arial"/>
          <w:sz w:val="16"/>
          <w:szCs w:val="16"/>
          <w:u w:val="single" w:color="auto"/>
          <w:color w:val="auto"/>
        </w:rPr>
        <w:t>4.7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4.8</w:t>
      </w:r>
      <w:r>
        <w:rPr>
          <w:rFonts w:ascii="Arial" w:cs="Arial" w:eastAsia="Arial" w:hAnsi="Arial"/>
          <w:sz w:val="16"/>
          <w:szCs w:val="16"/>
          <w:b w:val="1"/>
          <w:bCs w:val="1"/>
          <w:color w:val="auto"/>
        </w:rPr>
        <w:t>;</w:t>
      </w:r>
    </w:p>
    <w:p>
      <w:pPr>
        <w:spacing w:after="0" w:line="29" w:lineRule="exact"/>
        <w:rPr>
          <w:rFonts w:ascii="Arial" w:cs="Arial" w:eastAsia="Arial" w:hAnsi="Arial"/>
          <w:sz w:val="16"/>
          <w:szCs w:val="16"/>
          <w:color w:val="auto"/>
        </w:rPr>
      </w:pPr>
    </w:p>
    <w:p>
      <w:pPr>
        <w:ind w:left="3420" w:hanging="454"/>
        <w:spacing w:after="0" w:line="259" w:lineRule="auto"/>
        <w:tabs>
          <w:tab w:leader="none" w:pos="34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shares of Common Stock or Options issued to employees or directors of, or consultants or advisors to, the Corporation or any of its subsidiaries pursuant to a plan, agreement or arrangement approved by the Board of Directors of the Corporation and the Requisite Preferred Holders (including, in each case, the number of shares of Common Stock issuable thereunder);</w:t>
      </w:r>
    </w:p>
    <w:p>
      <w:pPr>
        <w:spacing w:after="0" w:line="92" w:lineRule="exact"/>
        <w:rPr>
          <w:rFonts w:ascii="Arial" w:cs="Arial" w:eastAsia="Arial" w:hAnsi="Arial"/>
          <w:sz w:val="18"/>
          <w:szCs w:val="18"/>
          <w:color w:val="auto"/>
        </w:rPr>
      </w:pPr>
    </w:p>
    <w:p>
      <w:pPr>
        <w:ind w:left="3420" w:right="240" w:hanging="454"/>
        <w:spacing w:after="0" w:line="286" w:lineRule="auto"/>
        <w:tabs>
          <w:tab w:leader="none" w:pos="342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70" w:lineRule="exact"/>
        <w:rPr>
          <w:rFonts w:ascii="Arial" w:cs="Arial" w:eastAsia="Arial" w:hAnsi="Arial"/>
          <w:sz w:val="17"/>
          <w:szCs w:val="17"/>
          <w:color w:val="auto"/>
        </w:rPr>
      </w:pPr>
    </w:p>
    <w:p>
      <w:pPr>
        <w:ind w:left="3420" w:right="20" w:hanging="454"/>
        <w:spacing w:after="0" w:line="259" w:lineRule="auto"/>
        <w:tabs>
          <w:tab w:leader="none" w:pos="34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of the Corporation, including a majority of the Preferred Directors;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252" w:name="page253"/>
    <w:bookmarkEnd w:id="252"/>
    <w:p>
      <w:pPr>
        <w:ind w:left="3420" w:hanging="562"/>
        <w:spacing w:after="0" w:line="264" w:lineRule="auto"/>
        <w:tabs>
          <w:tab w:leader="none" w:pos="3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Common Stock, Options or Convertible Securities issued to suppliers or third party service providers in connection with the provision of goods or services pursuant to transactions approved by the Board of Directors of the Corporation, including a majority of the Preferred Directors; or</w:t>
      </w:r>
    </w:p>
    <w:p>
      <w:pPr>
        <w:spacing w:after="0" w:line="86" w:lineRule="exact"/>
        <w:rPr>
          <w:rFonts w:ascii="Arial" w:cs="Arial" w:eastAsia="Arial" w:hAnsi="Arial"/>
          <w:sz w:val="18"/>
          <w:szCs w:val="18"/>
          <w:color w:val="auto"/>
        </w:rPr>
      </w:pPr>
    </w:p>
    <w:p>
      <w:pPr>
        <w:ind w:left="3420" w:right="320" w:hanging="562"/>
        <w:spacing w:after="0" w:line="259" w:lineRule="auto"/>
        <w:tabs>
          <w:tab w:leader="none" w:pos="3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in connection with sponsored research, collaboration, technology license, development, OEM, marketing or other similar agreements or strategic partnerships approved by the Board of Directors of the Corporation, including a majority of the Preferred Directors.</w:t>
      </w:r>
    </w:p>
    <w:p>
      <w:pPr>
        <w:spacing w:after="0" w:line="79" w:lineRule="exact"/>
        <w:rPr>
          <w:sz w:val="20"/>
          <w:szCs w:val="20"/>
          <w:color w:val="auto"/>
        </w:rPr>
      </w:pPr>
    </w:p>
    <w:p>
      <w:pPr>
        <w:ind w:right="80" w:firstLine="1940"/>
        <w:spacing w:after="0" w:line="254" w:lineRule="auto"/>
        <w:rPr>
          <w:sz w:val="20"/>
          <w:szCs w:val="20"/>
          <w:color w:val="auto"/>
        </w:rPr>
      </w:pPr>
      <w:r>
        <w:rPr>
          <w:rFonts w:ascii="Arial" w:cs="Arial" w:eastAsia="Arial" w:hAnsi="Arial"/>
          <w:sz w:val="18"/>
          <w:szCs w:val="18"/>
          <w:color w:val="auto"/>
        </w:rPr>
        <w:t xml:space="preserve">4.4.2 </w:t>
      </w:r>
      <w:r>
        <w:rPr>
          <w:rFonts w:ascii="Arial" w:cs="Arial" w:eastAsia="Arial" w:hAnsi="Arial"/>
          <w:sz w:val="18"/>
          <w:szCs w:val="18"/>
          <w:u w:val="single" w:color="auto"/>
          <w:color w:val="auto"/>
        </w:rPr>
        <w:t>No Adjustment of Conversion Price</w:t>
      </w:r>
      <w:r>
        <w:rPr>
          <w:rFonts w:ascii="Arial" w:cs="Arial" w:eastAsia="Arial" w:hAnsi="Arial"/>
          <w:sz w:val="18"/>
          <w:szCs w:val="18"/>
          <w:color w:val="auto"/>
        </w:rPr>
        <w:t>. No adjustment in the Conversion Price for a series of Preferred Stock shall be made as the result of the issuance or deemed issuance of Additional Shares of Common Stock if the Corporation receives (i) in the case of the Series Seed Preferred Stock, written notice from the holders of at least 50% of the then outstanding shares of Series Seed Preferred Stock agreeing that no such adjustment shall be made as the result of the issuance or deemed issuance of such Additional Shares of Common Stock, (ii) in the case of the Series A Preferred Stock, written notice from the holders of a majority of the then outstanding shares of Series A Preferred Stock agreeing that no such adjustment shall be made as the result of the issuance or deemed issuance of such Additional Shares of Common Stock, and (iii) in the case of the Series B Preferred Stock, written notice from the Requisite Series B Preferred agreeing that no such adjustment shall be made as the result of the issuance or deemed issuance of such Additional Shares of Common Stock.</w:t>
      </w:r>
    </w:p>
    <w:p>
      <w:pPr>
        <w:spacing w:after="0" w:line="8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4.4.3 </w:t>
      </w:r>
      <w:r>
        <w:rPr>
          <w:rFonts w:ascii="Arial" w:cs="Arial" w:eastAsia="Arial" w:hAnsi="Arial"/>
          <w:sz w:val="18"/>
          <w:szCs w:val="18"/>
          <w:u w:val="single" w:color="auto"/>
          <w:color w:val="auto"/>
        </w:rPr>
        <w:t>Deemed Issue of Additional Shares of Common Stock</w:t>
      </w:r>
      <w:r>
        <w:rPr>
          <w:rFonts w:ascii="Arial" w:cs="Arial" w:eastAsia="Arial" w:hAnsi="Arial"/>
          <w:sz w:val="18"/>
          <w:szCs w:val="18"/>
          <w:color w:val="auto"/>
        </w:rPr>
        <w:t>.</w:t>
      </w:r>
    </w:p>
    <w:p>
      <w:pPr>
        <w:spacing w:after="0" w:line="117" w:lineRule="exact"/>
        <w:rPr>
          <w:sz w:val="20"/>
          <w:szCs w:val="20"/>
          <w:color w:val="auto"/>
        </w:rPr>
      </w:pPr>
    </w:p>
    <w:p>
      <w:pPr>
        <w:ind w:right="120" w:firstLine="2404"/>
        <w:spacing w:after="0" w:line="291" w:lineRule="auto"/>
        <w:tabs>
          <w:tab w:leader="none" w:pos="264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If the Corporation at any time or from time to time after the Series B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53" w:name="page254"/>
    <w:bookmarkEnd w:id="253"/>
    <w:p>
      <w:pPr>
        <w:ind w:left="-20" w:right="20" w:firstLine="2404"/>
        <w:spacing w:after="0" w:line="286" w:lineRule="auto"/>
        <w:tabs>
          <w:tab w:leader="none" w:pos="2631" w:val="left"/>
        </w:tabs>
        <w:numPr>
          <w:ilvl w:val="0"/>
          <w:numId w:val="1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terms of any Option or Convertible Security, the issuance of which resulted in an adjustment to the Conversion Price for a series of Preferred Stock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Conversion Price for a series of Preferred Stock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clause (b) shall have the effect of increasing the Conversion Price for a series of Preferred Stock to an amount which exceeds the lower of (i) the Conversion Price for such series of Preferred Stock in effect immediately prior to the original adjustment made as a result of the issuance of such Option or Convertible Security, or (ii) the Conversion Price for such series of Preferred Stock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66" w:lineRule="exact"/>
        <w:rPr>
          <w:rFonts w:ascii="Arial" w:cs="Arial" w:eastAsia="Arial" w:hAnsi="Arial"/>
          <w:sz w:val="16"/>
          <w:szCs w:val="16"/>
          <w:color w:val="auto"/>
        </w:rPr>
      </w:pPr>
    </w:p>
    <w:p>
      <w:pPr>
        <w:ind w:left="-20" w:right="20" w:firstLine="2404"/>
        <w:spacing w:after="0" w:line="288" w:lineRule="auto"/>
        <w:tabs>
          <w:tab w:leader="none" w:pos="262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(excluding Options or Convertible Securities which are themselves Exempted Securities), the issuance of which did not result in an adjustment to the Conversion Price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xml:space="preserve"> (either because the consideration per share (determined pursuant to </w:t>
      </w:r>
      <w:r>
        <w:rPr>
          <w:rFonts w:ascii="Arial" w:cs="Arial" w:eastAsia="Arial" w:hAnsi="Arial"/>
          <w:sz w:val="16"/>
          <w:szCs w:val="16"/>
          <w:u w:val="single" w:color="auto"/>
          <w:color w:val="auto"/>
        </w:rPr>
        <w:t>Subsection 4.4.5</w:t>
      </w:r>
      <w:r>
        <w:rPr>
          <w:rFonts w:ascii="Arial" w:cs="Arial" w:eastAsia="Arial" w:hAnsi="Arial"/>
          <w:sz w:val="16"/>
          <w:szCs w:val="16"/>
          <w:color w:val="auto"/>
        </w:rPr>
        <w:t xml:space="preserve">) of the Additional Shares of Common Stock subject thereto was equal to or greater than the Conversion Price then in effect, or because such Option or Convertible Security was issued before the Series B Original Issue Date), are revised after the Series B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6"/>
          <w:szCs w:val="16"/>
          <w:u w:val="single" w:color="auto"/>
          <w:color w:val="auto"/>
        </w:rPr>
        <w:t>Subsection 4.4.3(a))</w:t>
      </w:r>
      <w:r>
        <w:rPr>
          <w:rFonts w:ascii="Arial" w:cs="Arial" w:eastAsia="Arial" w:hAnsi="Arial"/>
          <w:sz w:val="16"/>
          <w:szCs w:val="16"/>
          <w:color w:val="auto"/>
        </w:rPr>
        <w:t xml:space="preserve"> shall be deemed to have been issued effective upon such increase or decrease becoming effective.</w:t>
      </w:r>
    </w:p>
    <w:p>
      <w:pPr>
        <w:spacing w:after="0" w:line="61" w:lineRule="exact"/>
        <w:rPr>
          <w:rFonts w:ascii="Arial" w:cs="Arial" w:eastAsia="Arial" w:hAnsi="Arial"/>
          <w:sz w:val="16"/>
          <w:szCs w:val="16"/>
          <w:color w:val="auto"/>
        </w:rPr>
      </w:pPr>
    </w:p>
    <w:p>
      <w:pPr>
        <w:ind w:left="-20" w:right="160" w:firstLine="2404"/>
        <w:spacing w:after="0" w:line="259" w:lineRule="auto"/>
        <w:tabs>
          <w:tab w:leader="none" w:pos="263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Upon the expiration or termination of any unexercised Option or unconverted or unexchanged Convertible Security (or portion thereof) which resulted (either upon its original issuance or upon a revision of its terms) in an adjustment to the Conversion Price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the applicable Conversion Price shall be readjusted to such Conversion Price as would have obtained had such Option or Convertible Security (or portion thereof) never been issued.</w:t>
      </w:r>
    </w:p>
    <w:p>
      <w:pPr>
        <w:spacing w:after="0" w:line="78" w:lineRule="exact"/>
        <w:rPr>
          <w:rFonts w:ascii="Arial" w:cs="Arial" w:eastAsia="Arial" w:hAnsi="Arial"/>
          <w:sz w:val="18"/>
          <w:szCs w:val="18"/>
          <w:color w:val="auto"/>
        </w:rPr>
      </w:pPr>
    </w:p>
    <w:p>
      <w:pPr>
        <w:ind w:left="-20" w:firstLine="2404"/>
        <w:spacing w:after="0" w:line="264" w:lineRule="auto"/>
        <w:tabs>
          <w:tab w:leader="none" w:pos="262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274" w:right="259" w:bottom="1440" w:gutter="0" w:footer="0" w:header="0"/>
        </w:sectPr>
      </w:pPr>
    </w:p>
    <w:bookmarkStart w:id="254" w:name="page255"/>
    <w:bookmarkEnd w:id="254"/>
    <w:p>
      <w:pPr>
        <w:ind w:right="1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adjustment based upon subsequent events, any adjustment to the Conversion Price provided for in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Conversion Price that would result under the terms of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that such issuance or amendment took place at the time such calculation can first be made.</w:t>
      </w:r>
    </w:p>
    <w:p>
      <w:pPr>
        <w:spacing w:after="0" w:line="58" w:lineRule="exact"/>
        <w:rPr>
          <w:sz w:val="20"/>
          <w:szCs w:val="20"/>
          <w:color w:val="auto"/>
        </w:rPr>
      </w:pPr>
    </w:p>
    <w:p>
      <w:pPr>
        <w:ind w:right="40" w:firstLine="1940"/>
        <w:spacing w:after="0" w:line="276" w:lineRule="auto"/>
        <w:rPr>
          <w:sz w:val="20"/>
          <w:szCs w:val="20"/>
          <w:color w:val="auto"/>
        </w:rPr>
      </w:pPr>
      <w:r>
        <w:rPr>
          <w:rFonts w:ascii="Arial" w:cs="Arial" w:eastAsia="Arial" w:hAnsi="Arial"/>
          <w:sz w:val="17"/>
          <w:szCs w:val="17"/>
          <w:color w:val="auto"/>
        </w:rPr>
        <w:t xml:space="preserve">4.4.4 </w:t>
      </w:r>
      <w:r>
        <w:rPr>
          <w:rFonts w:ascii="Arial" w:cs="Arial" w:eastAsia="Arial" w:hAnsi="Arial"/>
          <w:sz w:val="17"/>
          <w:szCs w:val="17"/>
          <w:u w:val="single" w:color="auto"/>
          <w:color w:val="auto"/>
        </w:rPr>
        <w:t>Adjustment of Conversion Price Upon Issuance of Additional Shares of Common Stock</w:t>
      </w:r>
      <w:r>
        <w:rPr>
          <w:rFonts w:ascii="Arial" w:cs="Arial" w:eastAsia="Arial" w:hAnsi="Arial"/>
          <w:sz w:val="17"/>
          <w:szCs w:val="17"/>
          <w:color w:val="auto"/>
        </w:rPr>
        <w:t xml:space="preserve">. In the event the Corporation shall at any time after the Series B Original Issue Date issue Additional Shares of Common Stock (including Additional Shares of Common Stock deemed to be issued pursuant to </w:t>
      </w:r>
      <w:r>
        <w:rPr>
          <w:rFonts w:ascii="Arial" w:cs="Arial" w:eastAsia="Arial" w:hAnsi="Arial"/>
          <w:sz w:val="17"/>
          <w:szCs w:val="17"/>
          <w:u w:val="single" w:color="auto"/>
          <w:color w:val="auto"/>
        </w:rPr>
        <w:t>Subsection 4.4.3</w:t>
      </w:r>
      <w:r>
        <w:rPr>
          <w:rFonts w:ascii="Arial" w:cs="Arial" w:eastAsia="Arial" w:hAnsi="Arial"/>
          <w:sz w:val="17"/>
          <w:szCs w:val="17"/>
          <w:color w:val="auto"/>
        </w:rPr>
        <w:t>), without consideration or for a consideration per share less than the Conversion Price for a series of Preferred Stock in effect immediately prior to such issue, then the Conversion Price for such series shall be reduced, concurrently with such issue, to a price (calculated to the nearest one-hundredth of a cent) determined in accordance with the following formula:</w:t>
      </w:r>
    </w:p>
    <w:p>
      <w:pPr>
        <w:spacing w:after="0" w:line="17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117" w:lineRule="exact"/>
        <w:rPr>
          <w:sz w:val="20"/>
          <w:szCs w:val="20"/>
          <w:color w:val="auto"/>
        </w:rPr>
      </w:pPr>
    </w:p>
    <w:p>
      <w:pPr>
        <w:ind w:right="780" w:firstLine="2404"/>
        <w:spacing w:after="0" w:line="258" w:lineRule="auto"/>
        <w:tabs>
          <w:tab w:leader="none" w:pos="264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“CP2” shall mean the Conversion Price for a series of Preferred Stock in effect immediately after such issue of Additional Shares of Common Stock;</w:t>
      </w:r>
    </w:p>
    <w:p>
      <w:pPr>
        <w:spacing w:after="0" w:line="1" w:lineRule="exact"/>
        <w:rPr>
          <w:rFonts w:ascii="Arial" w:cs="Arial" w:eastAsia="Arial" w:hAnsi="Arial"/>
          <w:sz w:val="18"/>
          <w:szCs w:val="18"/>
          <w:color w:val="auto"/>
        </w:rPr>
      </w:pPr>
    </w:p>
    <w:p>
      <w:pPr>
        <w:ind w:right="580" w:firstLine="2404"/>
        <w:spacing w:after="0" w:line="261" w:lineRule="auto"/>
        <w:tabs>
          <w:tab w:leader="none" w:pos="265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1</w:t>
      </w:r>
      <w:r>
        <w:rPr>
          <w:rFonts w:ascii="Arial" w:cs="Arial" w:eastAsia="Arial" w:hAnsi="Arial"/>
          <w:sz w:val="18"/>
          <w:szCs w:val="18"/>
          <w:color w:val="auto"/>
        </w:rPr>
        <w:t>” shall mean the Conversion Price for a series of Preferred Stock in effect immediately prior to such issue of Additional Shares of Common Stock;</w:t>
      </w:r>
    </w:p>
    <w:p>
      <w:pPr>
        <w:spacing w:after="0" w:line="75" w:lineRule="exact"/>
        <w:rPr>
          <w:rFonts w:ascii="Arial" w:cs="Arial" w:eastAsia="Arial" w:hAnsi="Arial"/>
          <w:sz w:val="18"/>
          <w:szCs w:val="18"/>
          <w:color w:val="auto"/>
        </w:rPr>
      </w:pPr>
    </w:p>
    <w:p>
      <w:pPr>
        <w:ind w:firstLine="2404"/>
        <w:spacing w:after="0" w:line="259" w:lineRule="auto"/>
        <w:tabs>
          <w:tab w:leader="none" w:pos="264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78" w:lineRule="exact"/>
        <w:rPr>
          <w:rFonts w:ascii="Arial" w:cs="Arial" w:eastAsia="Arial" w:hAnsi="Arial"/>
          <w:sz w:val="18"/>
          <w:szCs w:val="18"/>
          <w:color w:val="auto"/>
        </w:rPr>
      </w:pPr>
    </w:p>
    <w:p>
      <w:pPr>
        <w:ind w:right="100" w:firstLine="2404"/>
        <w:spacing w:after="0" w:line="275" w:lineRule="auto"/>
        <w:tabs>
          <w:tab w:leader="none" w:pos="265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44" w:lineRule="exact"/>
        <w:rPr>
          <w:rFonts w:ascii="Arial" w:cs="Arial" w:eastAsia="Arial" w:hAnsi="Arial"/>
          <w:sz w:val="18"/>
          <w:szCs w:val="18"/>
          <w:color w:val="auto"/>
        </w:rPr>
      </w:pPr>
    </w:p>
    <w:p>
      <w:pPr>
        <w:ind w:left="2640" w:hanging="236"/>
        <w:spacing w:after="0"/>
        <w:tabs>
          <w:tab w:leader="none" w:pos="26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55" w:name="page256"/>
    <w:bookmarkEnd w:id="255"/>
    <w:p>
      <w:pPr>
        <w:ind w:right="220" w:firstLine="19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Subsection 4.4</w:t>
      </w:r>
      <w:r>
        <w:rPr>
          <w:rFonts w:ascii="Arial" w:cs="Arial" w:eastAsia="Arial" w:hAnsi="Arial"/>
          <w:sz w:val="18"/>
          <w:szCs w:val="18"/>
          <w:color w:val="auto"/>
        </w:rPr>
        <w:t>, the consideration received by the Corporation for the issue of any Additional Shares of Common Stock shall be computed as follows:</w:t>
      </w:r>
    </w:p>
    <w:p>
      <w:pPr>
        <w:spacing w:after="0" w:line="62" w:lineRule="exact"/>
        <w:rPr>
          <w:sz w:val="20"/>
          <w:szCs w:val="20"/>
          <w:color w:val="auto"/>
        </w:rPr>
      </w:pPr>
    </w:p>
    <w:p>
      <w:pPr>
        <w:ind w:left="2640" w:hanging="236"/>
        <w:spacing w:after="0"/>
        <w:tabs>
          <w:tab w:leader="none" w:pos="264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30" w:lineRule="exact"/>
        <w:rPr>
          <w:rFonts w:ascii="Arial" w:cs="Arial" w:eastAsia="Arial" w:hAnsi="Arial"/>
          <w:sz w:val="18"/>
          <w:szCs w:val="18"/>
          <w:color w:val="auto"/>
        </w:rPr>
      </w:pPr>
    </w:p>
    <w:p>
      <w:pPr>
        <w:ind w:left="3420" w:right="520" w:hanging="454"/>
        <w:spacing w:after="0" w:line="277" w:lineRule="auto"/>
        <w:tabs>
          <w:tab w:leader="none" w:pos="34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75" w:lineRule="exact"/>
        <w:rPr>
          <w:rFonts w:ascii="Arial" w:cs="Arial" w:eastAsia="Arial" w:hAnsi="Arial"/>
          <w:sz w:val="18"/>
          <w:szCs w:val="18"/>
          <w:color w:val="auto"/>
        </w:rPr>
      </w:pPr>
    </w:p>
    <w:p>
      <w:pPr>
        <w:ind w:left="3420" w:right="260" w:hanging="454"/>
        <w:spacing w:after="0" w:line="277" w:lineRule="auto"/>
        <w:tabs>
          <w:tab w:leader="none" w:pos="34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issue, as determined in good faith by the Board of Directors; and</w:t>
      </w:r>
    </w:p>
    <w:p>
      <w:pPr>
        <w:spacing w:after="0" w:line="75" w:lineRule="exact"/>
        <w:rPr>
          <w:rFonts w:ascii="Arial" w:cs="Arial" w:eastAsia="Arial" w:hAnsi="Arial"/>
          <w:sz w:val="18"/>
          <w:szCs w:val="18"/>
          <w:color w:val="auto"/>
        </w:rPr>
      </w:pPr>
    </w:p>
    <w:p>
      <w:pPr>
        <w:ind w:left="3420" w:right="240" w:hanging="454"/>
        <w:spacing w:after="0" w:line="259" w:lineRule="auto"/>
        <w:tabs>
          <w:tab w:leader="none" w:pos="34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w:t>
      </w:r>
    </w:p>
    <w:p>
      <w:pPr>
        <w:spacing w:after="0" w:line="78" w:lineRule="exact"/>
        <w:rPr>
          <w:rFonts w:ascii="Arial" w:cs="Arial" w:eastAsia="Arial" w:hAnsi="Arial"/>
          <w:sz w:val="18"/>
          <w:szCs w:val="18"/>
          <w:color w:val="auto"/>
        </w:rPr>
      </w:pPr>
    </w:p>
    <w:p>
      <w:pPr>
        <w:jc w:val="both"/>
        <w:ind w:right="280" w:firstLine="2404"/>
        <w:spacing w:after="0" w:line="342" w:lineRule="auto"/>
        <w:tabs>
          <w:tab w:leader="none" w:pos="2651"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Options and Convertible Securities</w:t>
      </w:r>
      <w:r>
        <w:rPr>
          <w:rFonts w:ascii="Arial" w:cs="Arial" w:eastAsia="Arial" w:hAnsi="Arial"/>
          <w:sz w:val="16"/>
          <w:szCs w:val="16"/>
          <w:color w:val="auto"/>
        </w:rPr>
        <w:t xml:space="preserve">. The consideration per share received by the Corporation for Additional Shares of Common Stock deemed to have been issued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relating to Options and Convertible Securities, shall be determined by dividing:</w:t>
      </w:r>
    </w:p>
    <w:p>
      <w:pPr>
        <w:spacing w:after="0" w:line="29" w:lineRule="exact"/>
        <w:rPr>
          <w:rFonts w:ascii="Arial" w:cs="Arial" w:eastAsia="Arial" w:hAnsi="Arial"/>
          <w:sz w:val="16"/>
          <w:szCs w:val="16"/>
          <w:color w:val="auto"/>
        </w:rPr>
      </w:pPr>
    </w:p>
    <w:p>
      <w:pPr>
        <w:ind w:left="3420" w:hanging="454"/>
        <w:spacing w:after="0" w:line="255" w:lineRule="auto"/>
        <w:tabs>
          <w:tab w:leader="none" w:pos="34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56" w:name="page257"/>
    <w:bookmarkEnd w:id="256"/>
    <w:p>
      <w:pPr>
        <w:ind w:left="3420" w:right="80" w:hanging="454"/>
        <w:spacing w:after="0" w:line="257" w:lineRule="auto"/>
        <w:tabs>
          <w:tab w:leader="none" w:pos="34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80" w:lineRule="exact"/>
        <w:rPr>
          <w:sz w:val="20"/>
          <w:szCs w:val="20"/>
          <w:color w:val="auto"/>
        </w:rPr>
      </w:pPr>
    </w:p>
    <w:p>
      <w:pPr>
        <w:ind w:right="80" w:firstLine="1940"/>
        <w:spacing w:after="0" w:line="297" w:lineRule="auto"/>
        <w:rPr>
          <w:sz w:val="20"/>
          <w:szCs w:val="20"/>
          <w:color w:val="auto"/>
        </w:rPr>
      </w:pPr>
      <w:r>
        <w:rPr>
          <w:rFonts w:ascii="Arial" w:cs="Arial" w:eastAsia="Arial" w:hAnsi="Arial"/>
          <w:sz w:val="16"/>
          <w:szCs w:val="16"/>
          <w:color w:val="auto"/>
        </w:rPr>
        <w:t xml:space="preserve">4.4.6 </w:t>
      </w:r>
      <w:r>
        <w:rPr>
          <w:rFonts w:ascii="Arial" w:cs="Arial" w:eastAsia="Arial" w:hAnsi="Arial"/>
          <w:sz w:val="16"/>
          <w:szCs w:val="16"/>
          <w:u w:val="single" w:color="auto"/>
          <w:color w:val="auto"/>
        </w:rPr>
        <w:t>Multiple Closing Dates</w:t>
      </w:r>
      <w:r>
        <w:rPr>
          <w:rFonts w:ascii="Arial" w:cs="Arial" w:eastAsia="Arial" w:hAnsi="Arial"/>
          <w:sz w:val="16"/>
          <w:szCs w:val="16"/>
          <w:color w:val="auto"/>
        </w:rPr>
        <w:t xml:space="preserve">. In the event the Corporation shall issue on more than one date Additional Shares of Common Stock that are a part of one transaction or a series of related transactions and that would result in an Conversion Price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and such issuance dates occur within a period of no more than ninety (90) days from the first such issuance to the final such issuance, then, upon the final such issuance, the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50" w:lineRule="exact"/>
        <w:rPr>
          <w:sz w:val="20"/>
          <w:szCs w:val="20"/>
          <w:color w:val="auto"/>
        </w:rPr>
      </w:pPr>
    </w:p>
    <w:p>
      <w:pPr>
        <w:ind w:firstLine="1484"/>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Adjustment for Stock Splits and Combinations</w:t>
      </w:r>
      <w:r>
        <w:rPr>
          <w:rFonts w:ascii="Arial" w:cs="Arial" w:eastAsia="Arial" w:hAnsi="Arial"/>
          <w:sz w:val="16"/>
          <w:szCs w:val="16"/>
          <w:color w:val="auto"/>
        </w:rPr>
        <w:t>. If the Corporation shall at any time or from time to time after the Series B Original Issue Date effect a subdivision of the outstanding Common Stock, the Conversion Price of a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B Original Issue Date combine the outstanding shares of Common Stock, the Conversion Price of a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58" w:lineRule="exact"/>
        <w:rPr>
          <w:sz w:val="20"/>
          <w:szCs w:val="20"/>
          <w:color w:val="auto"/>
        </w:rPr>
      </w:pPr>
    </w:p>
    <w:p>
      <w:pPr>
        <w:ind w:right="20" w:firstLine="1484"/>
        <w:spacing w:after="0" w:line="297"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Adjustment for Certain Dividends and Distributions</w:t>
      </w:r>
      <w:r>
        <w:rPr>
          <w:rFonts w:ascii="Arial" w:cs="Arial" w:eastAsia="Arial" w:hAnsi="Arial"/>
          <w:sz w:val="16"/>
          <w:szCs w:val="16"/>
          <w:color w:val="auto"/>
        </w:rPr>
        <w:t>. In the event the Corporation at any time or from time to time after the Series B Original Issue Date shall make or issue, or fix a record date for the determination of holders of Common Stock entitled to receive, a dividend or other distribution payable on the Common Stock in additional shares of Common Stock, then and in each such event the Conversion Price of a series of Preferred Stock in effect immediately before such event shall be decreased as of the time of such issuance or, in the event such a record date shall have been fixed, as of the close of business on such record date, by multiplying the Conversion Price of a series of Preferred Stock then in effect by a fraction:</w:t>
      </w:r>
    </w:p>
    <w:p>
      <w:pPr>
        <w:spacing w:after="0" w:line="50" w:lineRule="exact"/>
        <w:rPr>
          <w:sz w:val="20"/>
          <w:szCs w:val="20"/>
          <w:color w:val="auto"/>
        </w:rPr>
      </w:pPr>
    </w:p>
    <w:p>
      <w:pPr>
        <w:ind w:right="160" w:firstLine="1948"/>
        <w:spacing w:after="0" w:line="277" w:lineRule="auto"/>
        <w:tabs>
          <w:tab w:leader="none" w:pos="219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57" w:name="page258"/>
    <w:bookmarkEnd w:id="257"/>
    <w:p>
      <w:pPr>
        <w:ind w:firstLine="1948"/>
        <w:spacing w:after="0" w:line="264" w:lineRule="auto"/>
        <w:tabs>
          <w:tab w:leader="none" w:pos="2195"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Notwithstanding the foregoing (a) if such record date shall have been fixed and such dividend is not fully paid or if such distribution is not fully made on the date fixed therefor, the Conversion Price shall be recomputed accordingly as of the close of business on such record date and thereafter the Conversion Price shall be adjusted pursuant to this subsection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85" w:lineRule="exact"/>
        <w:rPr>
          <w:sz w:val="20"/>
          <w:szCs w:val="20"/>
          <w:color w:val="auto"/>
        </w:rPr>
      </w:pPr>
    </w:p>
    <w:p>
      <w:pPr>
        <w:ind w:right="60" w:firstLine="1484"/>
        <w:spacing w:after="0" w:line="255"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Adjustments for Other Dividends and Distributions</w:t>
      </w:r>
      <w:r>
        <w:rPr>
          <w:rFonts w:ascii="Arial" w:cs="Arial" w:eastAsia="Arial" w:hAnsi="Arial"/>
          <w:sz w:val="18"/>
          <w:szCs w:val="18"/>
          <w:color w:val="auto"/>
        </w:rPr>
        <w:t xml:space="preserve">. In the event the Corporation at any time or from time to time after the Series B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81" w:lineRule="exact"/>
        <w:rPr>
          <w:sz w:val="20"/>
          <w:szCs w:val="20"/>
          <w:color w:val="auto"/>
        </w:rPr>
      </w:pPr>
    </w:p>
    <w:p>
      <w:pPr>
        <w:ind w:right="60" w:firstLine="1484"/>
        <w:spacing w:after="0" w:line="268"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Adjustment for Merger or Reorganization, etc</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7"/>
          <w:szCs w:val="17"/>
          <w:u w:val="single" w:color="auto"/>
          <w:color w:val="auto"/>
        </w:rPr>
        <w:t>Subsections 4.4</w:t>
      </w:r>
      <w:r>
        <w:rPr>
          <w:rFonts w:ascii="Arial" w:cs="Arial" w:eastAsia="Arial" w:hAnsi="Arial"/>
          <w:sz w:val="17"/>
          <w:szCs w:val="17"/>
          <w:color w:val="auto"/>
        </w:rPr>
        <w:t xml:space="preserve">, </w:t>
      </w:r>
      <w:r>
        <w:rPr>
          <w:rFonts w:ascii="Arial" w:cs="Arial" w:eastAsia="Arial" w:hAnsi="Arial"/>
          <w:sz w:val="17"/>
          <w:szCs w:val="17"/>
          <w:u w:val="single" w:color="auto"/>
          <w:color w:val="auto"/>
        </w:rPr>
        <w:t>4.6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4.7</w:t>
      </w:r>
      <w:r>
        <w:rPr>
          <w:rFonts w:ascii="Arial" w:cs="Arial" w:eastAsia="Arial" w:hAnsi="Arial"/>
          <w:sz w:val="17"/>
          <w:szCs w:val="17"/>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shall be made in the application of the provisions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the rights and interests thereafter of the holders of the Preferred Stock, to the end that the provisions set forth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(including provisions with respect to changes in and other adjustments of the Conversion Price) shall thereafter be applicable, as nearly as reasonably may be, in relation to any securities or other property thereafter deliverable upon the conversion of the Preferred Stock. For the avoidance of doubt, nothing in this </w:t>
      </w:r>
      <w:r>
        <w:rPr>
          <w:rFonts w:ascii="Arial" w:cs="Arial" w:eastAsia="Arial" w:hAnsi="Arial"/>
          <w:sz w:val="17"/>
          <w:szCs w:val="17"/>
          <w:u w:val="single" w:color="auto"/>
          <w:color w:val="auto"/>
        </w:rPr>
        <w:t>Subsection 4.8</w:t>
      </w:r>
      <w:r>
        <w:rPr>
          <w:rFonts w:ascii="Arial" w:cs="Arial" w:eastAsia="Arial" w:hAnsi="Arial"/>
          <w:sz w:val="17"/>
          <w:szCs w:val="17"/>
          <w:color w:val="auto"/>
        </w:rPr>
        <w:t xml:space="preserve"> shall be construed as preventing the holders of Preferred Stock from seeking any appraisal rights to which they are otherwise entitled under the General Corporation Law in connection with a merger triggering an adjustment hereunder, nor shall this </w:t>
      </w:r>
      <w:r>
        <w:rPr>
          <w:rFonts w:ascii="Arial" w:cs="Arial" w:eastAsia="Arial" w:hAnsi="Arial"/>
          <w:sz w:val="17"/>
          <w:szCs w:val="17"/>
          <w:u w:val="single" w:color="auto"/>
          <w:color w:val="auto"/>
        </w:rPr>
        <w:t>Subsection 4.8</w:t>
      </w:r>
      <w:r>
        <w:rPr>
          <w:rFonts w:ascii="Arial" w:cs="Arial" w:eastAsia="Arial" w:hAnsi="Arial"/>
          <w:sz w:val="17"/>
          <w:szCs w:val="17"/>
          <w:color w:val="auto"/>
        </w:rPr>
        <w:t xml:space="preserve"> be deemed conclusive evidence of the fair value of the shares of Preferred Stock in any such appraisal proceeding.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58" w:name="page259"/>
    <w:bookmarkEnd w:id="258"/>
    <w:p>
      <w:pPr>
        <w:ind w:right="520" w:firstLine="148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4.9 </w:t>
      </w: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xml:space="preserve">. Upon the occurrence of each adjustment or readjustment of the Conversion Price of a series of Preferred Stock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the Corporation at its expense shall, as promptly as reasonably practicable but in any event not later than ten</w:t>
      </w:r>
    </w:p>
    <w:p>
      <w:pPr>
        <w:ind w:right="100" w:firstLine="8"/>
        <w:spacing w:after="0" w:line="290" w:lineRule="auto"/>
        <w:tabs>
          <w:tab w:leader="none" w:pos="34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Conversion Price of each series of Preferred Stock then in effect, and (ii) the number of shares of Common Stock and the amount, if any, of other securities, cash or property which then would be received upon the conversion of Preferred Stock.</w:t>
      </w:r>
    </w:p>
    <w:p>
      <w:pPr>
        <w:spacing w:after="0" w:line="5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Notice of Record Date</w:t>
      </w:r>
      <w:r>
        <w:rPr>
          <w:rFonts w:ascii="Arial" w:cs="Arial" w:eastAsia="Arial" w:hAnsi="Arial"/>
          <w:sz w:val="18"/>
          <w:szCs w:val="18"/>
          <w:color w:val="auto"/>
        </w:rPr>
        <w:t>. In the event:</w:t>
      </w:r>
    </w:p>
    <w:p>
      <w:pPr>
        <w:spacing w:after="0" w:line="117" w:lineRule="exact"/>
        <w:rPr>
          <w:sz w:val="20"/>
          <w:szCs w:val="20"/>
          <w:color w:val="auto"/>
        </w:rPr>
      </w:pPr>
    </w:p>
    <w:p>
      <w:pPr>
        <w:ind w:right="140" w:firstLine="2404"/>
        <w:spacing w:after="0" w:line="286" w:lineRule="auto"/>
        <w:tabs>
          <w:tab w:leader="none" w:pos="2641"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57" w:lineRule="exact"/>
        <w:rPr>
          <w:rFonts w:ascii="Arial" w:cs="Arial" w:eastAsia="Arial" w:hAnsi="Arial"/>
          <w:sz w:val="17"/>
          <w:szCs w:val="17"/>
          <w:color w:val="auto"/>
        </w:rPr>
      </w:pPr>
    </w:p>
    <w:p>
      <w:pPr>
        <w:ind w:left="2660" w:hanging="256"/>
        <w:spacing w:after="0"/>
        <w:tabs>
          <w:tab w:leader="none" w:pos="26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of any capital reorganization of the Corporation, any reclassification of the Common Stock of the Corporation, or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Deemed Liquidation Event; or</w:t>
      </w:r>
    </w:p>
    <w:p>
      <w:pPr>
        <w:spacing w:after="0" w:line="102" w:lineRule="exact"/>
        <w:rPr>
          <w:rFonts w:ascii="Arial" w:cs="Arial" w:eastAsia="Arial" w:hAnsi="Arial"/>
          <w:sz w:val="17"/>
          <w:szCs w:val="17"/>
          <w:color w:val="auto"/>
        </w:rPr>
      </w:pPr>
    </w:p>
    <w:p>
      <w:pPr>
        <w:ind w:left="2640" w:hanging="236"/>
        <w:spacing w:after="0"/>
        <w:tabs>
          <w:tab w:leader="none" w:pos="26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(10) days prior to the record date or effective date for the event specified in such notice.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59" w:name="page260"/>
    <w:bookmarkEnd w:id="259"/>
    <w:p>
      <w:pPr>
        <w:ind w:left="1500" w:right="8540" w:hanging="579"/>
        <w:spacing w:after="0" w:line="422" w:lineRule="auto"/>
        <w:tabs>
          <w:tab w:leader="none" w:pos="1109"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Mandatory Conversion</w:t>
      </w:r>
      <w:r>
        <w:rPr>
          <w:rFonts w:ascii="Arial" w:cs="Arial" w:eastAsia="Arial" w:hAnsi="Arial"/>
          <w:sz w:val="16"/>
          <w:szCs w:val="16"/>
          <w:color w:val="auto"/>
        </w:rPr>
        <w:t xml:space="preserve">. 5.1 </w:t>
      </w:r>
      <w:r>
        <w:rPr>
          <w:rFonts w:ascii="Arial" w:cs="Arial" w:eastAsia="Arial" w:hAnsi="Arial"/>
          <w:sz w:val="16"/>
          <w:szCs w:val="16"/>
          <w:u w:val="single" w:color="auto"/>
          <w:color w:val="auto"/>
        </w:rPr>
        <w:t>Trigger Events</w:t>
      </w:r>
      <w:r>
        <w:rPr>
          <w:rFonts w:ascii="Arial" w:cs="Arial" w:eastAsia="Arial" w:hAnsi="Arial"/>
          <w:sz w:val="16"/>
          <w:szCs w:val="16"/>
          <w:color w:val="auto"/>
        </w:rPr>
        <w:t>.</w:t>
      </w:r>
    </w:p>
    <w:p>
      <w:pPr>
        <w:spacing w:after="0" w:line="1" w:lineRule="exact"/>
        <w:rPr>
          <w:sz w:val="20"/>
          <w:szCs w:val="20"/>
          <w:color w:val="auto"/>
        </w:rPr>
      </w:pPr>
    </w:p>
    <w:p>
      <w:pPr>
        <w:ind w:firstLine="1484"/>
        <w:spacing w:after="0" w:line="28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Preferred Stock Mandatory Conversion Time</w:t>
      </w:r>
      <w:r>
        <w:rPr>
          <w:rFonts w:ascii="Arial" w:cs="Arial" w:eastAsia="Arial" w:hAnsi="Arial"/>
          <w:sz w:val="16"/>
          <w:szCs w:val="16"/>
          <w:color w:val="auto"/>
        </w:rPr>
        <w:t>. Upon either (a) the closing of the sale of shares of Common Stock to the public at a price of at least 1.5 times the Series B Original Issue Price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$50 million of gross proceeds to the Corporation and following which shares of the Corporation’s Common Stock are listed on the New York Stock Exchange or the Nasdaq Stock Market’s National Market (a “</w:t>
      </w:r>
      <w:r>
        <w:rPr>
          <w:rFonts w:ascii="Arial" w:cs="Arial" w:eastAsia="Arial" w:hAnsi="Arial"/>
          <w:sz w:val="16"/>
          <w:szCs w:val="16"/>
          <w:b w:val="1"/>
          <w:bCs w:val="1"/>
          <w:color w:val="auto"/>
        </w:rPr>
        <w:t>Qualified IPO</w:t>
      </w:r>
      <w:r>
        <w:rPr>
          <w:rFonts w:ascii="Arial" w:cs="Arial" w:eastAsia="Arial" w:hAnsi="Arial"/>
          <w:sz w:val="16"/>
          <w:szCs w:val="16"/>
          <w:color w:val="auto"/>
        </w:rPr>
        <w:t>”) or (b) the date and time, or the occurrence of an event, specified by vote or written consent of the Requisite Preferred Holders (the time of such closing or the date and time specified or the time of the event specified in such vote or written consent is referred to herein as the “</w:t>
      </w:r>
      <w:r>
        <w:rPr>
          <w:rFonts w:ascii="Arial" w:cs="Arial" w:eastAsia="Arial" w:hAnsi="Arial"/>
          <w:sz w:val="16"/>
          <w:szCs w:val="16"/>
          <w:b w:val="1"/>
          <w:bCs w:val="1"/>
          <w:color w:val="auto"/>
        </w:rPr>
        <w:t>Mandatory Conversion Time</w:t>
      </w:r>
      <w:r>
        <w:rPr>
          <w:rFonts w:ascii="Arial" w:cs="Arial" w:eastAsia="Arial" w:hAnsi="Arial"/>
          <w:sz w:val="16"/>
          <w:szCs w:val="16"/>
          <w:color w:val="auto"/>
        </w:rPr>
        <w:t>”), then</w:t>
      </w:r>
    </w:p>
    <w:p>
      <w:pPr>
        <w:spacing w:after="0" w:line="3" w:lineRule="exact"/>
        <w:rPr>
          <w:sz w:val="20"/>
          <w:szCs w:val="20"/>
          <w:color w:val="auto"/>
        </w:rPr>
      </w:pPr>
    </w:p>
    <w:p>
      <w:pPr>
        <w:jc w:val="both"/>
        <w:ind w:right="60" w:firstLine="8"/>
        <w:spacing w:after="0" w:line="255" w:lineRule="auto"/>
        <w:tabs>
          <w:tab w:leader="none" w:pos="21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all outstanding shares of Preferred Stock shall automatically be converted into shares of Common Stock, at the then effective conversion rate as calculated pursuant to </w:t>
      </w:r>
      <w:r>
        <w:rPr>
          <w:rFonts w:ascii="Arial" w:cs="Arial" w:eastAsia="Arial" w:hAnsi="Arial"/>
          <w:sz w:val="18"/>
          <w:szCs w:val="18"/>
          <w:u w:val="single" w:color="auto"/>
          <w:color w:val="auto"/>
        </w:rPr>
        <w:t>Subsection 4.1.1</w:t>
      </w:r>
      <w:r>
        <w:rPr>
          <w:rFonts w:ascii="Arial" w:cs="Arial" w:eastAsia="Arial" w:hAnsi="Arial"/>
          <w:sz w:val="18"/>
          <w:szCs w:val="18"/>
          <w:color w:val="auto"/>
        </w:rPr>
        <w:t xml:space="preserve"> and (ii) such shares may not be reissued by the Corporation. All declared but unpaid dividends, if any, shall be paid in cash upon automatic conversion in connection with a Qualified IPO or initial public offering.</w:t>
      </w:r>
    </w:p>
    <w:p>
      <w:pPr>
        <w:spacing w:after="0" w:line="82" w:lineRule="exact"/>
        <w:rPr>
          <w:sz w:val="20"/>
          <w:szCs w:val="20"/>
          <w:color w:val="auto"/>
        </w:rPr>
      </w:pPr>
    </w:p>
    <w:p>
      <w:pPr>
        <w:ind w:right="40" w:firstLine="1484"/>
        <w:spacing w:after="0" w:line="267"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Procedural Requirements</w:t>
      </w:r>
      <w:r>
        <w:rPr>
          <w:rFonts w:ascii="Arial" w:cs="Arial" w:eastAsia="Arial" w:hAnsi="Arial"/>
          <w:sz w:val="17"/>
          <w:szCs w:val="17"/>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7"/>
          <w:szCs w:val="17"/>
          <w:u w:val="single" w:color="auto"/>
          <w:color w:val="auto"/>
        </w:rPr>
        <w:t>Subsection 5.1</w:t>
      </w:r>
      <w:r>
        <w:rPr>
          <w:rFonts w:ascii="Arial" w:cs="Arial" w:eastAsia="Arial" w:hAnsi="Arial"/>
          <w:sz w:val="17"/>
          <w:szCs w:val="17"/>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7"/>
          <w:szCs w:val="17"/>
          <w:u w:val="single" w:color="auto"/>
          <w:color w:val="auto"/>
        </w:rPr>
        <w:t>Subsection 5.2</w:t>
      </w:r>
      <w:r>
        <w:rPr>
          <w:rFonts w:ascii="Arial" w:cs="Arial" w:eastAsia="Arial" w:hAnsi="Arial"/>
          <w:sz w:val="17"/>
          <w:szCs w:val="17"/>
          <w:color w:val="auto"/>
        </w:rPr>
        <w:t xml:space="preserve">. As soon as practicable after the Mandatory Conversion Time and, if applicable, the surrender of any certificate or certificates (or lost certificate affidavit and agreement) for Preferred Stock, the Corporation shall (a) issue and deliver to such holder, a certificate or certificates for the number of full shares of Common Stock issuable on such conversion in accordance with the provisions hereof and (b) pay cash as provided in </w:t>
      </w:r>
      <w:r>
        <w:rPr>
          <w:rFonts w:ascii="Arial" w:cs="Arial" w:eastAsia="Arial" w:hAnsi="Arial"/>
          <w:sz w:val="17"/>
          <w:szCs w:val="17"/>
          <w:u w:val="single" w:color="auto"/>
          <w:color w:val="auto"/>
        </w:rPr>
        <w:t>Subsection 4.2</w:t>
      </w:r>
      <w:r>
        <w:rPr>
          <w:rFonts w:ascii="Arial" w:cs="Arial" w:eastAsia="Arial" w:hAnsi="Arial"/>
          <w:sz w:val="17"/>
          <w:szCs w:val="17"/>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Series B Preferred Stock, Series A Preferred Stock and Series Seed Preferred Stock accordingly.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60" w:name="page261"/>
    <w:bookmarkEnd w:id="260"/>
    <w:p>
      <w:pPr>
        <w:ind w:left="1100" w:hanging="179"/>
        <w:spacing w:after="0"/>
        <w:tabs>
          <w:tab w:leader="none" w:pos="110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Redemption</w:t>
      </w:r>
      <w:r>
        <w:rPr>
          <w:rFonts w:ascii="Arial" w:cs="Arial" w:eastAsia="Arial" w:hAnsi="Arial"/>
          <w:sz w:val="18"/>
          <w:szCs w:val="18"/>
          <w:color w:val="auto"/>
        </w:rPr>
        <w:t>.</w:t>
      </w:r>
    </w:p>
    <w:p>
      <w:pPr>
        <w:spacing w:after="0" w:line="117" w:lineRule="exact"/>
        <w:rPr>
          <w:sz w:val="20"/>
          <w:szCs w:val="20"/>
          <w:color w:val="auto"/>
        </w:rPr>
      </w:pPr>
    </w:p>
    <w:p>
      <w:pPr>
        <w:ind w:firstLine="1484"/>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General</w:t>
      </w:r>
      <w:r>
        <w:rPr>
          <w:rFonts w:ascii="Arial" w:cs="Arial" w:eastAsia="Arial" w:hAnsi="Arial"/>
          <w:sz w:val="17"/>
          <w:szCs w:val="17"/>
          <w:color w:val="auto"/>
        </w:rPr>
        <w:t>. Unless prohibited by Delaware law governing distributions to stockholders, shares of Preferred Stock shall be redeemed by the Corporation at (i) with respect to the Series B Preferred Stock, a price equal to the Series B Original Issue Price per share, plus all declared but unpaid dividends thereon, (ii) with respect to the Series A Preferred Stock, a price equal to the Series A Original Issue Price per share, plus all declared but unpaid dividends thereon and (iii) with respect to the Series Seed Preferred Stock, a price equal to the Series Seed Original Issue Price per share, plus all declared but unpaid dividends thereon (the “</w:t>
      </w:r>
      <w:r>
        <w:rPr>
          <w:rFonts w:ascii="Arial" w:cs="Arial" w:eastAsia="Arial" w:hAnsi="Arial"/>
          <w:sz w:val="17"/>
          <w:szCs w:val="17"/>
          <w:b w:val="1"/>
          <w:bCs w:val="1"/>
          <w:color w:val="auto"/>
        </w:rPr>
        <w:t>Redemption Price</w:t>
      </w:r>
      <w:r>
        <w:rPr>
          <w:rFonts w:ascii="Arial" w:cs="Arial" w:eastAsia="Arial" w:hAnsi="Arial"/>
          <w:sz w:val="17"/>
          <w:szCs w:val="17"/>
          <w:color w:val="auto"/>
        </w:rPr>
        <w:t>”), in three (3) annual installments commencing not more than sixty (60) days after receipt by the Corporation at any time on or after the fifth year anniversary of the Series B Original Issue Date, from the Requisite Preferred Holders, of written notice requesting redemption of all shares of Preferred Stock (the “</w:t>
      </w:r>
      <w:r>
        <w:rPr>
          <w:rFonts w:ascii="Arial" w:cs="Arial" w:eastAsia="Arial" w:hAnsi="Arial"/>
          <w:sz w:val="17"/>
          <w:szCs w:val="17"/>
          <w:b w:val="1"/>
          <w:bCs w:val="1"/>
          <w:color w:val="auto"/>
        </w:rPr>
        <w:t>Redemption Request</w:t>
      </w:r>
      <w:r>
        <w:rPr>
          <w:rFonts w:ascii="Arial" w:cs="Arial" w:eastAsia="Arial" w:hAnsi="Arial"/>
          <w:sz w:val="17"/>
          <w:szCs w:val="17"/>
          <w:color w:val="auto"/>
        </w:rPr>
        <w:t>”). Upon receipt of a Redemption Request, the Corporation shall apply all of its assets to any such redemption, and to no other corporate purpose, except to the extent prohibited by Delaware law governing distributions to stockholders. The date of each such installment shall be referred to as a “</w:t>
      </w:r>
      <w:r>
        <w:rPr>
          <w:rFonts w:ascii="Arial" w:cs="Arial" w:eastAsia="Arial" w:hAnsi="Arial"/>
          <w:sz w:val="17"/>
          <w:szCs w:val="17"/>
          <w:b w:val="1"/>
          <w:bCs w:val="1"/>
          <w:color w:val="auto"/>
        </w:rPr>
        <w:t>Redemption Date.</w:t>
      </w:r>
      <w:r>
        <w:rPr>
          <w:rFonts w:ascii="Arial" w:cs="Arial" w:eastAsia="Arial" w:hAnsi="Arial"/>
          <w:sz w:val="17"/>
          <w:szCs w:val="17"/>
          <w:color w:val="auto"/>
        </w:rPr>
        <w:t>” On each Redemption Date, the Corporation shall redeem, on a pro rata basis in accordance with the number of shares of Preferred Stock owned by each holder, that number of outstanding shares of Preferred Stock determined by dividing (i) the total number of shares of Preferred Stock outstanding immediately prior to such Redemption Date by (ii) the number of remaining Redemption Dates (including the Redemption Date to which such calculation applies). Notwithstanding the foregoing, if on any Redemption Date, Delaware law governing distributions to stockholders prevents the Corporation from redeeming all shares of Preferred Stock to be redeemed, the Corporation shall ratably redeem each holder’s shares of Preferred Stock, in accordance with the priorities set forth in Sections 2.1 and 2.2, to the fullest extent permitted by such law, and shall redeem the remaining shares of Preferred Stock as soon as it may lawfully do so under Delaware law governing distributions to stockholders.</w:t>
      </w:r>
    </w:p>
    <w:p>
      <w:pPr>
        <w:spacing w:after="0" w:line="69" w:lineRule="exact"/>
        <w:rPr>
          <w:sz w:val="20"/>
          <w:szCs w:val="20"/>
          <w:color w:val="auto"/>
        </w:rPr>
      </w:pPr>
    </w:p>
    <w:p>
      <w:pPr>
        <w:ind w:right="360" w:firstLine="1484"/>
        <w:spacing w:after="0" w:line="313"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Redemption Notice</w:t>
      </w:r>
      <w:r>
        <w:rPr>
          <w:rFonts w:ascii="Arial" w:cs="Arial" w:eastAsia="Arial" w:hAnsi="Arial"/>
          <w:sz w:val="17"/>
          <w:szCs w:val="17"/>
          <w:color w:val="auto"/>
        </w:rPr>
        <w:t>. The Corporation shall send written notice of the mandatory redemption (the “</w:t>
      </w:r>
      <w:r>
        <w:rPr>
          <w:rFonts w:ascii="Arial" w:cs="Arial" w:eastAsia="Arial" w:hAnsi="Arial"/>
          <w:sz w:val="17"/>
          <w:szCs w:val="17"/>
          <w:b w:val="1"/>
          <w:bCs w:val="1"/>
          <w:color w:val="auto"/>
        </w:rPr>
        <w:t>Redemption Notice</w:t>
      </w:r>
      <w:r>
        <w:rPr>
          <w:rFonts w:ascii="Arial" w:cs="Arial" w:eastAsia="Arial" w:hAnsi="Arial"/>
          <w:sz w:val="17"/>
          <w:szCs w:val="17"/>
          <w:color w:val="auto"/>
        </w:rPr>
        <w:t>”) to each holder of record of Preferred Stock not less than forty (40) days prior to each Redemption Date. Each Redemption Notice shall state:</w:t>
      </w:r>
    </w:p>
    <w:p>
      <w:pPr>
        <w:spacing w:after="0" w:line="34" w:lineRule="exact"/>
        <w:rPr>
          <w:sz w:val="20"/>
          <w:szCs w:val="20"/>
          <w:color w:val="auto"/>
        </w:rPr>
      </w:pPr>
    </w:p>
    <w:p>
      <w:pPr>
        <w:ind w:left="460" w:right="80" w:firstLine="1429"/>
        <w:spacing w:after="0" w:line="277" w:lineRule="auto"/>
        <w:tabs>
          <w:tab w:leader="none" w:pos="212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number of shares of Preferred Stock held by the holder that the Corporation shall redeem on the Redemption Date specified in the Redemption Notice;</w:t>
      </w:r>
    </w:p>
    <w:p>
      <w:pPr>
        <w:spacing w:after="0" w:line="62" w:lineRule="exact"/>
        <w:rPr>
          <w:rFonts w:ascii="Arial" w:cs="Arial" w:eastAsia="Arial" w:hAnsi="Arial"/>
          <w:sz w:val="18"/>
          <w:szCs w:val="18"/>
          <w:color w:val="auto"/>
        </w:rPr>
      </w:pPr>
    </w:p>
    <w:p>
      <w:pPr>
        <w:ind w:left="2140" w:hanging="251"/>
        <w:spacing w:after="0"/>
        <w:tabs>
          <w:tab w:leader="none" w:pos="21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Redemption Date and the Redemption Price;</w:t>
      </w:r>
    </w:p>
    <w:p>
      <w:pPr>
        <w:spacing w:after="0" w:line="117" w:lineRule="exact"/>
        <w:rPr>
          <w:rFonts w:ascii="Arial" w:cs="Arial" w:eastAsia="Arial" w:hAnsi="Arial"/>
          <w:sz w:val="18"/>
          <w:szCs w:val="18"/>
          <w:color w:val="auto"/>
        </w:rPr>
      </w:pPr>
    </w:p>
    <w:p>
      <w:pPr>
        <w:ind w:left="2140" w:hanging="251"/>
        <w:spacing w:after="0"/>
        <w:tabs>
          <w:tab w:leader="none" w:pos="21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the date upon which the holder’s right to convert such shares terminates (as determined in accordance with </w:t>
      </w:r>
      <w:r>
        <w:rPr>
          <w:rFonts w:ascii="Arial" w:cs="Arial" w:eastAsia="Arial" w:hAnsi="Arial"/>
          <w:sz w:val="16"/>
          <w:szCs w:val="16"/>
          <w:u w:val="single" w:color="auto"/>
          <w:color w:val="auto"/>
        </w:rPr>
        <w:t>Subsection 4.1</w:t>
      </w:r>
      <w:r>
        <w:rPr>
          <w:rFonts w:ascii="Arial" w:cs="Arial" w:eastAsia="Arial" w:hAnsi="Arial"/>
          <w:sz w:val="16"/>
          <w:szCs w:val="16"/>
          <w:color w:val="auto"/>
        </w:rPr>
        <w:t>); and</w:t>
      </w:r>
    </w:p>
    <w:p>
      <w:pPr>
        <w:spacing w:after="0" w:line="140" w:lineRule="exact"/>
        <w:rPr>
          <w:rFonts w:ascii="Arial" w:cs="Arial" w:eastAsia="Arial" w:hAnsi="Arial"/>
          <w:sz w:val="16"/>
          <w:szCs w:val="16"/>
          <w:color w:val="auto"/>
        </w:rPr>
      </w:pPr>
    </w:p>
    <w:p>
      <w:pPr>
        <w:ind w:left="460" w:right="500" w:firstLine="1429"/>
        <w:spacing w:after="0" w:line="277" w:lineRule="auto"/>
        <w:tabs>
          <w:tab w:leader="none" w:pos="213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for holders of shares in certificated form, that the holder is to surrender to the Corporation, in the manner and at the place designated, his, her or its certificate or certificates representing the shares of Preferred Stock to be redeemed.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261" w:name="page262"/>
    <w:bookmarkEnd w:id="261"/>
    <w:p>
      <w:pPr>
        <w:ind w:right="80" w:firstLine="148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6.3 </w:t>
      </w:r>
      <w:r>
        <w:rPr>
          <w:rFonts w:ascii="Arial" w:cs="Arial" w:eastAsia="Arial" w:hAnsi="Arial"/>
          <w:sz w:val="16"/>
          <w:szCs w:val="16"/>
          <w:u w:val="single" w:color="auto"/>
          <w:color w:val="auto"/>
        </w:rPr>
        <w:t>Surrender of Certificates; Payment</w:t>
      </w:r>
      <w:r>
        <w:rPr>
          <w:rFonts w:ascii="Arial" w:cs="Arial" w:eastAsia="Arial" w:hAnsi="Arial"/>
          <w:sz w:val="16"/>
          <w:szCs w:val="16"/>
          <w:color w:val="auto"/>
        </w:rPr>
        <w:t xml:space="preserve">. On or before the applicable Redemption Date, each holder of shares of Preferred Stock to be redeemed on such Redemption Date, unless such holder has exercised his, her or its right to convert such shares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shall, if a holder of shares in certificated form,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Redemption Price for such shares shall be payable to the order of the person whose name appears on such certificate or certificates as the owner thereof. In the event less than all of the shares of Preferred Stock represented by a certificate are redeemed, a new certificate, instrument, or book entry representing the unredeemed shares of Preferred Stock shall promptly be issued to such holder.</w:t>
      </w:r>
    </w:p>
    <w:p>
      <w:pPr>
        <w:spacing w:after="0" w:line="58" w:lineRule="exact"/>
        <w:rPr>
          <w:sz w:val="20"/>
          <w:szCs w:val="20"/>
          <w:color w:val="auto"/>
        </w:rPr>
      </w:pPr>
    </w:p>
    <w:p>
      <w:pPr>
        <w:ind w:right="40" w:firstLine="1484"/>
        <w:spacing w:after="0" w:line="293"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Rights Subsequent to Redemption</w:t>
      </w:r>
      <w:r>
        <w:rPr>
          <w:rFonts w:ascii="Arial" w:cs="Arial" w:eastAsia="Arial" w:hAnsi="Arial"/>
          <w:sz w:val="16"/>
          <w:szCs w:val="16"/>
          <w:color w:val="auto"/>
        </w:rPr>
        <w:t>. If the Redemption Notice shall have been duly given, and if on the applicable Redemption Date the Redemption Price payable upon redemption of the shares of Preferred Stock to be redeemed on such Redemption Date is paid or tendered for payment or deposited with an independent payment agent so as to be available therefor in a timely manner, then notwithstanding that any certificates evidencing any of the shares of Preferred Stock so called for redemption shall not have been surrendered, dividends with respect to such shares of Preferred Stock shall cease to accrue after such Redemption Date and all rights with respect to such shares shall forthwith after the Redemption Date terminate, except only the right of the holders to receive the Redemption Price without interest upon surrender of any such certificate or certificates therefor.</w:t>
      </w:r>
    </w:p>
    <w:p>
      <w:pPr>
        <w:spacing w:after="0" w:line="57" w:lineRule="exact"/>
        <w:rPr>
          <w:sz w:val="20"/>
          <w:szCs w:val="20"/>
          <w:color w:val="auto"/>
        </w:rPr>
      </w:pPr>
    </w:p>
    <w:p>
      <w:pPr>
        <w:jc w:val="both"/>
        <w:ind w:right="20" w:firstLine="921"/>
        <w:spacing w:after="0" w:line="286" w:lineRule="auto"/>
        <w:tabs>
          <w:tab w:leader="none" w:pos="1093"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Redeemed or Otherwise Acquired Shares</w:t>
      </w:r>
      <w:r>
        <w:rPr>
          <w:rFonts w:ascii="Arial" w:cs="Arial" w:eastAsia="Arial" w:hAnsi="Arial"/>
          <w:sz w:val="17"/>
          <w:szCs w:val="17"/>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57" w:lineRule="exact"/>
        <w:rPr>
          <w:rFonts w:ascii="Arial" w:cs="Arial" w:eastAsia="Arial" w:hAnsi="Arial"/>
          <w:sz w:val="17"/>
          <w:szCs w:val="17"/>
          <w:color w:val="auto"/>
        </w:rPr>
      </w:pPr>
    </w:p>
    <w:p>
      <w:pPr>
        <w:ind w:right="40" w:firstLine="921"/>
        <w:spacing w:after="0" w:line="272" w:lineRule="auto"/>
        <w:tabs>
          <w:tab w:leader="none" w:pos="1093"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Except as otherwise specifically set forth herein or as required under General Corporation Law, any of the rights, powers, preferences and other terms of the Preferred Stock set forth herein may be waived on behalf of all holders of Preferred Stock by the affirmative written consent or vote of the Requisite Preferred Holders. Any rights exercisable hereunder explicitly or required under General Corporation Law by (i) the holders of Series Seed Preferred Stock exclusively as separate class shall require the affirmative written consent or vote of the holders of a majority of the outstanding shares of Series Seed Preferred Stock, (ii) the holders of Series A Preferred Stock exclusively as separate class shall require the affirmative written consent or vote of the holders of a majority of the outstanding shares of Series A Preferred Stock and (iii) the holders of Series B Preferred Stock exclusively as separate class shall require the affirmative written consent or vote of the Requisite Series B Preferred.</w:t>
      </w:r>
    </w:p>
    <w:p>
      <w:pPr>
        <w:spacing w:after="0" w:line="69" w:lineRule="exact"/>
        <w:rPr>
          <w:rFonts w:ascii="Arial" w:cs="Arial" w:eastAsia="Arial" w:hAnsi="Arial"/>
          <w:sz w:val="17"/>
          <w:szCs w:val="17"/>
          <w:color w:val="auto"/>
        </w:rPr>
      </w:pPr>
    </w:p>
    <w:p>
      <w:pPr>
        <w:ind w:firstLine="921"/>
        <w:spacing w:after="0" w:line="286" w:lineRule="auto"/>
        <w:tabs>
          <w:tab w:leader="none" w:pos="1093"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262" w:name="page263"/>
    <w:bookmarkEnd w:id="262"/>
    <w:p>
      <w:pPr>
        <w:ind w:right="40" w:firstLine="913"/>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FIFTH: </w:t>
      </w:r>
      <w:r>
        <w:rPr>
          <w:rFonts w:ascii="Arial" w:cs="Arial" w:eastAsia="Arial" w:hAnsi="Arial"/>
          <w:sz w:val="16"/>
          <w:szCs w:val="16"/>
          <w:color w:val="auto"/>
        </w:rPr>
        <w:t>Subject to any additional vote required by the Certificate of Incorporation or Bylaws, in furtherance and not in limitation of the powers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by statute, the Board of Directors is expressly authorized to make, repeal, alter, amend and rescind any or all of the Bylaws of the Corporation.</w:t>
      </w:r>
    </w:p>
    <w:p>
      <w:pPr>
        <w:spacing w:after="0" w:line="116" w:lineRule="exact"/>
        <w:rPr>
          <w:sz w:val="20"/>
          <w:szCs w:val="20"/>
          <w:color w:val="auto"/>
        </w:rPr>
      </w:pPr>
    </w:p>
    <w:p>
      <w:pPr>
        <w:ind w:right="700" w:firstLine="913"/>
        <w:spacing w:after="0" w:line="282"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Subject to any additional vote required by the Certificate of Incorporation, the number of directors of the Corporation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manner set forth in the Bylaws of the Corporation.</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225"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of the Corporation may provide. The</w:t>
      </w:r>
      <w:r>
        <w:rPr>
          <w:rFonts w:ascii="Arial" w:cs="Arial" w:eastAsia="Arial" w:hAnsi="Arial"/>
          <w:sz w:val="18"/>
          <w:szCs w:val="18"/>
          <w:b w:val="1"/>
          <w:bCs w:val="1"/>
          <w:color w:val="auto"/>
        </w:rPr>
        <w:t xml:space="preserve"> </w:t>
      </w:r>
      <w:r>
        <w:rPr>
          <w:rFonts w:ascii="Arial" w:cs="Arial" w:eastAsia="Arial" w:hAnsi="Arial"/>
          <w:sz w:val="18"/>
          <w:szCs w:val="18"/>
          <w:color w:val="auto"/>
        </w:rPr>
        <w:t>books of the Corporation may be kept outside the State of Delaware at such place or places as may be designated from time to time by the Board of Directors or in the Bylaws of the Corporation.</w:t>
      </w:r>
    </w:p>
    <w:p>
      <w:pPr>
        <w:spacing w:after="0" w:line="176" w:lineRule="exact"/>
        <w:rPr>
          <w:sz w:val="20"/>
          <w:szCs w:val="20"/>
          <w:color w:val="auto"/>
        </w:rPr>
      </w:pPr>
    </w:p>
    <w:p>
      <w:pPr>
        <w:ind w:right="40" w:firstLine="913"/>
        <w:spacing w:after="0" w:line="303" w:lineRule="auto"/>
        <w:rPr>
          <w:sz w:val="20"/>
          <w:szCs w:val="20"/>
          <w:color w:val="auto"/>
        </w:rPr>
      </w:pPr>
      <w:r>
        <w:rPr>
          <w:rFonts w:ascii="Arial" w:cs="Arial" w:eastAsia="Arial" w:hAnsi="Arial"/>
          <w:sz w:val="16"/>
          <w:szCs w:val="16"/>
          <w:b w:val="1"/>
          <w:bCs w:val="1"/>
          <w:color w:val="auto"/>
        </w:rPr>
        <w:t xml:space="preserve">NINTH: </w:t>
      </w:r>
      <w:r>
        <w:rPr>
          <w:rFonts w:ascii="Arial" w:cs="Arial" w:eastAsia="Arial" w:hAnsi="Arial"/>
          <w:sz w:val="16"/>
          <w:szCs w:val="16"/>
          <w:color w:val="auto"/>
        </w:rPr>
        <w:t>To the fullest extent permitted by law, a director of the Corporation shall not be personally liable to the Corporation or its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5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77" w:lineRule="exact"/>
        <w:rPr>
          <w:sz w:val="20"/>
          <w:szCs w:val="20"/>
          <w:color w:val="auto"/>
        </w:rPr>
      </w:pPr>
    </w:p>
    <w:p>
      <w:pPr>
        <w:ind w:right="160" w:firstLine="913"/>
        <w:spacing w:after="0" w:line="281" w:lineRule="auto"/>
        <w:rPr>
          <w:sz w:val="20"/>
          <w:szCs w:val="20"/>
          <w:color w:val="auto"/>
        </w:rPr>
      </w:pPr>
      <w:r>
        <w:rPr>
          <w:rFonts w:ascii="Arial" w:cs="Arial" w:eastAsia="Arial" w:hAnsi="Arial"/>
          <w:sz w:val="17"/>
          <w:szCs w:val="17"/>
          <w:b w:val="1"/>
          <w:bCs w:val="1"/>
          <w:color w:val="auto"/>
        </w:rPr>
        <w:t xml:space="preserve">TENTH: </w:t>
      </w:r>
      <w:r>
        <w:rPr>
          <w:rFonts w:ascii="Arial" w:cs="Arial" w:eastAsia="Arial" w:hAnsi="Arial"/>
          <w:sz w:val="17"/>
          <w:szCs w:val="17"/>
          <w:color w:val="auto"/>
        </w:rPr>
        <w:t>To the fullest extent permitted by applicable law, the Corporation is authorized to provide indemnification of (and advancement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w:t>
      </w:r>
      <w:r>
        <w:rPr>
          <w:rFonts w:ascii="Arial" w:cs="Arial" w:eastAsia="Arial" w:hAnsi="Arial"/>
          <w:sz w:val="17"/>
          <w:szCs w:val="17"/>
          <w:u w:val="single" w:color="auto"/>
          <w:color w:val="auto"/>
        </w:rPr>
        <w:t>Section 145</w:t>
      </w:r>
      <w:r>
        <w:rPr>
          <w:rFonts w:ascii="Arial" w:cs="Arial" w:eastAsia="Arial" w:hAnsi="Arial"/>
          <w:sz w:val="17"/>
          <w:szCs w:val="17"/>
          <w:color w:val="auto"/>
        </w:rPr>
        <w:t xml:space="preserve"> of the General Corporation Law.</w:t>
      </w:r>
    </w:p>
    <w:p>
      <w:pPr>
        <w:spacing w:after="0" w:line="169"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Any amendment, repeal or modification of the foregoing provisions of this Article Tenth shall not adversely affect any right or protection of any director, officer or other agent of the Corporation existing at the time of such amendment, repeal or modification.</w:t>
      </w:r>
    </w:p>
    <w:p>
      <w:pPr>
        <w:spacing w:after="0" w:line="166" w:lineRule="exact"/>
        <w:rPr>
          <w:sz w:val="20"/>
          <w:szCs w:val="20"/>
          <w:color w:val="auto"/>
        </w:rPr>
      </w:pPr>
    </w:p>
    <w:p>
      <w:pPr>
        <w:ind w:right="40" w:firstLine="913"/>
        <w:spacing w:after="0" w:line="261" w:lineRule="auto"/>
        <w:rPr>
          <w:sz w:val="20"/>
          <w:szCs w:val="20"/>
          <w:color w:val="auto"/>
        </w:rPr>
      </w:pPr>
      <w:r>
        <w:rPr>
          <w:rFonts w:ascii="Arial" w:cs="Arial" w:eastAsia="Arial" w:hAnsi="Arial"/>
          <w:sz w:val="18"/>
          <w:szCs w:val="18"/>
          <w:b w:val="1"/>
          <w:bCs w:val="1"/>
          <w:color w:val="auto"/>
        </w:rPr>
        <w:t xml:space="preserve">ELEVENTH: </w:t>
      </w:r>
      <w:r>
        <w:rPr>
          <w:rFonts w:ascii="Arial" w:cs="Arial" w:eastAsia="Arial" w:hAnsi="Arial"/>
          <w:sz w:val="18"/>
          <w:szCs w:val="18"/>
          <w:color w:val="auto"/>
        </w:rPr>
        <w:t>The Corporation renounces, to the fullest extent permitted by law, any interest or expectancy of the Corporation in, or in being</w:t>
      </w:r>
      <w:r>
        <w:rPr>
          <w:rFonts w:ascii="Arial" w:cs="Arial" w:eastAsia="Arial" w:hAnsi="Arial"/>
          <w:sz w:val="18"/>
          <w:szCs w:val="18"/>
          <w:b w:val="1"/>
          <w:bCs w:val="1"/>
          <w:color w:val="auto"/>
        </w:rPr>
        <w:t xml:space="preserve"> </w:t>
      </w:r>
      <w:r>
        <w:rPr>
          <w:rFonts w:ascii="Arial" w:cs="Arial" w:eastAsia="Arial" w:hAnsi="Arial"/>
          <w:sz w:val="18"/>
          <w:szCs w:val="18"/>
          <w:color w:val="auto"/>
        </w:rPr>
        <w:t>offered an opportunity to participate in, any Excluded Opportunity. An “</w:t>
      </w:r>
      <w:r>
        <w:rPr>
          <w:rFonts w:ascii="Arial" w:cs="Arial" w:eastAsia="Arial" w:hAnsi="Arial"/>
          <w:sz w:val="18"/>
          <w:szCs w:val="18"/>
          <w:b w:val="1"/>
          <w:bCs w:val="1"/>
          <w:color w:val="auto"/>
        </w:rPr>
        <w:t>Excluded Opportunity</w:t>
      </w:r>
      <w:r>
        <w:rPr>
          <w:rFonts w:ascii="Arial" w:cs="Arial" w:eastAsia="Arial" w:hAnsi="Arial"/>
          <w:sz w:val="18"/>
          <w:szCs w:val="18"/>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270" w:right="319" w:bottom="1440" w:gutter="0" w:footer="0" w:header="0"/>
        </w:sectPr>
      </w:pPr>
    </w:p>
    <w:bookmarkStart w:id="263" w:name="page264"/>
    <w:bookmarkEnd w:id="26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 employee or agent of any such holder, other than someone who is an employee of the Corporation or any of its subsidiaries (collectively,</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Persons</w:t>
      </w:r>
      <w:r>
        <w:rPr>
          <w:rFonts w:ascii="Arial" w:cs="Arial" w:eastAsia="Arial" w:hAnsi="Arial"/>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8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b w:val="1"/>
          <w:bCs w:val="1"/>
          <w:color w:val="auto"/>
        </w:rPr>
        <w:t xml:space="preserve">TWELFTH: </w:t>
      </w:r>
      <w:r>
        <w:rPr>
          <w:rFonts w:ascii="Arial" w:cs="Arial" w:eastAsia="Arial" w:hAnsi="Arial"/>
          <w:sz w:val="16"/>
          <w:szCs w:val="16"/>
          <w:color w:val="auto"/>
        </w:rPr>
        <w:t>Unless the Corporation consents in writing to the selection of an alternative forum, the Court of Chancery in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76" w:lineRule="exact"/>
        <w:rPr>
          <w:sz w:val="20"/>
          <w:szCs w:val="20"/>
          <w:color w:val="auto"/>
        </w:rPr>
      </w:pPr>
    </w:p>
    <w:p>
      <w:pPr>
        <w:jc w:val="center"/>
        <w:ind w:right="-19"/>
        <w:spacing w:after="0"/>
        <w:tabs>
          <w:tab w:leader="none" w:pos="200" w:val="left"/>
          <w:tab w:leader="none" w:pos="20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ind w:right="840" w:firstLine="921"/>
        <w:spacing w:after="0" w:line="277" w:lineRule="auto"/>
        <w:tabs>
          <w:tab w:leader="none" w:pos="1093"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That the foregoing amendment and restatement was approved by the holders of the requisite number of shares of this corporation in accordance with Section 228 of the General Corporation Law.</w:t>
      </w:r>
    </w:p>
    <w:p>
      <w:pPr>
        <w:spacing w:after="0" w:line="62" w:lineRule="exact"/>
        <w:rPr>
          <w:rFonts w:ascii="Arial" w:cs="Arial" w:eastAsia="Arial" w:hAnsi="Arial"/>
          <w:sz w:val="18"/>
          <w:szCs w:val="18"/>
          <w:b w:val="1"/>
          <w:bCs w:val="1"/>
          <w:color w:val="auto"/>
        </w:rPr>
      </w:pPr>
    </w:p>
    <w:p>
      <w:pPr>
        <w:ind w:right="340" w:firstLine="921"/>
        <w:spacing w:after="0" w:line="308" w:lineRule="auto"/>
        <w:tabs>
          <w:tab w:leader="none" w:pos="1093" w:val="left"/>
        </w:tabs>
        <w:numPr>
          <w:ilvl w:val="0"/>
          <w:numId w:val="155"/>
        </w:numPr>
        <w:rPr>
          <w:rFonts w:ascii="Arial" w:cs="Arial" w:eastAsia="Arial" w:hAnsi="Arial"/>
          <w:sz w:val="17"/>
          <w:szCs w:val="17"/>
          <w:b w:val="1"/>
          <w:bCs w:val="1"/>
          <w:color w:val="auto"/>
        </w:rPr>
      </w:pPr>
      <w:r>
        <w:rPr>
          <w:rFonts w:ascii="Arial" w:cs="Arial" w:eastAsia="Arial" w:hAnsi="Arial"/>
          <w:sz w:val="17"/>
          <w:szCs w:val="17"/>
          <w:color w:val="auto"/>
        </w:rPr>
        <w:t>That this Third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64" w:name="page265"/>
    <w:bookmarkEnd w:id="264"/>
    <w:p>
      <w:pPr>
        <w:ind w:right="6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this Third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January 19, 2018.</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Geoffrey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Geoffrey MacKay, President and Chief Executive Officer</w:t>
      </w:r>
    </w:p>
    <w:p>
      <w:pPr>
        <w:spacing w:after="0" w:line="244"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HIRD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ERTIFICATE OF</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NCORPORATION OF</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VRO</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ectPr>
          <w:pgSz w:w="11900" w:h="16838" w:orient="portrait"/>
          <w:cols w:equalWidth="0" w:num="1">
            <w:col w:w="11000"/>
          </w:cols>
          <w:pgMar w:left="240" w:top="270" w:right="65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t>
      </w:r>
      <w:r>
        <w:rPr>
          <w:rFonts w:ascii="Arial" w:cs="Arial" w:eastAsia="Arial" w:hAnsi="Arial"/>
          <w:sz w:val="18"/>
          <w:szCs w:val="18"/>
          <w:b w:val="1"/>
          <w:bCs w:val="1"/>
          <w:u w:val="single" w:color="auto"/>
          <w:color w:val="auto"/>
        </w:rPr>
        <w:t>Corporation</w:t>
      </w:r>
      <w:r>
        <w:rPr>
          <w:rFonts w:ascii="Arial" w:cs="Arial" w:eastAsia="Arial" w:hAnsi="Arial"/>
          <w:sz w:val="18"/>
          <w:szCs w:val="18"/>
          <w:b w:val="1"/>
          <w:bCs w:val="1"/>
          <w:color w:val="auto"/>
        </w:rPr>
        <w:t>”)</w:t>
      </w:r>
    </w:p>
    <w:p>
      <w:pPr>
        <w:spacing w:after="0" w:line="229" w:lineRule="exact"/>
        <w:rPr>
          <w:sz w:val="20"/>
          <w:szCs w:val="20"/>
          <w:color w:val="auto"/>
        </w:rPr>
      </w:pPr>
    </w:p>
    <w:p>
      <w:pPr>
        <w:ind w:left="640" w:hanging="176"/>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Stockholders</w:t>
      </w:r>
    </w:p>
    <w:p>
      <w:pPr>
        <w:spacing w:after="0" w:line="117" w:lineRule="exact"/>
        <w:rPr>
          <w:rFonts w:ascii="Arial" w:cs="Arial" w:eastAsia="Arial" w:hAnsi="Arial"/>
          <w:sz w:val="18"/>
          <w:szCs w:val="18"/>
          <w:color w:val="auto"/>
        </w:rPr>
      </w:pPr>
    </w:p>
    <w:p>
      <w:pPr>
        <w:ind w:right="100" w:firstLine="921"/>
        <w:spacing w:after="0" w:line="297" w:lineRule="auto"/>
        <w:tabs>
          <w:tab w:leader="none" w:pos="1157"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Annual Meeting</w:t>
      </w:r>
      <w:r>
        <w:rPr>
          <w:rFonts w:ascii="Arial" w:cs="Arial" w:eastAsia="Arial" w:hAnsi="Arial"/>
          <w:sz w:val="16"/>
          <w:szCs w:val="16"/>
          <w:color w:val="auto"/>
        </w:rPr>
        <w:t>. The annual meeting of stockholders shall be held for the election of directors each year at such place, date and time as shall be designated by the board of directors of the Corporation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Any other proper business may be transacted at the annual meeting. If no date for the annual meeting is established or said meeting is not held on the date established as provided above, a special meeting in lieu thereof may be held or there may be action by written consent of the stockholders on matters to be voted on at the annual meeting, and such special meeting or written consent shall have for the purposes of these by-laws (the “</w:t>
      </w:r>
      <w:r>
        <w:rPr>
          <w:rFonts w:ascii="Arial" w:cs="Arial" w:eastAsia="Arial" w:hAnsi="Arial"/>
          <w:sz w:val="16"/>
          <w:szCs w:val="16"/>
          <w:u w:val="single" w:color="auto"/>
          <w:color w:val="auto"/>
        </w:rPr>
        <w:t>By-laws</w:t>
      </w:r>
      <w:r>
        <w:rPr>
          <w:rFonts w:ascii="Arial" w:cs="Arial" w:eastAsia="Arial" w:hAnsi="Arial"/>
          <w:sz w:val="16"/>
          <w:szCs w:val="16"/>
          <w:color w:val="auto"/>
        </w:rPr>
        <w:t>”) or otherwise all the force and effect of an annual meeting.</w:t>
      </w:r>
    </w:p>
    <w:p>
      <w:pPr>
        <w:spacing w:after="0" w:line="50" w:lineRule="exact"/>
        <w:rPr>
          <w:rFonts w:ascii="Arial" w:cs="Arial" w:eastAsia="Arial" w:hAnsi="Arial"/>
          <w:sz w:val="16"/>
          <w:szCs w:val="16"/>
          <w:color w:val="auto"/>
        </w:rPr>
      </w:pPr>
    </w:p>
    <w:p>
      <w:pPr>
        <w:ind w:right="100" w:firstLine="921"/>
        <w:spacing w:after="0" w:line="259" w:lineRule="auto"/>
        <w:tabs>
          <w:tab w:leader="none" w:pos="1168"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may be called by the Chief Executive Officer, if one is elected, or, if there is no Chief Executive Officer, a President, or by the Board of Directors, but such special meetings may not be called by any other person or persons. The call for the meeting shall state the place, date, hour and purposes of the meeting. Only the purposes specified in the notice of special meeting shall be considered or dealt with at such special meeting.</w:t>
      </w:r>
    </w:p>
    <w:p>
      <w:pPr>
        <w:spacing w:after="0" w:line="78" w:lineRule="exact"/>
        <w:rPr>
          <w:rFonts w:ascii="Arial" w:cs="Arial" w:eastAsia="Arial" w:hAnsi="Arial"/>
          <w:sz w:val="18"/>
          <w:szCs w:val="18"/>
          <w:color w:val="auto"/>
        </w:rPr>
      </w:pPr>
    </w:p>
    <w:p>
      <w:pPr>
        <w:ind w:right="60" w:firstLine="921"/>
        <w:spacing w:after="0" w:line="290" w:lineRule="auto"/>
        <w:tabs>
          <w:tab w:leader="none" w:pos="1157"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Notice of Meetings</w:t>
      </w:r>
      <w:r>
        <w:rPr>
          <w:rFonts w:ascii="Arial" w:cs="Arial" w:eastAsia="Arial" w:hAnsi="Arial"/>
          <w:sz w:val="16"/>
          <w:szCs w:val="16"/>
          <w:color w:val="auto"/>
        </w:rPr>
        <w:t>. Whenever stockholders are required or permitted to take any action at a meeting, a notice stating the place, if any, date and hour of the meeting, the means of remote communications, if any, by which stockholders and proxyholders may be deemed to be present and vote at such meeting, and, in the case of a special meeting, the purpose or purposes of the meeting, shall be given by the Secretary (or other person authorized by these By-laws or by law) not less than ten (10) nor more than sixty (60) days before the meeting to each stockholder entitled to vote thereat and to each stockholder who, under the certificate of incorporation of the Corporation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or under these By-laws is entitled to such notice. If mailed, notice is given when deposited in the mail, postage prepaid, directed to such stockholder at such stockholder’s address as it appears in the records of the Corporation. Without limiting the manner by which notice otherwise may be effectively given to stockholders, any notice to stockholders may be given by electronic transmission in the manner provided in Section 232 of the Delaware General Corporation Law (the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166"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If a meeting is adjourned to another time or place, notice need not be given of the adjourned meeting if the time and place, if any, and the means of remote communications, if any, by which stockholders and proxyholders may be deemed to be present in person and vote at such adjourned meeting are announced at the meeting at which the adjournment is taken, except that if the adjournment is for more than thirty (30) days, or if after the adjournment a new record date is fixed for the adjourned meeting, notice of the adjourned meeting shall be given to each stockholder of record entitled to vote at the meeting.</w:t>
      </w:r>
    </w:p>
    <w:p>
      <w:pPr>
        <w:sectPr>
          <w:pgSz w:w="11900" w:h="16838" w:orient="portrait"/>
          <w:cols w:equalWidth="0" w:num="1">
            <w:col w:w="11420"/>
          </w:cols>
          <w:pgMar w:left="240" w:top="121" w:right="239" w:bottom="1440" w:gutter="0" w:footer="0" w:header="0"/>
        </w:sectPr>
      </w:pPr>
    </w:p>
    <w:bookmarkStart w:id="266" w:name="page267"/>
    <w:bookmarkEnd w:id="266"/>
    <w:p>
      <w:pPr>
        <w:ind w:left="-60" w:right="60" w:firstLine="921"/>
        <w:spacing w:after="0" w:line="259" w:lineRule="auto"/>
        <w:tabs>
          <w:tab w:leader="none" w:pos="1108"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Quorum</w:t>
      </w:r>
      <w:r>
        <w:rPr>
          <w:rFonts w:ascii="Arial" w:cs="Arial" w:eastAsia="Arial" w:hAnsi="Arial"/>
          <w:sz w:val="18"/>
          <w:szCs w:val="18"/>
          <w:color w:val="auto"/>
        </w:rPr>
        <w:t>. The holders of a majority in interest of all stock issued, outstanding and entitled to vote at a meeting, present in person or represented by proxy, shall constitute a quorum. Any meeting may be adjourned from time to time by a majority of the votes properly cast upon the question, whether or not a quorum is present. The stockholders present at a duly constituted meeting may continue to transact business until adjournment notwithstanding the withdrawal of enough stockholders to reduce the voting shares below a quorum.</w:t>
      </w:r>
    </w:p>
    <w:p>
      <w:pPr>
        <w:spacing w:after="0" w:line="78" w:lineRule="exact"/>
        <w:rPr>
          <w:rFonts w:ascii="Arial" w:cs="Arial" w:eastAsia="Arial" w:hAnsi="Arial"/>
          <w:sz w:val="18"/>
          <w:szCs w:val="18"/>
          <w:color w:val="auto"/>
        </w:rPr>
      </w:pPr>
    </w:p>
    <w:p>
      <w:pPr>
        <w:ind w:left="-60" w:right="60" w:firstLine="921"/>
        <w:spacing w:after="0" w:line="272" w:lineRule="auto"/>
        <w:tabs>
          <w:tab w:leader="none" w:pos="1097"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Voting and Proxies</w:t>
      </w:r>
      <w:r>
        <w:rPr>
          <w:rFonts w:ascii="Arial" w:cs="Arial" w:eastAsia="Arial" w:hAnsi="Arial"/>
          <w:sz w:val="17"/>
          <w:szCs w:val="17"/>
          <w:color w:val="auto"/>
        </w:rPr>
        <w:t>. Except as otherwise provided by the Certificate of Incorporation or by law, each stockholder entitled to vote at any meeting of stockholders shall be entitled to one vote for each share of stock held by such stockholder which has voting power upon the matter in question. Each stockholder entitled to vote at a meeting of stockholders or to express consent or dissent to corporate action in writing without a meeting may authorize another person or persons to act for such stockholder by either written proxy or by a transmission permitted by Section 212(c) of the DGCL, but no proxy shall be voted or acted upon after three years from its date, unless the proxy provides for a longer period or is irrevocable and coupled with an interest. Proxies shall be filed with the Secretary of the meeting, or of any adjournment thereof. Except as otherwise limited therein, proxies shall entitle the persons authorized thereby to vote at any adjournment of such meeting.</w:t>
      </w:r>
    </w:p>
    <w:p>
      <w:pPr>
        <w:spacing w:after="0" w:line="69" w:lineRule="exact"/>
        <w:rPr>
          <w:rFonts w:ascii="Arial" w:cs="Arial" w:eastAsia="Arial" w:hAnsi="Arial"/>
          <w:sz w:val="17"/>
          <w:szCs w:val="17"/>
          <w:color w:val="auto"/>
        </w:rPr>
      </w:pPr>
    </w:p>
    <w:p>
      <w:pPr>
        <w:ind w:left="-60" w:right="20" w:firstLine="921"/>
        <w:spacing w:after="0" w:line="257" w:lineRule="auto"/>
        <w:tabs>
          <w:tab w:leader="none" w:pos="1078"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Action at Meeting</w:t>
      </w:r>
      <w:r>
        <w:rPr>
          <w:rFonts w:ascii="Arial" w:cs="Arial" w:eastAsia="Arial" w:hAnsi="Arial"/>
          <w:sz w:val="18"/>
          <w:szCs w:val="18"/>
          <w:color w:val="auto"/>
        </w:rPr>
        <w:t>. When a quorum is present, any matter before the meeting shall be decided by vote of the holders of a majority of the shares of stock voting on such matter except where a larger vote is required by law, by the Certificate of Incorporation or by these By-laws. Any election of directors by stockholders shall be determined by a plurality of the votes cast, except where a larger vote is required by law, by the Certificate of Incorporation or by these By-laws. The Corporation shall not directly or indirectly vote any share of its own stock; provided, however, that the Corporation may vote shares which it holds in a fiduciary capacity to the extent permitted by law.</w:t>
      </w:r>
    </w:p>
    <w:p>
      <w:pPr>
        <w:spacing w:after="0" w:line="80" w:lineRule="exact"/>
        <w:rPr>
          <w:rFonts w:ascii="Arial" w:cs="Arial" w:eastAsia="Arial" w:hAnsi="Arial"/>
          <w:sz w:val="18"/>
          <w:szCs w:val="18"/>
          <w:color w:val="auto"/>
        </w:rPr>
      </w:pPr>
    </w:p>
    <w:p>
      <w:pPr>
        <w:jc w:val="both"/>
        <w:ind w:left="-60" w:right="20" w:firstLine="921"/>
        <w:spacing w:after="0" w:line="259" w:lineRule="auto"/>
        <w:tabs>
          <w:tab w:leader="none" w:pos="1108"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Presiding Officer</w:t>
      </w:r>
      <w:r>
        <w:rPr>
          <w:rFonts w:ascii="Arial" w:cs="Arial" w:eastAsia="Arial" w:hAnsi="Arial"/>
          <w:sz w:val="18"/>
          <w:szCs w:val="18"/>
          <w:color w:val="auto"/>
        </w:rPr>
        <w:t>. Meetings of stockholders shall be presided over by the Chairman of the Board, if one is elected, or in his or her absence, the Vice Chairman of the Board, if one is elected, or if neither is elected or in their absence, a President. The Board of Directors shall have the authority to appoint a temporary presiding officer to serve at any meeting of the stockholders if the Chairman of the Board, the Vice Chairman of the Board or a President is unable to do so for any reason.</w:t>
      </w:r>
    </w:p>
    <w:p>
      <w:pPr>
        <w:spacing w:after="0" w:line="78" w:lineRule="exact"/>
        <w:rPr>
          <w:rFonts w:ascii="Arial" w:cs="Arial" w:eastAsia="Arial" w:hAnsi="Arial"/>
          <w:sz w:val="18"/>
          <w:szCs w:val="18"/>
          <w:color w:val="auto"/>
        </w:rPr>
      </w:pPr>
    </w:p>
    <w:p>
      <w:pPr>
        <w:ind w:left="-60" w:firstLine="921"/>
        <w:spacing w:after="0" w:line="255" w:lineRule="auto"/>
        <w:tabs>
          <w:tab w:leader="none" w:pos="1108"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Conduct of Meetings</w:t>
      </w:r>
      <w:r>
        <w:rPr>
          <w:rFonts w:ascii="Arial" w:cs="Arial" w:eastAsia="Arial" w:hAnsi="Arial"/>
          <w:sz w:val="18"/>
          <w:szCs w:val="18"/>
          <w:color w:val="auto"/>
        </w:rPr>
        <w:t>. The Board of Directors may adopt by resolution such rules and regulations for the conduct of the meeting of stockholders as it shall deem appropriate. Except to the extent inconsistent with such rules and regulations as adopted by the Board of Directors, the presiding officer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presiding officer of the meeting, may include, without limitation, the following: (i) the establishment of an agenda or order of business for the meeting; (ii) rules and procedures for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300" w:top="274" w:right="279" w:bottom="1440" w:gutter="0" w:footer="0" w:header="0"/>
        </w:sectPr>
      </w:pPr>
    </w:p>
    <w:bookmarkStart w:id="267" w:name="page268"/>
    <w:bookmarkEnd w:id="267"/>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presiding officer of the meeting, meetings of stockholders shall not be required to be held in accordance with the rules of parliamentary procedure.</w:t>
      </w:r>
    </w:p>
    <w:p>
      <w:pPr>
        <w:spacing w:after="0" w:line="80" w:lineRule="exact"/>
        <w:rPr>
          <w:sz w:val="20"/>
          <w:szCs w:val="20"/>
          <w:color w:val="auto"/>
        </w:rPr>
      </w:pPr>
    </w:p>
    <w:p>
      <w:pPr>
        <w:ind w:firstLine="921"/>
        <w:spacing w:after="0" w:line="253" w:lineRule="auto"/>
        <w:tabs>
          <w:tab w:leader="none" w:pos="1128"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Unless otherwise provided in the Certificate of Incorporation, any action required or permitted by law to be taken at any annual or special meeting of stockholders, may be taken without a meeting, without prior notice and without a vote, if a consent or consents in writing, setting forth the action so taken, shall be signed or be approved via electronic transmission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by hand or by certified mail, return receipt requested, or to the Corporation’s principal place of business or to the officer of the Corporation having custody of the minute book. Every written consent shall bear the date of signature and no written consent shall be effective unless, within sixty (60) days of the earliest dated consent delivered pursuant to these By-laws, written consents signed by a sufficient number of stockholders entitled to take action are delivered to the Corporation in the manner set forth in these By-laws. Prompt notice of the taking of the corporate action without a meeting by less than unanimous written consent shall be given to those stockholders who have not consented in writing.</w:t>
      </w:r>
    </w:p>
    <w:p>
      <w:pPr>
        <w:spacing w:after="0" w:line="86" w:lineRule="exact"/>
        <w:rPr>
          <w:rFonts w:ascii="Arial" w:cs="Arial" w:eastAsia="Arial" w:hAnsi="Arial"/>
          <w:sz w:val="18"/>
          <w:szCs w:val="18"/>
          <w:color w:val="auto"/>
        </w:rPr>
      </w:pPr>
    </w:p>
    <w:p>
      <w:pPr>
        <w:ind w:right="100" w:firstLine="921"/>
        <w:spacing w:after="0" w:line="273" w:lineRule="auto"/>
        <w:tabs>
          <w:tab w:leader="none" w:pos="1128" w:val="left"/>
        </w:tabs>
        <w:numPr>
          <w:ilvl w:val="1"/>
          <w:numId w:val="158"/>
        </w:numPr>
        <w:rPr>
          <w:rFonts w:ascii="Arial" w:cs="Arial" w:eastAsia="Arial" w:hAnsi="Arial"/>
          <w:sz w:val="17"/>
          <w:szCs w:val="17"/>
          <w:color w:val="auto"/>
        </w:rPr>
      </w:pPr>
      <w:r>
        <w:rPr>
          <w:rFonts w:ascii="Arial" w:cs="Arial" w:eastAsia="Arial" w:hAnsi="Arial"/>
          <w:sz w:val="17"/>
          <w:szCs w:val="17"/>
          <w:u w:val="single" w:color="auto"/>
          <w:color w:val="auto"/>
        </w:rPr>
        <w:t>Stockholder Lists</w:t>
      </w:r>
      <w:r>
        <w:rPr>
          <w:rFonts w:ascii="Arial" w:cs="Arial" w:eastAsia="Arial" w:hAnsi="Arial"/>
          <w:sz w:val="17"/>
          <w:szCs w:val="17"/>
          <w:color w:val="auto"/>
        </w:rPr>
        <w:t xml:space="preserve">.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Nothing contained in this </w:t>
      </w:r>
      <w:r>
        <w:rPr>
          <w:rFonts w:ascii="Arial" w:cs="Arial" w:eastAsia="Arial" w:hAnsi="Arial"/>
          <w:sz w:val="17"/>
          <w:szCs w:val="17"/>
          <w:u w:val="single" w:color="auto"/>
          <w:color w:val="auto"/>
        </w:rPr>
        <w:t>Section 1(j)</w:t>
      </w:r>
      <w:r>
        <w:rPr>
          <w:rFonts w:ascii="Arial" w:cs="Arial" w:eastAsia="Arial" w:hAnsi="Arial"/>
          <w:sz w:val="17"/>
          <w:szCs w:val="17"/>
          <w:color w:val="auto"/>
        </w:rPr>
        <w:t xml:space="preserve">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in the manner provided by law. The list shall also be open to the examination of any stockholder during the whole time of the meeting as provided by law.</w:t>
      </w:r>
    </w:p>
    <w:p>
      <w:pPr>
        <w:spacing w:after="0" w:line="70" w:lineRule="exact"/>
        <w:rPr>
          <w:rFonts w:ascii="Arial" w:cs="Arial" w:eastAsia="Arial" w:hAnsi="Arial"/>
          <w:sz w:val="17"/>
          <w:szCs w:val="17"/>
          <w:color w:val="auto"/>
        </w:rPr>
      </w:pPr>
    </w:p>
    <w:p>
      <w:pPr>
        <w:ind w:left="640" w:hanging="176"/>
        <w:spacing w:after="0"/>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Directors</w:t>
      </w:r>
    </w:p>
    <w:p>
      <w:pPr>
        <w:spacing w:after="0" w:line="117" w:lineRule="exact"/>
        <w:rPr>
          <w:rFonts w:ascii="Arial" w:cs="Arial" w:eastAsia="Arial" w:hAnsi="Arial"/>
          <w:sz w:val="18"/>
          <w:szCs w:val="18"/>
          <w:color w:val="auto"/>
        </w:rPr>
      </w:pPr>
    </w:p>
    <w:p>
      <w:pPr>
        <w:ind w:right="40" w:firstLine="921"/>
        <w:spacing w:after="0" w:line="286" w:lineRule="auto"/>
        <w:tabs>
          <w:tab w:leader="none" w:pos="1157" w:val="left"/>
        </w:tabs>
        <w:numPr>
          <w:ilvl w:val="1"/>
          <w:numId w:val="159"/>
        </w:numPr>
        <w:rPr>
          <w:rFonts w:ascii="Arial" w:cs="Arial" w:eastAsia="Arial" w:hAnsi="Arial"/>
          <w:sz w:val="17"/>
          <w:szCs w:val="17"/>
          <w:color w:val="auto"/>
        </w:rPr>
      </w:pPr>
      <w:r>
        <w:rPr>
          <w:rFonts w:ascii="Arial" w:cs="Arial" w:eastAsia="Arial" w:hAnsi="Arial"/>
          <w:sz w:val="17"/>
          <w:szCs w:val="17"/>
          <w:u w:val="single" w:color="auto"/>
          <w:color w:val="auto"/>
        </w:rPr>
        <w:t>Powers</w:t>
      </w:r>
      <w:r>
        <w:rPr>
          <w:rFonts w:ascii="Arial" w:cs="Arial" w:eastAsia="Arial" w:hAnsi="Arial"/>
          <w:sz w:val="17"/>
          <w:szCs w:val="17"/>
          <w:color w:val="auto"/>
        </w:rPr>
        <w:t>. The business of the Corporation shall be managed by or under the direction of a Board of Directors who may exercise all the powers of the Corporation except as otherwise provided by law, by the Certificate of Incorporation or by these By-laws. In the event of a vacancy in the Board of Directors, the remaining directors, except as otherwise provided by law, may exercise the powers of the full Board until the vacancy is filled.</w:t>
      </w:r>
    </w:p>
    <w:p>
      <w:pPr>
        <w:spacing w:after="0" w:line="57" w:lineRule="exact"/>
        <w:rPr>
          <w:rFonts w:ascii="Arial" w:cs="Arial" w:eastAsia="Arial" w:hAnsi="Arial"/>
          <w:sz w:val="17"/>
          <w:szCs w:val="17"/>
          <w:color w:val="auto"/>
        </w:rPr>
      </w:pPr>
    </w:p>
    <w:p>
      <w:pPr>
        <w:ind w:right="120" w:firstLine="921"/>
        <w:spacing w:after="0" w:line="342" w:lineRule="auto"/>
        <w:tabs>
          <w:tab w:leader="none" w:pos="1168"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Number and Qualification</w:t>
      </w:r>
      <w:r>
        <w:rPr>
          <w:rFonts w:ascii="Arial" w:cs="Arial" w:eastAsia="Arial" w:hAnsi="Arial"/>
          <w:sz w:val="16"/>
          <w:szCs w:val="16"/>
          <w:color w:val="auto"/>
        </w:rPr>
        <w:t>. Unless otherwise provided in the Certificate of Incorporation or in these By-laws, the number of directors which shall constitute the whole board shall be determined from time to time by resolution of the Board of Directors. Directors need not be stockholders.</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268" w:name="page269"/>
    <w:bookmarkEnd w:id="268"/>
    <w:p>
      <w:pPr>
        <w:ind w:left="-20" w:right="100" w:firstLine="921"/>
        <w:spacing w:after="0" w:line="264" w:lineRule="auto"/>
        <w:tabs>
          <w:tab w:leader="none" w:pos="1137"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Vacancies; Reduction of Board</w:t>
      </w:r>
      <w:r>
        <w:rPr>
          <w:rFonts w:ascii="Arial" w:cs="Arial" w:eastAsia="Arial" w:hAnsi="Arial"/>
          <w:sz w:val="18"/>
          <w:szCs w:val="18"/>
          <w:color w:val="auto"/>
        </w:rPr>
        <w:t>. A majority of the directors then in office, although less than a quorum, or a sole remaining Director, may fill vacancies in the Board of Directors occurring for any reason and newly created directorships resulting from any increase in the authorized number of directors. In lieu of filling any vacancy, the Board of Directors may reduce the number of directors.</w:t>
      </w:r>
    </w:p>
    <w:p>
      <w:pPr>
        <w:spacing w:after="0" w:line="73" w:lineRule="exact"/>
        <w:rPr>
          <w:rFonts w:ascii="Arial" w:cs="Arial" w:eastAsia="Arial" w:hAnsi="Arial"/>
          <w:sz w:val="18"/>
          <w:szCs w:val="18"/>
          <w:color w:val="auto"/>
        </w:rPr>
      </w:pPr>
    </w:p>
    <w:p>
      <w:pPr>
        <w:ind w:left="-20" w:right="40" w:firstLine="921"/>
        <w:spacing w:after="0" w:line="259" w:lineRule="auto"/>
        <w:tabs>
          <w:tab w:leader="none" w:pos="1148"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law, by the Certificate of Incorporation or by these By-laws, directors shall hold office until their successors are elected and qualified or until their earlier resignation or removal. Any director may resign at any time upon notice given in writing or by electronic transmission to the Corporation. Such resignation shall be effective upon receipt unless it is specified to be effective at some other time or upon the happening of some other event.</w:t>
      </w:r>
    </w:p>
    <w:p>
      <w:pPr>
        <w:spacing w:after="0" w:line="78" w:lineRule="exact"/>
        <w:rPr>
          <w:rFonts w:ascii="Arial" w:cs="Arial" w:eastAsia="Arial" w:hAnsi="Arial"/>
          <w:sz w:val="18"/>
          <w:szCs w:val="18"/>
          <w:color w:val="auto"/>
        </w:rPr>
      </w:pPr>
    </w:p>
    <w:p>
      <w:pPr>
        <w:ind w:left="-20" w:right="40" w:firstLine="921"/>
        <w:spacing w:after="0" w:line="277" w:lineRule="auto"/>
        <w:tabs>
          <w:tab w:leader="none" w:pos="1137"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To the extent permitted by law, a director may be removed from office with or without cause by vote of the holders of a majority of the shares of stock entitled to vote in the election of directors.</w:t>
      </w:r>
    </w:p>
    <w:p>
      <w:pPr>
        <w:spacing w:after="0" w:line="62" w:lineRule="exact"/>
        <w:rPr>
          <w:rFonts w:ascii="Arial" w:cs="Arial" w:eastAsia="Arial" w:hAnsi="Arial"/>
          <w:sz w:val="18"/>
          <w:szCs w:val="18"/>
          <w:color w:val="auto"/>
        </w:rPr>
      </w:pPr>
    </w:p>
    <w:p>
      <w:pPr>
        <w:jc w:val="both"/>
        <w:ind w:left="-20" w:right="20" w:firstLine="921"/>
        <w:spacing w:after="0" w:line="297" w:lineRule="auto"/>
        <w:tabs>
          <w:tab w:leader="none" w:pos="1118"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Regular meetings of the Board of Directors may be held without notice at such time, date and place as the Board of Directors may from time to time determine. Special meetings of the Board of Directors may be called, orally or in writing, by the Chief Executive Officer, if one is elected, or, if there is no Chief Executive Officer, the President, or by two or more Directors, designating the time, date and place thereof.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w:t>
      </w:r>
    </w:p>
    <w:p>
      <w:pPr>
        <w:spacing w:after="0" w:line="50" w:lineRule="exact"/>
        <w:rPr>
          <w:rFonts w:ascii="Arial" w:cs="Arial" w:eastAsia="Arial" w:hAnsi="Arial"/>
          <w:sz w:val="16"/>
          <w:szCs w:val="16"/>
          <w:color w:val="auto"/>
        </w:rPr>
      </w:pPr>
    </w:p>
    <w:p>
      <w:pPr>
        <w:ind w:left="-20" w:right="100" w:firstLine="921"/>
        <w:spacing w:after="0" w:line="257" w:lineRule="auto"/>
        <w:tabs>
          <w:tab w:leader="none" w:pos="1148"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Notice of Meetings</w:t>
      </w:r>
      <w:r>
        <w:rPr>
          <w:rFonts w:ascii="Arial" w:cs="Arial" w:eastAsia="Arial" w:hAnsi="Arial"/>
          <w:sz w:val="18"/>
          <w:szCs w:val="18"/>
          <w:color w:val="auto"/>
        </w:rPr>
        <w:t>. Notice of the time, date and place of all special meetings of the Board of Directors shall be given to each director by the Secretary, or Assistant Secretary, or in case of the death, absence, incapacity or refusal of such persons, by the officer or one of the directors calling the meeting. Notice shall be given to each director in person, by telephone, or by facsimile, electronic mail or other form of electronic communications, sent to such director’s business or home address at least twenty-four (24) hours in advance of the meeting, or by written notice mailed to such director’s business or home address at least forty-eight (48) hours in advance of the meeting.</w:t>
      </w:r>
    </w:p>
    <w:p>
      <w:pPr>
        <w:spacing w:after="0" w:line="80" w:lineRule="exact"/>
        <w:rPr>
          <w:rFonts w:ascii="Arial" w:cs="Arial" w:eastAsia="Arial" w:hAnsi="Arial"/>
          <w:sz w:val="18"/>
          <w:szCs w:val="18"/>
          <w:color w:val="auto"/>
        </w:rPr>
      </w:pPr>
    </w:p>
    <w:p>
      <w:pPr>
        <w:ind w:left="-20" w:right="40" w:firstLine="921"/>
        <w:spacing w:after="0" w:line="342" w:lineRule="auto"/>
        <w:tabs>
          <w:tab w:leader="none" w:pos="1148"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Quorum</w:t>
      </w:r>
      <w:r>
        <w:rPr>
          <w:rFonts w:ascii="Arial" w:cs="Arial" w:eastAsia="Arial" w:hAnsi="Arial"/>
          <w:sz w:val="16"/>
          <w:szCs w:val="16"/>
          <w:color w:val="auto"/>
        </w:rPr>
        <w:t>. At any meeting of the Board of Directors, a majority of the total number of directors shall constitute a quorum for the transaction of business. Less than a quorum may adjourn any meeting from time to time and the meeting may be held as adjourned without further notice.</w:t>
      </w:r>
    </w:p>
    <w:p>
      <w:pPr>
        <w:spacing w:after="0" w:line="15" w:lineRule="exact"/>
        <w:rPr>
          <w:rFonts w:ascii="Arial" w:cs="Arial" w:eastAsia="Arial" w:hAnsi="Arial"/>
          <w:sz w:val="16"/>
          <w:szCs w:val="16"/>
          <w:color w:val="auto"/>
        </w:rPr>
      </w:pPr>
    </w:p>
    <w:p>
      <w:pPr>
        <w:jc w:val="both"/>
        <w:ind w:left="-20" w:firstLine="921"/>
        <w:spacing w:after="0" w:line="259" w:lineRule="auto"/>
        <w:tabs>
          <w:tab w:leader="none" w:pos="1108"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Action at Meeting</w:t>
      </w:r>
      <w:r>
        <w:rPr>
          <w:rFonts w:ascii="Arial" w:cs="Arial" w:eastAsia="Arial" w:hAnsi="Arial"/>
          <w:sz w:val="18"/>
          <w:szCs w:val="18"/>
          <w:color w:val="auto"/>
        </w:rPr>
        <w:t>. At any meeting of the Board of Directors at which a quorum is present, unless otherwise provided in the following sentence, a majority of the directors present may take any action on behalf of the Board of Directors, unless a larger number is required by law, by the Certificate of Incorporation or by these By-laws. So long as there are two (2) or fewer Directors, any action to be taken by the Board of Directors shall require the approval of all Directors.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74" w:right="259" w:bottom="1440" w:gutter="0" w:footer="0" w:header="0"/>
        </w:sectPr>
      </w:pPr>
    </w:p>
    <w:bookmarkStart w:id="269" w:name="page270"/>
    <w:bookmarkEnd w:id="269"/>
    <w:p>
      <w:pPr>
        <w:ind w:right="60" w:firstLine="921"/>
        <w:spacing w:after="0" w:line="259" w:lineRule="auto"/>
        <w:tabs>
          <w:tab w:leader="none" w:pos="1128"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Action by Consent</w:t>
      </w:r>
      <w:r>
        <w:rPr>
          <w:rFonts w:ascii="Arial" w:cs="Arial" w:eastAsia="Arial" w:hAnsi="Arial"/>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w:t>
      </w:r>
    </w:p>
    <w:p>
      <w:pPr>
        <w:spacing w:after="0" w:line="78" w:lineRule="exact"/>
        <w:rPr>
          <w:rFonts w:ascii="Arial" w:cs="Arial" w:eastAsia="Arial" w:hAnsi="Arial"/>
          <w:sz w:val="18"/>
          <w:szCs w:val="18"/>
          <w:color w:val="auto"/>
        </w:rPr>
      </w:pPr>
    </w:p>
    <w:p>
      <w:pPr>
        <w:ind w:right="180" w:firstLine="921"/>
        <w:spacing w:after="0" w:line="297" w:lineRule="auto"/>
        <w:tabs>
          <w:tab w:leader="none" w:pos="1168"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by resolution passed by a majority of the whole Board of Directors, establish one or more committees, each committee to consist of one or more directors.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w:t>
      </w:r>
    </w:p>
    <w:p>
      <w:pPr>
        <w:ind w:right="220" w:firstLine="8"/>
        <w:spacing w:after="0" w:line="261" w:lineRule="auto"/>
        <w:tabs>
          <w:tab w:leader="none" w:pos="21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approving or adopting, or recommending to the stockholders, any action or matter expressly required by the DGCL to be submitted to stockholders for approval or (ii) adopting, amending or repealing any provision of these By-laws.</w:t>
      </w:r>
    </w:p>
    <w:p>
      <w:pPr>
        <w:spacing w:after="0" w:line="184"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Except as the Board of Directors may otherwise determine, any such committee may make rules for the conduct of its business, but in the absence of such rules its business shall be conducted so far as possible in the same manner as is provided in these By-laws for the Board of Directors. All members of such committees shall hold their committee offices at the pleasure of the Board of Directors, and the Board may abolish any committee at any time.</w:t>
      </w:r>
    </w:p>
    <w:p>
      <w:pPr>
        <w:spacing w:after="0" w:line="39" w:lineRule="exact"/>
        <w:rPr>
          <w:sz w:val="20"/>
          <w:szCs w:val="20"/>
          <w:color w:val="auto"/>
        </w:rPr>
      </w:pPr>
    </w:p>
    <w:p>
      <w:pPr>
        <w:ind w:left="640" w:hanging="176"/>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Officers</w:t>
      </w:r>
    </w:p>
    <w:p>
      <w:pPr>
        <w:spacing w:after="0" w:line="117" w:lineRule="exact"/>
        <w:rPr>
          <w:rFonts w:ascii="Arial" w:cs="Arial" w:eastAsia="Arial" w:hAnsi="Arial"/>
          <w:sz w:val="18"/>
          <w:szCs w:val="18"/>
          <w:color w:val="auto"/>
        </w:rPr>
      </w:pPr>
    </w:p>
    <w:p>
      <w:pPr>
        <w:ind w:right="140" w:firstLine="921"/>
        <w:spacing w:after="0" w:line="302" w:lineRule="auto"/>
        <w:tabs>
          <w:tab w:leader="none" w:pos="1157"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Enumeration</w:t>
      </w:r>
      <w:r>
        <w:rPr>
          <w:rFonts w:ascii="Arial" w:cs="Arial" w:eastAsia="Arial" w:hAnsi="Arial"/>
          <w:sz w:val="16"/>
          <w:szCs w:val="16"/>
          <w:color w:val="auto"/>
        </w:rPr>
        <w:t>. The officers of the Corporation shall consist of one or more Presidents (who, if there is more than one, shall be referred to as Co-Presidents), a Treasurer, a Secretary, and such other officers, including, without limitation, a Chief Executive Officer and one or more Vice Presidents (including Executive Vice Presidents or Senior Vice Presidents), Assistant Vice Presidents, Assistant Treasurers and Assistant Secretaries, as the Board of Directors may determine. The Board of Directors may elect from among its members a Chairman of the Board and a Vice Chairman of the Board.</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274" w:right="359" w:bottom="1440" w:gutter="0" w:footer="0" w:header="0"/>
        </w:sectPr>
      </w:pPr>
    </w:p>
    <w:bookmarkStart w:id="270" w:name="page271"/>
    <w:bookmarkEnd w:id="270"/>
    <w:p>
      <w:pPr>
        <w:ind w:right="440" w:firstLine="921"/>
        <w:spacing w:after="0" w:line="308" w:lineRule="auto"/>
        <w:tabs>
          <w:tab w:leader="none" w:pos="1168"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Election</w:t>
      </w:r>
      <w:r>
        <w:rPr>
          <w:rFonts w:ascii="Arial" w:cs="Arial" w:eastAsia="Arial" w:hAnsi="Arial"/>
          <w:sz w:val="17"/>
          <w:szCs w:val="17"/>
          <w:color w:val="auto"/>
        </w:rPr>
        <w:t>. The Presidents, Treasurer and Secretary shall be elected annually by the Board of Directors at their first meeting following the annual meeting of stockholders. Other officers may be chosen by the Board of Directors at such meeting or at any other meeting.</w:t>
      </w:r>
    </w:p>
    <w:p>
      <w:pPr>
        <w:spacing w:after="0" w:line="38" w:lineRule="exact"/>
        <w:rPr>
          <w:rFonts w:ascii="Arial" w:cs="Arial" w:eastAsia="Arial" w:hAnsi="Arial"/>
          <w:sz w:val="17"/>
          <w:szCs w:val="17"/>
          <w:color w:val="auto"/>
        </w:rPr>
      </w:pPr>
    </w:p>
    <w:p>
      <w:pPr>
        <w:jc w:val="both"/>
        <w:ind w:right="300" w:firstLine="921"/>
        <w:spacing w:after="0" w:line="264" w:lineRule="auto"/>
        <w:tabs>
          <w:tab w:leader="none" w:pos="1157"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Qualification</w:t>
      </w:r>
      <w:r>
        <w:rPr>
          <w:rFonts w:ascii="Arial" w:cs="Arial" w:eastAsia="Arial" w:hAnsi="Arial"/>
          <w:sz w:val="18"/>
          <w:szCs w:val="18"/>
          <w:color w:val="auto"/>
        </w:rPr>
        <w:t>. No officer need be a stockholder or Director. Any two or more offices may be held by the same person. Any officer may be required by the Board of Directors to give bond for the faithful performance of such officer’s duties in such amount and with such sureties as the Board of Directors may determine.</w:t>
      </w:r>
    </w:p>
    <w:p>
      <w:pPr>
        <w:spacing w:after="0" w:line="73" w:lineRule="exact"/>
        <w:rPr>
          <w:rFonts w:ascii="Arial" w:cs="Arial" w:eastAsia="Arial" w:hAnsi="Arial"/>
          <w:sz w:val="18"/>
          <w:szCs w:val="18"/>
          <w:color w:val="auto"/>
        </w:rPr>
      </w:pPr>
    </w:p>
    <w:p>
      <w:pPr>
        <w:ind w:firstLine="921"/>
        <w:spacing w:after="0" w:line="302" w:lineRule="auto"/>
        <w:tabs>
          <w:tab w:leader="none" w:pos="1168"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Tenure</w:t>
      </w:r>
      <w:r>
        <w:rPr>
          <w:rFonts w:ascii="Arial" w:cs="Arial" w:eastAsia="Arial" w:hAnsi="Arial"/>
          <w:sz w:val="16"/>
          <w:szCs w:val="16"/>
          <w:color w:val="auto"/>
        </w:rPr>
        <w:t>. Except as otherwise provided by the Certificate of Incorporation or by these By-laws, each of the officers of the Corporation shall hold office until the first meeting of the Board of Directors following the next annual meeting of stockholders and until such officer’s successor is elected and qualified or until such officer’s earlier resignation or removal. Any officer may resign by delivering his or her written resignation to the Corporation, and such resignation shall be effective upon receipt unless it is specified to be effective at some other time or upon the happening of some other event.</w:t>
      </w:r>
    </w:p>
    <w:p>
      <w:pPr>
        <w:spacing w:after="0" w:line="46" w:lineRule="exact"/>
        <w:rPr>
          <w:rFonts w:ascii="Arial" w:cs="Arial" w:eastAsia="Arial" w:hAnsi="Arial"/>
          <w:sz w:val="16"/>
          <w:szCs w:val="16"/>
          <w:color w:val="auto"/>
        </w:rPr>
      </w:pPr>
    </w:p>
    <w:p>
      <w:pPr>
        <w:ind w:left="1160" w:hanging="239"/>
        <w:spacing w:after="0"/>
        <w:tabs>
          <w:tab w:leader="none" w:pos="1160"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Removal</w:t>
      </w:r>
      <w:r>
        <w:rPr>
          <w:rFonts w:ascii="Arial" w:cs="Arial" w:eastAsia="Arial" w:hAnsi="Arial"/>
          <w:sz w:val="17"/>
          <w:szCs w:val="17"/>
          <w:color w:val="auto"/>
        </w:rPr>
        <w:t>. The Board of Directors may remove any officer with or without cause by a vote of a majority of the directors then in office.</w:t>
      </w:r>
    </w:p>
    <w:p>
      <w:pPr>
        <w:spacing w:after="0" w:line="128" w:lineRule="exact"/>
        <w:rPr>
          <w:rFonts w:ascii="Arial" w:cs="Arial" w:eastAsia="Arial" w:hAnsi="Arial"/>
          <w:sz w:val="17"/>
          <w:szCs w:val="17"/>
          <w:color w:val="auto"/>
        </w:rPr>
      </w:pPr>
    </w:p>
    <w:p>
      <w:pPr>
        <w:ind w:left="1140" w:hanging="219"/>
        <w:spacing w:after="0"/>
        <w:tabs>
          <w:tab w:leader="none" w:pos="114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any office may be filled for the unexpired portion of the term by the Board of Directors.</w:t>
      </w:r>
    </w:p>
    <w:p>
      <w:pPr>
        <w:spacing w:after="0" w:line="117" w:lineRule="exact"/>
        <w:rPr>
          <w:rFonts w:ascii="Arial" w:cs="Arial" w:eastAsia="Arial" w:hAnsi="Arial"/>
          <w:sz w:val="18"/>
          <w:szCs w:val="18"/>
          <w:color w:val="auto"/>
        </w:rPr>
      </w:pPr>
    </w:p>
    <w:p>
      <w:pPr>
        <w:ind w:right="120" w:firstLine="921"/>
        <w:spacing w:after="0" w:line="264" w:lineRule="auto"/>
        <w:tabs>
          <w:tab w:leader="none" w:pos="1168"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Chairman of the Board and Vice Chairman</w:t>
      </w:r>
      <w:r>
        <w:rPr>
          <w:rFonts w:ascii="Arial" w:cs="Arial" w:eastAsia="Arial" w:hAnsi="Arial"/>
          <w:sz w:val="18"/>
          <w:szCs w:val="18"/>
          <w:color w:val="auto"/>
        </w:rPr>
        <w:t>. Unless otherwise provided by the Board of Directors, the Chairman of the Board of Directors, if one is elected, shall preside, when present, at all meetings of the stockholders and the Board of Directors. The Chairman of the Board shall have such other powers and shall perform such duties as the Board of Directors may from time to time designate.</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Unless otherwise provided by the Board of Directors, in the absence of the Chairman of the Board, the Vice Chairman of the Board, if one is elected, shall preside, when present, at all meetings of the stockholders and the Board of Directors. The Vice Chairman of the Board shall have such other powers and shall perform such duties as the Board of Directors may from time to time designate.</w:t>
      </w:r>
    </w:p>
    <w:p>
      <w:pPr>
        <w:spacing w:after="0" w:line="73" w:lineRule="exact"/>
        <w:rPr>
          <w:sz w:val="20"/>
          <w:szCs w:val="20"/>
          <w:color w:val="auto"/>
        </w:rPr>
      </w:pPr>
    </w:p>
    <w:p>
      <w:pPr>
        <w:ind w:right="80" w:firstLine="921"/>
        <w:spacing w:after="0" w:line="277" w:lineRule="auto"/>
        <w:tabs>
          <w:tab w:leader="none" w:pos="1168"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if one is elected, shall have such powers and shall perform such duties as the Board of Directors may from time to time designate.</w:t>
      </w:r>
    </w:p>
    <w:p>
      <w:pPr>
        <w:spacing w:after="0" w:line="62" w:lineRule="exact"/>
        <w:rPr>
          <w:rFonts w:ascii="Arial" w:cs="Arial" w:eastAsia="Arial" w:hAnsi="Arial"/>
          <w:sz w:val="18"/>
          <w:szCs w:val="18"/>
          <w:color w:val="auto"/>
        </w:rPr>
      </w:pPr>
    </w:p>
    <w:p>
      <w:pPr>
        <w:ind w:right="40" w:firstLine="921"/>
        <w:spacing w:after="0" w:line="279" w:lineRule="auto"/>
        <w:tabs>
          <w:tab w:leader="none" w:pos="1128"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Presidents</w:t>
      </w:r>
      <w:r>
        <w:rPr>
          <w:rFonts w:ascii="Arial" w:cs="Arial" w:eastAsia="Arial" w:hAnsi="Arial"/>
          <w:sz w:val="17"/>
          <w:szCs w:val="17"/>
          <w:color w:val="auto"/>
        </w:rPr>
        <w:t>. The Presidents shall, subject to the direction of the Board of Directors, each have general supervision and control of the Corporation’s business and any action that would typically be taken by a President may be taken by any Co-President. If there is no Chairman of the Board or Vice Chairman of the Board, a President shall preside, when present, at all meetings of stockholders and the Board of Directors. The Presidents shall have such other powers and shall perform such duties as the Board of Directors may from time to time designate.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71" w:name="page272"/>
    <w:bookmarkEnd w:id="271"/>
    <w:p>
      <w:pPr>
        <w:ind w:left="-20" w:right="100" w:firstLine="921"/>
        <w:spacing w:after="0" w:line="308" w:lineRule="auto"/>
        <w:tabs>
          <w:tab w:leader="none" w:pos="1108"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Vice Presidents and Assistant Vice Presidents</w:t>
      </w:r>
      <w:r>
        <w:rPr>
          <w:rFonts w:ascii="Arial" w:cs="Arial" w:eastAsia="Arial" w:hAnsi="Arial"/>
          <w:sz w:val="17"/>
          <w:szCs w:val="17"/>
          <w:color w:val="auto"/>
        </w:rPr>
        <w:t>. Any Vice President (including any Executive Vice President or Senior Vice President) and any Assistant Vice President shall have such powers and shall perform such duties as the Board of Directors may from time to time designate.</w:t>
      </w:r>
    </w:p>
    <w:p>
      <w:pPr>
        <w:spacing w:after="0" w:line="38" w:lineRule="exact"/>
        <w:rPr>
          <w:rFonts w:ascii="Arial" w:cs="Arial" w:eastAsia="Arial" w:hAnsi="Arial"/>
          <w:sz w:val="17"/>
          <w:szCs w:val="17"/>
          <w:color w:val="auto"/>
        </w:rPr>
      </w:pPr>
    </w:p>
    <w:p>
      <w:pPr>
        <w:ind w:left="-20" w:right="20" w:firstLine="921"/>
        <w:spacing w:after="0" w:line="259" w:lineRule="auto"/>
        <w:tabs>
          <w:tab w:leader="none" w:pos="1148"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Treasurer and Assistant Treasurers</w:t>
      </w:r>
      <w:r>
        <w:rPr>
          <w:rFonts w:ascii="Arial" w:cs="Arial" w:eastAsia="Arial" w:hAnsi="Arial"/>
          <w:sz w:val="18"/>
          <w:szCs w:val="18"/>
          <w:color w:val="auto"/>
        </w:rPr>
        <w:t>. The Treasurer shall, subject to the direction of the Board of Directors, have general charge of the financial affairs of the Corporation and shall cause to be kept accurate books of account. The Treasurer shall have custody of all funds, securities, and valuable documents of the Corporation, except as the Board of Directors may otherwise provide. The Treasurer shall have such other powers and shall perform such duties as the Board of Directors may from time to time designate.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Assistant Treasurer shall have such powers and perform such duties as the Board of Directors may from time to time designate.</w:t>
      </w:r>
    </w:p>
    <w:p>
      <w:pPr>
        <w:spacing w:after="0" w:line="117" w:lineRule="exact"/>
        <w:rPr>
          <w:sz w:val="20"/>
          <w:szCs w:val="20"/>
          <w:color w:val="auto"/>
        </w:rPr>
      </w:pPr>
    </w:p>
    <w:p>
      <w:pPr>
        <w:ind w:left="-20" w:right="20" w:firstLine="921"/>
        <w:spacing w:after="0" w:line="257" w:lineRule="auto"/>
        <w:tabs>
          <w:tab w:leader="none" w:pos="1108"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Secretary and Assistant Secretaries</w:t>
      </w:r>
      <w:r>
        <w:rPr>
          <w:rFonts w:ascii="Arial" w:cs="Arial" w:eastAsia="Arial" w:hAnsi="Arial"/>
          <w:sz w:val="18"/>
          <w:szCs w:val="18"/>
          <w:color w:val="auto"/>
        </w:rPr>
        <w:t>. The Secretary shall record the proceedings of all meetings of the stockholders and the Board of Directors (including committees of the Board) in books kept for that purpose. In the absence of the Secretary from any such meeting an Assistant Secretary, or if such person is absent, a temporary secretary chosen at the meeting, shall record the proceedings thereof. The Secretary shall have charge of the stock ledger (which may, however, be kept by any transfer or other agent of the Corporation) and shall have such other duties and powers as may be designated from time to time by the Board of Directors.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Assistant Secretary shall have such powers and perform such duties as the Board of Directors may from time to time designate.</w:t>
      </w:r>
    </w:p>
    <w:p>
      <w:pPr>
        <w:spacing w:after="0" w:line="117" w:lineRule="exact"/>
        <w:rPr>
          <w:sz w:val="20"/>
          <w:szCs w:val="20"/>
          <w:color w:val="auto"/>
        </w:rPr>
      </w:pPr>
    </w:p>
    <w:p>
      <w:pPr>
        <w:ind w:left="-20" w:right="460" w:firstLine="921"/>
        <w:spacing w:after="0" w:line="264" w:lineRule="auto"/>
        <w:tabs>
          <w:tab w:leader="none" w:pos="1198"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Other Powers and Duties</w:t>
      </w:r>
      <w:r>
        <w:rPr>
          <w:rFonts w:ascii="Arial" w:cs="Arial" w:eastAsia="Arial" w:hAnsi="Arial"/>
          <w:sz w:val="18"/>
          <w:szCs w:val="18"/>
          <w:color w:val="auto"/>
        </w:rPr>
        <w:t>. Subject to these By-laws, each officer of the Corporation shall have in addition to the duties and powers specifically set forth in these By-laws, such duties and powers as are customarily incident to such officer’s office, and such duties and powers as may be designated from time to time by the Board of Directors.</w:t>
      </w:r>
    </w:p>
    <w:p>
      <w:pPr>
        <w:spacing w:after="0" w:line="73" w:lineRule="exact"/>
        <w:rPr>
          <w:rFonts w:ascii="Arial" w:cs="Arial" w:eastAsia="Arial" w:hAnsi="Arial"/>
          <w:sz w:val="18"/>
          <w:szCs w:val="18"/>
          <w:color w:val="auto"/>
        </w:rPr>
      </w:pPr>
    </w:p>
    <w:p>
      <w:pPr>
        <w:ind w:left="620" w:hanging="176"/>
        <w:spacing w:after="0"/>
        <w:tabs>
          <w:tab w:leader="none" w:pos="6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Capital Stock</w:t>
      </w:r>
    </w:p>
    <w:p>
      <w:pPr>
        <w:spacing w:after="0" w:line="117" w:lineRule="exact"/>
        <w:rPr>
          <w:rFonts w:ascii="Arial" w:cs="Arial" w:eastAsia="Arial" w:hAnsi="Arial"/>
          <w:sz w:val="18"/>
          <w:szCs w:val="18"/>
          <w:color w:val="auto"/>
        </w:rPr>
      </w:pPr>
    </w:p>
    <w:p>
      <w:pPr>
        <w:ind w:left="-20" w:firstLine="921"/>
        <w:spacing w:after="0" w:line="291" w:lineRule="auto"/>
        <w:tabs>
          <w:tab w:leader="none" w:pos="1137" w:val="left"/>
        </w:tabs>
        <w:numPr>
          <w:ilvl w:val="1"/>
          <w:numId w:val="169"/>
        </w:numPr>
        <w:rPr>
          <w:rFonts w:ascii="Arial" w:cs="Arial" w:eastAsia="Arial" w:hAnsi="Arial"/>
          <w:sz w:val="16"/>
          <w:szCs w:val="16"/>
          <w:color w:val="auto"/>
        </w:rPr>
      </w:pPr>
      <w:r>
        <w:rPr>
          <w:rFonts w:ascii="Arial" w:cs="Arial" w:eastAsia="Arial" w:hAnsi="Arial"/>
          <w:sz w:val="16"/>
          <w:szCs w:val="16"/>
          <w:u w:val="single" w:color="auto"/>
          <w:color w:val="auto"/>
        </w:rPr>
        <w:t>Certificates of Stock</w:t>
      </w:r>
      <w:r>
        <w:rPr>
          <w:rFonts w:ascii="Arial" w:cs="Arial" w:eastAsia="Arial" w:hAnsi="Arial"/>
          <w:sz w:val="16"/>
          <w:szCs w:val="16"/>
          <w:color w:val="auto"/>
        </w:rPr>
        <w:t>. Each stockholder shall be entitled to a certificate of the capital stock of the Corporation in such form as may from time to time be prescribed by the Board of Directors. Such certificate shall be signed by a President or a Vice President, and by the Treasurer or an Assistant Treasurer, or the Secretary or an Assistant Secretary. Such signatures may be a facsimile.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such person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The Corporation shall be permitted to issue fractional shares.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74" w:right="239" w:bottom="1440" w:gutter="0" w:footer="0" w:header="0"/>
        </w:sectPr>
      </w:pPr>
    </w:p>
    <w:bookmarkStart w:id="272" w:name="page273"/>
    <w:bookmarkEnd w:id="272"/>
    <w:p>
      <w:pPr>
        <w:ind w:firstLine="921"/>
        <w:spacing w:after="0" w:line="312" w:lineRule="auto"/>
        <w:tabs>
          <w:tab w:leader="none" w:pos="1168"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Transfers</w:t>
      </w:r>
      <w:r>
        <w:rPr>
          <w:rFonts w:ascii="Arial" w:cs="Arial" w:eastAsia="Arial" w:hAnsi="Arial"/>
          <w:sz w:val="16"/>
          <w:szCs w:val="16"/>
          <w:color w:val="auto"/>
        </w:rPr>
        <w:t>. Subject to any restrictions on transfer, shares of stock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w:t>
      </w:r>
    </w:p>
    <w:p>
      <w:pPr>
        <w:spacing w:after="0" w:line="38" w:lineRule="exact"/>
        <w:rPr>
          <w:rFonts w:ascii="Arial" w:cs="Arial" w:eastAsia="Arial" w:hAnsi="Arial"/>
          <w:sz w:val="16"/>
          <w:szCs w:val="16"/>
          <w:color w:val="auto"/>
        </w:rPr>
      </w:pPr>
    </w:p>
    <w:p>
      <w:pPr>
        <w:jc w:val="both"/>
        <w:ind w:right="200" w:firstLine="921"/>
        <w:spacing w:after="0" w:line="259" w:lineRule="auto"/>
        <w:tabs>
          <w:tab w:leader="none" w:pos="1157"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Record Holders</w:t>
      </w:r>
      <w:r>
        <w:rPr>
          <w:rFonts w:ascii="Arial" w:cs="Arial" w:eastAsia="Arial" w:hAnsi="Arial"/>
          <w:sz w:val="18"/>
          <w:szCs w:val="18"/>
          <w:color w:val="auto"/>
        </w:rPr>
        <w:t>. Except as may otherwise be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shall be the duty of each stockholder to notify the Corporation of such stockholder’s post office address.</w:t>
      </w:r>
    </w:p>
    <w:p>
      <w:pPr>
        <w:spacing w:after="0" w:line="117" w:lineRule="exact"/>
        <w:rPr>
          <w:sz w:val="20"/>
          <w:szCs w:val="20"/>
          <w:color w:val="auto"/>
        </w:rPr>
      </w:pPr>
    </w:p>
    <w:p>
      <w:pPr>
        <w:ind w:right="40" w:firstLine="921"/>
        <w:spacing w:after="0" w:line="291" w:lineRule="auto"/>
        <w:tabs>
          <w:tab w:leader="none" w:pos="1168"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Record Date</w:t>
      </w:r>
      <w:r>
        <w:rPr>
          <w:rFonts w:ascii="Arial" w:cs="Arial" w:eastAsia="Arial" w:hAnsi="Arial"/>
          <w:sz w:val="16"/>
          <w:szCs w:val="16"/>
          <w:color w:val="auto"/>
        </w:rPr>
        <w:t>. In order that the Corporation may determine the stockholders entitled to notice of or to vote at any meeting of stockholders or any adjournment thereof, or to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precede the date on which it is established, and which shall not be more than sixty (60) nor less than ten (10) days before the date of such meeting, more than ten (10) days after the date on which the record date for stockholder consent without a meeting is established, nor more than sixty (60) days prior to any other action. In such case only stockholders of record on such record date shall be so entitled notwithstanding any transfer of stock on the books of the Corporation after the record date.</w:t>
      </w:r>
    </w:p>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(ii) the record date for determining stockholders entitled to consent to corporate action in writing without a meeting, when no prior action by the Board of Directors is necessary, shall be the first date on which a signed written consent setting forth the action taken or proposed to be taken is delivered to the Corporation by delivery to its registered office in this state, to its principal place of business, or to an officer or agent of the Corporation having custody of the book in which proceedings of meetings of stockholders are recorded, and (iii) the record date for determining stockholders for any other purpose shall be at the close of business on the day on which the Board of Directors adopts the resolution relating thereto.</w:t>
      </w:r>
    </w:p>
    <w:p>
      <w:pPr>
        <w:spacing w:after="0" w:line="59" w:lineRule="exact"/>
        <w:rPr>
          <w:sz w:val="20"/>
          <w:szCs w:val="20"/>
          <w:color w:val="auto"/>
        </w:rPr>
      </w:pPr>
    </w:p>
    <w:p>
      <w:pPr>
        <w:ind w:right="140" w:firstLine="921"/>
        <w:spacing w:after="0" w:line="259" w:lineRule="auto"/>
        <w:tabs>
          <w:tab w:leader="none" w:pos="1157"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Lost Certificates</w:t>
      </w:r>
      <w:r>
        <w:rPr>
          <w:rFonts w:ascii="Arial" w:cs="Arial" w:eastAsia="Arial" w:hAnsi="Arial"/>
          <w:sz w:val="18"/>
          <w:szCs w:val="18"/>
          <w:color w:val="auto"/>
        </w:rPr>
        <w:t>.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73" w:name="page274"/>
    <w:bookmarkEnd w:id="273"/>
    <w:p>
      <w:pPr>
        <w:ind w:left="180" w:hanging="176"/>
        <w:spacing w:after="0"/>
        <w:tabs>
          <w:tab w:leader="none" w:pos="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w:t>
      </w:r>
    </w:p>
    <w:p>
      <w:pPr>
        <w:spacing w:after="0" w:line="117" w:lineRule="exact"/>
        <w:rPr>
          <w:rFonts w:ascii="Arial" w:cs="Arial" w:eastAsia="Arial" w:hAnsi="Arial"/>
          <w:sz w:val="18"/>
          <w:szCs w:val="18"/>
          <w:color w:val="auto"/>
        </w:rPr>
      </w:pPr>
    </w:p>
    <w:p>
      <w:pPr>
        <w:ind w:left="700" w:hanging="239"/>
        <w:spacing w:after="0"/>
        <w:tabs>
          <w:tab w:leader="none" w:pos="700"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881"/>
        <w:spacing w:after="0" w:line="253" w:lineRule="auto"/>
        <w:tabs>
          <w:tab w:leader="none" w:pos="1091" w:val="left"/>
        </w:tabs>
        <w:numPr>
          <w:ilvl w:val="2"/>
          <w:numId w:val="173"/>
        </w:numPr>
        <w:rPr>
          <w:rFonts w:ascii="Arial" w:cs="Arial" w:eastAsia="Arial" w:hAnsi="Arial"/>
          <w:sz w:val="18"/>
          <w:szCs w:val="18"/>
          <w:color w:val="auto"/>
        </w:rPr>
      </w:pPr>
      <w:r>
        <w:rPr>
          <w:rFonts w:ascii="Arial" w:cs="Arial" w:eastAsia="Arial" w:hAnsi="Arial"/>
          <w:sz w:val="18"/>
          <w:szCs w:val="18"/>
          <w:color w:val="auto"/>
        </w:rPr>
        <w:t xml:space="preserve">“Corporate Status” describes the status of a person who is serving or has served (A) as a Director of the Corporation, (B) as an Officer of the Corporation, (C) as a Non-Officer Employee of the Corporation, or (D) as a director, partner, trustee, officer, employee or agent of any other corporation, partnership, limited liability company, joint venture, trust, employee benefit plan, foundation, association, organization or other legal entity for which such person is or was serving at the request of the Corporation. For purposes of this </w:t>
      </w:r>
      <w:r>
        <w:rPr>
          <w:rFonts w:ascii="Arial" w:cs="Arial" w:eastAsia="Arial" w:hAnsi="Arial"/>
          <w:sz w:val="18"/>
          <w:szCs w:val="18"/>
          <w:u w:val="single" w:color="auto"/>
          <w:color w:val="auto"/>
        </w:rPr>
        <w:t>Section 5(a)(i)</w:t>
      </w:r>
      <w:r>
        <w:rPr>
          <w:rFonts w:ascii="Arial" w:cs="Arial" w:eastAsia="Arial" w:hAnsi="Arial"/>
          <w:sz w:val="18"/>
          <w:szCs w:val="18"/>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89" w:lineRule="exact"/>
        <w:rPr>
          <w:rFonts w:ascii="Arial" w:cs="Arial" w:eastAsia="Arial" w:hAnsi="Arial"/>
          <w:sz w:val="18"/>
          <w:szCs w:val="18"/>
          <w:color w:val="auto"/>
        </w:rPr>
      </w:pPr>
    </w:p>
    <w:p>
      <w:pPr>
        <w:ind w:left="1140" w:hanging="259"/>
        <w:spacing w:after="0"/>
        <w:tabs>
          <w:tab w:leader="none" w:pos="1140" w:val="left"/>
        </w:tabs>
        <w:numPr>
          <w:ilvl w:val="2"/>
          <w:numId w:val="173"/>
        </w:numPr>
        <w:rPr>
          <w:rFonts w:ascii="Arial" w:cs="Arial" w:eastAsia="Arial" w:hAnsi="Arial"/>
          <w:sz w:val="17"/>
          <w:szCs w:val="17"/>
          <w:color w:val="auto"/>
        </w:rPr>
      </w:pPr>
      <w:r>
        <w:rPr>
          <w:rFonts w:ascii="Arial" w:cs="Arial" w:eastAsia="Arial" w:hAnsi="Arial"/>
          <w:sz w:val="17"/>
          <w:szCs w:val="17"/>
          <w:color w:val="auto"/>
        </w:rPr>
        <w:t>“Director” means any person who serves or has served the Corporation as a director on the Board of Directors of the Corporation;</w:t>
      </w:r>
    </w:p>
    <w:p>
      <w:pPr>
        <w:spacing w:after="0" w:line="128" w:lineRule="exact"/>
        <w:rPr>
          <w:rFonts w:ascii="Arial" w:cs="Arial" w:eastAsia="Arial" w:hAnsi="Arial"/>
          <w:sz w:val="17"/>
          <w:szCs w:val="17"/>
          <w:color w:val="auto"/>
        </w:rPr>
      </w:pPr>
    </w:p>
    <w:p>
      <w:pPr>
        <w:ind w:right="60" w:firstLine="881"/>
        <w:spacing w:after="0" w:line="277" w:lineRule="auto"/>
        <w:tabs>
          <w:tab w:leader="none" w:pos="1191" w:val="left"/>
        </w:tabs>
        <w:numPr>
          <w:ilvl w:val="2"/>
          <w:numId w:val="173"/>
        </w:numPr>
        <w:rPr>
          <w:rFonts w:ascii="Arial" w:cs="Arial" w:eastAsia="Arial" w:hAnsi="Arial"/>
          <w:sz w:val="18"/>
          <w:szCs w:val="18"/>
          <w:color w:val="auto"/>
        </w:rPr>
      </w:pPr>
      <w:r>
        <w:rPr>
          <w:rFonts w:ascii="Arial" w:cs="Arial" w:eastAsia="Arial" w:hAnsi="Arial"/>
          <w:sz w:val="18"/>
          <w:szCs w:val="18"/>
          <w:color w:val="auto"/>
        </w:rPr>
        <w:t>“Disinterested Director” means, with respect to each Proceeding in respect of which indemnification is sought hereunder, a Director of the Corporation who is not and was not a party to such Proceeding;</w:t>
      </w:r>
    </w:p>
    <w:p>
      <w:pPr>
        <w:spacing w:after="0" w:line="62" w:lineRule="exact"/>
        <w:rPr>
          <w:rFonts w:ascii="Arial" w:cs="Arial" w:eastAsia="Arial" w:hAnsi="Arial"/>
          <w:sz w:val="18"/>
          <w:szCs w:val="18"/>
          <w:color w:val="auto"/>
        </w:rPr>
      </w:pPr>
    </w:p>
    <w:p>
      <w:pPr>
        <w:ind w:right="100" w:firstLine="881"/>
        <w:spacing w:after="0" w:line="255" w:lineRule="auto"/>
        <w:tabs>
          <w:tab w:leader="none" w:pos="1181" w:val="left"/>
        </w:tabs>
        <w:numPr>
          <w:ilvl w:val="2"/>
          <w:numId w:val="173"/>
        </w:numPr>
        <w:rPr>
          <w:rFonts w:ascii="Arial" w:cs="Arial" w:eastAsia="Arial" w:hAnsi="Arial"/>
          <w:sz w:val="18"/>
          <w:szCs w:val="18"/>
          <w:color w:val="auto"/>
        </w:rPr>
      </w:pPr>
      <w:r>
        <w:rPr>
          <w:rFonts w:ascii="Arial" w:cs="Arial" w:eastAsia="Arial" w:hAnsi="Arial"/>
          <w:sz w:val="18"/>
          <w:szCs w:val="18"/>
          <w:color w:val="auto"/>
        </w:rPr>
        <w:t>“Expenses” means all reasonable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85" w:lineRule="exact"/>
        <w:rPr>
          <w:rFonts w:ascii="Arial" w:cs="Arial" w:eastAsia="Arial" w:hAnsi="Arial"/>
          <w:sz w:val="18"/>
          <w:szCs w:val="18"/>
          <w:color w:val="auto"/>
        </w:rPr>
      </w:pPr>
    </w:p>
    <w:p>
      <w:pPr>
        <w:ind w:left="1140" w:hanging="259"/>
        <w:spacing w:after="0"/>
        <w:tabs>
          <w:tab w:leader="none" w:pos="1140" w:val="left"/>
        </w:tabs>
        <w:numPr>
          <w:ilvl w:val="2"/>
          <w:numId w:val="173"/>
        </w:numPr>
        <w:rPr>
          <w:rFonts w:ascii="Arial" w:cs="Arial" w:eastAsia="Arial" w:hAnsi="Arial"/>
          <w:sz w:val="18"/>
          <w:szCs w:val="18"/>
          <w:color w:val="auto"/>
        </w:rPr>
      </w:pPr>
      <w:r>
        <w:rPr>
          <w:rFonts w:ascii="Arial" w:cs="Arial" w:eastAsia="Arial" w:hAnsi="Arial"/>
          <w:sz w:val="18"/>
          <w:szCs w:val="18"/>
          <w:color w:val="auto"/>
        </w:rPr>
        <w:t>“Liabilities” means judgments, damages, liabilities, losses, penalties, excise taxes, fines and amounts paid in settlement;</w:t>
      </w:r>
    </w:p>
    <w:p>
      <w:pPr>
        <w:spacing w:after="0" w:line="117" w:lineRule="exact"/>
        <w:rPr>
          <w:rFonts w:ascii="Arial" w:cs="Arial" w:eastAsia="Arial" w:hAnsi="Arial"/>
          <w:sz w:val="18"/>
          <w:szCs w:val="18"/>
          <w:color w:val="auto"/>
        </w:rPr>
      </w:pPr>
    </w:p>
    <w:p>
      <w:pPr>
        <w:ind w:right="300" w:firstLine="881"/>
        <w:spacing w:after="0" w:line="277" w:lineRule="auto"/>
        <w:tabs>
          <w:tab w:leader="none" w:pos="1181" w:val="left"/>
        </w:tabs>
        <w:numPr>
          <w:ilvl w:val="2"/>
          <w:numId w:val="173"/>
        </w:numPr>
        <w:rPr>
          <w:rFonts w:ascii="Arial" w:cs="Arial" w:eastAsia="Arial" w:hAnsi="Arial"/>
          <w:sz w:val="18"/>
          <w:szCs w:val="18"/>
          <w:color w:val="auto"/>
        </w:rPr>
      </w:pPr>
      <w:r>
        <w:rPr>
          <w:rFonts w:ascii="Arial" w:cs="Arial" w:eastAsia="Arial" w:hAnsi="Arial"/>
          <w:sz w:val="18"/>
          <w:szCs w:val="18"/>
          <w:color w:val="auto"/>
        </w:rPr>
        <w:t>“Non-Officer Employee” means any person who serves or has served as an employee or agent of the Corporation, but who is not or was not a Director or Officer;</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274" w:name="page275"/>
    <w:bookmarkEnd w:id="274"/>
    <w:p>
      <w:pPr>
        <w:ind w:left="440" w:right="440" w:firstLine="881"/>
        <w:spacing w:after="0" w:line="277" w:lineRule="auto"/>
        <w:tabs>
          <w:tab w:leader="none" w:pos="1671" w:val="left"/>
        </w:tabs>
        <w:numPr>
          <w:ilvl w:val="1"/>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 means any person who serves or has served the Corporation as an officer of the Corporation appointed by the Board of Directors of the Corporation;</w:t>
      </w:r>
    </w:p>
    <w:p>
      <w:pPr>
        <w:spacing w:after="0" w:line="62" w:lineRule="exact"/>
        <w:rPr>
          <w:rFonts w:ascii="Arial" w:cs="Arial" w:eastAsia="Arial" w:hAnsi="Arial"/>
          <w:sz w:val="18"/>
          <w:szCs w:val="18"/>
          <w:color w:val="auto"/>
        </w:rPr>
      </w:pPr>
    </w:p>
    <w:p>
      <w:pPr>
        <w:ind w:left="440" w:right="200" w:firstLine="881"/>
        <w:spacing w:after="0" w:line="308" w:lineRule="auto"/>
        <w:tabs>
          <w:tab w:leader="none" w:pos="1721" w:val="left"/>
        </w:tabs>
        <w:numPr>
          <w:ilvl w:val="1"/>
          <w:numId w:val="174"/>
        </w:numPr>
        <w:rPr>
          <w:rFonts w:ascii="Arial" w:cs="Arial" w:eastAsia="Arial" w:hAnsi="Arial"/>
          <w:sz w:val="17"/>
          <w:szCs w:val="17"/>
          <w:color w:val="auto"/>
        </w:rPr>
      </w:pPr>
      <w:r>
        <w:rPr>
          <w:rFonts w:ascii="Arial" w:cs="Arial" w:eastAsia="Arial" w:hAnsi="Arial"/>
          <w:sz w:val="17"/>
          <w:szCs w:val="17"/>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38" w:lineRule="exact"/>
        <w:rPr>
          <w:rFonts w:ascii="Arial" w:cs="Arial" w:eastAsia="Arial" w:hAnsi="Arial"/>
          <w:sz w:val="17"/>
          <w:szCs w:val="17"/>
          <w:color w:val="auto"/>
        </w:rPr>
      </w:pPr>
    </w:p>
    <w:p>
      <w:pPr>
        <w:ind w:left="440" w:right="60" w:firstLine="881"/>
        <w:spacing w:after="0" w:line="257" w:lineRule="auto"/>
        <w:tabs>
          <w:tab w:leader="none" w:pos="162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50% or more of the voting power of the voting capital equity interests of such corporation, partnership, limited liability company, joint venture or other entity, or (B) 50% or more of the outstanding voting capital stock or other voting equity interests of such corporation, partnership, limited liability company, joint venture or other entity.</w:t>
      </w:r>
    </w:p>
    <w:p>
      <w:pPr>
        <w:spacing w:after="0" w:line="80" w:lineRule="exact"/>
        <w:rPr>
          <w:rFonts w:ascii="Arial" w:cs="Arial" w:eastAsia="Arial" w:hAnsi="Arial"/>
          <w:sz w:val="18"/>
          <w:szCs w:val="18"/>
          <w:color w:val="auto"/>
        </w:rPr>
      </w:pPr>
    </w:p>
    <w:p>
      <w:pPr>
        <w:ind w:left="-20" w:right="160" w:firstLine="921"/>
        <w:spacing w:after="0" w:line="302" w:lineRule="auto"/>
        <w:tabs>
          <w:tab w:leader="none" w:pos="1148"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Indemnification of Directors and Officers</w:t>
      </w:r>
      <w:r>
        <w:rPr>
          <w:rFonts w:ascii="Arial" w:cs="Arial" w:eastAsia="Arial" w:hAnsi="Arial"/>
          <w:sz w:val="16"/>
          <w:szCs w:val="16"/>
          <w:color w:val="auto"/>
        </w:rPr>
        <w:t xml:space="preserve">. Subject to the operation of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subsections (i) through (iv) of this </w:t>
      </w:r>
      <w:r>
        <w:rPr>
          <w:rFonts w:ascii="Arial" w:cs="Arial" w:eastAsia="Arial" w:hAnsi="Arial"/>
          <w:sz w:val="16"/>
          <w:szCs w:val="16"/>
          <w:u w:val="single" w:color="auto"/>
          <w:color w:val="auto"/>
        </w:rPr>
        <w:t>Section 5(b)</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440" w:firstLine="881"/>
        <w:spacing w:after="0" w:line="293" w:lineRule="auto"/>
        <w:tabs>
          <w:tab w:leader="none" w:pos="1531" w:val="left"/>
        </w:tabs>
        <w:numPr>
          <w:ilvl w:val="1"/>
          <w:numId w:val="175"/>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Other than By or In the Right of the Corporation</w:t>
      </w:r>
      <w:r>
        <w:rPr>
          <w:rFonts w:ascii="Arial" w:cs="Arial" w:eastAsia="Arial" w:hAnsi="Arial"/>
          <w:sz w:val="16"/>
          <w:szCs w:val="16"/>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56" w:lineRule="exact"/>
        <w:rPr>
          <w:rFonts w:ascii="Arial" w:cs="Arial" w:eastAsia="Arial" w:hAnsi="Arial"/>
          <w:sz w:val="16"/>
          <w:szCs w:val="16"/>
          <w:color w:val="auto"/>
        </w:rPr>
      </w:pPr>
    </w:p>
    <w:p>
      <w:pPr>
        <w:ind w:left="440" w:firstLine="881"/>
        <w:spacing w:after="0" w:line="255" w:lineRule="auto"/>
        <w:tabs>
          <w:tab w:leader="none" w:pos="1581" w:val="left"/>
        </w:tabs>
        <w:numPr>
          <w:ilvl w:val="1"/>
          <w:numId w:val="175"/>
        </w:numPr>
        <w:rPr>
          <w:rFonts w:ascii="Arial" w:cs="Arial" w:eastAsia="Arial" w:hAnsi="Arial"/>
          <w:sz w:val="18"/>
          <w:szCs w:val="18"/>
          <w:color w:val="auto"/>
        </w:rPr>
      </w:pPr>
      <w:r>
        <w:rPr>
          <w:rFonts w:ascii="Arial" w:cs="Arial" w:eastAsia="Arial" w:hAnsi="Arial"/>
          <w:sz w:val="18"/>
          <w:szCs w:val="18"/>
          <w:u w:val="single" w:color="auto"/>
          <w:color w:val="auto"/>
        </w:rPr>
        <w:t>Actions, Suits and Proceedings By or In the Right of the Corporation</w:t>
      </w:r>
      <w:r>
        <w:rPr>
          <w:rFonts w:ascii="Arial" w:cs="Arial" w:eastAsia="Arial" w:hAnsi="Arial"/>
          <w:sz w:val="18"/>
          <w:szCs w:val="18"/>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74" w:right="259" w:bottom="1440" w:gutter="0" w:footer="0" w:header="0"/>
        </w:sectPr>
      </w:pPr>
    </w:p>
    <w:bookmarkStart w:id="275" w:name="page276"/>
    <w:bookmarkEnd w:id="275"/>
    <w:p>
      <w:pPr>
        <w:ind w:left="420"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made under this </w:t>
      </w:r>
      <w:r>
        <w:rPr>
          <w:rFonts w:ascii="Arial" w:cs="Arial" w:eastAsia="Arial" w:hAnsi="Arial"/>
          <w:sz w:val="17"/>
          <w:szCs w:val="17"/>
          <w:u w:val="single" w:color="auto"/>
          <w:color w:val="auto"/>
        </w:rPr>
        <w:t>Section 5(b)(ii)</w:t>
      </w:r>
      <w:r>
        <w:rPr>
          <w:rFonts w:ascii="Arial" w:cs="Arial" w:eastAsia="Arial" w:hAnsi="Arial"/>
          <w:sz w:val="17"/>
          <w:szCs w:val="17"/>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63" w:lineRule="exact"/>
        <w:rPr>
          <w:sz w:val="20"/>
          <w:szCs w:val="20"/>
          <w:color w:val="auto"/>
        </w:rPr>
      </w:pPr>
    </w:p>
    <w:p>
      <w:pPr>
        <w:ind w:left="420" w:right="60" w:firstLine="881"/>
        <w:spacing w:after="0" w:line="342" w:lineRule="auto"/>
        <w:tabs>
          <w:tab w:leader="none" w:pos="1611" w:val="left"/>
        </w:tabs>
        <w:numPr>
          <w:ilvl w:val="1"/>
          <w:numId w:val="176"/>
        </w:numPr>
        <w:rPr>
          <w:rFonts w:ascii="Arial" w:cs="Arial" w:eastAsia="Arial" w:hAnsi="Arial"/>
          <w:sz w:val="16"/>
          <w:szCs w:val="16"/>
          <w:color w:val="auto"/>
        </w:rPr>
      </w:pPr>
      <w:r>
        <w:rPr>
          <w:rFonts w:ascii="Arial" w:cs="Arial" w:eastAsia="Arial" w:hAnsi="Arial"/>
          <w:sz w:val="16"/>
          <w:szCs w:val="16"/>
          <w:u w:val="single" w:color="auto"/>
          <w:color w:val="auto"/>
        </w:rPr>
        <w:t>Survival of Rights</w:t>
      </w:r>
      <w:r>
        <w:rPr>
          <w:rFonts w:ascii="Arial" w:cs="Arial" w:eastAsia="Arial" w:hAnsi="Arial"/>
          <w:sz w:val="16"/>
          <w:szCs w:val="16"/>
          <w:color w:val="auto"/>
        </w:rPr>
        <w:t xml:space="preserve">. The rights of indemnification provided by this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15" w:lineRule="exact"/>
        <w:rPr>
          <w:rFonts w:ascii="Arial" w:cs="Arial" w:eastAsia="Arial" w:hAnsi="Arial"/>
          <w:sz w:val="16"/>
          <w:szCs w:val="16"/>
          <w:color w:val="auto"/>
        </w:rPr>
      </w:pPr>
    </w:p>
    <w:p>
      <w:pPr>
        <w:ind w:left="420" w:right="100" w:firstLine="881"/>
        <w:spacing w:after="0" w:line="257" w:lineRule="auto"/>
        <w:tabs>
          <w:tab w:leader="none" w:pos="1601" w:val="left"/>
        </w:tabs>
        <w:numPr>
          <w:ilvl w:val="1"/>
          <w:numId w:val="176"/>
        </w:numPr>
        <w:rPr>
          <w:rFonts w:ascii="Arial" w:cs="Arial" w:eastAsia="Arial" w:hAnsi="Arial"/>
          <w:sz w:val="18"/>
          <w:szCs w:val="18"/>
          <w:color w:val="auto"/>
        </w:rPr>
      </w:pPr>
      <w:r>
        <w:rPr>
          <w:rFonts w:ascii="Arial" w:cs="Arial" w:eastAsia="Arial" w:hAnsi="Arial"/>
          <w:sz w:val="18"/>
          <w:szCs w:val="18"/>
          <w:u w:val="single" w:color="auto"/>
          <w:color w:val="auto"/>
        </w:rPr>
        <w:t>Actions by Directors or Officers</w:t>
      </w:r>
      <w:r>
        <w:rPr>
          <w:rFonts w:ascii="Arial" w:cs="Arial" w:eastAsia="Arial" w:hAnsi="Arial"/>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80" w:lineRule="exact"/>
        <w:rPr>
          <w:rFonts w:ascii="Arial" w:cs="Arial" w:eastAsia="Arial" w:hAnsi="Arial"/>
          <w:sz w:val="18"/>
          <w:szCs w:val="18"/>
          <w:color w:val="auto"/>
        </w:rPr>
      </w:pPr>
    </w:p>
    <w:p>
      <w:pPr>
        <w:ind w:left="-40" w:firstLine="921"/>
        <w:spacing w:after="0" w:line="269" w:lineRule="auto"/>
        <w:tabs>
          <w:tab w:leader="none" w:pos="1117"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Indemnification of Non-Officer Employees</w:t>
      </w:r>
      <w:r>
        <w:rPr>
          <w:rFonts w:ascii="Arial" w:cs="Arial" w:eastAsia="Arial" w:hAnsi="Arial"/>
          <w:sz w:val="17"/>
          <w:szCs w:val="17"/>
          <w:color w:val="auto"/>
        </w:rPr>
        <w:t xml:space="preserve">. Subject to the operation of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Arial" w:cs="Arial" w:eastAsia="Arial" w:hAnsi="Arial"/>
          <w:sz w:val="17"/>
          <w:szCs w:val="17"/>
          <w:u w:val="single" w:color="auto"/>
          <w:color w:val="auto"/>
        </w:rPr>
        <w:t>Section 5(c)</w:t>
      </w:r>
      <w:r>
        <w:rPr>
          <w:rFonts w:ascii="Arial" w:cs="Arial" w:eastAsia="Arial" w:hAnsi="Arial"/>
          <w:sz w:val="17"/>
          <w:szCs w:val="17"/>
          <w:color w:val="auto"/>
        </w:rPr>
        <w:t xml:space="preserve">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74" w:lineRule="exact"/>
        <w:rPr>
          <w:rFonts w:ascii="Arial" w:cs="Arial" w:eastAsia="Arial" w:hAnsi="Arial"/>
          <w:sz w:val="17"/>
          <w:szCs w:val="17"/>
          <w:color w:val="auto"/>
        </w:rPr>
      </w:pPr>
    </w:p>
    <w:p>
      <w:pPr>
        <w:ind w:left="-40" w:right="100" w:firstLine="921"/>
        <w:spacing w:after="0" w:line="257" w:lineRule="auto"/>
        <w:tabs>
          <w:tab w:leader="none" w:pos="1128"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Determination</w:t>
      </w:r>
      <w:r>
        <w:rPr>
          <w:rFonts w:ascii="Arial" w:cs="Arial" w:eastAsia="Arial" w:hAnsi="Arial"/>
          <w:sz w:val="18"/>
          <w:szCs w:val="18"/>
          <w:color w:val="auto"/>
        </w:rPr>
        <w:t xml:space="preserve">. Unless ordered by a court, no indemnification shall be provided pursuant to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(i) a majority vote of the Disinterested Directors, even though less than a quorum of the Board of Directors, (ii) 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80" w:top="274" w:right="259" w:bottom="1440" w:gutter="0" w:footer="0" w:header="0"/>
        </w:sectPr>
      </w:pPr>
    </w:p>
    <w:bookmarkStart w:id="276" w:name="page277"/>
    <w:bookmarkEnd w:id="276"/>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 comprised of Disinterested Directors, such committee having been designated by a majority vote of the Disinterested Directors (even though less than a quorum), (iii) if there are no such Disinterested Directors, or if a majority of Disinterested Directors so directs, by independent legal counsel in a written opinion, or (iv) by the stockholders of the Corporation.</w:t>
      </w:r>
    </w:p>
    <w:p>
      <w:pPr>
        <w:spacing w:after="0" w:line="73" w:lineRule="exact"/>
        <w:rPr>
          <w:sz w:val="20"/>
          <w:szCs w:val="20"/>
          <w:color w:val="auto"/>
        </w:rPr>
      </w:pPr>
    </w:p>
    <w:p>
      <w:pPr>
        <w:ind w:left="1160" w:hanging="239"/>
        <w:spacing w:after="0"/>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Advancement of Expenses to Directors Prior to Final Disposition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60" w:firstLine="881"/>
        <w:spacing w:after="0" w:line="289" w:lineRule="auto"/>
        <w:tabs>
          <w:tab w:leader="none" w:pos="1551" w:val="left"/>
        </w:tabs>
        <w:numPr>
          <w:ilvl w:val="1"/>
          <w:numId w:val="178"/>
        </w:numPr>
        <w:rPr>
          <w:rFonts w:ascii="Arial" w:cs="Arial" w:eastAsia="Arial" w:hAnsi="Arial"/>
          <w:sz w:val="16"/>
          <w:szCs w:val="16"/>
          <w:color w:val="auto"/>
        </w:rPr>
      </w:pPr>
      <w:r>
        <w:rPr>
          <w:rFonts w:ascii="Arial" w:cs="Arial" w:eastAsia="Arial" w:hAnsi="Arial"/>
          <w:sz w:val="16"/>
          <w:szCs w:val="16"/>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(A) authorized by the Board of Directors of the Corporation, or (B) brought to enforce such Director’s rights to indemnification or advancement of Expenses under these By-laws.</w:t>
      </w:r>
    </w:p>
    <w:p>
      <w:pPr>
        <w:spacing w:after="0" w:line="58" w:lineRule="exact"/>
        <w:rPr>
          <w:rFonts w:ascii="Arial" w:cs="Arial" w:eastAsia="Arial" w:hAnsi="Arial"/>
          <w:sz w:val="16"/>
          <w:szCs w:val="16"/>
          <w:color w:val="auto"/>
        </w:rPr>
      </w:pPr>
    </w:p>
    <w:p>
      <w:pPr>
        <w:ind w:left="460" w:right="80" w:firstLine="881"/>
        <w:spacing w:after="0" w:line="291" w:lineRule="auto"/>
        <w:tabs>
          <w:tab w:leader="none" w:pos="1601" w:val="left"/>
        </w:tabs>
        <w:numPr>
          <w:ilvl w:val="1"/>
          <w:numId w:val="178"/>
        </w:numPr>
        <w:rPr>
          <w:rFonts w:ascii="Arial" w:cs="Arial" w:eastAsia="Arial" w:hAnsi="Arial"/>
          <w:sz w:val="16"/>
          <w:szCs w:val="16"/>
          <w:color w:val="auto"/>
        </w:rPr>
      </w:pPr>
      <w:r>
        <w:rPr>
          <w:rFonts w:ascii="Arial" w:cs="Arial" w:eastAsia="Arial" w:hAnsi="Arial"/>
          <w:sz w:val="16"/>
          <w:szCs w:val="16"/>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59" w:lineRule="exact"/>
        <w:rPr>
          <w:rFonts w:ascii="Arial" w:cs="Arial" w:eastAsia="Arial" w:hAnsi="Arial"/>
          <w:sz w:val="16"/>
          <w:szCs w:val="16"/>
          <w:color w:val="auto"/>
        </w:rPr>
      </w:pPr>
    </w:p>
    <w:p>
      <w:pPr>
        <w:jc w:val="both"/>
        <w:ind w:left="460" w:firstLine="881"/>
        <w:spacing w:after="0" w:line="264" w:lineRule="auto"/>
        <w:tabs>
          <w:tab w:leader="none" w:pos="165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77" w:name="page278"/>
    <w:bookmarkEnd w:id="277"/>
    <w:p>
      <w:pPr>
        <w:ind w:left="680" w:hanging="219"/>
        <w:spacing w:after="0"/>
        <w:tabs>
          <w:tab w:leader="none" w:pos="68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Advancement of Expenses to Officers and Non-Officer Employees Prior to Final Disposition.</w:t>
      </w:r>
    </w:p>
    <w:p>
      <w:pPr>
        <w:spacing w:after="0" w:line="117" w:lineRule="exact"/>
        <w:rPr>
          <w:rFonts w:ascii="Arial" w:cs="Arial" w:eastAsia="Arial" w:hAnsi="Arial"/>
          <w:sz w:val="18"/>
          <w:szCs w:val="18"/>
          <w:color w:val="auto"/>
        </w:rPr>
      </w:pPr>
    </w:p>
    <w:p>
      <w:pPr>
        <w:ind w:right="40" w:firstLine="881"/>
        <w:spacing w:after="0" w:line="272" w:lineRule="auto"/>
        <w:tabs>
          <w:tab w:leader="none" w:pos="1091" w:val="left"/>
        </w:tabs>
        <w:numPr>
          <w:ilvl w:val="1"/>
          <w:numId w:val="179"/>
        </w:numPr>
        <w:rPr>
          <w:rFonts w:ascii="Arial" w:cs="Arial" w:eastAsia="Arial" w:hAnsi="Arial"/>
          <w:sz w:val="17"/>
          <w:szCs w:val="17"/>
          <w:color w:val="auto"/>
        </w:rPr>
      </w:pPr>
      <w:r>
        <w:rPr>
          <w:rFonts w:ascii="Arial" w:cs="Arial" w:eastAsia="Arial" w:hAnsi="Arial"/>
          <w:sz w:val="17"/>
          <w:szCs w:val="17"/>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69" w:lineRule="exact"/>
        <w:rPr>
          <w:rFonts w:ascii="Arial" w:cs="Arial" w:eastAsia="Arial" w:hAnsi="Arial"/>
          <w:sz w:val="17"/>
          <w:szCs w:val="17"/>
          <w:color w:val="auto"/>
        </w:rPr>
      </w:pPr>
    </w:p>
    <w:p>
      <w:pPr>
        <w:ind w:right="60" w:firstLine="881"/>
        <w:spacing w:after="0" w:line="264" w:lineRule="auto"/>
        <w:tabs>
          <w:tab w:leader="none" w:pos="1141"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73" w:lineRule="exact"/>
        <w:rPr>
          <w:rFonts w:ascii="Arial" w:cs="Arial" w:eastAsia="Arial" w:hAnsi="Arial"/>
          <w:sz w:val="18"/>
          <w:szCs w:val="18"/>
          <w:color w:val="auto"/>
        </w:rPr>
      </w:pPr>
    </w:p>
    <w:p>
      <w:pPr>
        <w:ind w:left="720" w:hanging="259"/>
        <w:spacing w:after="0"/>
        <w:tabs>
          <w:tab w:leader="none" w:pos="72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Contractual Nature of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881"/>
        <w:spacing w:after="0" w:line="288" w:lineRule="auto"/>
        <w:tabs>
          <w:tab w:leader="none" w:pos="1091"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be deemed to be a contract between the Corporation and each Director and Officer entitled to the benefits hereof at any time while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is in effect, in consideration of such person’s past or current and any future performance of services for the Corporation. Neither amendment, repeal or modification of any provision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nor the adoption of any provision of the Certificate of Incorporation inconsistent with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eliminate or reduce any right conferred by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continue notwithstanding that the person has ceased to be a director or officer of the Corporation and shall inure to the benefit of the estate, heirs, executors, administrators, legatees and distributees of such person.</w:t>
      </w:r>
    </w:p>
    <w:p>
      <w:pPr>
        <w:spacing w:after="0" w:line="61" w:lineRule="exact"/>
        <w:rPr>
          <w:rFonts w:ascii="Arial" w:cs="Arial" w:eastAsia="Arial" w:hAnsi="Arial"/>
          <w:sz w:val="16"/>
          <w:szCs w:val="16"/>
          <w:color w:val="auto"/>
        </w:rPr>
      </w:pPr>
    </w:p>
    <w:p>
      <w:pPr>
        <w:ind w:firstLine="881"/>
        <w:spacing w:after="0" w:line="291" w:lineRule="auto"/>
        <w:tabs>
          <w:tab w:leader="none" w:pos="1141"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74" w:right="259" w:bottom="1440" w:gutter="0" w:footer="0" w:header="0"/>
        </w:sectPr>
      </w:pPr>
    </w:p>
    <w:bookmarkStart w:id="278" w:name="page279"/>
    <w:bookmarkEnd w:id="278"/>
    <w:p>
      <w:pPr>
        <w:ind w:left="460" w:right="140" w:firstLine="881"/>
        <w:spacing w:after="0" w:line="277" w:lineRule="auto"/>
        <w:tabs>
          <w:tab w:leader="none" w:pos="1651" w:val="left"/>
        </w:tabs>
        <w:numPr>
          <w:ilvl w:val="2"/>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any suit brought by a Director or Officer to enforce a right to indemnification hereunder, it shall be a defense that such Director or Officer has not met any applicable standard for indemnification set forth in the DGCL.</w:t>
      </w:r>
    </w:p>
    <w:p>
      <w:pPr>
        <w:spacing w:after="0" w:line="62" w:lineRule="exact"/>
        <w:rPr>
          <w:rFonts w:ascii="Arial" w:cs="Arial" w:eastAsia="Arial" w:hAnsi="Arial"/>
          <w:sz w:val="18"/>
          <w:szCs w:val="18"/>
          <w:color w:val="auto"/>
        </w:rPr>
      </w:pPr>
    </w:p>
    <w:p>
      <w:pPr>
        <w:jc w:val="both"/>
        <w:ind w:right="200" w:firstLine="921"/>
        <w:spacing w:after="0" w:line="264" w:lineRule="auto"/>
        <w:tabs>
          <w:tab w:leader="none" w:pos="1168"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The rights to indemnification and advancement of Expenses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73" w:lineRule="exact"/>
        <w:rPr>
          <w:rFonts w:ascii="Arial" w:cs="Arial" w:eastAsia="Arial" w:hAnsi="Arial"/>
          <w:sz w:val="18"/>
          <w:szCs w:val="18"/>
          <w:color w:val="auto"/>
        </w:rPr>
      </w:pPr>
    </w:p>
    <w:p>
      <w:pPr>
        <w:ind w:firstLine="921"/>
        <w:spacing w:after="0" w:line="259" w:lineRule="auto"/>
        <w:tabs>
          <w:tab w:leader="none" w:pos="1128"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20" w:firstLine="921"/>
        <w:spacing w:after="0" w:line="271" w:lineRule="auto"/>
        <w:tabs>
          <w:tab w:leader="none" w:pos="1128" w:val="left"/>
        </w:tabs>
        <w:numPr>
          <w:ilvl w:val="1"/>
          <w:numId w:val="181"/>
        </w:numPr>
        <w:rPr>
          <w:rFonts w:ascii="Arial" w:cs="Arial" w:eastAsia="Arial" w:hAnsi="Arial"/>
          <w:sz w:val="17"/>
          <w:szCs w:val="17"/>
          <w:color w:val="auto"/>
        </w:rPr>
      </w:pPr>
      <w:r>
        <w:rPr>
          <w:rFonts w:ascii="Arial" w:cs="Arial" w:eastAsia="Arial" w:hAnsi="Arial"/>
          <w:sz w:val="17"/>
          <w:szCs w:val="17"/>
          <w:u w:val="single" w:color="auto"/>
          <w:color w:val="auto"/>
        </w:rPr>
        <w:t>Other Indemnification</w:t>
      </w:r>
      <w:r>
        <w:rPr>
          <w:rFonts w:ascii="Arial" w:cs="Arial" w:eastAsia="Arial" w:hAnsi="Arial"/>
          <w:sz w:val="17"/>
          <w:szCs w:val="17"/>
          <w:color w:val="auto"/>
        </w:rPr>
        <w:t xml:space="preserve">. The Corporation’s obligation, if any, to indemnify or provide advancement of Expenses to any person under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Arial" w:cs="Arial" w:eastAsia="Arial" w:hAnsi="Arial"/>
          <w:sz w:val="17"/>
          <w:szCs w:val="17"/>
          <w:u w:val="single" w:color="auto"/>
          <w:color w:val="auto"/>
        </w:rPr>
        <w:t>Primary Indemnitor</w:t>
      </w:r>
      <w:r>
        <w:rPr>
          <w:rFonts w:ascii="Arial" w:cs="Arial" w:eastAsia="Arial" w:hAnsi="Arial"/>
          <w:sz w:val="17"/>
          <w:szCs w:val="17"/>
          <w:color w:val="auto"/>
        </w:rPr>
        <w:t xml:space="preserve">”). Any indemnification or advancement of Expenses under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70" w:lineRule="exact"/>
        <w:rPr>
          <w:rFonts w:ascii="Arial" w:cs="Arial" w:eastAsia="Arial" w:hAnsi="Arial"/>
          <w:sz w:val="17"/>
          <w:szCs w:val="17"/>
          <w:color w:val="auto"/>
        </w:rPr>
      </w:pPr>
    </w:p>
    <w:p>
      <w:pPr>
        <w:ind w:left="640" w:hanging="176"/>
        <w:spacing w:after="0"/>
        <w:tabs>
          <w:tab w:leader="none" w:pos="6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Miscellaneous Provisions</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Fiscal Year</w:t>
      </w:r>
      <w:r>
        <w:rPr>
          <w:rFonts w:ascii="Arial" w:cs="Arial" w:eastAsia="Arial" w:hAnsi="Arial"/>
          <w:sz w:val="16"/>
          <w:szCs w:val="16"/>
          <w:color w:val="auto"/>
        </w:rPr>
        <w:t>. Except as otherwise determined by the Board of Directors, the fiscal year of the Corporation shall end on December 31 of each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year.</w:t>
      </w:r>
    </w:p>
    <w:p>
      <w:pPr>
        <w:spacing w:after="0" w:line="102" w:lineRule="exact"/>
        <w:rPr>
          <w:rFonts w:ascii="Arial" w:cs="Arial" w:eastAsia="Arial" w:hAnsi="Arial"/>
          <w:sz w:val="16"/>
          <w:szCs w:val="16"/>
          <w:color w:val="auto"/>
        </w:rPr>
      </w:pPr>
    </w:p>
    <w:p>
      <w:pPr>
        <w:ind w:left="1180" w:hanging="259"/>
        <w:spacing w:after="0"/>
        <w:tabs>
          <w:tab w:leader="none" w:pos="1180"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shall have power to adopt and alter the seal of the Corporation.</w:t>
      </w:r>
    </w:p>
    <w:p>
      <w:pPr>
        <w:spacing w:after="0" w:line="117" w:lineRule="exact"/>
        <w:rPr>
          <w:rFonts w:ascii="Arial" w:cs="Arial" w:eastAsia="Arial" w:hAnsi="Arial"/>
          <w:sz w:val="18"/>
          <w:szCs w:val="18"/>
          <w:color w:val="auto"/>
        </w:rPr>
      </w:pPr>
    </w:p>
    <w:p>
      <w:pPr>
        <w:ind w:firstLine="921"/>
        <w:spacing w:after="0" w:line="259" w:lineRule="auto"/>
        <w:tabs>
          <w:tab w:leader="none" w:pos="1157"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Execution of Instruments</w:t>
      </w:r>
      <w:r>
        <w:rPr>
          <w:rFonts w:ascii="Arial" w:cs="Arial" w:eastAsia="Arial" w:hAnsi="Arial"/>
          <w:sz w:val="18"/>
          <w:szCs w:val="18"/>
          <w:color w:val="auto"/>
        </w:rPr>
        <w:t>. Subject to any limitations which may be set forth in a resolution of the Board of Directors, all deeds, leases, transfers, contracts, bonds, notes and other obligations to be entered into by the Corporation in the ordinary course of its business without director action may be executed on behalf of the Corporation by, a President, or by any other officer, employee or agent of the Corporation as the Board of Directors may authorize.</w:t>
      </w:r>
    </w:p>
    <w:p>
      <w:pPr>
        <w:spacing w:after="0" w:line="78" w:lineRule="exact"/>
        <w:rPr>
          <w:rFonts w:ascii="Arial" w:cs="Arial" w:eastAsia="Arial" w:hAnsi="Arial"/>
          <w:sz w:val="18"/>
          <w:szCs w:val="18"/>
          <w:color w:val="auto"/>
        </w:rPr>
      </w:pPr>
    </w:p>
    <w:p>
      <w:pPr>
        <w:ind w:right="80" w:firstLine="921"/>
        <w:spacing w:after="0" w:line="259" w:lineRule="auto"/>
        <w:tabs>
          <w:tab w:leader="none" w:pos="1168"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Voting of Securities</w:t>
      </w:r>
      <w:r>
        <w:rPr>
          <w:rFonts w:ascii="Arial" w:cs="Arial" w:eastAsia="Arial" w:hAnsi="Arial"/>
          <w:sz w:val="18"/>
          <w:szCs w:val="18"/>
          <w:color w:val="auto"/>
        </w:rPr>
        <w:t>. Unless the Board of Directors otherwise provides, a President, any Vice President or the Treasurer may waive notice of and act on behalf of this Corporation, or appoint another person or persons to act as proxy or attorney in fact for this Corporation with or without discretionary power and/or power of substitution, at any meeting of stockholders or shareholders of any other corporation or organization, any of whose securities are held by this Corporation.</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279" w:name="page280"/>
    <w:bookmarkEnd w:id="279"/>
    <w:p>
      <w:pPr>
        <w:ind w:right="240" w:firstLine="921"/>
        <w:spacing w:after="0" w:line="277" w:lineRule="auto"/>
        <w:tabs>
          <w:tab w:leader="none" w:pos="1157"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Resident Agent</w:t>
      </w:r>
      <w:r>
        <w:rPr>
          <w:rFonts w:ascii="Arial" w:cs="Arial" w:eastAsia="Arial" w:hAnsi="Arial"/>
          <w:sz w:val="18"/>
          <w:szCs w:val="18"/>
          <w:color w:val="auto"/>
        </w:rPr>
        <w:t>. The Board of Directors may appoint a resident agent upon whom legal process may be served in any action or proceeding against the Corporation.</w:t>
      </w:r>
    </w:p>
    <w:p>
      <w:pPr>
        <w:spacing w:after="0" w:line="62" w:lineRule="exact"/>
        <w:rPr>
          <w:rFonts w:ascii="Arial" w:cs="Arial" w:eastAsia="Arial" w:hAnsi="Arial"/>
          <w:sz w:val="18"/>
          <w:szCs w:val="18"/>
          <w:color w:val="auto"/>
        </w:rPr>
      </w:pPr>
    </w:p>
    <w:p>
      <w:pPr>
        <w:ind w:right="420" w:firstLine="921"/>
        <w:spacing w:after="0" w:line="259" w:lineRule="auto"/>
        <w:tabs>
          <w:tab w:leader="none" w:pos="1138"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Corporate Records</w:t>
      </w:r>
      <w:r>
        <w:rPr>
          <w:rFonts w:ascii="Arial" w:cs="Arial" w:eastAsia="Arial" w:hAnsi="Arial"/>
          <w:sz w:val="18"/>
          <w:szCs w:val="18"/>
          <w:color w:val="auto"/>
        </w:rPr>
        <w:t>. The original or attested copies of the Certificate of Incorporation, By-laws and records of all meetings of the incorporators, stockholders and the Board of Directors and the stock and transfer records, which shall contain the names of all stockholders, their record addresses and the amount of stock held by each, shall be kept at the principal office of the Corporation, at the office of its counsel, or at an office of its transfer agent.</w:t>
      </w:r>
    </w:p>
    <w:p>
      <w:pPr>
        <w:spacing w:after="0" w:line="78" w:lineRule="exact"/>
        <w:rPr>
          <w:rFonts w:ascii="Arial" w:cs="Arial" w:eastAsia="Arial" w:hAnsi="Arial"/>
          <w:sz w:val="18"/>
          <w:szCs w:val="18"/>
          <w:color w:val="auto"/>
        </w:rPr>
      </w:pPr>
    </w:p>
    <w:p>
      <w:pPr>
        <w:ind w:right="180" w:firstLine="921"/>
        <w:spacing w:after="0" w:line="277" w:lineRule="auto"/>
        <w:tabs>
          <w:tab w:leader="none" w:pos="1168"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All references in these By-laws to the Certificate of Incorporation shall be deemed to refer to the Certificate of Incorporation of the Corporation, as amended and in effect from time to time.</w:t>
      </w:r>
    </w:p>
    <w:p>
      <w:pPr>
        <w:spacing w:after="0" w:line="62" w:lineRule="exact"/>
        <w:rPr>
          <w:rFonts w:ascii="Arial" w:cs="Arial" w:eastAsia="Arial" w:hAnsi="Arial"/>
          <w:sz w:val="18"/>
          <w:szCs w:val="18"/>
          <w:color w:val="auto"/>
        </w:rPr>
      </w:pPr>
    </w:p>
    <w:p>
      <w:pPr>
        <w:ind w:firstLine="921"/>
        <w:spacing w:after="0" w:line="279" w:lineRule="auto"/>
        <w:tabs>
          <w:tab w:leader="none" w:pos="1168"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These By-laws may be altered, amended or repealed, and new By-laws may be adopted, by the stockholders or by the Board of Directors; provided, that (a) the Board of Directors may not alter, amend or repeal any provision of these By-laws which by law, by the Certificate of Incorporation or by these By-laws requires action by the stockholders and (b) any alteration, amendment or repeal of these By-laws by the Board of Directors and any new By-law adopted by the Board of Directors may be altered, amended or repealed by the stockholders.</w:t>
      </w:r>
    </w:p>
    <w:p>
      <w:pPr>
        <w:spacing w:after="0" w:line="63" w:lineRule="exact"/>
        <w:rPr>
          <w:rFonts w:ascii="Arial" w:cs="Arial" w:eastAsia="Arial" w:hAnsi="Arial"/>
          <w:sz w:val="17"/>
          <w:szCs w:val="17"/>
          <w:color w:val="auto"/>
        </w:rPr>
      </w:pPr>
    </w:p>
    <w:p>
      <w:pPr>
        <w:ind w:firstLine="921"/>
        <w:spacing w:after="0" w:line="255" w:lineRule="auto"/>
        <w:tabs>
          <w:tab w:leader="none" w:pos="1128"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notice is required to be given under any provision of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needs to be specified in any written waiver or any waiver by electronic transmission.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Adopted November 17, 2015</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SECOND AMENDED AND RESTATED</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INVESTORS’ RIGHTS AGREEMENT</w:t>
      </w:r>
    </w:p>
    <w:p>
      <w:pPr>
        <w:sectPr>
          <w:pgSz w:w="11900" w:h="16838" w:orient="portrait"/>
          <w:cols w:equalWidth="0" w:num="1">
            <w:col w:w="10220"/>
          </w:cols>
          <w:pgMar w:left="1440" w:top="121" w:right="23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6620" w:type="dxa"/>
            <w:vAlign w:val="bottom"/>
            <w:gridSpan w:val="3"/>
          </w:tcPr>
          <w:p>
            <w:pPr>
              <w:jc w:val="right"/>
              <w:ind w:right="4728"/>
              <w:spacing w:after="0"/>
              <w:rPr>
                <w:sz w:val="20"/>
                <w:szCs w:val="20"/>
                <w:color w:val="auto"/>
              </w:rPr>
            </w:pPr>
            <w:r>
              <w:rPr>
                <w:rFonts w:ascii="Arial" w:cs="Arial" w:eastAsia="Arial" w:hAnsi="Arial"/>
                <w:sz w:val="18"/>
                <w:szCs w:val="18"/>
                <w:color w:val="auto"/>
                <w:w w:val="94"/>
              </w:rPr>
              <w:t>TABLE OF CONTENTS</w:t>
            </w:r>
          </w:p>
        </w:tc>
      </w:tr>
      <w:tr>
        <w:trPr>
          <w:trHeight w:val="372"/>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453"/>
        </w:trPr>
        <w:tc>
          <w:tcPr>
            <w:tcW w:w="220" w:type="dxa"/>
            <w:vAlign w:val="bottom"/>
          </w:tcPr>
          <w:p>
            <w:pPr>
              <w:spacing w:after="0"/>
              <w:rPr>
                <w:sz w:val="20"/>
                <w:szCs w:val="20"/>
                <w:color w:val="auto"/>
              </w:rPr>
            </w:pPr>
            <w:r>
              <w:rPr>
                <w:rFonts w:ascii="Arial" w:cs="Arial" w:eastAsia="Arial" w:hAnsi="Arial"/>
                <w:sz w:val="18"/>
                <w:szCs w:val="18"/>
                <w:color w:val="auto"/>
              </w:rPr>
              <w:t>1.</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Definitions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220" w:type="dxa"/>
            <w:vAlign w:val="bottom"/>
          </w:tcPr>
          <w:p>
            <w:pPr>
              <w:spacing w:after="0"/>
              <w:rPr>
                <w:sz w:val="20"/>
                <w:szCs w:val="20"/>
                <w:color w:val="auto"/>
              </w:rPr>
            </w:pPr>
            <w:r>
              <w:rPr>
                <w:rFonts w:ascii="Arial" w:cs="Arial" w:eastAsia="Arial" w:hAnsi="Arial"/>
                <w:sz w:val="18"/>
                <w:szCs w:val="18"/>
                <w:color w:val="auto"/>
              </w:rPr>
              <w:t>2.</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Registration Rights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2.1</w:t>
            </w:r>
          </w:p>
        </w:tc>
        <w:tc>
          <w:tcPr>
            <w:tcW w:w="4120" w:type="dxa"/>
            <w:vAlign w:val="bottom"/>
          </w:tcPr>
          <w:p>
            <w:pPr>
              <w:ind w:left="60"/>
              <w:spacing w:after="0"/>
              <w:rPr>
                <w:sz w:val="20"/>
                <w:szCs w:val="20"/>
                <w:color w:val="auto"/>
              </w:rPr>
            </w:pPr>
            <w:r>
              <w:rPr>
                <w:rFonts w:ascii="Arial" w:cs="Arial" w:eastAsia="Arial" w:hAnsi="Arial"/>
                <w:sz w:val="18"/>
                <w:szCs w:val="18"/>
                <w:color w:val="auto"/>
              </w:rPr>
              <w:t>Demand Registration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2.2</w:t>
            </w:r>
          </w:p>
        </w:tc>
        <w:tc>
          <w:tcPr>
            <w:tcW w:w="4120" w:type="dxa"/>
            <w:vAlign w:val="bottom"/>
          </w:tcPr>
          <w:p>
            <w:pPr>
              <w:ind w:left="60"/>
              <w:spacing w:after="0"/>
              <w:rPr>
                <w:sz w:val="20"/>
                <w:szCs w:val="20"/>
                <w:color w:val="auto"/>
              </w:rPr>
            </w:pPr>
            <w:r>
              <w:rPr>
                <w:rFonts w:ascii="Arial" w:cs="Arial" w:eastAsia="Arial" w:hAnsi="Arial"/>
                <w:sz w:val="18"/>
                <w:szCs w:val="18"/>
                <w:color w:val="auto"/>
              </w:rPr>
              <w:t>Company Registration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2.3</w:t>
            </w:r>
          </w:p>
        </w:tc>
        <w:tc>
          <w:tcPr>
            <w:tcW w:w="4120" w:type="dxa"/>
            <w:vAlign w:val="bottom"/>
          </w:tcPr>
          <w:p>
            <w:pPr>
              <w:ind w:left="60"/>
              <w:spacing w:after="0"/>
              <w:rPr>
                <w:sz w:val="20"/>
                <w:szCs w:val="20"/>
                <w:color w:val="auto"/>
              </w:rPr>
            </w:pPr>
            <w:r>
              <w:rPr>
                <w:rFonts w:ascii="Arial" w:cs="Arial" w:eastAsia="Arial" w:hAnsi="Arial"/>
                <w:sz w:val="18"/>
                <w:szCs w:val="18"/>
                <w:color w:val="auto"/>
              </w:rPr>
              <w:t>Underwriting Requirements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2.4</w:t>
            </w:r>
          </w:p>
        </w:tc>
        <w:tc>
          <w:tcPr>
            <w:tcW w:w="4120" w:type="dxa"/>
            <w:vAlign w:val="bottom"/>
          </w:tcPr>
          <w:p>
            <w:pPr>
              <w:ind w:left="60"/>
              <w:spacing w:after="0"/>
              <w:rPr>
                <w:sz w:val="20"/>
                <w:szCs w:val="20"/>
                <w:color w:val="auto"/>
              </w:rPr>
            </w:pPr>
            <w:r>
              <w:rPr>
                <w:rFonts w:ascii="Arial" w:cs="Arial" w:eastAsia="Arial" w:hAnsi="Arial"/>
                <w:sz w:val="18"/>
                <w:szCs w:val="18"/>
                <w:color w:val="auto"/>
              </w:rPr>
              <w:t>Obligations of the Company</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2.5</w:t>
            </w:r>
          </w:p>
        </w:tc>
        <w:tc>
          <w:tcPr>
            <w:tcW w:w="4120" w:type="dxa"/>
            <w:vAlign w:val="bottom"/>
          </w:tcPr>
          <w:p>
            <w:pPr>
              <w:ind w:left="60"/>
              <w:spacing w:after="0"/>
              <w:rPr>
                <w:sz w:val="20"/>
                <w:szCs w:val="20"/>
                <w:color w:val="auto"/>
              </w:rPr>
            </w:pPr>
            <w:r>
              <w:rPr>
                <w:rFonts w:ascii="Arial" w:cs="Arial" w:eastAsia="Arial" w:hAnsi="Arial"/>
                <w:sz w:val="18"/>
                <w:szCs w:val="18"/>
                <w:color w:val="auto"/>
              </w:rPr>
              <w:t>Furnish Information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2.6</w:t>
            </w:r>
          </w:p>
        </w:tc>
        <w:tc>
          <w:tcPr>
            <w:tcW w:w="4120" w:type="dxa"/>
            <w:vAlign w:val="bottom"/>
          </w:tcPr>
          <w:p>
            <w:pPr>
              <w:ind w:left="60"/>
              <w:spacing w:after="0"/>
              <w:rPr>
                <w:sz w:val="20"/>
                <w:szCs w:val="20"/>
                <w:color w:val="auto"/>
              </w:rPr>
            </w:pPr>
            <w:r>
              <w:rPr>
                <w:rFonts w:ascii="Arial" w:cs="Arial" w:eastAsia="Arial" w:hAnsi="Arial"/>
                <w:sz w:val="18"/>
                <w:szCs w:val="18"/>
                <w:color w:val="auto"/>
              </w:rPr>
              <w:t>Expenses of Registration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2.7</w:t>
            </w:r>
          </w:p>
        </w:tc>
        <w:tc>
          <w:tcPr>
            <w:tcW w:w="4120" w:type="dxa"/>
            <w:vAlign w:val="bottom"/>
          </w:tcPr>
          <w:p>
            <w:pPr>
              <w:ind w:left="60"/>
              <w:spacing w:after="0"/>
              <w:rPr>
                <w:sz w:val="20"/>
                <w:szCs w:val="20"/>
                <w:color w:val="auto"/>
              </w:rPr>
            </w:pPr>
            <w:r>
              <w:rPr>
                <w:rFonts w:ascii="Arial" w:cs="Arial" w:eastAsia="Arial" w:hAnsi="Arial"/>
                <w:sz w:val="18"/>
                <w:szCs w:val="18"/>
                <w:color w:val="auto"/>
              </w:rPr>
              <w:t>Delay of Registration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2.8</w:t>
            </w:r>
          </w:p>
        </w:tc>
        <w:tc>
          <w:tcPr>
            <w:tcW w:w="412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2.9</w:t>
            </w:r>
          </w:p>
        </w:tc>
        <w:tc>
          <w:tcPr>
            <w:tcW w:w="4120" w:type="dxa"/>
            <w:vAlign w:val="bottom"/>
          </w:tcPr>
          <w:p>
            <w:pPr>
              <w:ind w:left="60"/>
              <w:spacing w:after="0"/>
              <w:rPr>
                <w:sz w:val="20"/>
                <w:szCs w:val="20"/>
                <w:color w:val="auto"/>
              </w:rPr>
            </w:pPr>
            <w:r>
              <w:rPr>
                <w:rFonts w:ascii="Arial" w:cs="Arial" w:eastAsia="Arial" w:hAnsi="Arial"/>
                <w:sz w:val="18"/>
                <w:szCs w:val="18"/>
                <w:color w:val="auto"/>
              </w:rPr>
              <w:t>Reports Under Exchange Act</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2.10</w:t>
            </w:r>
          </w:p>
        </w:tc>
        <w:tc>
          <w:tcPr>
            <w:tcW w:w="4120" w:type="dxa"/>
            <w:vAlign w:val="bottom"/>
          </w:tcPr>
          <w:p>
            <w:pPr>
              <w:ind w:left="60"/>
              <w:spacing w:after="0"/>
              <w:rPr>
                <w:sz w:val="20"/>
                <w:szCs w:val="20"/>
                <w:color w:val="auto"/>
              </w:rPr>
            </w:pPr>
            <w:r>
              <w:rPr>
                <w:rFonts w:ascii="Arial" w:cs="Arial" w:eastAsia="Arial" w:hAnsi="Arial"/>
                <w:sz w:val="18"/>
                <w:szCs w:val="18"/>
                <w:color w:val="auto"/>
              </w:rPr>
              <w:t>Limitations on Subsequent Registration Rights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2.11</w:t>
            </w:r>
          </w:p>
        </w:tc>
        <w:tc>
          <w:tcPr>
            <w:tcW w:w="4120" w:type="dxa"/>
            <w:vAlign w:val="bottom"/>
          </w:tcPr>
          <w:p>
            <w:pPr>
              <w:ind w:left="60"/>
              <w:spacing w:after="0"/>
              <w:rPr>
                <w:sz w:val="20"/>
                <w:szCs w:val="20"/>
                <w:color w:val="auto"/>
              </w:rPr>
            </w:pPr>
            <w:r>
              <w:rPr>
                <w:rFonts w:ascii="Arial" w:cs="Arial" w:eastAsia="Arial" w:hAnsi="Arial"/>
                <w:sz w:val="18"/>
                <w:szCs w:val="18"/>
                <w:color w:val="auto"/>
              </w:rPr>
              <w:t>“Market Stand-off” Agreement</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2.12</w:t>
            </w:r>
          </w:p>
        </w:tc>
        <w:tc>
          <w:tcPr>
            <w:tcW w:w="4120" w:type="dxa"/>
            <w:vAlign w:val="bottom"/>
          </w:tcPr>
          <w:p>
            <w:pPr>
              <w:ind w:left="60"/>
              <w:spacing w:after="0"/>
              <w:rPr>
                <w:sz w:val="20"/>
                <w:szCs w:val="20"/>
                <w:color w:val="auto"/>
              </w:rPr>
            </w:pPr>
            <w:r>
              <w:rPr>
                <w:rFonts w:ascii="Arial" w:cs="Arial" w:eastAsia="Arial" w:hAnsi="Arial"/>
                <w:sz w:val="18"/>
                <w:szCs w:val="18"/>
                <w:color w:val="auto"/>
              </w:rPr>
              <w:t>Restrictions on Transfer</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22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2.13</w:t>
            </w:r>
          </w:p>
        </w:tc>
        <w:tc>
          <w:tcPr>
            <w:tcW w:w="4120" w:type="dxa"/>
            <w:vAlign w:val="bottom"/>
          </w:tcPr>
          <w:p>
            <w:pPr>
              <w:ind w:left="60"/>
              <w:spacing w:after="0"/>
              <w:rPr>
                <w:sz w:val="20"/>
                <w:szCs w:val="20"/>
                <w:color w:val="auto"/>
              </w:rPr>
            </w:pPr>
            <w:r>
              <w:rPr>
                <w:rFonts w:ascii="Arial" w:cs="Arial" w:eastAsia="Arial" w:hAnsi="Arial"/>
                <w:sz w:val="18"/>
                <w:szCs w:val="18"/>
                <w:color w:val="auto"/>
              </w:rPr>
              <w:t>Termination of Registration Rights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4800" w:type="dxa"/>
            <w:vAlign w:val="bottom"/>
            <w:gridSpan w:val="3"/>
          </w:tcPr>
          <w:p>
            <w:pPr>
              <w:spacing w:after="0"/>
              <w:rPr>
                <w:sz w:val="20"/>
                <w:szCs w:val="20"/>
                <w:color w:val="auto"/>
              </w:rPr>
            </w:pPr>
            <w:r>
              <w:rPr>
                <w:rFonts w:ascii="Arial" w:cs="Arial" w:eastAsia="Arial" w:hAnsi="Arial"/>
                <w:sz w:val="18"/>
                <w:szCs w:val="18"/>
                <w:color w:val="auto"/>
              </w:rPr>
              <w:t>3.  Information and Inspection Rights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3.2</w:t>
            </w:r>
          </w:p>
        </w:tc>
        <w:tc>
          <w:tcPr>
            <w:tcW w:w="4120" w:type="dxa"/>
            <w:vAlign w:val="bottom"/>
          </w:tcPr>
          <w:p>
            <w:pPr>
              <w:ind w:left="60"/>
              <w:spacing w:after="0"/>
              <w:rPr>
                <w:sz w:val="20"/>
                <w:szCs w:val="20"/>
                <w:color w:val="auto"/>
              </w:rPr>
            </w:pPr>
            <w:r>
              <w:rPr>
                <w:rFonts w:ascii="Arial" w:cs="Arial" w:eastAsia="Arial" w:hAnsi="Arial"/>
                <w:sz w:val="18"/>
                <w:szCs w:val="18"/>
                <w:color w:val="auto"/>
              </w:rPr>
              <w:t>Inspection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3.3</w:t>
            </w:r>
          </w:p>
        </w:tc>
        <w:tc>
          <w:tcPr>
            <w:tcW w:w="4120" w:type="dxa"/>
            <w:vAlign w:val="bottom"/>
          </w:tcPr>
          <w:p>
            <w:pPr>
              <w:ind w:left="60"/>
              <w:spacing w:after="0"/>
              <w:rPr>
                <w:sz w:val="20"/>
                <w:szCs w:val="20"/>
                <w:color w:val="auto"/>
              </w:rPr>
            </w:pPr>
            <w:r>
              <w:rPr>
                <w:rFonts w:ascii="Arial" w:cs="Arial" w:eastAsia="Arial" w:hAnsi="Arial"/>
                <w:sz w:val="18"/>
                <w:szCs w:val="18"/>
                <w:color w:val="auto"/>
              </w:rPr>
              <w:t>Termination of Information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2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3.4</w:t>
            </w:r>
          </w:p>
        </w:tc>
        <w:tc>
          <w:tcPr>
            <w:tcW w:w="412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4800" w:type="dxa"/>
            <w:vAlign w:val="bottom"/>
            <w:gridSpan w:val="3"/>
          </w:tcPr>
          <w:p>
            <w:pPr>
              <w:spacing w:after="0"/>
              <w:rPr>
                <w:sz w:val="20"/>
                <w:szCs w:val="20"/>
                <w:color w:val="auto"/>
              </w:rPr>
            </w:pPr>
            <w:r>
              <w:rPr>
                <w:rFonts w:ascii="Arial" w:cs="Arial" w:eastAsia="Arial" w:hAnsi="Arial"/>
                <w:sz w:val="18"/>
                <w:szCs w:val="18"/>
                <w:color w:val="auto"/>
              </w:rPr>
              <w:t>4.  Rights to Future Stock Issuances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4.1</w:t>
            </w:r>
          </w:p>
        </w:tc>
        <w:tc>
          <w:tcPr>
            <w:tcW w:w="4120" w:type="dxa"/>
            <w:vAlign w:val="bottom"/>
          </w:tcPr>
          <w:p>
            <w:pPr>
              <w:ind w:left="60"/>
              <w:spacing w:after="0"/>
              <w:rPr>
                <w:sz w:val="20"/>
                <w:szCs w:val="20"/>
                <w:color w:val="auto"/>
              </w:rPr>
            </w:pPr>
            <w:r>
              <w:rPr>
                <w:rFonts w:ascii="Arial" w:cs="Arial" w:eastAsia="Arial" w:hAnsi="Arial"/>
                <w:sz w:val="18"/>
                <w:szCs w:val="18"/>
                <w:color w:val="auto"/>
              </w:rPr>
              <w:t>Right of First Offer</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22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4.2</w:t>
            </w:r>
          </w:p>
        </w:tc>
        <w:tc>
          <w:tcPr>
            <w:tcW w:w="412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220" w:type="dxa"/>
            <w:vAlign w:val="bottom"/>
          </w:tcPr>
          <w:p>
            <w:pPr>
              <w:spacing w:after="0"/>
              <w:rPr>
                <w:sz w:val="20"/>
                <w:szCs w:val="20"/>
                <w:color w:val="auto"/>
              </w:rPr>
            </w:pPr>
            <w:r>
              <w:rPr>
                <w:rFonts w:ascii="Arial" w:cs="Arial" w:eastAsia="Arial" w:hAnsi="Arial"/>
                <w:sz w:val="18"/>
                <w:szCs w:val="18"/>
                <w:color w:val="auto"/>
              </w:rPr>
              <w:t>5.</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Additional Covenants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5.1</w:t>
            </w:r>
          </w:p>
        </w:tc>
        <w:tc>
          <w:tcPr>
            <w:tcW w:w="4120" w:type="dxa"/>
            <w:vAlign w:val="bottom"/>
          </w:tcPr>
          <w:p>
            <w:pPr>
              <w:ind w:left="60"/>
              <w:spacing w:after="0"/>
              <w:rPr>
                <w:sz w:val="20"/>
                <w:szCs w:val="20"/>
                <w:color w:val="auto"/>
              </w:rPr>
            </w:pPr>
            <w:r>
              <w:rPr>
                <w:rFonts w:ascii="Arial" w:cs="Arial" w:eastAsia="Arial" w:hAnsi="Arial"/>
                <w:sz w:val="18"/>
                <w:szCs w:val="18"/>
                <w:color w:val="auto"/>
              </w:rPr>
              <w:t>Insurance</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5.2</w:t>
            </w:r>
          </w:p>
        </w:tc>
        <w:tc>
          <w:tcPr>
            <w:tcW w:w="4120" w:type="dxa"/>
            <w:vAlign w:val="bottom"/>
          </w:tcPr>
          <w:p>
            <w:pPr>
              <w:ind w:left="60"/>
              <w:spacing w:after="0"/>
              <w:rPr>
                <w:sz w:val="20"/>
                <w:szCs w:val="20"/>
                <w:color w:val="auto"/>
              </w:rPr>
            </w:pPr>
            <w:r>
              <w:rPr>
                <w:rFonts w:ascii="Arial" w:cs="Arial" w:eastAsia="Arial" w:hAnsi="Arial"/>
                <w:sz w:val="18"/>
                <w:szCs w:val="18"/>
                <w:color w:val="auto"/>
              </w:rPr>
              <w:t>Employee Agreements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5.3</w:t>
            </w:r>
          </w:p>
        </w:tc>
        <w:tc>
          <w:tcPr>
            <w:tcW w:w="4120" w:type="dxa"/>
            <w:vAlign w:val="bottom"/>
          </w:tcPr>
          <w:p>
            <w:pPr>
              <w:ind w:left="60"/>
              <w:spacing w:after="0"/>
              <w:rPr>
                <w:sz w:val="20"/>
                <w:szCs w:val="20"/>
                <w:color w:val="auto"/>
              </w:rPr>
            </w:pPr>
            <w:r>
              <w:rPr>
                <w:rFonts w:ascii="Arial" w:cs="Arial" w:eastAsia="Arial" w:hAnsi="Arial"/>
                <w:sz w:val="18"/>
                <w:szCs w:val="18"/>
                <w:color w:val="auto"/>
              </w:rPr>
              <w:t>Employee Stock</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5.4</w:t>
            </w:r>
          </w:p>
        </w:tc>
        <w:tc>
          <w:tcPr>
            <w:tcW w:w="4120" w:type="dxa"/>
            <w:vAlign w:val="bottom"/>
          </w:tcPr>
          <w:p>
            <w:pPr>
              <w:ind w:left="60"/>
              <w:spacing w:after="0"/>
              <w:rPr>
                <w:sz w:val="20"/>
                <w:szCs w:val="20"/>
                <w:color w:val="auto"/>
              </w:rPr>
            </w:pPr>
            <w:r>
              <w:rPr>
                <w:rFonts w:ascii="Arial" w:cs="Arial" w:eastAsia="Arial" w:hAnsi="Arial"/>
                <w:sz w:val="18"/>
                <w:szCs w:val="18"/>
                <w:color w:val="auto"/>
              </w:rPr>
              <w:t>Board Matters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5.5</w:t>
            </w:r>
          </w:p>
        </w:tc>
        <w:tc>
          <w:tcPr>
            <w:tcW w:w="4120" w:type="dxa"/>
            <w:vAlign w:val="bottom"/>
          </w:tcPr>
          <w:p>
            <w:pPr>
              <w:ind w:left="60"/>
              <w:spacing w:after="0"/>
              <w:rPr>
                <w:sz w:val="20"/>
                <w:szCs w:val="20"/>
                <w:color w:val="auto"/>
              </w:rPr>
            </w:pPr>
            <w:r>
              <w:rPr>
                <w:rFonts w:ascii="Arial" w:cs="Arial" w:eastAsia="Arial" w:hAnsi="Arial"/>
                <w:sz w:val="18"/>
                <w:szCs w:val="18"/>
                <w:color w:val="auto"/>
              </w:rPr>
              <w:t>Successor Indemnification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5.6</w:t>
            </w:r>
          </w:p>
        </w:tc>
        <w:tc>
          <w:tcPr>
            <w:tcW w:w="4120" w:type="dxa"/>
            <w:vAlign w:val="bottom"/>
          </w:tcPr>
          <w:p>
            <w:pPr>
              <w:ind w:left="60"/>
              <w:spacing w:after="0"/>
              <w:rPr>
                <w:sz w:val="20"/>
                <w:szCs w:val="20"/>
                <w:color w:val="auto"/>
              </w:rPr>
            </w:pPr>
            <w:r>
              <w:rPr>
                <w:rFonts w:ascii="Arial" w:cs="Arial" w:eastAsia="Arial" w:hAnsi="Arial"/>
                <w:sz w:val="18"/>
                <w:szCs w:val="18"/>
                <w:color w:val="auto"/>
              </w:rPr>
              <w:t>Expenses of Counsel</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5.7</w:t>
            </w:r>
          </w:p>
        </w:tc>
        <w:tc>
          <w:tcPr>
            <w:tcW w:w="4120" w:type="dxa"/>
            <w:vAlign w:val="bottom"/>
          </w:tcPr>
          <w:p>
            <w:pPr>
              <w:ind w:left="60"/>
              <w:spacing w:after="0"/>
              <w:rPr>
                <w:sz w:val="20"/>
                <w:szCs w:val="20"/>
                <w:color w:val="auto"/>
              </w:rPr>
            </w:pPr>
            <w:r>
              <w:rPr>
                <w:rFonts w:ascii="Arial" w:cs="Arial" w:eastAsia="Arial" w:hAnsi="Arial"/>
                <w:sz w:val="18"/>
                <w:szCs w:val="18"/>
                <w:color w:val="auto"/>
              </w:rPr>
              <w:t>Indemnification Matters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5.8</w:t>
            </w:r>
          </w:p>
        </w:tc>
        <w:tc>
          <w:tcPr>
            <w:tcW w:w="4120" w:type="dxa"/>
            <w:vAlign w:val="bottom"/>
          </w:tcPr>
          <w:p>
            <w:pPr>
              <w:ind w:left="60"/>
              <w:spacing w:after="0"/>
              <w:rPr>
                <w:sz w:val="20"/>
                <w:szCs w:val="20"/>
                <w:color w:val="auto"/>
              </w:rPr>
            </w:pPr>
            <w:r>
              <w:rPr>
                <w:rFonts w:ascii="Arial" w:cs="Arial" w:eastAsia="Arial" w:hAnsi="Arial"/>
                <w:sz w:val="18"/>
                <w:szCs w:val="18"/>
                <w:color w:val="auto"/>
              </w:rPr>
              <w:t>Termination of Covenants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5.9</w:t>
            </w:r>
          </w:p>
        </w:tc>
        <w:tc>
          <w:tcPr>
            <w:tcW w:w="4120" w:type="dxa"/>
            <w:vAlign w:val="bottom"/>
          </w:tcPr>
          <w:p>
            <w:pPr>
              <w:ind w:left="60"/>
              <w:spacing w:after="0"/>
              <w:rPr>
                <w:sz w:val="20"/>
                <w:szCs w:val="20"/>
                <w:color w:val="auto"/>
              </w:rPr>
            </w:pPr>
            <w:r>
              <w:rPr>
                <w:rFonts w:ascii="Arial" w:cs="Arial" w:eastAsia="Arial" w:hAnsi="Arial"/>
                <w:sz w:val="18"/>
                <w:szCs w:val="18"/>
                <w:color w:val="auto"/>
              </w:rPr>
              <w:t>Right to Conduct Activities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22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5.10</w:t>
            </w:r>
          </w:p>
        </w:tc>
        <w:tc>
          <w:tcPr>
            <w:tcW w:w="4120" w:type="dxa"/>
            <w:vAlign w:val="bottom"/>
          </w:tcPr>
          <w:p>
            <w:pPr>
              <w:ind w:left="60"/>
              <w:spacing w:after="0"/>
              <w:rPr>
                <w:sz w:val="20"/>
                <w:szCs w:val="20"/>
                <w:color w:val="auto"/>
              </w:rPr>
            </w:pPr>
            <w:r>
              <w:rPr>
                <w:rFonts w:ascii="Arial" w:cs="Arial" w:eastAsia="Arial" w:hAnsi="Arial"/>
                <w:sz w:val="18"/>
                <w:szCs w:val="18"/>
                <w:color w:val="auto"/>
              </w:rPr>
              <w:t>Matters Requiring Preferred Director Approval</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220" w:type="dxa"/>
            <w:vAlign w:val="bottom"/>
          </w:tcPr>
          <w:p>
            <w:pPr>
              <w:spacing w:after="0"/>
              <w:rPr>
                <w:sz w:val="20"/>
                <w:szCs w:val="20"/>
                <w:color w:val="auto"/>
              </w:rPr>
            </w:pPr>
            <w:r>
              <w:rPr>
                <w:rFonts w:ascii="Arial" w:cs="Arial" w:eastAsia="Arial" w:hAnsi="Arial"/>
                <w:sz w:val="18"/>
                <w:szCs w:val="18"/>
                <w:color w:val="auto"/>
              </w:rPr>
              <w:t>6.</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Miscellaneous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6.1</w:t>
            </w:r>
          </w:p>
        </w:tc>
        <w:tc>
          <w:tcPr>
            <w:tcW w:w="412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6.2</w:t>
            </w:r>
          </w:p>
        </w:tc>
        <w:tc>
          <w:tcPr>
            <w:tcW w:w="412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6.3</w:t>
            </w:r>
          </w:p>
        </w:tc>
        <w:tc>
          <w:tcPr>
            <w:tcW w:w="412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22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6.4</w:t>
            </w:r>
          </w:p>
        </w:tc>
        <w:tc>
          <w:tcPr>
            <w:tcW w:w="4120" w:type="dxa"/>
            <w:vAlign w:val="bottom"/>
          </w:tcPr>
          <w:p>
            <w:pPr>
              <w:ind w:left="60"/>
              <w:spacing w:after="0"/>
              <w:rPr>
                <w:sz w:val="20"/>
                <w:szCs w:val="20"/>
                <w:color w:val="auto"/>
              </w:rPr>
            </w:pPr>
            <w:r>
              <w:rPr>
                <w:rFonts w:ascii="Arial" w:cs="Arial" w:eastAsia="Arial" w:hAnsi="Arial"/>
                <w:sz w:val="18"/>
                <w:szCs w:val="18"/>
                <w:color w:val="auto"/>
              </w:rPr>
              <w:t>Titles and Subtitles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25</w:t>
            </w:r>
          </w:p>
        </w:tc>
      </w:tr>
    </w:tbl>
    <w:p>
      <w:pPr>
        <w:jc w:val="right"/>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82" w:name="page283"/>
    <w:bookmarkEnd w:id="282"/>
    <w:tbl>
      <w:tblPr>
        <w:tblLayout w:type="fixed"/>
        <w:tblInd w:w="22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6.5</w:t>
            </w:r>
          </w:p>
        </w:tc>
        <w:tc>
          <w:tcPr>
            <w:tcW w:w="6300" w:type="dxa"/>
            <w:vAlign w:val="bottom"/>
          </w:tcPr>
          <w:p>
            <w:pPr>
              <w:ind w:left="60"/>
              <w:spacing w:after="0"/>
              <w:rPr>
                <w:sz w:val="20"/>
                <w:szCs w:val="20"/>
                <w:color w:val="auto"/>
              </w:rPr>
            </w:pPr>
            <w:r>
              <w:rPr>
                <w:rFonts w:ascii="Arial" w:cs="Arial" w:eastAsia="Arial" w:hAnsi="Arial"/>
                <w:sz w:val="18"/>
                <w:szCs w:val="18"/>
                <w:color w:val="auto"/>
              </w:rPr>
              <w:t>Notices</w:t>
            </w:r>
          </w:p>
        </w:tc>
        <w:tc>
          <w:tcPr>
            <w:tcW w:w="4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6.6</w:t>
            </w:r>
          </w:p>
        </w:tc>
        <w:tc>
          <w:tcPr>
            <w:tcW w:w="6300" w:type="dxa"/>
            <w:vAlign w:val="bottom"/>
          </w:tcPr>
          <w:p>
            <w:pPr>
              <w:ind w:left="60"/>
              <w:spacing w:after="0"/>
              <w:rPr>
                <w:sz w:val="20"/>
                <w:szCs w:val="20"/>
                <w:color w:val="auto"/>
              </w:rPr>
            </w:pPr>
            <w:r>
              <w:rPr>
                <w:rFonts w:ascii="Arial" w:cs="Arial" w:eastAsia="Arial" w:hAnsi="Arial"/>
                <w:sz w:val="18"/>
                <w:szCs w:val="18"/>
                <w:color w:val="auto"/>
              </w:rPr>
              <w:t>Amendments and Waivers</w:t>
            </w:r>
          </w:p>
        </w:tc>
        <w:tc>
          <w:tcPr>
            <w:tcW w:w="4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6.7</w:t>
            </w:r>
          </w:p>
        </w:tc>
        <w:tc>
          <w:tcPr>
            <w:tcW w:w="630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4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6.8</w:t>
            </w:r>
          </w:p>
        </w:tc>
        <w:tc>
          <w:tcPr>
            <w:tcW w:w="6300" w:type="dxa"/>
            <w:vAlign w:val="bottom"/>
          </w:tcPr>
          <w:p>
            <w:pPr>
              <w:ind w:left="60"/>
              <w:spacing w:after="0"/>
              <w:rPr>
                <w:sz w:val="20"/>
                <w:szCs w:val="20"/>
                <w:color w:val="auto"/>
              </w:rPr>
            </w:pPr>
            <w:r>
              <w:rPr>
                <w:rFonts w:ascii="Arial" w:cs="Arial" w:eastAsia="Arial" w:hAnsi="Arial"/>
                <w:sz w:val="18"/>
                <w:szCs w:val="18"/>
                <w:color w:val="auto"/>
              </w:rPr>
              <w:t>Aggregation of Stock</w:t>
            </w:r>
          </w:p>
        </w:tc>
        <w:tc>
          <w:tcPr>
            <w:tcW w:w="4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6.9</w:t>
            </w:r>
          </w:p>
        </w:tc>
        <w:tc>
          <w:tcPr>
            <w:tcW w:w="6300" w:type="dxa"/>
            <w:vAlign w:val="bottom"/>
          </w:tcPr>
          <w:p>
            <w:pPr>
              <w:ind w:left="60"/>
              <w:spacing w:after="0"/>
              <w:rPr>
                <w:sz w:val="20"/>
                <w:szCs w:val="20"/>
                <w:color w:val="auto"/>
              </w:rPr>
            </w:pPr>
            <w:r>
              <w:rPr>
                <w:rFonts w:ascii="Arial" w:cs="Arial" w:eastAsia="Arial" w:hAnsi="Arial"/>
                <w:sz w:val="18"/>
                <w:szCs w:val="18"/>
                <w:color w:val="auto"/>
              </w:rPr>
              <w:t>Additional Investors</w:t>
            </w:r>
          </w:p>
        </w:tc>
        <w:tc>
          <w:tcPr>
            <w:tcW w:w="4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6.10</w:t>
            </w:r>
          </w:p>
        </w:tc>
        <w:tc>
          <w:tcPr>
            <w:tcW w:w="630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4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6.11</w:t>
            </w:r>
          </w:p>
        </w:tc>
        <w:tc>
          <w:tcPr>
            <w:tcW w:w="6300" w:type="dxa"/>
            <w:vAlign w:val="bottom"/>
          </w:tcPr>
          <w:p>
            <w:pPr>
              <w:ind w:left="60"/>
              <w:spacing w:after="0"/>
              <w:rPr>
                <w:sz w:val="20"/>
                <w:szCs w:val="20"/>
                <w:color w:val="auto"/>
              </w:rPr>
            </w:pPr>
            <w:r>
              <w:rPr>
                <w:rFonts w:ascii="Arial" w:cs="Arial" w:eastAsia="Arial" w:hAnsi="Arial"/>
                <w:sz w:val="18"/>
                <w:szCs w:val="18"/>
                <w:color w:val="auto"/>
              </w:rPr>
              <w:t>Dispute Resolution</w:t>
            </w:r>
          </w:p>
        </w:tc>
        <w:tc>
          <w:tcPr>
            <w:tcW w:w="4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6.12</w:t>
            </w:r>
          </w:p>
        </w:tc>
        <w:tc>
          <w:tcPr>
            <w:tcW w:w="6300" w:type="dxa"/>
            <w:vAlign w:val="bottom"/>
          </w:tcPr>
          <w:p>
            <w:pPr>
              <w:ind w:left="60"/>
              <w:spacing w:after="0"/>
              <w:rPr>
                <w:sz w:val="20"/>
                <w:szCs w:val="20"/>
                <w:color w:val="auto"/>
              </w:rPr>
            </w:pPr>
            <w:r>
              <w:rPr>
                <w:rFonts w:ascii="Arial" w:cs="Arial" w:eastAsia="Arial" w:hAnsi="Arial"/>
                <w:sz w:val="18"/>
                <w:szCs w:val="18"/>
                <w:color w:val="auto"/>
              </w:rPr>
              <w:t>Delays or Omissions</w:t>
            </w:r>
          </w:p>
        </w:tc>
        <w:tc>
          <w:tcPr>
            <w:tcW w:w="454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 Schedule of Investors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83" w:name="page284"/>
    <w:bookmarkEnd w:id="283"/>
    <w:p>
      <w:pPr>
        <w:ind w:left="4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AMENDED AND RESTATED</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INVESTORS’ RIGHTS AGREEMENT</w:t>
      </w:r>
    </w:p>
    <w:p>
      <w:pPr>
        <w:spacing w:after="0" w:line="207" w:lineRule="exact"/>
        <w:rPr>
          <w:sz w:val="20"/>
          <w:szCs w:val="20"/>
          <w:color w:val="auto"/>
        </w:rPr>
      </w:pPr>
    </w:p>
    <w:p>
      <w:pPr>
        <w:ind w:right="160" w:firstLine="456"/>
        <w:spacing w:after="0" w:line="314" w:lineRule="auto"/>
        <w:rPr>
          <w:sz w:val="20"/>
          <w:szCs w:val="20"/>
          <w:color w:val="auto"/>
        </w:rPr>
      </w:pPr>
      <w:r>
        <w:rPr>
          <w:rFonts w:ascii="Arial" w:cs="Arial" w:eastAsia="Arial" w:hAnsi="Arial"/>
          <w:sz w:val="16"/>
          <w:szCs w:val="16"/>
          <w:color w:val="auto"/>
        </w:rPr>
        <w:t>THIS SECOND AMENDED AND RESTATED INVESTORS’ RIGHTS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as of the 19th day of January, 2018, by and among AVROBIO,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and each of the investors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(together with any subsequent investors, or transferees, who become parties hereto as “Investors” in accordance with Subsection 6.1 or Subsection 6.9 below, the “</w:t>
      </w:r>
      <w:r>
        <w:rPr>
          <w:rFonts w:ascii="Arial" w:cs="Arial" w:eastAsia="Arial" w:hAnsi="Arial"/>
          <w:sz w:val="16"/>
          <w:szCs w:val="16"/>
          <w:b w:val="1"/>
          <w:bCs w:val="1"/>
          <w:color w:val="auto"/>
        </w:rPr>
        <w:t>Investors</w:t>
      </w:r>
      <w:r>
        <w:rPr>
          <w:rFonts w:ascii="Arial" w:cs="Arial" w:eastAsia="Arial" w:hAnsi="Arial"/>
          <w:sz w:val="16"/>
          <w:szCs w:val="16"/>
          <w:color w:val="auto"/>
        </w:rPr>
        <w:t>”).</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certain of the Investors (the “</w:t>
      </w:r>
      <w:r>
        <w:rPr>
          <w:rFonts w:ascii="Arial" w:cs="Arial" w:eastAsia="Arial" w:hAnsi="Arial"/>
          <w:sz w:val="18"/>
          <w:szCs w:val="18"/>
          <w:b w:val="1"/>
          <w:bCs w:val="1"/>
          <w:color w:val="auto"/>
        </w:rPr>
        <w:t>Prior Investors</w:t>
      </w:r>
      <w:r>
        <w:rPr>
          <w:rFonts w:ascii="Arial" w:cs="Arial" w:eastAsia="Arial" w:hAnsi="Arial"/>
          <w:sz w:val="18"/>
          <w:szCs w:val="18"/>
          <w:color w:val="auto"/>
        </w:rPr>
        <w:t>”) have previously entered into that certain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Rights Agreement dated as of July 21, 2016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162"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Investors are parties to the Series B Preferred Stock Purchase Agreement of even date herewith (the “</w:t>
      </w:r>
      <w:r>
        <w:rPr>
          <w:rFonts w:ascii="Arial" w:cs="Arial" w:eastAsia="Arial" w:hAnsi="Arial"/>
          <w:sz w:val="18"/>
          <w:szCs w:val="18"/>
          <w:b w:val="1"/>
          <w:bCs w:val="1"/>
          <w:color w:val="auto"/>
        </w:rPr>
        <w:t>Purchase Agreement</w:t>
      </w:r>
      <w:r>
        <w:rPr>
          <w:rFonts w:ascii="Arial" w:cs="Arial" w:eastAsia="Arial" w:hAnsi="Arial"/>
          <w:sz w:val="18"/>
          <w:szCs w:val="18"/>
          <w:color w:val="auto"/>
        </w:rPr>
        <w:t>”);</w:t>
      </w:r>
    </w:p>
    <w:p>
      <w:pPr>
        <w:spacing w:after="0" w:line="16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to the Prior Agreement desire to amend and restate the Prior Agreement and to accept the rights and covenants hereof in lieu of</w:t>
      </w:r>
      <w:r>
        <w:rPr>
          <w:rFonts w:ascii="Arial" w:cs="Arial" w:eastAsia="Arial" w:hAnsi="Arial"/>
          <w:sz w:val="18"/>
          <w:szCs w:val="18"/>
          <w:b w:val="1"/>
          <w:bCs w:val="1"/>
          <w:color w:val="auto"/>
        </w:rPr>
        <w:t xml:space="preserve"> </w:t>
      </w:r>
      <w:r>
        <w:rPr>
          <w:rFonts w:ascii="Arial" w:cs="Arial" w:eastAsia="Arial" w:hAnsi="Arial"/>
          <w:sz w:val="18"/>
          <w:szCs w:val="18"/>
          <w:color w:val="auto"/>
        </w:rPr>
        <w:t>their rights and covenants under the Prior Agreement;</w:t>
      </w:r>
    </w:p>
    <w:p>
      <w:pPr>
        <w:spacing w:after="0" w:line="162"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Prior Investors who have signed this Agreement constitute the requisite parties to amend and restate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w:t>
      </w:r>
    </w:p>
    <w:p>
      <w:pPr>
        <w:spacing w:after="0" w:line="162" w:lineRule="exact"/>
        <w:rPr>
          <w:sz w:val="20"/>
          <w:szCs w:val="20"/>
          <w:color w:val="auto"/>
        </w:rPr>
      </w:pPr>
    </w:p>
    <w:p>
      <w:pPr>
        <w:ind w:right="100" w:firstLine="456"/>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order to induce the Company to enter into the Purchase Agreement and to induce the Investors to invest funds in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the Purchase Agreement, the Investors and the Company hereby agree that this Agreement shall amend and restate the Prior Agreement and govern the rights of the Investors to cause the Company to register shares of Common Stock issuable to the Investors, to receive certain information from the Company, and to participate in future equity offerings by the Company, and shall govern certain other matters as set forth in this Agreement;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as follows: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13" w:lineRule="exact"/>
        <w:rPr>
          <w:sz w:val="20"/>
          <w:szCs w:val="20"/>
          <w:color w:val="auto"/>
        </w:rPr>
      </w:pPr>
    </w:p>
    <w:p>
      <w:pPr>
        <w:ind w:left="460" w:right="20" w:firstLine="876"/>
        <w:spacing w:after="0" w:line="295" w:lineRule="auto"/>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who, directly or indirectly, controls, is controlled by, or is under common control with such Person, including without limitation any general partner, managing member, limited partner, member, employee, officer or director of such Person or any venture capital fund now or hereafter existing that is controlled by one or more general partners or managing members of, or shares the same management company with, such Person. For purposes of this definition, the term “control” when used with respect to any Person means the power to direct the management or policies of such Person, directly or indirectly, whether through ownership of voting securities, by contract or otherwise, and the terms “controlling” and “controlled” shall have meanings correlative to the foregoing.</w:t>
      </w:r>
    </w:p>
    <w:p>
      <w:pPr>
        <w:sectPr>
          <w:pgSz w:w="11900" w:h="16838" w:orient="portrait"/>
          <w:cols w:equalWidth="0" w:num="1">
            <w:col w:w="11420"/>
          </w:cols>
          <w:pgMar w:left="240" w:top="270" w:right="239" w:bottom="1440" w:gutter="0" w:footer="0" w:header="0"/>
        </w:sectPr>
      </w:pPr>
    </w:p>
    <w:bookmarkStart w:id="284" w:name="page285"/>
    <w:bookmarkEnd w:id="284"/>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 “</w:t>
      </w:r>
      <w:r>
        <w:rPr>
          <w:rFonts w:ascii="Arial" w:cs="Arial" w:eastAsia="Arial" w:hAnsi="Arial"/>
          <w:sz w:val="18"/>
          <w:szCs w:val="18"/>
          <w:b w:val="1"/>
          <w:bCs w:val="1"/>
          <w:color w:val="auto"/>
        </w:rPr>
        <w:t>Aisling</w:t>
      </w:r>
      <w:r>
        <w:rPr>
          <w:rFonts w:ascii="Arial" w:cs="Arial" w:eastAsia="Arial" w:hAnsi="Arial"/>
          <w:sz w:val="18"/>
          <w:szCs w:val="18"/>
          <w:color w:val="auto"/>
        </w:rPr>
        <w:t>” means Aisling Capital IV, L.P.</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Atlas</w:t>
      </w:r>
      <w:r>
        <w:rPr>
          <w:rFonts w:ascii="Arial" w:cs="Arial" w:eastAsia="Arial" w:hAnsi="Arial"/>
          <w:sz w:val="18"/>
          <w:szCs w:val="18"/>
          <w:color w:val="auto"/>
        </w:rPr>
        <w:t>” means Atlas Venture Fund X, L.P.</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Brace</w:t>
      </w:r>
      <w:r>
        <w:rPr>
          <w:rFonts w:ascii="Arial" w:cs="Arial" w:eastAsia="Arial" w:hAnsi="Arial"/>
          <w:sz w:val="18"/>
          <w:szCs w:val="18"/>
          <w:color w:val="auto"/>
        </w:rPr>
        <w:t>” means Brace Pharmaceuticals LLC.</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Clarus</w:t>
      </w:r>
      <w:r>
        <w:rPr>
          <w:rFonts w:ascii="Arial" w:cs="Arial" w:eastAsia="Arial" w:hAnsi="Arial"/>
          <w:sz w:val="18"/>
          <w:szCs w:val="18"/>
          <w:color w:val="auto"/>
        </w:rPr>
        <w:t>” means Clarus Lifesciences III, LLP.</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the Company’s common stock, par value $0.0001 per share.</w:t>
      </w:r>
    </w:p>
    <w:p>
      <w:pPr>
        <w:spacing w:after="0" w:line="117" w:lineRule="exact"/>
        <w:rPr>
          <w:sz w:val="20"/>
          <w:szCs w:val="20"/>
          <w:color w:val="auto"/>
        </w:rPr>
      </w:pPr>
    </w:p>
    <w:p>
      <w:pPr>
        <w:ind w:right="140" w:firstLine="876"/>
        <w:spacing w:after="0" w:line="292" w:lineRule="auto"/>
        <w:rPr>
          <w:sz w:val="20"/>
          <w:szCs w:val="20"/>
          <w:color w:val="auto"/>
        </w:rPr>
      </w:pPr>
      <w:r>
        <w:rPr>
          <w:rFonts w:ascii="Arial" w:cs="Arial" w:eastAsia="Arial" w:hAnsi="Arial"/>
          <w:sz w:val="16"/>
          <w:szCs w:val="16"/>
          <w:color w:val="auto"/>
        </w:rPr>
        <w:t>1.7 “</w:t>
      </w:r>
      <w:r>
        <w:rPr>
          <w:rFonts w:ascii="Arial" w:cs="Arial" w:eastAsia="Arial" w:hAnsi="Arial"/>
          <w:sz w:val="16"/>
          <w:szCs w:val="16"/>
          <w:b w:val="1"/>
          <w:bCs w:val="1"/>
          <w:color w:val="auto"/>
        </w:rPr>
        <w:t>Competitor</w:t>
      </w:r>
      <w:r>
        <w:rPr>
          <w:rFonts w:ascii="Arial" w:cs="Arial" w:eastAsia="Arial" w:hAnsi="Arial"/>
          <w:sz w:val="16"/>
          <w:szCs w:val="16"/>
          <w:color w:val="auto"/>
        </w:rPr>
        <w:t>” means a Person engaged, directly or indirectly (including through any partnership, limited liability company, corporation, joint venture or similar arrangement (whether now existing or formed hereafter)), in the research, development or commercialization of human biopharmaceutical products involving lentiviral-based gene therapy for rare disease or neoplastic cells transduced to express molecules to treat cancer, but shall not include any financial investment firm or collective investment vehicle that, together with its Affiliates, holds less than twenty percent (20)% of the outstanding equity of any Competitor and does not, nor do any of its Affiliates, have a right to designate any members of the Board of Directors of any Competitor. Notwithstanding anything herein, the Company acknowledges that none of Surveyor, Atlas, SV or Clarus shall be deemed to be a Competitor solely by virtue of its (or any of its Affiliates’) status as a venture capital investor or equity holdings in a Competitor.</w:t>
      </w:r>
    </w:p>
    <w:p>
      <w:pPr>
        <w:spacing w:after="0" w:line="54" w:lineRule="exact"/>
        <w:rPr>
          <w:sz w:val="20"/>
          <w:szCs w:val="20"/>
          <w:color w:val="auto"/>
        </w:rPr>
      </w:pPr>
    </w:p>
    <w:p>
      <w:pPr>
        <w:ind w:right="360" w:firstLine="438"/>
        <w:spacing w:after="0" w:line="282"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Cormorant</w:t>
      </w:r>
      <w:r>
        <w:rPr>
          <w:rFonts w:ascii="Arial" w:cs="Arial" w:eastAsia="Arial" w:hAnsi="Arial"/>
          <w:sz w:val="18"/>
          <w:szCs w:val="18"/>
          <w:color w:val="auto"/>
        </w:rPr>
        <w:t>” means, collectively, Cormorant Private Healthcare Fund I, LP, Cormorant Global Healthcare Master Fund, LP, and CRMA SPV, L.P.</w:t>
      </w:r>
    </w:p>
    <w:p>
      <w:pPr>
        <w:spacing w:after="0" w:line="54" w:lineRule="exact"/>
        <w:rPr>
          <w:sz w:val="20"/>
          <w:szCs w:val="20"/>
          <w:color w:val="auto"/>
        </w:rPr>
      </w:pPr>
    </w:p>
    <w:p>
      <w:pPr>
        <w:ind w:firstLine="876"/>
        <w:spacing w:after="0" w:line="273" w:lineRule="auto"/>
        <w:rPr>
          <w:sz w:val="20"/>
          <w:szCs w:val="20"/>
          <w:color w:val="auto"/>
        </w:rPr>
      </w:pPr>
      <w:r>
        <w:rPr>
          <w:rFonts w:ascii="Arial" w:cs="Arial" w:eastAsia="Arial" w:hAnsi="Arial"/>
          <w:sz w:val="17"/>
          <w:szCs w:val="17"/>
          <w:color w:val="auto"/>
        </w:rPr>
        <w:t>1.9 “</w:t>
      </w:r>
      <w:r>
        <w:rPr>
          <w:rFonts w:ascii="Arial" w:cs="Arial" w:eastAsia="Arial" w:hAnsi="Arial"/>
          <w:sz w:val="17"/>
          <w:szCs w:val="17"/>
          <w:b w:val="1"/>
          <w:bCs w:val="1"/>
          <w:color w:val="auto"/>
        </w:rPr>
        <w:t>Damages</w:t>
      </w:r>
      <w:r>
        <w:rPr>
          <w:rFonts w:ascii="Arial" w:cs="Arial" w:eastAsia="Arial" w:hAnsi="Arial"/>
          <w:sz w:val="17"/>
          <w:szCs w:val="17"/>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64" w:lineRule="exact"/>
        <w:rPr>
          <w:sz w:val="20"/>
          <w:szCs w:val="20"/>
          <w:color w:val="auto"/>
        </w:rPr>
      </w:pPr>
    </w:p>
    <w:p>
      <w:pPr>
        <w:ind w:right="220" w:firstLine="876"/>
        <w:spacing w:after="0" w:line="282"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w:t>
      </w:r>
      <w:r>
        <w:rPr>
          <w:rFonts w:ascii="Arial" w:cs="Arial" w:eastAsia="Arial" w:hAnsi="Arial"/>
          <w:sz w:val="18"/>
          <w:szCs w:val="18"/>
          <w:b w:val="1"/>
          <w:bCs w:val="1"/>
          <w:color w:val="auto"/>
        </w:rPr>
        <w:t>,</w:t>
      </w:r>
      <w:r>
        <w:rPr>
          <w:rFonts w:ascii="Arial" w:cs="Arial" w:eastAsia="Arial" w:hAnsi="Arial"/>
          <w:sz w:val="18"/>
          <w:szCs w:val="18"/>
          <w:color w:val="auto"/>
        </w:rPr>
        <w:t xml:space="preserve"> Common Stock, including options and warrants.</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1.11 “</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1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70" w:right="239" w:bottom="1440" w:gutter="0" w:footer="0" w:header="0"/>
        </w:sectPr>
      </w:pPr>
    </w:p>
    <w:bookmarkStart w:id="285" w:name="page286"/>
    <w:bookmarkEnd w:id="285"/>
    <w:p>
      <w:pPr>
        <w:ind w:right="300" w:firstLine="87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1.12 “</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Eventide</w:t>
      </w:r>
      <w:r>
        <w:rPr>
          <w:rFonts w:ascii="Arial" w:cs="Arial" w:eastAsia="Arial" w:hAnsi="Arial"/>
          <w:sz w:val="18"/>
          <w:szCs w:val="18"/>
          <w:color w:val="auto"/>
        </w:rPr>
        <w:t>” means Eventide Healthcare &amp; Life Sciences Fund.</w:t>
      </w:r>
    </w:p>
    <w:p>
      <w:pPr>
        <w:spacing w:after="0" w:line="117" w:lineRule="exact"/>
        <w:rPr>
          <w:sz w:val="20"/>
          <w:szCs w:val="20"/>
          <w:color w:val="auto"/>
        </w:rPr>
      </w:pPr>
    </w:p>
    <w:p>
      <w:pPr>
        <w:ind w:firstLine="876"/>
        <w:spacing w:after="0" w:line="261"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FOIA Party</w:t>
      </w:r>
      <w:r>
        <w:rPr>
          <w:rFonts w:ascii="Arial" w:cs="Arial" w:eastAsia="Arial" w:hAnsi="Arial"/>
          <w:sz w:val="18"/>
          <w:szCs w:val="18"/>
          <w:color w:val="auto"/>
        </w:rPr>
        <w:t>” means a Person that, in the reasonable determination of the Board of Directors, may be subject to, and thereby required to disclose non-public information furnished by or relating to the Company under, the Freedom of Information Act, 5 U.S.C. 552 (“</w:t>
      </w:r>
      <w:r>
        <w:rPr>
          <w:rFonts w:ascii="Arial" w:cs="Arial" w:eastAsia="Arial" w:hAnsi="Arial"/>
          <w:sz w:val="18"/>
          <w:szCs w:val="18"/>
          <w:b w:val="1"/>
          <w:bCs w:val="1"/>
          <w:color w:val="auto"/>
        </w:rPr>
        <w:t>FOIA</w:t>
      </w:r>
      <w:r>
        <w:rPr>
          <w:rFonts w:ascii="Arial" w:cs="Arial" w:eastAsia="Arial" w:hAnsi="Arial"/>
          <w:sz w:val="18"/>
          <w:szCs w:val="18"/>
          <w:color w:val="auto"/>
        </w:rPr>
        <w:t>”), any state public records access law, any state or other jurisdiction’s laws similar in intent or effect to FOIA, or any other similar statutory or regulatory requirement.</w:t>
      </w:r>
    </w:p>
    <w:p>
      <w:pPr>
        <w:spacing w:after="0" w:line="72" w:lineRule="exact"/>
        <w:rPr>
          <w:sz w:val="20"/>
          <w:szCs w:val="20"/>
          <w:color w:val="auto"/>
        </w:rPr>
      </w:pPr>
    </w:p>
    <w:p>
      <w:pPr>
        <w:ind w:right="380" w:firstLine="876"/>
        <w:spacing w:after="0" w:line="282"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54" w:lineRule="exact"/>
        <w:rPr>
          <w:sz w:val="20"/>
          <w:szCs w:val="20"/>
          <w:color w:val="auto"/>
        </w:rPr>
      </w:pPr>
    </w:p>
    <w:p>
      <w:pPr>
        <w:jc w:val="both"/>
        <w:ind w:right="60" w:firstLine="876"/>
        <w:spacing w:after="0" w:line="266"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Holder</w:t>
      </w:r>
      <w:r>
        <w:rPr>
          <w:rFonts w:ascii="Arial" w:cs="Arial" w:eastAsia="Arial" w:hAnsi="Arial"/>
          <w:sz w:val="18"/>
          <w:szCs w:val="18"/>
          <w:color w:val="auto"/>
        </w:rPr>
        <w:t>” means any holder of Registrable Securities who is a party to this Agreement.</w:t>
      </w:r>
    </w:p>
    <w:p>
      <w:pPr>
        <w:spacing w:after="0" w:line="117" w:lineRule="exact"/>
        <w:rPr>
          <w:sz w:val="20"/>
          <w:szCs w:val="20"/>
          <w:color w:val="auto"/>
        </w:rPr>
      </w:pPr>
    </w:p>
    <w:p>
      <w:pPr>
        <w:ind w:right="160" w:firstLine="876"/>
        <w:spacing w:after="0" w:line="347" w:lineRule="auto"/>
        <w:rPr>
          <w:sz w:val="20"/>
          <w:szCs w:val="20"/>
          <w:color w:val="auto"/>
        </w:rPr>
      </w:pPr>
      <w:r>
        <w:rPr>
          <w:rFonts w:ascii="Arial" w:cs="Arial" w:eastAsia="Arial" w:hAnsi="Arial"/>
          <w:sz w:val="16"/>
          <w:szCs w:val="16"/>
          <w:color w:val="auto"/>
        </w:rPr>
        <w:t>1.19 “</w:t>
      </w:r>
      <w:r>
        <w:rPr>
          <w:rFonts w:ascii="Arial" w:cs="Arial" w:eastAsia="Arial" w:hAnsi="Arial"/>
          <w:sz w:val="16"/>
          <w:szCs w:val="16"/>
          <w:b w:val="1"/>
          <w:bCs w:val="1"/>
          <w:color w:val="auto"/>
        </w:rPr>
        <w:t>Immediate Family Member</w:t>
      </w:r>
      <w:r>
        <w:rPr>
          <w:rFonts w:ascii="Arial" w:cs="Arial" w:eastAsia="Arial" w:hAnsi="Arial"/>
          <w:sz w:val="16"/>
          <w:szCs w:val="16"/>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Initiating Holders</w:t>
      </w:r>
      <w:r>
        <w:rPr>
          <w:rFonts w:ascii="Arial" w:cs="Arial" w:eastAsia="Arial" w:hAnsi="Arial"/>
          <w:sz w:val="18"/>
          <w:szCs w:val="18"/>
          <w:color w:val="auto"/>
        </w:rPr>
        <w:t>” means, collectively, Holders who properly initiate a registration request under this Agreement.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Common Stock under the Securities Act.</w:t>
      </w:r>
    </w:p>
    <w:p>
      <w:pPr>
        <w:spacing w:after="0" w:line="117" w:lineRule="exact"/>
        <w:rPr>
          <w:sz w:val="20"/>
          <w:szCs w:val="20"/>
          <w:color w:val="auto"/>
        </w:rPr>
      </w:pPr>
    </w:p>
    <w:p>
      <w:pPr>
        <w:ind w:right="100" w:firstLine="876"/>
        <w:spacing w:after="0" w:line="266"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Key Employee</w:t>
      </w:r>
      <w:r>
        <w:rPr>
          <w:rFonts w:ascii="Arial" w:cs="Arial" w:eastAsia="Arial" w:hAnsi="Arial"/>
          <w:sz w:val="18"/>
          <w:szCs w:val="18"/>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70" w:right="259" w:bottom="1440" w:gutter="0" w:footer="0" w:header="0"/>
        </w:sectPr>
      </w:pPr>
    </w:p>
    <w:bookmarkStart w:id="286" w:name="page287"/>
    <w:bookmarkEnd w:id="286"/>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1.23 “</w:t>
      </w:r>
      <w:r>
        <w:rPr>
          <w:rFonts w:ascii="Arial" w:cs="Arial" w:eastAsia="Arial" w:hAnsi="Arial"/>
          <w:sz w:val="18"/>
          <w:szCs w:val="18"/>
          <w:b w:val="1"/>
          <w:bCs w:val="1"/>
          <w:color w:val="auto"/>
        </w:rPr>
        <w:t>Leerink</w:t>
      </w:r>
      <w:r>
        <w:rPr>
          <w:rFonts w:ascii="Arial" w:cs="Arial" w:eastAsia="Arial" w:hAnsi="Arial"/>
          <w:sz w:val="18"/>
          <w:szCs w:val="18"/>
          <w:color w:val="auto"/>
        </w:rPr>
        <w:t>” means, collectively, Leerink Holdings LLC, and Leerink Swann Co-Investment Fund, LLC.</w:t>
      </w:r>
    </w:p>
    <w:p>
      <w:pPr>
        <w:spacing w:after="0" w:line="117" w:lineRule="exact"/>
        <w:rPr>
          <w:sz w:val="20"/>
          <w:szCs w:val="20"/>
          <w:color w:val="auto"/>
        </w:rPr>
      </w:pPr>
    </w:p>
    <w:p>
      <w:pPr>
        <w:jc w:val="both"/>
        <w:ind w:right="240" w:firstLine="876"/>
        <w:spacing w:after="0" w:line="266"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Major Investor</w:t>
      </w:r>
      <w:r>
        <w:rPr>
          <w:rFonts w:ascii="Arial" w:cs="Arial" w:eastAsia="Arial" w:hAnsi="Arial"/>
          <w:sz w:val="18"/>
          <w:szCs w:val="18"/>
          <w:color w:val="auto"/>
        </w:rPr>
        <w:t>” means any Investor that, individually or together with such Investor’s Affiliates, holds at least 750,000 shares of Registrable Securities (as adjusted for any stock split, stock dividend, combination, or other recapitalization or reclassification effected after the date hereof).</w:t>
      </w:r>
    </w:p>
    <w:p>
      <w:pPr>
        <w:spacing w:after="0" w:line="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Morningsid</w:t>
      </w:r>
      <w:r>
        <w:rPr>
          <w:rFonts w:ascii="Arial" w:cs="Arial" w:eastAsia="Arial" w:hAnsi="Arial"/>
          <w:sz w:val="18"/>
          <w:szCs w:val="18"/>
          <w:color w:val="auto"/>
        </w:rPr>
        <w:t>e” means Morningside Venture Investments Limited.</w:t>
      </w:r>
    </w:p>
    <w:p>
      <w:pPr>
        <w:spacing w:after="0" w:line="117" w:lineRule="exact"/>
        <w:rPr>
          <w:sz w:val="20"/>
          <w:szCs w:val="20"/>
          <w:color w:val="auto"/>
        </w:rPr>
      </w:pPr>
    </w:p>
    <w:p>
      <w:pPr>
        <w:ind w:right="120" w:firstLine="876"/>
        <w:spacing w:after="0" w:line="266"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117" w:lineRule="exact"/>
        <w:rPr>
          <w:sz w:val="20"/>
          <w:szCs w:val="20"/>
          <w:color w:val="auto"/>
        </w:rPr>
      </w:pPr>
    </w:p>
    <w:p>
      <w:pPr>
        <w:ind w:right="80" w:firstLine="876"/>
        <w:spacing w:after="0" w:line="282"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color w:val="auto"/>
        </w:rPr>
        <w:t>Preferred Directors</w:t>
      </w:r>
      <w:r>
        <w:rPr>
          <w:rFonts w:ascii="Arial" w:cs="Arial" w:eastAsia="Arial" w:hAnsi="Arial"/>
          <w:sz w:val="18"/>
          <w:szCs w:val="18"/>
          <w:color w:val="auto"/>
        </w:rPr>
        <w:t>” means directors of the Company that the holders of record of the Preferred Stock are entitled to elect pursuant to the Company’s Certificate of Incorporation.</w:t>
      </w:r>
    </w:p>
    <w:p>
      <w:pPr>
        <w:spacing w:after="0" w:line="54" w:lineRule="exact"/>
        <w:rPr>
          <w:sz w:val="20"/>
          <w:szCs w:val="20"/>
          <w:color w:val="auto"/>
        </w:rPr>
      </w:pPr>
    </w:p>
    <w:p>
      <w:pPr>
        <w:ind w:firstLine="876"/>
        <w:spacing w:after="0" w:line="289" w:lineRule="auto"/>
        <w:rPr>
          <w:sz w:val="20"/>
          <w:szCs w:val="20"/>
          <w:color w:val="auto"/>
        </w:rPr>
      </w:pPr>
      <w:r>
        <w:rPr>
          <w:rFonts w:ascii="Arial" w:cs="Arial" w:eastAsia="Arial" w:hAnsi="Arial"/>
          <w:sz w:val="17"/>
          <w:szCs w:val="17"/>
          <w:color w:val="auto"/>
        </w:rPr>
        <w:t>1.29 “</w:t>
      </w:r>
      <w:r>
        <w:rPr>
          <w:rFonts w:ascii="Arial" w:cs="Arial" w:eastAsia="Arial" w:hAnsi="Arial"/>
          <w:sz w:val="17"/>
          <w:szCs w:val="17"/>
          <w:b w:val="1"/>
          <w:bCs w:val="1"/>
          <w:color w:val="auto"/>
        </w:rPr>
        <w:t>Preferred Majority</w:t>
      </w:r>
      <w:r>
        <w:rPr>
          <w:rFonts w:ascii="Arial" w:cs="Arial" w:eastAsia="Arial" w:hAnsi="Arial"/>
          <w:sz w:val="17"/>
          <w:szCs w:val="17"/>
          <w:color w:val="auto"/>
        </w:rPr>
        <w:t>” shall mean the Requisite Preferred Holders (as defined in the Company’s Certificate of Incorporation); provided, however that subsequent to the consummation of the IPO, Preferred Majority shall mean the holders of a majority of the shares of Registrable Shares issued upon conversion of the Series Seed Preferred Stock, Series A Preferred Stock and the Series B Preferred Stock.</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1.30 “</w:t>
      </w:r>
      <w:r>
        <w:rPr>
          <w:rFonts w:ascii="Arial" w:cs="Arial" w:eastAsia="Arial" w:hAnsi="Arial"/>
          <w:sz w:val="16"/>
          <w:szCs w:val="16"/>
          <w:b w:val="1"/>
          <w:bCs w:val="1"/>
          <w:color w:val="auto"/>
        </w:rPr>
        <w:t>Preferred Stock</w:t>
      </w:r>
      <w:r>
        <w:rPr>
          <w:rFonts w:ascii="Arial" w:cs="Arial" w:eastAsia="Arial" w:hAnsi="Arial"/>
          <w:sz w:val="16"/>
          <w:szCs w:val="16"/>
          <w:color w:val="auto"/>
        </w:rPr>
        <w:t>” means, collectively, the Series B Preferred Stock, Series A Preferred Stock and the Series Seed Preferred Stock.</w:t>
      </w:r>
    </w:p>
    <w:p>
      <w:pPr>
        <w:spacing w:after="0" w:line="140" w:lineRule="exact"/>
        <w:rPr>
          <w:sz w:val="20"/>
          <w:szCs w:val="20"/>
          <w:color w:val="auto"/>
        </w:rPr>
      </w:pPr>
    </w:p>
    <w:p>
      <w:pPr>
        <w:ind w:right="20" w:firstLine="876"/>
        <w:spacing w:after="0" w:line="273" w:lineRule="auto"/>
        <w:rPr>
          <w:sz w:val="20"/>
          <w:szCs w:val="20"/>
          <w:color w:val="auto"/>
        </w:rPr>
      </w:pPr>
      <w:r>
        <w:rPr>
          <w:rFonts w:ascii="Arial" w:cs="Arial" w:eastAsia="Arial" w:hAnsi="Arial"/>
          <w:sz w:val="17"/>
          <w:szCs w:val="17"/>
          <w:color w:val="auto"/>
        </w:rPr>
        <w:t>1.31 “</w:t>
      </w:r>
      <w:r>
        <w:rPr>
          <w:rFonts w:ascii="Arial" w:cs="Arial" w:eastAsia="Arial" w:hAnsi="Arial"/>
          <w:sz w:val="17"/>
          <w:szCs w:val="17"/>
          <w:b w:val="1"/>
          <w:bCs w:val="1"/>
          <w:color w:val="auto"/>
        </w:rPr>
        <w:t>Registrable Securities</w:t>
      </w:r>
      <w:r>
        <w:rPr>
          <w:rFonts w:ascii="Arial" w:cs="Arial" w:eastAsia="Arial" w:hAnsi="Arial"/>
          <w:sz w:val="17"/>
          <w:szCs w:val="17"/>
          <w:color w:val="auto"/>
        </w:rPr>
        <w:t>” means (i) the Common Stock issuable or issued upon conversion of the Preferred Stock; (ii) any Common Stock, or any Common Stock issued or issuable (directly or indirectly) upon conversion and/or exercise of any other securities of the Company</w:t>
      </w:r>
      <w:r>
        <w:rPr>
          <w:rFonts w:ascii="Arial" w:cs="Arial" w:eastAsia="Arial" w:hAnsi="Arial"/>
          <w:sz w:val="17"/>
          <w:szCs w:val="17"/>
          <w:b w:val="1"/>
          <w:bCs w:val="1"/>
          <w:color w:val="auto"/>
        </w:rPr>
        <w:t>,</w:t>
      </w:r>
      <w:r>
        <w:rPr>
          <w:rFonts w:ascii="Arial" w:cs="Arial" w:eastAsia="Arial" w:hAnsi="Arial"/>
          <w:sz w:val="17"/>
          <w:szCs w:val="17"/>
          <w:color w:val="auto"/>
        </w:rPr>
        <w:t xml:space="preserve"> acquired by the Investors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 (i) and (ii) above; excluding in all cases, however, any Registrable Securities sold by a Person in a transaction in which the applicable rights under this Agreement are not assigned pursuant to Subsection 6.1, and excluding for purposes of Section 2 any shares for which registration rights have terminated pursuant to Subsection 2.13 of this Agreement.</w:t>
      </w:r>
    </w:p>
    <w:p>
      <w:pPr>
        <w:spacing w:after="0" w:line="64" w:lineRule="exact"/>
        <w:rPr>
          <w:sz w:val="20"/>
          <w:szCs w:val="20"/>
          <w:color w:val="auto"/>
        </w:rPr>
      </w:pPr>
    </w:p>
    <w:p>
      <w:pPr>
        <w:ind w:right="60" w:firstLine="876"/>
        <w:spacing w:after="0" w:line="266"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0" w:right="259" w:bottom="1440" w:gutter="0" w:footer="0" w:header="0"/>
        </w:sectPr>
      </w:pPr>
    </w:p>
    <w:bookmarkStart w:id="287" w:name="page288"/>
    <w:bookmarkEnd w:id="287"/>
    <w:p>
      <w:pPr>
        <w:ind w:left="133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1.33 “</w:t>
      </w:r>
      <w:r>
        <w:rPr>
          <w:rFonts w:ascii="Arial" w:cs="Arial" w:eastAsia="Arial" w:hAnsi="Arial"/>
          <w:sz w:val="16"/>
          <w:szCs w:val="16"/>
          <w:b w:val="1"/>
          <w:bCs w:val="1"/>
          <w:color w:val="auto"/>
        </w:rPr>
        <w:t>Restricted Securities</w:t>
      </w:r>
      <w:r>
        <w:rPr>
          <w:rFonts w:ascii="Arial" w:cs="Arial" w:eastAsia="Arial" w:hAnsi="Arial"/>
          <w:sz w:val="16"/>
          <w:szCs w:val="16"/>
          <w:color w:val="auto"/>
        </w:rPr>
        <w:t xml:space="preserve">” means the securities of the Company required to be notated with the legend set forth in </w:t>
      </w:r>
      <w:r>
        <w:rPr>
          <w:rFonts w:ascii="Arial" w:cs="Arial" w:eastAsia="Arial" w:hAnsi="Arial"/>
          <w:sz w:val="16"/>
          <w:szCs w:val="16"/>
          <w:u w:val="single" w:color="auto"/>
          <w:color w:val="auto"/>
        </w:rPr>
        <w:t>Subsection 2.12(b)</w:t>
      </w:r>
    </w:p>
    <w:p>
      <w:pPr>
        <w:spacing w:after="0" w:line="5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hereof.</w:t>
      </w:r>
    </w:p>
    <w:p>
      <w:pPr>
        <w:spacing w:after="0" w:line="99"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117"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1.35 “</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117"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1.36 “</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117"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1.37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17" w:lineRule="exact"/>
        <w:rPr>
          <w:sz w:val="20"/>
          <w:szCs w:val="20"/>
          <w:color w:val="auto"/>
        </w:rPr>
      </w:pPr>
    </w:p>
    <w:p>
      <w:pPr>
        <w:ind w:left="452" w:right="400" w:firstLine="876"/>
        <w:spacing w:after="0" w:line="266" w:lineRule="auto"/>
        <w:rPr>
          <w:sz w:val="20"/>
          <w:szCs w:val="20"/>
          <w:color w:val="auto"/>
        </w:rPr>
      </w:pPr>
      <w:r>
        <w:rPr>
          <w:rFonts w:ascii="Arial" w:cs="Arial" w:eastAsia="Arial" w:hAnsi="Arial"/>
          <w:sz w:val="18"/>
          <w:szCs w:val="18"/>
          <w:color w:val="auto"/>
        </w:rPr>
        <w:t>1.38 “</w:t>
      </w:r>
      <w:r>
        <w:rPr>
          <w:rFonts w:ascii="Arial" w:cs="Arial" w:eastAsia="Arial" w:hAnsi="Arial"/>
          <w:sz w:val="18"/>
          <w:szCs w:val="18"/>
          <w:b w:val="1"/>
          <w:bCs w:val="1"/>
          <w:color w:val="auto"/>
        </w:rPr>
        <w:t>Selling Expenses</w:t>
      </w:r>
      <w:r>
        <w:rPr>
          <w:rFonts w:ascii="Arial" w:cs="Arial" w:eastAsia="Arial" w:hAnsi="Arial"/>
          <w:sz w:val="18"/>
          <w:szCs w:val="18"/>
          <w:color w:val="auto"/>
        </w:rPr>
        <w:t>”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Subsection 2.6.</w:t>
      </w:r>
    </w:p>
    <w:p>
      <w:pPr>
        <w:spacing w:after="0" w:line="68"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1.39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means shares of the Company’s Series A Preferred Stock, par value $0.0001 per share.</w:t>
      </w:r>
    </w:p>
    <w:p>
      <w:pPr>
        <w:spacing w:after="0" w:line="117"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1.40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means shares of the Company’s Series B Preferred Stock, par value $0.0001 per share.</w:t>
      </w:r>
    </w:p>
    <w:p>
      <w:pPr>
        <w:spacing w:after="0" w:line="117" w:lineRule="exact"/>
        <w:rPr>
          <w:sz w:val="20"/>
          <w:szCs w:val="20"/>
          <w:color w:val="auto"/>
        </w:rPr>
      </w:pPr>
    </w:p>
    <w:p>
      <w:pPr>
        <w:ind w:left="1332"/>
        <w:spacing w:after="0"/>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b w:val="1"/>
          <w:bCs w:val="1"/>
          <w:color w:val="auto"/>
        </w:rPr>
        <w:t>“Series Seed Preferred Stock</w:t>
      </w:r>
      <w:r>
        <w:rPr>
          <w:rFonts w:ascii="Arial" w:cs="Arial" w:eastAsia="Arial" w:hAnsi="Arial"/>
          <w:sz w:val="17"/>
          <w:szCs w:val="17"/>
          <w:color w:val="auto"/>
        </w:rPr>
        <w:t>” means shares of the Company’s Series Seed Preferred Stock, par value $0.0001 per share.</w:t>
      </w:r>
    </w:p>
    <w:p>
      <w:pPr>
        <w:spacing w:after="0" w:line="12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1.42 “</w:t>
      </w:r>
      <w:r>
        <w:rPr>
          <w:rFonts w:ascii="Arial" w:cs="Arial" w:eastAsia="Arial" w:hAnsi="Arial"/>
          <w:sz w:val="18"/>
          <w:szCs w:val="18"/>
          <w:b w:val="1"/>
          <w:bCs w:val="1"/>
          <w:color w:val="auto"/>
        </w:rPr>
        <w:t>Surveyor</w:t>
      </w:r>
      <w:r>
        <w:rPr>
          <w:rFonts w:ascii="Arial" w:cs="Arial" w:eastAsia="Arial" w:hAnsi="Arial"/>
          <w:sz w:val="18"/>
          <w:szCs w:val="18"/>
          <w:color w:val="auto"/>
        </w:rPr>
        <w:t>” means Citadel Multi-Strategy Equities Master Fund Ltd.</w:t>
      </w:r>
    </w:p>
    <w:p>
      <w:pPr>
        <w:spacing w:after="0" w:line="117"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1.43 “</w:t>
      </w:r>
      <w:r>
        <w:rPr>
          <w:rFonts w:ascii="Arial" w:cs="Arial" w:eastAsia="Arial" w:hAnsi="Arial"/>
          <w:sz w:val="18"/>
          <w:szCs w:val="18"/>
          <w:b w:val="1"/>
          <w:bCs w:val="1"/>
          <w:color w:val="auto"/>
        </w:rPr>
        <w:t>SV</w:t>
      </w:r>
      <w:r>
        <w:rPr>
          <w:rFonts w:ascii="Arial" w:cs="Arial" w:eastAsia="Arial" w:hAnsi="Arial"/>
          <w:sz w:val="18"/>
          <w:szCs w:val="18"/>
          <w:color w:val="auto"/>
        </w:rPr>
        <w:t>” means SV Life Sciences Fund VI, L.P and SV Life Sciences Fund VI Strategic Partners, L.P.</w:t>
      </w:r>
    </w:p>
    <w:p>
      <w:pPr>
        <w:spacing w:after="0" w:line="121" w:lineRule="exact"/>
        <w:rPr>
          <w:sz w:val="20"/>
          <w:szCs w:val="20"/>
          <w:color w:val="auto"/>
        </w:rPr>
      </w:pPr>
    </w:p>
    <w:p>
      <w:pPr>
        <w:ind w:left="1332" w:right="5820" w:hanging="876"/>
        <w:spacing w:after="0" w:line="375" w:lineRule="auto"/>
        <w:tabs>
          <w:tab w:leader="none" w:pos="636" w:val="left"/>
        </w:tabs>
        <w:numPr>
          <w:ilvl w:val="1"/>
          <w:numId w:val="184"/>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The Company covenants and agrees as follows: 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732" w:hanging="248"/>
        <w:spacing w:after="0"/>
        <w:tabs>
          <w:tab w:leader="none" w:pos="1732" w:val="left"/>
        </w:tabs>
        <w:numPr>
          <w:ilvl w:val="2"/>
          <w:numId w:val="184"/>
        </w:numPr>
        <w:rPr>
          <w:rFonts w:ascii="Arial" w:cs="Arial" w:eastAsia="Arial" w:hAnsi="Arial"/>
          <w:sz w:val="17"/>
          <w:szCs w:val="17"/>
          <w:color w:val="auto"/>
        </w:rPr>
      </w:pPr>
      <w:r>
        <w:rPr>
          <w:rFonts w:ascii="Arial" w:cs="Arial" w:eastAsia="Arial" w:hAnsi="Arial"/>
          <w:sz w:val="17"/>
          <w:szCs w:val="17"/>
          <w:u w:val="single" w:color="auto"/>
          <w:color w:val="auto"/>
        </w:rPr>
        <w:t>Form S-1 Demand</w:t>
      </w:r>
      <w:r>
        <w:rPr>
          <w:rFonts w:ascii="Arial" w:cs="Arial" w:eastAsia="Arial" w:hAnsi="Arial"/>
          <w:sz w:val="17"/>
          <w:szCs w:val="17"/>
          <w:color w:val="auto"/>
        </w:rPr>
        <w:t>. If at any time after the earlier of (i) five (5) years after the date of this Agreement or (ii) one hundred eighty</w:t>
      </w:r>
    </w:p>
    <w:p>
      <w:pPr>
        <w:spacing w:after="0" w:line="34" w:lineRule="exact"/>
        <w:rPr>
          <w:rFonts w:ascii="Arial" w:cs="Arial" w:eastAsia="Arial" w:hAnsi="Arial"/>
          <w:sz w:val="17"/>
          <w:szCs w:val="17"/>
          <w:color w:val="auto"/>
        </w:rPr>
      </w:pPr>
    </w:p>
    <w:p>
      <w:pPr>
        <w:ind w:left="-8" w:firstLine="8"/>
        <w:spacing w:after="0" w:line="292" w:lineRule="auto"/>
        <w:tabs>
          <w:tab w:leader="none" w:pos="42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days after the effective date of the registration statement for the IPO, the Company receives a request from the Preferred Majority that the Company file a Form S-1 registration statement with respect to at least fifty percent (50%) of the Registrable Securities then outstanding having an anticipated aggregate offering price, net of Selling Expenses, of not less than $10 million, then the Company shall (x) within ten (10) days after the date such request is given, give notice thereof (the “</w:t>
      </w:r>
      <w:r>
        <w:rPr>
          <w:rFonts w:ascii="Arial" w:cs="Arial" w:eastAsia="Arial" w:hAnsi="Arial"/>
          <w:sz w:val="16"/>
          <w:szCs w:val="16"/>
          <w:b w:val="1"/>
          <w:bCs w:val="1"/>
          <w:color w:val="auto"/>
        </w:rPr>
        <w:t>Demand Notice</w:t>
      </w:r>
      <w:r>
        <w:rPr>
          <w:rFonts w:ascii="Arial" w:cs="Arial" w:eastAsia="Arial" w:hAnsi="Arial"/>
          <w:sz w:val="16"/>
          <w:szCs w:val="16"/>
          <w:color w:val="auto"/>
        </w:rPr>
        <w:t>”) to all Holders other than the Initiating Holders; and (y) as soon as practicable, and in any event within sixty (60) days after the date such request is given by the Initiating Holders, file a Form S-1 registration statement under the Securities Act covering all Registrable Securities</w:t>
      </w:r>
    </w:p>
    <w:p>
      <w:pPr>
        <w:spacing w:after="0" w:line="9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70" w:right="279" w:bottom="1440" w:gutter="0" w:footer="0" w:header="0"/>
        </w:sectPr>
      </w:pPr>
    </w:p>
    <w:bookmarkStart w:id="288" w:name="page289"/>
    <w:bookmarkEnd w:id="288"/>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8"/>
          <w:szCs w:val="18"/>
          <w:u w:val="single" w:color="auto"/>
          <w:color w:val="auto"/>
        </w:rPr>
        <w:t>Subsections 2.1(c)</w:t>
      </w:r>
      <w:r>
        <w:rPr>
          <w:rFonts w:ascii="Arial" w:cs="Arial" w:eastAsia="Arial" w:hAnsi="Arial"/>
          <w:sz w:val="18"/>
          <w:szCs w:val="18"/>
          <w:color w:val="auto"/>
        </w:rPr>
        <w:t xml:space="preserve"> and 2.3.</w:t>
      </w:r>
    </w:p>
    <w:p>
      <w:pPr>
        <w:spacing w:after="0" w:line="73" w:lineRule="exact"/>
        <w:rPr>
          <w:sz w:val="20"/>
          <w:szCs w:val="20"/>
          <w:color w:val="auto"/>
        </w:rPr>
      </w:pPr>
    </w:p>
    <w:p>
      <w:pPr>
        <w:ind w:firstLine="1492"/>
        <w:spacing w:after="0" w:line="286" w:lineRule="auto"/>
        <w:tabs>
          <w:tab w:leader="none" w:pos="1738" w:val="left"/>
        </w:tabs>
        <w:numPr>
          <w:ilvl w:val="1"/>
          <w:numId w:val="186"/>
        </w:numPr>
        <w:rPr>
          <w:rFonts w:ascii="Arial" w:cs="Arial" w:eastAsia="Arial" w:hAnsi="Arial"/>
          <w:sz w:val="16"/>
          <w:szCs w:val="16"/>
          <w:color w:val="auto"/>
        </w:rPr>
      </w:pPr>
      <w:r>
        <w:rPr>
          <w:rFonts w:ascii="Arial" w:cs="Arial" w:eastAsia="Arial" w:hAnsi="Arial"/>
          <w:sz w:val="16"/>
          <w:szCs w:val="16"/>
          <w:color w:val="auto"/>
        </w:rPr>
        <w:t>Form S-3 Demand. If at any time when it is eligible to use a Form S-3 registration statement, the Company receives a request from Holders of at least twenty-five percent (25%) of the Registrable Securities then outstanding that the Company file a Form S-3 registration statement with respect to outstanding Registrable Securities of such Holders having an anticipated aggregate offering price, net of Selling Expenses, of at least $3 million, then the Company shall (i) within ten (10) days after the date such request is given, give a Demand Notice to all Holders other than the Initiating Holders; and</w:t>
      </w:r>
    </w:p>
    <w:p>
      <w:pPr>
        <w:spacing w:after="0" w:line="1" w:lineRule="exact"/>
        <w:rPr>
          <w:rFonts w:ascii="Arial" w:cs="Arial" w:eastAsia="Arial" w:hAnsi="Arial"/>
          <w:sz w:val="16"/>
          <w:szCs w:val="16"/>
          <w:color w:val="auto"/>
        </w:rPr>
      </w:pPr>
    </w:p>
    <w:p>
      <w:pPr>
        <w:ind w:right="200" w:firstLine="8"/>
        <w:spacing w:after="0" w:line="254" w:lineRule="auto"/>
        <w:tabs>
          <w:tab w:leader="none" w:pos="26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8"/>
          <w:szCs w:val="18"/>
          <w:u w:val="single" w:color="auto"/>
          <w:color w:val="auto"/>
        </w:rPr>
        <w:t>Subsections 2.1(c)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right="20" w:firstLine="1492"/>
        <w:spacing w:after="0" w:line="288" w:lineRule="auto"/>
        <w:tabs>
          <w:tab w:leader="none" w:pos="1728" w:val="left"/>
        </w:tabs>
        <w:numPr>
          <w:ilvl w:val="1"/>
          <w:numId w:val="187"/>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a certificate signed by the Company’s chief executive officer stating that in the good faith judgment of the Company’s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not invoke this right more than once in any twelve (12) month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register any securities for its own account or that of any other stockholder during such ninety (90) day period other than an Excluded Registration.</w:t>
      </w:r>
    </w:p>
    <w:p>
      <w:pPr>
        <w:spacing w:after="0" w:line="61" w:lineRule="exact"/>
        <w:rPr>
          <w:rFonts w:ascii="Arial" w:cs="Arial" w:eastAsia="Arial" w:hAnsi="Arial"/>
          <w:sz w:val="16"/>
          <w:szCs w:val="16"/>
          <w:color w:val="auto"/>
        </w:rPr>
      </w:pPr>
    </w:p>
    <w:p>
      <w:pPr>
        <w:ind w:firstLine="1492"/>
        <w:spacing w:after="0" w:line="255" w:lineRule="auto"/>
        <w:tabs>
          <w:tab w:leader="none" w:pos="173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The Company shall not be obligated to effect, or to take any action to effect, any registration pursuant to </w:t>
      </w:r>
      <w:r>
        <w:rPr>
          <w:rFonts w:ascii="Arial" w:cs="Arial" w:eastAsia="Arial" w:hAnsi="Arial"/>
          <w:sz w:val="18"/>
          <w:szCs w:val="18"/>
          <w:u w:val="single" w:color="auto"/>
          <w:color w:val="auto"/>
        </w:rPr>
        <w:t>Subsection 2.1(a)(i)</w:t>
      </w:r>
      <w:r>
        <w:rPr>
          <w:rFonts w:ascii="Arial" w:cs="Arial" w:eastAsia="Arial" w:hAnsi="Arial"/>
          <w:sz w:val="18"/>
          <w:szCs w:val="18"/>
          <w:color w:val="auto"/>
        </w:rPr>
        <w:t xml:space="preserve"> during the period that is sixty (60) days before the Company’s good faith estimate of the date of filing of, and ending on a date that is one hundred eighty (180) days after the effective date of, a Company-initiated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is actively employing in good faith commercially reasonable efforts to cause such registration statement to become effective; (ii) after the Company has effected two registrations pursuant to </w:t>
      </w:r>
      <w:r>
        <w:rPr>
          <w:rFonts w:ascii="Arial" w:cs="Arial" w:eastAsia="Arial" w:hAnsi="Arial"/>
          <w:sz w:val="18"/>
          <w:szCs w:val="18"/>
          <w:u w:val="single" w:color="auto"/>
          <w:color w:val="auto"/>
        </w:rPr>
        <w:t>Subsection 2.1(a)</w:t>
      </w:r>
      <w:r>
        <w:rPr>
          <w:rFonts w:ascii="Arial" w:cs="Arial" w:eastAsia="Arial" w:hAnsi="Arial"/>
          <w:sz w:val="18"/>
          <w:szCs w:val="18"/>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8"/>
          <w:szCs w:val="18"/>
          <w:u w:val="single" w:color="auto"/>
          <w:color w:val="auto"/>
        </w:rPr>
        <w:t>Subsection 2.1(b)</w:t>
      </w:r>
      <w:r>
        <w:rPr>
          <w:rFonts w:ascii="Arial" w:cs="Arial" w:eastAsia="Arial" w:hAnsi="Arial"/>
          <w:sz w:val="18"/>
          <w:szCs w:val="18"/>
          <w:color w:val="auto"/>
        </w:rPr>
        <w:t xml:space="preserve">. The Company shall not be obligated to effect, or to take any action to effect, any registration pursuant to </w:t>
      </w:r>
      <w:r>
        <w:rPr>
          <w:rFonts w:ascii="Arial" w:cs="Arial" w:eastAsia="Arial" w:hAnsi="Arial"/>
          <w:sz w:val="18"/>
          <w:szCs w:val="18"/>
          <w:u w:val="single" w:color="auto"/>
          <w:color w:val="auto"/>
        </w:rPr>
        <w:t>Subsection 2.1(b)</w:t>
      </w:r>
      <w:r>
        <w:rPr>
          <w:rFonts w:ascii="Arial" w:cs="Arial" w:eastAsia="Arial" w:hAnsi="Arial"/>
          <w:sz w:val="18"/>
          <w:szCs w:val="18"/>
          <w:color w:val="auto"/>
        </w:rPr>
        <w:t>(i) during the period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89" w:name="page290"/>
    <w:bookmarkEnd w:id="28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that is thirty (30) days before the Company’s good faith estimate of the date of filing of, and ending on a date that is ninety (90) days after the effective date of, a Company-initiated registration, provided that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within the twelve (12) month period immediately preceding the date of such request. A registration shall not be counted as “effected” for purposes of this </w:t>
      </w:r>
      <w:r>
        <w:rPr>
          <w:rFonts w:ascii="Arial" w:cs="Arial" w:eastAsia="Arial" w:hAnsi="Arial"/>
          <w:sz w:val="17"/>
          <w:szCs w:val="17"/>
          <w:u w:val="single" w:color="auto"/>
          <w:color w:val="auto"/>
        </w:rPr>
        <w:t>Subsection 2.1(d)</w:t>
      </w:r>
      <w:r>
        <w:rPr>
          <w:rFonts w:ascii="Arial" w:cs="Arial" w:eastAsia="Arial" w:hAnsi="Arial"/>
          <w:sz w:val="17"/>
          <w:szCs w:val="17"/>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7"/>
          <w:szCs w:val="17"/>
          <w:u w:val="single" w:color="auto"/>
          <w:color w:val="auto"/>
        </w:rPr>
        <w:t>Subsection 2.6</w:t>
      </w:r>
      <w:r>
        <w:rPr>
          <w:rFonts w:ascii="Arial" w:cs="Arial" w:eastAsia="Arial" w:hAnsi="Arial"/>
          <w:sz w:val="17"/>
          <w:szCs w:val="17"/>
          <w:color w:val="auto"/>
        </w:rPr>
        <w:t xml:space="preserve">, in which case such withdrawn registration statement shall be counted as “effected” for purposes of this </w:t>
      </w:r>
      <w:r>
        <w:rPr>
          <w:rFonts w:ascii="Arial" w:cs="Arial" w:eastAsia="Arial" w:hAnsi="Arial"/>
          <w:sz w:val="17"/>
          <w:szCs w:val="17"/>
          <w:u w:val="single" w:color="auto"/>
          <w:color w:val="auto"/>
        </w:rPr>
        <w:t>Subsection 2.1(d)</w:t>
      </w:r>
      <w:r>
        <w:rPr>
          <w:rFonts w:ascii="Arial" w:cs="Arial" w:eastAsia="Arial" w:hAnsi="Arial"/>
          <w:sz w:val="17"/>
          <w:szCs w:val="17"/>
          <w:color w:val="auto"/>
        </w:rPr>
        <w:t>.</w:t>
      </w:r>
    </w:p>
    <w:p>
      <w:pPr>
        <w:spacing w:after="0" w:line="70" w:lineRule="exact"/>
        <w:rPr>
          <w:sz w:val="20"/>
          <w:szCs w:val="20"/>
          <w:color w:val="auto"/>
        </w:rPr>
      </w:pPr>
    </w:p>
    <w:p>
      <w:pPr>
        <w:ind w:right="40" w:firstLine="1484"/>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Company Registration</w:t>
      </w:r>
      <w:r>
        <w:rPr>
          <w:rFonts w:ascii="Arial" w:cs="Arial" w:eastAsia="Arial" w:hAnsi="Arial"/>
          <w:sz w:val="17"/>
          <w:szCs w:val="17"/>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7"/>
          <w:szCs w:val="17"/>
          <w:u w:val="single" w:color="auto"/>
          <w:color w:val="auto"/>
        </w:rPr>
        <w:t>Subsection 2.2</w:t>
      </w:r>
      <w:r>
        <w:rPr>
          <w:rFonts w:ascii="Arial" w:cs="Arial" w:eastAsia="Arial" w:hAnsi="Arial"/>
          <w:sz w:val="17"/>
          <w:szCs w:val="17"/>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7"/>
          <w:szCs w:val="17"/>
          <w:u w:val="single" w:color="auto"/>
          <w:color w:val="auto"/>
        </w:rPr>
        <w:t>Subsection 2.6</w:t>
      </w:r>
      <w:r>
        <w:rPr>
          <w:rFonts w:ascii="Arial" w:cs="Arial" w:eastAsia="Arial" w:hAnsi="Arial"/>
          <w:sz w:val="17"/>
          <w:szCs w:val="17"/>
          <w:color w:val="auto"/>
        </w:rPr>
        <w:t>.</w:t>
      </w:r>
    </w:p>
    <w:p>
      <w:pPr>
        <w:spacing w:after="0" w:line="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w:t>
      </w:r>
    </w:p>
    <w:p>
      <w:pPr>
        <w:spacing w:after="0" w:line="117" w:lineRule="exact"/>
        <w:rPr>
          <w:sz w:val="20"/>
          <w:szCs w:val="20"/>
          <w:color w:val="auto"/>
        </w:rPr>
      </w:pPr>
    </w:p>
    <w:p>
      <w:pPr>
        <w:ind w:right="100" w:firstLine="1492"/>
        <w:spacing w:after="0" w:line="287" w:lineRule="auto"/>
        <w:tabs>
          <w:tab w:leader="none" w:pos="172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6"/>
          <w:szCs w:val="16"/>
          <w:u w:val="single" w:color="auto"/>
          <w:color w:val="auto"/>
        </w:rPr>
        <w:t>Subsection 2.4(e)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2.3</w:t>
      </w:r>
      <w:r>
        <w:rPr>
          <w:rFonts w:ascii="Arial" w:cs="Arial" w:eastAsia="Arial" w:hAnsi="Arial"/>
          <w:sz w:val="16"/>
          <w:szCs w:val="16"/>
          <w:color w:val="auto"/>
        </w:rPr>
        <w:t>,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290" w:name="page291"/>
    <w:bookmarkEnd w:id="29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proportion as shall mutually be agreed to by all such selling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79" w:lineRule="exact"/>
        <w:rPr>
          <w:sz w:val="20"/>
          <w:szCs w:val="20"/>
          <w:color w:val="auto"/>
        </w:rPr>
      </w:pPr>
    </w:p>
    <w:p>
      <w:pPr>
        <w:ind w:firstLine="1492"/>
        <w:spacing w:after="0" w:line="285" w:lineRule="auto"/>
        <w:tabs>
          <w:tab w:leader="none" w:pos="1738"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In connection with any offering involving an underwriting of shares of the Company’s capital stock pursuant to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6"/>
          <w:szCs w:val="16"/>
          <w:u w:val="single" w:color="auto"/>
          <w:color w:val="auto"/>
        </w:rPr>
        <w:t>Subsection 2.3(b)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60" w:lineRule="exact"/>
        <w:rPr>
          <w:rFonts w:ascii="Arial" w:cs="Arial" w:eastAsia="Arial" w:hAnsi="Arial"/>
          <w:sz w:val="16"/>
          <w:szCs w:val="16"/>
          <w:color w:val="auto"/>
        </w:rPr>
      </w:pPr>
    </w:p>
    <w:p>
      <w:pPr>
        <w:ind w:right="440" w:firstLine="1492"/>
        <w:spacing w:after="0" w:line="264" w:lineRule="auto"/>
        <w:tabs>
          <w:tab w:leader="none" w:pos="172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a registration shall not be counted as “effected” if, as a result of an exercise of the underwriter’s cutback provisions in </w:t>
      </w:r>
      <w:r>
        <w:rPr>
          <w:rFonts w:ascii="Arial" w:cs="Arial" w:eastAsia="Arial" w:hAnsi="Arial"/>
          <w:sz w:val="18"/>
          <w:szCs w:val="18"/>
          <w:u w:val="single" w:color="auto"/>
          <w:color w:val="auto"/>
        </w:rPr>
        <w:t>Subsection 2.3(a)</w:t>
      </w:r>
      <w:r>
        <w:rPr>
          <w:rFonts w:ascii="Arial" w:cs="Arial" w:eastAsia="Arial" w:hAnsi="Arial"/>
          <w:sz w:val="18"/>
          <w:szCs w:val="18"/>
          <w:color w:val="auto"/>
        </w:rPr>
        <w:t>, fewer than fifty percent (50%) of the total number of Registrable Securities that Holders have requested to be included in such registration statement are actually included.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91" w:name="page292"/>
    <w:bookmarkEnd w:id="291"/>
    <w:p>
      <w:pPr>
        <w:ind w:left="15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2.4 </w:t>
      </w:r>
      <w:r>
        <w:rPr>
          <w:rFonts w:ascii="Arial" w:cs="Arial" w:eastAsia="Arial" w:hAnsi="Arial"/>
          <w:sz w:val="17"/>
          <w:szCs w:val="17"/>
          <w:u w:val="single" w:color="auto"/>
          <w:color w:val="auto"/>
        </w:rPr>
        <w:t>Obligations of the Company</w:t>
      </w:r>
      <w:r>
        <w:rPr>
          <w:rFonts w:ascii="Arial" w:cs="Arial" w:eastAsia="Arial" w:hAnsi="Arial"/>
          <w:sz w:val="17"/>
          <w:szCs w:val="17"/>
          <w:color w:val="auto"/>
        </w:rPr>
        <w:t xml:space="preserve">. Whenever required under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to effect the registration of any Registrable Securities,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103" w:lineRule="exact"/>
        <w:rPr>
          <w:sz w:val="20"/>
          <w:szCs w:val="20"/>
          <w:color w:val="auto"/>
        </w:rPr>
      </w:pPr>
    </w:p>
    <w:p>
      <w:pPr>
        <w:ind w:right="80" w:firstLine="1492"/>
        <w:spacing w:after="0" w:line="271" w:lineRule="auto"/>
        <w:tabs>
          <w:tab w:leader="none" w:pos="172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sixty (60) days, if necessary, to keep the registration statement effective until all such Registrable Securities are sold;</w:t>
      </w:r>
    </w:p>
    <w:p>
      <w:pPr>
        <w:spacing w:after="0" w:line="70" w:lineRule="exact"/>
        <w:rPr>
          <w:rFonts w:ascii="Arial" w:cs="Arial" w:eastAsia="Arial" w:hAnsi="Arial"/>
          <w:sz w:val="17"/>
          <w:szCs w:val="17"/>
          <w:color w:val="auto"/>
        </w:rPr>
      </w:pPr>
    </w:p>
    <w:p>
      <w:pPr>
        <w:ind w:right="100" w:firstLine="1492"/>
        <w:spacing w:after="0" w:line="264" w:lineRule="auto"/>
        <w:tabs>
          <w:tab w:leader="none" w:pos="173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73" w:lineRule="exact"/>
        <w:rPr>
          <w:rFonts w:ascii="Arial" w:cs="Arial" w:eastAsia="Arial" w:hAnsi="Arial"/>
          <w:sz w:val="18"/>
          <w:szCs w:val="18"/>
          <w:color w:val="auto"/>
        </w:rPr>
      </w:pPr>
    </w:p>
    <w:p>
      <w:pPr>
        <w:jc w:val="both"/>
        <w:ind w:right="700" w:firstLine="1492"/>
        <w:spacing w:after="0" w:line="342" w:lineRule="auto"/>
        <w:tabs>
          <w:tab w:leader="none" w:pos="172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5" w:lineRule="exact"/>
        <w:rPr>
          <w:rFonts w:ascii="Arial" w:cs="Arial" w:eastAsia="Arial" w:hAnsi="Arial"/>
          <w:sz w:val="16"/>
          <w:szCs w:val="16"/>
          <w:color w:val="auto"/>
        </w:rPr>
      </w:pPr>
    </w:p>
    <w:p>
      <w:pPr>
        <w:ind w:right="140" w:firstLine="1492"/>
        <w:spacing w:after="0" w:line="259" w:lineRule="auto"/>
        <w:tabs>
          <w:tab w:leader="none" w:pos="173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78" w:lineRule="exact"/>
        <w:rPr>
          <w:rFonts w:ascii="Arial" w:cs="Arial" w:eastAsia="Arial" w:hAnsi="Arial"/>
          <w:sz w:val="18"/>
          <w:szCs w:val="18"/>
          <w:color w:val="auto"/>
        </w:rPr>
      </w:pPr>
    </w:p>
    <w:p>
      <w:pPr>
        <w:ind w:right="100" w:firstLine="1492"/>
        <w:spacing w:after="0" w:line="277" w:lineRule="auto"/>
        <w:tabs>
          <w:tab w:leader="none" w:pos="172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62" w:lineRule="exact"/>
        <w:rPr>
          <w:rFonts w:ascii="Arial" w:cs="Arial" w:eastAsia="Arial" w:hAnsi="Arial"/>
          <w:sz w:val="18"/>
          <w:szCs w:val="18"/>
          <w:color w:val="auto"/>
        </w:rPr>
      </w:pPr>
    </w:p>
    <w:p>
      <w:pPr>
        <w:jc w:val="both"/>
        <w:ind w:firstLine="1492"/>
        <w:spacing w:after="0" w:line="264" w:lineRule="auto"/>
        <w:tabs>
          <w:tab w:leader="none" w:pos="170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73" w:lineRule="exact"/>
        <w:rPr>
          <w:rFonts w:ascii="Arial" w:cs="Arial" w:eastAsia="Arial" w:hAnsi="Arial"/>
          <w:sz w:val="18"/>
          <w:szCs w:val="18"/>
          <w:color w:val="auto"/>
        </w:rPr>
      </w:pPr>
    </w:p>
    <w:p>
      <w:pPr>
        <w:ind w:right="580" w:firstLine="1492"/>
        <w:spacing w:after="0" w:line="277" w:lineRule="auto"/>
        <w:tabs>
          <w:tab w:leader="none" w:pos="173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92" w:name="page293"/>
    <w:bookmarkEnd w:id="292"/>
    <w:p>
      <w:pPr>
        <w:ind w:right="80" w:firstLine="1492"/>
        <w:spacing w:after="0" w:line="297" w:lineRule="auto"/>
        <w:tabs>
          <w:tab w:leader="none" w:pos="1738" w:val="left"/>
        </w:tabs>
        <w:numPr>
          <w:ilvl w:val="0"/>
          <w:numId w:val="1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50" w:lineRule="exact"/>
        <w:rPr>
          <w:rFonts w:ascii="Arial" w:cs="Arial" w:eastAsia="Arial" w:hAnsi="Arial"/>
          <w:sz w:val="16"/>
          <w:szCs w:val="16"/>
          <w:color w:val="auto"/>
        </w:rPr>
      </w:pPr>
    </w:p>
    <w:p>
      <w:pPr>
        <w:ind w:right="60" w:firstLine="1492"/>
        <w:spacing w:after="0" w:line="277" w:lineRule="auto"/>
        <w:tabs>
          <w:tab w:leader="none" w:pos="169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62" w:lineRule="exact"/>
        <w:rPr>
          <w:rFonts w:ascii="Arial" w:cs="Arial" w:eastAsia="Arial" w:hAnsi="Arial"/>
          <w:sz w:val="18"/>
          <w:szCs w:val="18"/>
          <w:color w:val="auto"/>
        </w:rPr>
      </w:pPr>
    </w:p>
    <w:p>
      <w:pPr>
        <w:ind w:right="100" w:firstLine="1492"/>
        <w:spacing w:after="0" w:line="277" w:lineRule="auto"/>
        <w:tabs>
          <w:tab w:leader="none" w:pos="169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62"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73" w:lineRule="exact"/>
        <w:rPr>
          <w:sz w:val="20"/>
          <w:szCs w:val="20"/>
          <w:color w:val="auto"/>
        </w:rPr>
      </w:pPr>
    </w:p>
    <w:p>
      <w:pPr>
        <w:ind w:right="60" w:firstLine="1484"/>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79" w:lineRule="exact"/>
        <w:rPr>
          <w:sz w:val="20"/>
          <w:szCs w:val="20"/>
          <w:color w:val="auto"/>
        </w:rPr>
      </w:pPr>
    </w:p>
    <w:p>
      <w:pPr>
        <w:ind w:right="20" w:firstLine="1484"/>
        <w:spacing w:after="0" w:line="284"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xml:space="preserve">. All expenses (other than Selling Expenses) incurred in connection with registrations, filings, or qualifications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including all registration, filing, and qualification fees; printers’ and accounting fees; fees and disbursements of counsel for the Company; and the reasonable fees and disbursements, not to exceed $40,000, of one counsel for the selling Holders (“</w:t>
      </w:r>
      <w:r>
        <w:rPr>
          <w:rFonts w:ascii="Arial" w:cs="Arial" w:eastAsia="Arial" w:hAnsi="Arial"/>
          <w:sz w:val="16"/>
          <w:szCs w:val="16"/>
          <w:b w:val="1"/>
          <w:bCs w:val="1"/>
          <w:color w:val="auto"/>
        </w:rPr>
        <w:t>Selling Holder Counsel</w:t>
      </w:r>
      <w:r>
        <w:rPr>
          <w:rFonts w:ascii="Arial" w:cs="Arial" w:eastAsia="Arial" w:hAnsi="Arial"/>
          <w:sz w:val="16"/>
          <w:szCs w:val="16"/>
          <w:color w:val="auto"/>
        </w:rPr>
        <w:t xml:space="preserve">”), shall be borne and paid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required to pay for any expenses of any registration proceeding begun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6"/>
          <w:szCs w:val="16"/>
          <w:u w:val="single" w:color="auto"/>
          <w:color w:val="auto"/>
        </w:rPr>
        <w:t>Subsections</w:t>
      </w:r>
    </w:p>
    <w:p>
      <w:pPr>
        <w:spacing w:after="0" w:line="3" w:lineRule="exact"/>
        <w:rPr>
          <w:sz w:val="20"/>
          <w:szCs w:val="20"/>
          <w:color w:val="auto"/>
        </w:rPr>
      </w:pPr>
    </w:p>
    <w:p>
      <w:pPr>
        <w:spacing w:after="0" w:line="271" w:lineRule="auto"/>
        <w:rPr>
          <w:sz w:val="20"/>
          <w:szCs w:val="20"/>
          <w:color w:val="auto"/>
        </w:rPr>
      </w:pPr>
      <w:r>
        <w:rPr>
          <w:rFonts w:ascii="Arial" w:cs="Arial" w:eastAsia="Arial" w:hAnsi="Arial"/>
          <w:sz w:val="17"/>
          <w:szCs w:val="17"/>
          <w:u w:val="single" w:color="auto"/>
          <w:color w:val="auto"/>
        </w:rPr>
        <w:t>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as the case may be;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7"/>
          <w:szCs w:val="17"/>
          <w:u w:val="single" w:color="auto"/>
          <w:color w:val="auto"/>
        </w:rPr>
        <w:t>Subsections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All Selling Expenses relating to Registrable Securities registered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borne and paid by the Holders pro rata on the basis of the number of Registrable Securities registered on their behalf.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93" w:name="page294"/>
    <w:bookmarkEnd w:id="293"/>
    <w:p>
      <w:pPr>
        <w:ind w:right="80" w:firstLine="1484"/>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If any Registrable Securities are included in a registration statement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17" w:lineRule="exact"/>
        <w:rPr>
          <w:sz w:val="20"/>
          <w:szCs w:val="20"/>
          <w:color w:val="auto"/>
        </w:rPr>
      </w:pPr>
    </w:p>
    <w:p>
      <w:pPr>
        <w:ind w:right="100" w:firstLine="1492"/>
        <w:spacing w:after="0" w:line="270" w:lineRule="auto"/>
        <w:tabs>
          <w:tab w:leader="none" w:pos="1728"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Subsection 2.8(a)</w:t>
      </w:r>
      <w:r>
        <w:rPr>
          <w:rFonts w:ascii="Arial" w:cs="Arial" w:eastAsia="Arial" w:hAnsi="Arial"/>
          <w:sz w:val="17"/>
          <w:szCs w:val="17"/>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69" w:lineRule="exact"/>
        <w:rPr>
          <w:rFonts w:ascii="Arial" w:cs="Arial" w:eastAsia="Arial" w:hAnsi="Arial"/>
          <w:sz w:val="17"/>
          <w:szCs w:val="17"/>
          <w:color w:val="auto"/>
        </w:rPr>
      </w:pPr>
    </w:p>
    <w:p>
      <w:pPr>
        <w:ind w:firstLine="1492"/>
        <w:spacing w:after="0" w:line="269" w:lineRule="auto"/>
        <w:tabs>
          <w:tab w:leader="none" w:pos="1738"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Subsection 2.8(b)</w:t>
      </w:r>
      <w:r>
        <w:rPr>
          <w:rFonts w:ascii="Arial" w:cs="Arial" w:eastAsia="Arial" w:hAnsi="Arial"/>
          <w:sz w:val="17"/>
          <w:szCs w:val="17"/>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the aggregate amounts payable by any Holder by way of indemnity or contribution under </w:t>
      </w:r>
      <w:r>
        <w:rPr>
          <w:rFonts w:ascii="Arial" w:cs="Arial" w:eastAsia="Arial" w:hAnsi="Arial"/>
          <w:sz w:val="17"/>
          <w:szCs w:val="17"/>
          <w:u w:val="single" w:color="auto"/>
          <w:color w:val="auto"/>
        </w:rPr>
        <w:t>Subsections 2.8(b)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2.8(d)</w:t>
      </w:r>
      <w:r>
        <w:rPr>
          <w:rFonts w:ascii="Arial" w:cs="Arial" w:eastAsia="Arial" w:hAnsi="Arial"/>
          <w:sz w:val="17"/>
          <w:szCs w:val="17"/>
          <w:color w:val="auto"/>
        </w:rPr>
        <w:t xml:space="preserve"> exceed the proceeds from the offering received by such Holder (net of any Selling Expenses paid by such Holder), except in the case of fraud or willful misconduct by such Holder.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294" w:name="page295"/>
    <w:bookmarkEnd w:id="294"/>
    <w:p>
      <w:pPr>
        <w:ind w:left="-8" w:right="40" w:firstLine="1492"/>
        <w:spacing w:after="0" w:line="269" w:lineRule="auto"/>
        <w:tabs>
          <w:tab w:leader="none" w:pos="1720" w:val="left"/>
        </w:tabs>
        <w:numPr>
          <w:ilvl w:val="1"/>
          <w:numId w:val="1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Promptly after receipt by an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left="-8" w:right="80" w:firstLine="1492"/>
        <w:spacing w:after="0" w:line="269" w:lineRule="auto"/>
        <w:tabs>
          <w:tab w:leader="none" w:pos="173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provides for indemnification in such case, or</w:t>
      </w:r>
    </w:p>
    <w:p>
      <w:pPr>
        <w:spacing w:after="0" w:line="2" w:lineRule="exact"/>
        <w:rPr>
          <w:rFonts w:ascii="Arial" w:cs="Arial" w:eastAsia="Arial" w:hAnsi="Arial"/>
          <w:sz w:val="17"/>
          <w:szCs w:val="17"/>
          <w:color w:val="auto"/>
        </w:rPr>
      </w:pPr>
    </w:p>
    <w:p>
      <w:pPr>
        <w:ind w:left="-8" w:firstLine="8"/>
        <w:spacing w:after="0" w:line="286" w:lineRule="auto"/>
        <w:tabs>
          <w:tab w:leader="none" w:pos="25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contribution under the Securities Act may be required on the part of any party hereto for which indemnification is provided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274" w:right="239" w:bottom="1440" w:gutter="0" w:footer="0" w:header="0"/>
        </w:sectPr>
      </w:pPr>
    </w:p>
    <w:bookmarkStart w:id="295" w:name="page296"/>
    <w:bookmarkEnd w:id="295"/>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fraudulent misrepresentation;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no event shall a Holder’s liability pursuant to this </w:t>
      </w:r>
      <w:r>
        <w:rPr>
          <w:rFonts w:ascii="Arial" w:cs="Arial" w:eastAsia="Arial" w:hAnsi="Arial"/>
          <w:sz w:val="18"/>
          <w:szCs w:val="18"/>
          <w:u w:val="single" w:color="auto"/>
          <w:color w:val="auto"/>
        </w:rPr>
        <w:t>Subsection 2.8(d)</w:t>
      </w:r>
      <w:r>
        <w:rPr>
          <w:rFonts w:ascii="Arial" w:cs="Arial" w:eastAsia="Arial" w:hAnsi="Arial"/>
          <w:sz w:val="18"/>
          <w:szCs w:val="18"/>
          <w:color w:val="auto"/>
        </w:rPr>
        <w:t xml:space="preserve">, when combined with the amounts paid or payable by such Holder pursuant to </w:t>
      </w:r>
      <w:r>
        <w:rPr>
          <w:rFonts w:ascii="Arial" w:cs="Arial" w:eastAsia="Arial" w:hAnsi="Arial"/>
          <w:sz w:val="18"/>
          <w:szCs w:val="18"/>
          <w:u w:val="single" w:color="auto"/>
          <w:color w:val="auto"/>
        </w:rPr>
        <w:t>Subsection 2.8(b)</w:t>
      </w:r>
      <w:r>
        <w:rPr>
          <w:rFonts w:ascii="Arial" w:cs="Arial" w:eastAsia="Arial" w:hAnsi="Arial"/>
          <w:sz w:val="18"/>
          <w:szCs w:val="18"/>
          <w:color w:val="auto"/>
        </w:rPr>
        <w:t>, exceed the proceeds from the offering received by such Holder (net of any Selling Expenses paid by such Holder), except in the case of willful misconduct or fraud by such Holder.</w:t>
      </w:r>
    </w:p>
    <w:p>
      <w:pPr>
        <w:spacing w:after="0" w:line="73" w:lineRule="exact"/>
        <w:rPr>
          <w:sz w:val="20"/>
          <w:szCs w:val="20"/>
          <w:color w:val="auto"/>
        </w:rPr>
      </w:pPr>
    </w:p>
    <w:p>
      <w:pPr>
        <w:ind w:right="220" w:firstLine="1492"/>
        <w:spacing w:after="0" w:line="264" w:lineRule="auto"/>
        <w:tabs>
          <w:tab w:leader="none" w:pos="172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in the underwriting agreement approved by the Preferred Majority entered into in connection with the underwritten public offering are in conflict with the foregoing provisions, the provisions in the underwriting agreement shall control.</w:t>
      </w:r>
    </w:p>
    <w:p>
      <w:pPr>
        <w:spacing w:after="0" w:line="73" w:lineRule="exact"/>
        <w:rPr>
          <w:rFonts w:ascii="Arial" w:cs="Arial" w:eastAsia="Arial" w:hAnsi="Arial"/>
          <w:sz w:val="18"/>
          <w:szCs w:val="18"/>
          <w:color w:val="auto"/>
        </w:rPr>
      </w:pPr>
    </w:p>
    <w:p>
      <w:pPr>
        <w:jc w:val="both"/>
        <w:ind w:right="400" w:firstLine="1492"/>
        <w:spacing w:after="0" w:line="264" w:lineRule="auto"/>
        <w:tabs>
          <w:tab w:leader="none" w:pos="170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Subsection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73" w:lineRule="exact"/>
        <w:rPr>
          <w:sz w:val="20"/>
          <w:szCs w:val="20"/>
          <w:color w:val="auto"/>
        </w:rPr>
      </w:pPr>
    </w:p>
    <w:p>
      <w:pPr>
        <w:ind w:right="40" w:firstLine="1484"/>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73" w:lineRule="exact"/>
        <w:rPr>
          <w:sz w:val="20"/>
          <w:szCs w:val="20"/>
          <w:color w:val="auto"/>
        </w:rPr>
      </w:pPr>
    </w:p>
    <w:p>
      <w:pPr>
        <w:ind w:firstLine="1492"/>
        <w:spacing w:after="0" w:line="277" w:lineRule="auto"/>
        <w:tabs>
          <w:tab w:leader="none" w:pos="172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62" w:lineRule="exact"/>
        <w:rPr>
          <w:rFonts w:ascii="Arial" w:cs="Arial" w:eastAsia="Arial" w:hAnsi="Arial"/>
          <w:sz w:val="18"/>
          <w:szCs w:val="18"/>
          <w:color w:val="auto"/>
        </w:rPr>
      </w:pPr>
    </w:p>
    <w:p>
      <w:pPr>
        <w:ind w:firstLine="1492"/>
        <w:spacing w:after="0" w:line="308" w:lineRule="auto"/>
        <w:tabs>
          <w:tab w:leader="none" w:pos="1738" w:val="left"/>
        </w:tabs>
        <w:numPr>
          <w:ilvl w:val="1"/>
          <w:numId w:val="196"/>
        </w:numPr>
        <w:rPr>
          <w:rFonts w:ascii="Arial" w:cs="Arial" w:eastAsia="Arial" w:hAnsi="Arial"/>
          <w:sz w:val="17"/>
          <w:szCs w:val="17"/>
          <w:color w:val="auto"/>
        </w:rPr>
      </w:pPr>
      <w:r>
        <w:rPr>
          <w:rFonts w:ascii="Arial" w:cs="Arial" w:eastAsia="Arial" w:hAnsi="Arial"/>
          <w:sz w:val="17"/>
          <w:szCs w:val="17"/>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38" w:lineRule="exact"/>
        <w:rPr>
          <w:rFonts w:ascii="Arial" w:cs="Arial" w:eastAsia="Arial" w:hAnsi="Arial"/>
          <w:sz w:val="17"/>
          <w:szCs w:val="17"/>
          <w:color w:val="auto"/>
        </w:rPr>
      </w:pPr>
    </w:p>
    <w:p>
      <w:pPr>
        <w:ind w:firstLine="1492"/>
        <w:spacing w:after="0" w:line="285" w:lineRule="auto"/>
        <w:tabs>
          <w:tab w:leader="none" w:pos="1728" w:val="left"/>
        </w:tabs>
        <w:numPr>
          <w:ilvl w:val="1"/>
          <w:numId w:val="196"/>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w:t>
      </w:r>
    </w:p>
    <w:p>
      <w:pPr>
        <w:spacing w:after="0" w:line="2" w:lineRule="exact"/>
        <w:rPr>
          <w:rFonts w:ascii="Arial" w:cs="Arial" w:eastAsia="Arial" w:hAnsi="Arial"/>
          <w:sz w:val="16"/>
          <w:szCs w:val="16"/>
          <w:color w:val="auto"/>
        </w:rPr>
      </w:pPr>
    </w:p>
    <w:p>
      <w:pPr>
        <w:ind w:right="40" w:firstLine="8"/>
        <w:spacing w:after="0" w:line="255" w:lineRule="auto"/>
        <w:tabs>
          <w:tab w:leader="none" w:pos="31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296" w:name="page297"/>
    <w:bookmarkEnd w:id="296"/>
    <w:p>
      <w:pPr>
        <w:ind w:right="20" w:firstLine="148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2.10 </w:t>
      </w:r>
      <w:r>
        <w:rPr>
          <w:rFonts w:ascii="Arial" w:cs="Arial" w:eastAsia="Arial" w:hAnsi="Arial"/>
          <w:sz w:val="17"/>
          <w:szCs w:val="17"/>
          <w:u w:val="single" w:color="auto"/>
          <w:color w:val="auto"/>
        </w:rPr>
        <w:t>Limitations on Subsequent Registration Rights</w:t>
      </w:r>
      <w:r>
        <w:rPr>
          <w:rFonts w:ascii="Arial" w:cs="Arial" w:eastAsia="Arial" w:hAnsi="Arial"/>
          <w:sz w:val="17"/>
          <w:szCs w:val="17"/>
          <w:color w:val="auto"/>
        </w:rPr>
        <w:t xml:space="preserve">. From and after the date of this Agreement, the Company shall not, without the prior written consent of the Preferred Majority, enter into any agreement with any holder or prospective holder of any securities of the Company that (i) would provide to such holder the right to include securities in any registration on other than on a subordinate basis after all Holders have had the opportunity to include in the registration and offering all shares of Registrable Securities that they wish to so include; or (ii) allow such holder or prospective holder to initiate a demand for registration of any securities held by such holder or prospective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limitation shall not apply to any additional Investor who becomes a party to this Agreement in accordance with </w:t>
      </w:r>
      <w:r>
        <w:rPr>
          <w:rFonts w:ascii="Arial" w:cs="Arial" w:eastAsia="Arial" w:hAnsi="Arial"/>
          <w:sz w:val="17"/>
          <w:szCs w:val="17"/>
          <w:u w:val="single" w:color="auto"/>
          <w:color w:val="auto"/>
        </w:rPr>
        <w:t>Subsection 6.9</w:t>
      </w:r>
      <w:r>
        <w:rPr>
          <w:rFonts w:ascii="Arial" w:cs="Arial" w:eastAsia="Arial" w:hAnsi="Arial"/>
          <w:sz w:val="17"/>
          <w:szCs w:val="17"/>
          <w:color w:val="auto"/>
        </w:rPr>
        <w:t>.</w:t>
      </w:r>
    </w:p>
    <w:p>
      <w:pPr>
        <w:spacing w:after="0" w:line="70" w:lineRule="exact"/>
        <w:rPr>
          <w:sz w:val="20"/>
          <w:szCs w:val="20"/>
          <w:color w:val="auto"/>
        </w:rPr>
      </w:pPr>
    </w:p>
    <w:p>
      <w:pPr>
        <w:ind w:firstLine="1484"/>
        <w:spacing w:after="0" w:line="284" w:lineRule="auto"/>
        <w:rPr>
          <w:sz w:val="20"/>
          <w:szCs w:val="20"/>
          <w:color w:val="auto"/>
        </w:rPr>
      </w:pPr>
      <w:r>
        <w:rPr>
          <w:rFonts w:ascii="Arial" w:cs="Arial" w:eastAsia="Arial" w:hAnsi="Arial"/>
          <w:sz w:val="16"/>
          <w:szCs w:val="16"/>
          <w:color w:val="auto"/>
        </w:rPr>
        <w:t>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xml:space="preserve">. Each Holder hereby agrees that it will not, without the prior written consent of the managing underwriter, during the period commencing on the effective date of the registration statement relating to the IPO and ending on the date specified by the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provided, however, that in no event will the restricted period extend beyond two hundred sixteen (216) days after the effective date of such registration statement) or such longer period approved by the Preferred Majority;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shall not apply to the sale of any shares to an underwriter pursuant to an underwriting agreement, or the transfer of any shares to any trust for the direct or indirect benefit of the Holder or the immediate family of the Holder, provided that the trustee of the trust agrees to be bound in writing by the restrictions set forth herein, and provided further that any such transfer shall not involve a disposition for value, and shall be applicable to the Holders only if all officers, directors and stockholders individually (and with their Affiliates) owning more than one percent (1%) of the Company’s outstanding Common Stock (after giving effect to conversion into Common Stock of all outstanding Preferred Stock) are subject to the same or substantially similar restrictions. The underwriters in connection with such registration are intended third-party beneficiaries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or that are necessary to give further effect thereto. Any discretionary waiver or termination of the restrictions of any or all of such agreements by the Company or the underwriters shall apply pro rata to all Holders subject to such agreements, based on the number of shares subject to such agreements.</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297" w:name="page298"/>
    <w:bookmarkEnd w:id="297"/>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2.12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17" w:lineRule="exact"/>
        <w:rPr>
          <w:sz w:val="20"/>
          <w:szCs w:val="20"/>
          <w:color w:val="auto"/>
        </w:rPr>
      </w:pPr>
    </w:p>
    <w:p>
      <w:pPr>
        <w:ind w:right="20" w:firstLine="1492"/>
        <w:spacing w:after="0" w:line="276" w:lineRule="auto"/>
        <w:tabs>
          <w:tab w:leader="none" w:pos="172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64" w:lineRule="exact"/>
        <w:rPr>
          <w:rFonts w:ascii="Arial" w:cs="Arial" w:eastAsia="Arial" w:hAnsi="Arial"/>
          <w:sz w:val="17"/>
          <w:szCs w:val="17"/>
          <w:color w:val="auto"/>
        </w:rPr>
      </w:pPr>
    </w:p>
    <w:p>
      <w:pPr>
        <w:ind w:right="100" w:firstLine="1492"/>
        <w:spacing w:after="0" w:line="312" w:lineRule="auto"/>
        <w:tabs>
          <w:tab w:leader="none" w:pos="173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6"/>
          <w:szCs w:val="16"/>
          <w:u w:val="single" w:color="auto"/>
          <w:color w:val="auto"/>
        </w:rPr>
        <w:t>Subsection 2.12</w:t>
      </w:r>
      <w:r>
        <w:rPr>
          <w:rFonts w:ascii="Arial" w:cs="Arial" w:eastAsia="Arial" w:hAnsi="Arial"/>
          <w:sz w:val="16"/>
          <w:szCs w:val="16"/>
          <w:color w:val="auto"/>
        </w:rPr>
        <w:t>) be notated with a legend substantially in the following form:</w:t>
      </w:r>
    </w:p>
    <w:p>
      <w:pPr>
        <w:spacing w:after="0" w:line="39" w:lineRule="exact"/>
        <w:rPr>
          <w:sz w:val="20"/>
          <w:szCs w:val="20"/>
          <w:color w:val="auto"/>
        </w:rPr>
      </w:pPr>
    </w:p>
    <w:p>
      <w:pPr>
        <w:ind w:left="460"/>
        <w:spacing w:after="0" w:line="286" w:lineRule="auto"/>
        <w:rPr>
          <w:sz w:val="20"/>
          <w:szCs w:val="20"/>
          <w:color w:val="auto"/>
        </w:rPr>
      </w:pPr>
      <w:r>
        <w:rPr>
          <w:rFonts w:ascii="Arial" w:cs="Arial" w:eastAsia="Arial" w:hAnsi="Arial"/>
          <w:sz w:val="17"/>
          <w:szCs w:val="17"/>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57"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color w:val="auto"/>
        </w:rPr>
        <w:t>THE SECURITIES REPRESENTED HEREBY MAY BE TRANSFERRED ONLY IN ACCORDANCE WITH THE TERMS OF AN AGREEMENT BETWEEN THE COMPANY AND THE STOCKHOLDER, A COPY OF WHICH IS ON FILE WITH THE SECRETARY OF THE COMPANY.</w:t>
      </w:r>
    </w:p>
    <w:p>
      <w:pPr>
        <w:spacing w:after="0" w:line="3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62" w:lineRule="exact"/>
        <w:rPr>
          <w:sz w:val="20"/>
          <w:szCs w:val="20"/>
          <w:color w:val="auto"/>
        </w:rPr>
      </w:pPr>
    </w:p>
    <w:p>
      <w:pPr>
        <w:ind w:right="40" w:firstLine="1492"/>
        <w:spacing w:after="0" w:line="270" w:lineRule="auto"/>
        <w:tabs>
          <w:tab w:leader="none" w:pos="1728"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The holder of such Restricted Securities, by acceptance of ownership thereof, agrees to comply in all respects with the provisions of this </w:t>
      </w:r>
      <w:r>
        <w:rPr>
          <w:rFonts w:ascii="Arial" w:cs="Arial" w:eastAsia="Arial" w:hAnsi="Arial"/>
          <w:sz w:val="17"/>
          <w:szCs w:val="17"/>
          <w:u w:val="single" w:color="auto"/>
          <w:color w:val="auto"/>
        </w:rPr>
        <w:t>Section 2</w:t>
      </w:r>
      <w:r>
        <w:rPr>
          <w:rFonts w:ascii="Arial" w:cs="Arial" w:eastAsia="Arial" w:hAnsi="Arial"/>
          <w:sz w:val="17"/>
          <w:szCs w:val="17"/>
          <w:color w:val="auto"/>
        </w:rPr>
        <w:t>.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274" w:right="339" w:bottom="1440" w:gutter="0" w:footer="0" w:header="0"/>
        </w:sectPr>
      </w:pPr>
    </w:p>
    <w:bookmarkStart w:id="298" w:name="page299"/>
    <w:bookmarkEnd w:id="298"/>
    <w:p>
      <w:pPr>
        <w:ind w:right="1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transferee agrees in writing to be subject to the terms of this </w:t>
      </w:r>
      <w:r>
        <w:rPr>
          <w:rFonts w:ascii="Arial" w:cs="Arial" w:eastAsia="Arial" w:hAnsi="Arial"/>
          <w:sz w:val="16"/>
          <w:szCs w:val="16"/>
          <w:u w:val="single" w:color="auto"/>
          <w:color w:val="auto"/>
        </w:rPr>
        <w:t>Subsection 2.12</w:t>
      </w:r>
      <w:r>
        <w:rPr>
          <w:rFonts w:ascii="Arial" w:cs="Arial" w:eastAsia="Arial" w:hAnsi="Arial"/>
          <w:sz w:val="16"/>
          <w:szCs w:val="16"/>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Arial" w:cs="Arial" w:eastAsia="Arial" w:hAnsi="Arial"/>
          <w:sz w:val="16"/>
          <w:szCs w:val="16"/>
          <w:u w:val="single" w:color="auto"/>
          <w:color w:val="auto"/>
        </w:rPr>
        <w:t>Subsection</w:t>
      </w:r>
    </w:p>
    <w:p>
      <w:pPr>
        <w:spacing w:after="0" w:line="5" w:lineRule="exact"/>
        <w:rPr>
          <w:sz w:val="20"/>
          <w:szCs w:val="20"/>
          <w:color w:val="auto"/>
        </w:rPr>
      </w:pPr>
    </w:p>
    <w:p>
      <w:pPr>
        <w:spacing w:after="0" w:line="261" w:lineRule="auto"/>
        <w:rPr>
          <w:sz w:val="20"/>
          <w:szCs w:val="20"/>
          <w:color w:val="auto"/>
        </w:rPr>
      </w:pPr>
      <w:r>
        <w:rPr>
          <w:rFonts w:ascii="Arial" w:cs="Arial" w:eastAsia="Arial" w:hAnsi="Arial"/>
          <w:sz w:val="18"/>
          <w:szCs w:val="18"/>
          <w:u w:val="single" w:color="auto"/>
          <w:color w:val="auto"/>
        </w:rPr>
        <w:t>2.12(b)</w:t>
      </w:r>
      <w:r>
        <w:rPr>
          <w:rFonts w:ascii="Arial" w:cs="Arial" w:eastAsia="Arial" w:hAnsi="Arial"/>
          <w:sz w:val="18"/>
          <w:szCs w:val="18"/>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76" w:lineRule="exact"/>
        <w:rPr>
          <w:sz w:val="20"/>
          <w:szCs w:val="20"/>
          <w:color w:val="auto"/>
        </w:rPr>
      </w:pPr>
    </w:p>
    <w:p>
      <w:pPr>
        <w:ind w:right="440" w:firstLine="1484"/>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shall terminate upon the earliest to occur of:</w:t>
      </w:r>
    </w:p>
    <w:p>
      <w:pPr>
        <w:spacing w:after="0" w:line="62" w:lineRule="exact"/>
        <w:rPr>
          <w:sz w:val="20"/>
          <w:szCs w:val="20"/>
          <w:color w:val="auto"/>
        </w:rPr>
      </w:pPr>
    </w:p>
    <w:p>
      <w:pPr>
        <w:ind w:left="1740" w:hanging="248"/>
        <w:spacing w:after="0"/>
        <w:tabs>
          <w:tab w:leader="none" w:pos="174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the Company’s Certificate of Incorporation;</w:t>
      </w:r>
    </w:p>
    <w:p>
      <w:pPr>
        <w:spacing w:after="0" w:line="117" w:lineRule="exact"/>
        <w:rPr>
          <w:rFonts w:ascii="Arial" w:cs="Arial" w:eastAsia="Arial" w:hAnsi="Arial"/>
          <w:sz w:val="18"/>
          <w:szCs w:val="18"/>
          <w:color w:val="auto"/>
        </w:rPr>
      </w:pPr>
    </w:p>
    <w:p>
      <w:pPr>
        <w:ind w:right="320" w:firstLine="1492"/>
        <w:spacing w:after="0" w:line="277" w:lineRule="auto"/>
        <w:tabs>
          <w:tab w:leader="none" w:pos="173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such time as Rule 144 or another similar exemption under the Securities Act is available for the sale of all of such Holder’s shares without limitation during a three-month period without registration; and</w:t>
      </w:r>
    </w:p>
    <w:p>
      <w:pPr>
        <w:spacing w:after="0" w:line="62" w:lineRule="exact"/>
        <w:rPr>
          <w:rFonts w:ascii="Arial" w:cs="Arial" w:eastAsia="Arial" w:hAnsi="Arial"/>
          <w:sz w:val="18"/>
          <w:szCs w:val="18"/>
          <w:color w:val="auto"/>
        </w:rPr>
      </w:pPr>
    </w:p>
    <w:p>
      <w:pPr>
        <w:ind w:left="1740" w:hanging="248"/>
        <w:spacing w:after="0"/>
        <w:tabs>
          <w:tab w:leader="none" w:pos="174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fifth anniversary of the IPO.</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Information and Inspection Rights</w:t>
      </w:r>
      <w:r>
        <w:rPr>
          <w:rFonts w:ascii="Arial" w:cs="Arial" w:eastAsia="Arial" w:hAnsi="Arial"/>
          <w:sz w:val="18"/>
          <w:szCs w:val="18"/>
          <w:color w:val="auto"/>
        </w:rPr>
        <w:t>.</w:t>
      </w:r>
    </w:p>
    <w:p>
      <w:pPr>
        <w:spacing w:after="0" w:line="117" w:lineRule="exact"/>
        <w:rPr>
          <w:sz w:val="20"/>
          <w:szCs w:val="20"/>
          <w:color w:val="auto"/>
        </w:rPr>
      </w:pPr>
    </w:p>
    <w:p>
      <w:pPr>
        <w:ind w:right="80" w:firstLine="1484"/>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xml:space="preserve">. The Company shall deliver to each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of Directors (including a majority of the Preferred Directors) has not reasonably determined that such Major Investor is a Competitor:</w:t>
      </w:r>
    </w:p>
    <w:p>
      <w:pPr>
        <w:spacing w:after="0" w:line="62" w:lineRule="exact"/>
        <w:rPr>
          <w:sz w:val="20"/>
          <w:szCs w:val="20"/>
          <w:color w:val="auto"/>
        </w:rPr>
      </w:pPr>
    </w:p>
    <w:p>
      <w:pPr>
        <w:ind w:right="20" w:firstLine="1492"/>
        <w:spacing w:after="0" w:line="259" w:lineRule="auto"/>
        <w:tabs>
          <w:tab w:leader="none" w:pos="172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as soon as practicable, but in any event within one hundred twenty (120) days after the end of each fiscal year of the Company (i) a balance sheet as of the end of such year, (ii) statements of income and of cash flows for such year, and (iii) a statement of stockholders’ equity as of the end of such year, with each being prepared in accordance with GAAP, audited and certified by independent public accountants selected by the Board of Directors (including a majority of the Preferred Directors);</w:t>
      </w:r>
    </w:p>
    <w:p>
      <w:pPr>
        <w:spacing w:after="0" w:line="78" w:lineRule="exact"/>
        <w:rPr>
          <w:rFonts w:ascii="Arial" w:cs="Arial" w:eastAsia="Arial" w:hAnsi="Arial"/>
          <w:sz w:val="18"/>
          <w:szCs w:val="18"/>
          <w:color w:val="auto"/>
        </w:rPr>
      </w:pPr>
    </w:p>
    <w:p>
      <w:pPr>
        <w:ind w:right="60" w:firstLine="1492"/>
        <w:spacing w:after="0" w:line="259" w:lineRule="auto"/>
        <w:tabs>
          <w:tab w:leader="none" w:pos="173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as soon as practicable, but in any event within thirty (30) days after the end of each of the first three (3) quarters of each fiscal year of the Company, unaudited statements of income and cash flows for such fiscal quarter, and an unaudited balance sheet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99" w:name="page300"/>
    <w:bookmarkEnd w:id="299"/>
    <w:p>
      <w:pPr>
        <w:ind w:right="40" w:firstLine="1492"/>
        <w:spacing w:after="0" w:line="293" w:lineRule="auto"/>
        <w:tabs>
          <w:tab w:leader="none" w:pos="1728" w:val="left"/>
        </w:tabs>
        <w:numPr>
          <w:ilvl w:val="0"/>
          <w:numId w:val="2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soon as practicable, but in any event within thirty (30) days after the end of each of the first three (3) quarters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 certified by the chief financial officer or chief executive officer of the Company as being true, complete, and correct;</w:t>
      </w:r>
    </w:p>
    <w:p>
      <w:pPr>
        <w:spacing w:after="0" w:line="56" w:lineRule="exact"/>
        <w:rPr>
          <w:rFonts w:ascii="Arial" w:cs="Arial" w:eastAsia="Arial" w:hAnsi="Arial"/>
          <w:sz w:val="16"/>
          <w:szCs w:val="16"/>
          <w:color w:val="auto"/>
        </w:rPr>
      </w:pPr>
    </w:p>
    <w:p>
      <w:pPr>
        <w:ind w:right="240" w:firstLine="1492"/>
        <w:spacing w:after="0" w:line="312" w:lineRule="auto"/>
        <w:tabs>
          <w:tab w:leader="none" w:pos="173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as soon as practicable, but in any event thirty (30) days before the end of each fiscal year, a budget and business plan for the next fiscal year (collectively, the “</w:t>
      </w:r>
      <w:r>
        <w:rPr>
          <w:rFonts w:ascii="Arial" w:cs="Arial" w:eastAsia="Arial" w:hAnsi="Arial"/>
          <w:sz w:val="16"/>
          <w:szCs w:val="16"/>
          <w:b w:val="1"/>
          <w:bCs w:val="1"/>
          <w:color w:val="auto"/>
        </w:rPr>
        <w:t>Budget</w:t>
      </w:r>
      <w:r>
        <w:rPr>
          <w:rFonts w:ascii="Arial" w:cs="Arial" w:eastAsia="Arial" w:hAnsi="Arial"/>
          <w:sz w:val="16"/>
          <w:szCs w:val="16"/>
          <w:color w:val="auto"/>
        </w:rPr>
        <w:t>”), approved by the Board of Directors and prepared on a monthly basis, including balance sheets, income statements, and statements of cash flow for such months and, promptly after prepared, any other budgets or revised budgets prepared by the Company; and</w:t>
      </w:r>
    </w:p>
    <w:p>
      <w:pPr>
        <w:spacing w:after="0" w:line="38" w:lineRule="exact"/>
        <w:rPr>
          <w:rFonts w:ascii="Arial" w:cs="Arial" w:eastAsia="Arial" w:hAnsi="Arial"/>
          <w:sz w:val="16"/>
          <w:szCs w:val="16"/>
          <w:color w:val="auto"/>
        </w:rPr>
      </w:pPr>
    </w:p>
    <w:p>
      <w:pPr>
        <w:ind w:right="260" w:firstLine="1492"/>
        <w:spacing w:after="0" w:line="273" w:lineRule="auto"/>
        <w:tabs>
          <w:tab w:leader="none" w:pos="1728"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such other information relating to the financial condition, business, prospects, or corporate affairs of the Company as any Major Investor may from time to time reasonably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obligated under this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to provide information (i) that the Company reasonably determines in good faith to be a trade secret or confidential information (unless covered by an enforceable confidentiality agreement, in a form reasonably acceptable to the Company, it being agreed that the confidentiality provisions of Section 3.4 hereof shall constitute such an enforceable confidentiality agreement with respect to any Major Investor party to this Agreement); or (ii) the disclosure of which would adversely affect the attorney-client privilege between the Company and its counsel.</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Notwithstanding anything else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during the period starting with the date sixty (60) days before the Company’s good-faith estimate of the date of submission or filing of a registration statement if it reasonably concludes it must do so to comply with the SEC rules applicable to such registration statement and related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covenants under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80" w:lineRule="exact"/>
        <w:rPr>
          <w:sz w:val="20"/>
          <w:szCs w:val="20"/>
          <w:color w:val="auto"/>
        </w:rPr>
      </w:pPr>
    </w:p>
    <w:p>
      <w:pPr>
        <w:ind w:right="160" w:firstLine="1484"/>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Inspection</w:t>
      </w:r>
      <w:r>
        <w:rPr>
          <w:rFonts w:ascii="Arial" w:cs="Arial" w:eastAsia="Arial" w:hAnsi="Arial"/>
          <w:sz w:val="18"/>
          <w:szCs w:val="18"/>
          <w:color w:val="auto"/>
        </w:rPr>
        <w:t>. The Company shall permit each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of Directors (including a majority of the Preferred Directors)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300" w:name="page301"/>
    <w:bookmarkEnd w:id="300"/>
    <w:p>
      <w:pPr>
        <w:ind w:right="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normal business hours of the Company as may be reasonably requested by the Major Investor;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obligated pursuant to this </w:t>
      </w:r>
      <w:r>
        <w:rPr>
          <w:rFonts w:ascii="Arial" w:cs="Arial" w:eastAsia="Arial" w:hAnsi="Arial"/>
          <w:sz w:val="17"/>
          <w:szCs w:val="17"/>
          <w:u w:val="single" w:color="auto"/>
          <w:color w:val="auto"/>
        </w:rPr>
        <w:t>Subsection 3.2</w:t>
      </w:r>
      <w:r>
        <w:rPr>
          <w:rFonts w:ascii="Arial" w:cs="Arial" w:eastAsia="Arial" w:hAnsi="Arial"/>
          <w:sz w:val="17"/>
          <w:szCs w:val="17"/>
          <w:color w:val="auto"/>
        </w:rPr>
        <w:t xml:space="preserve"> to provide access to any information that it reasonably and in good faith considers to be a trade secret or confidential information (unless covered by an enforceable confidentiality agreement, in a form reasonably acceptable to the Company, it being agreed that the confidentiality provisions of Section 3.5 hereof shall constitute such an enforceable confidentiality agreement with respect to any Major Investor party to this Agreement) or the disclosure of which would adversely affect the attorney-client privilege between the Company and its counsel.</w:t>
      </w:r>
    </w:p>
    <w:p>
      <w:pPr>
        <w:spacing w:after="0" w:line="64" w:lineRule="exact"/>
        <w:rPr>
          <w:sz w:val="20"/>
          <w:szCs w:val="20"/>
          <w:color w:val="auto"/>
        </w:rPr>
      </w:pPr>
    </w:p>
    <w:p>
      <w:pPr>
        <w:ind w:firstLine="1484"/>
        <w:spacing w:after="0" w:line="31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Termination of Information</w:t>
      </w:r>
      <w:r>
        <w:rPr>
          <w:rFonts w:ascii="Arial" w:cs="Arial" w:eastAsia="Arial" w:hAnsi="Arial"/>
          <w:sz w:val="16"/>
          <w:szCs w:val="16"/>
          <w:color w:val="auto"/>
        </w:rPr>
        <w:t xml:space="preserve">. The covenants set forth in </w:t>
      </w:r>
      <w:r>
        <w:rPr>
          <w:rFonts w:ascii="Arial" w:cs="Arial" w:eastAsia="Arial" w:hAnsi="Arial"/>
          <w:sz w:val="16"/>
          <w:szCs w:val="16"/>
          <w:u w:val="single" w:color="auto"/>
          <w:color w:val="auto"/>
        </w:rPr>
        <w:t>Subsection 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shall terminate and be of no further force or effect (i) immediately before the consummation of the IPO, or (ii) when the Company first becomes subject to the periodic reporting requirements of Section 12(g) or 15(d) of the Exchange Act, or (iii) upon a Deemed Liquidation Event, as such term is defined in the Company’s Certificate of Incorporation.</w:t>
      </w:r>
    </w:p>
    <w:p>
      <w:pPr>
        <w:spacing w:after="0" w:line="39" w:lineRule="exact"/>
        <w:rPr>
          <w:sz w:val="20"/>
          <w:szCs w:val="20"/>
          <w:color w:val="auto"/>
        </w:rPr>
      </w:pPr>
    </w:p>
    <w:p>
      <w:pPr>
        <w:ind w:firstLine="1484"/>
        <w:spacing w:after="0" w:line="285"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6"/>
          <w:szCs w:val="16"/>
          <w:u w:val="single" w:color="auto"/>
          <w:color w:val="auto"/>
        </w:rPr>
        <w:t>Subsection 3.4</w:t>
      </w:r>
      <w:r>
        <w:rPr>
          <w:rFonts w:ascii="Arial" w:cs="Arial" w:eastAsia="Arial" w:hAnsi="Arial"/>
          <w:sz w:val="16"/>
          <w:szCs w:val="16"/>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Investor may disclose confidential information (i) to its attorneys, accountants, consultants, and other professionals to the extent necessary or reasonably appropriate to obtain their services in connection with monitoring its investment in the Company or interpreting, enforcing, or defending a claim under an agreement to which such Investor and the Company are both party; (ii) to any prospective purchaser of any Registrable Securities from such Investor, if such prospective purchaser agrees to be bound by the provisions of this </w:t>
      </w:r>
      <w:r>
        <w:rPr>
          <w:rFonts w:ascii="Arial" w:cs="Arial" w:eastAsia="Arial" w:hAnsi="Arial"/>
          <w:sz w:val="16"/>
          <w:szCs w:val="16"/>
          <w:u w:val="single" w:color="auto"/>
          <w:color w:val="auto"/>
        </w:rPr>
        <w:t>Subsection 3.4</w:t>
      </w:r>
      <w:r>
        <w:rPr>
          <w:rFonts w:ascii="Arial" w:cs="Arial" w:eastAsia="Arial" w:hAnsi="Arial"/>
          <w:sz w:val="16"/>
          <w:szCs w:val="16"/>
          <w:color w:val="auto"/>
        </w:rPr>
        <w:t xml:space="preserve">; (iii) to any existing or prospective Affiliate, limited partner, partner, member, stockholder, or wholly owned subsidiary of such Investor in the ordinary course of business, provided that such Investor informs such Person that such information is confidential and directs such Person to maintain the confidentiality of such information and such Person is bound by confidentiality obligations with respect to any confidential information of the Company to the same degree as such Investor hereunder; or (iv) as may otherwise be required by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Investor promptly notifies the Company of such disclosure and takes reasonable steps to minimize the extent of any such required disclosure.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shall supersede any confidentiality agreement executed by Aisling, Atlas, Brace, Clarus, Cormorant, Eventide, Leerink, Morningside, Surveyor or SV or any of their respective Affiliates and the Company. The Company acknowledges that each of Aisling, Atlas, Brace, Clarus, Cormorant, Eventide, Leerink, Morningside, Surveyor and SV and their respective representatives and Affiliates (the “Investor Parties”) are or may be in the business of venture capital investing and, therefore, review business plans and other materials containing proprietary information of many enterprises, including enterprises which may have products or services which compete directly or indirectly with those of the Company and that have and may provide to the Investor Parties,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301" w:name="page302"/>
    <w:bookmarkEnd w:id="301"/>
    <w:p>
      <w:pPr>
        <w:ind w:right="1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ideas, plans or other information which is similar to that embodied in the confidential information of the Company and nothing in this Agreement shall preclude or in any way restrict the Investor Parties from investing in any particular enterprise (including but not limited to participating fully as a member of the board of directors in such enterprise) whether or not such enterprise has products or services which compete with those of the Company. The Company acknowledges that some knowledge may be gained by the Investor Parties from reviewing the confidential information of the Company that cannot be separated from any of the Investors Parties’ overall knowledge and, provided that the Investor Parties do not disclose any confidential information of the Company to a third party in violation of this Agreement, including any companies in which any of the Investor Parties invests, such general industry knowledge shall be permitted to be used in the ordinary course of business of each of the Investor Parties.</w:t>
      </w:r>
    </w:p>
    <w:p>
      <w:pPr>
        <w:spacing w:after="0" w:line="70" w:lineRule="exact"/>
        <w:rPr>
          <w:sz w:val="20"/>
          <w:szCs w:val="20"/>
          <w:color w:val="auto"/>
        </w:rPr>
      </w:pPr>
    </w:p>
    <w:p>
      <w:pPr>
        <w:ind w:left="640" w:hanging="176"/>
        <w:spacing w:after="0"/>
        <w:tabs>
          <w:tab w:leader="none" w:pos="64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 xml:space="preserve">. Subject to the terms and conditions of this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Investor (“</w:t>
      </w:r>
      <w:r>
        <w:rPr>
          <w:rFonts w:ascii="Arial" w:cs="Arial" w:eastAsia="Arial" w:hAnsi="Arial"/>
          <w:sz w:val="16"/>
          <w:szCs w:val="16"/>
          <w:b w:val="1"/>
          <w:bCs w:val="1"/>
          <w:color w:val="auto"/>
        </w:rPr>
        <w:t>Investor Beneficial Owners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Affiliate or Investor Beneficial Owner (x) is not a Competitor or FOIA Party, unless such party’s purchase of New Securities is otherwise consented to by the Board of Directors, and (y) agrees to enter into this Agreement and each of the Voting Agreement and Right of First Refusal and Co-Sale Agreement of even date herewith among the Company, the Investors and the other parties named therein, as an “</w:t>
      </w:r>
      <w:r>
        <w:rPr>
          <w:rFonts w:ascii="Arial" w:cs="Arial" w:eastAsia="Arial" w:hAnsi="Arial"/>
          <w:sz w:val="16"/>
          <w:szCs w:val="16"/>
          <w:b w:val="1"/>
          <w:bCs w:val="1"/>
          <w:color w:val="auto"/>
        </w:rPr>
        <w:t>Investor</w:t>
      </w:r>
      <w:r>
        <w:rPr>
          <w:rFonts w:ascii="Arial" w:cs="Arial" w:eastAsia="Arial" w:hAnsi="Arial"/>
          <w:sz w:val="16"/>
          <w:szCs w:val="16"/>
          <w:color w:val="auto"/>
        </w:rPr>
        <w:t>” under each such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Competitor or FOIA Party to whom the foregoing right of first offer is apportioned shall not be entitled to any rights as a Major Investor or Investor, as applicable, under </w:t>
      </w:r>
      <w:r>
        <w:rPr>
          <w:rFonts w:ascii="Arial" w:cs="Arial" w:eastAsia="Arial" w:hAnsi="Arial"/>
          <w:sz w:val="16"/>
          <w:szCs w:val="16"/>
          <w:u w:val="single" w:color="auto"/>
          <w:color w:val="auto"/>
        </w:rPr>
        <w:t>Subsections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hereof but the Investor that so apportioned the right of first offer shall retain all rights hereunder to which it would otherwise be entitled in accordance with the terms hereof).</w:t>
      </w:r>
    </w:p>
    <w:p>
      <w:pPr>
        <w:spacing w:after="0" w:line="57" w:lineRule="exact"/>
        <w:rPr>
          <w:sz w:val="20"/>
          <w:szCs w:val="20"/>
          <w:color w:val="auto"/>
        </w:rPr>
      </w:pPr>
    </w:p>
    <w:p>
      <w:pPr>
        <w:ind w:right="380" w:firstLine="1492"/>
        <w:spacing w:after="0" w:line="347" w:lineRule="auto"/>
        <w:tabs>
          <w:tab w:leader="none" w:pos="1728"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The Company shall give notice (the “</w:t>
      </w:r>
      <w:r>
        <w:rPr>
          <w:rFonts w:ascii="Arial" w:cs="Arial" w:eastAsia="Arial" w:hAnsi="Arial"/>
          <w:sz w:val="16"/>
          <w:szCs w:val="16"/>
          <w:b w:val="1"/>
          <w:bCs w:val="1"/>
          <w:color w:val="auto"/>
        </w:rPr>
        <w:t>Offer Notice</w:t>
      </w:r>
      <w:r>
        <w:rPr>
          <w:rFonts w:ascii="Arial" w:cs="Arial" w:eastAsia="Arial" w:hAnsi="Arial"/>
          <w:sz w:val="16"/>
          <w:szCs w:val="16"/>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2" w:lineRule="exact"/>
        <w:rPr>
          <w:rFonts w:ascii="Arial" w:cs="Arial" w:eastAsia="Arial" w:hAnsi="Arial"/>
          <w:sz w:val="16"/>
          <w:szCs w:val="16"/>
          <w:color w:val="auto"/>
        </w:rPr>
      </w:pPr>
    </w:p>
    <w:p>
      <w:pPr>
        <w:ind w:firstLine="1492"/>
        <w:spacing w:after="0" w:line="285" w:lineRule="auto"/>
        <w:tabs>
          <w:tab w:leader="none" w:pos="1738" w:val="left"/>
        </w:tabs>
        <w:numPr>
          <w:ilvl w:val="1"/>
          <w:numId w:val="205"/>
        </w:numPr>
        <w:rPr>
          <w:rFonts w:ascii="Arial" w:cs="Arial" w:eastAsia="Arial" w:hAnsi="Arial"/>
          <w:sz w:val="16"/>
          <w:szCs w:val="16"/>
          <w:color w:val="auto"/>
        </w:rPr>
      </w:pPr>
      <w:r>
        <w:rPr>
          <w:rFonts w:ascii="Arial" w:cs="Arial" w:eastAsia="Arial" w:hAnsi="Arial"/>
          <w:sz w:val="16"/>
          <w:szCs w:val="16"/>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Preferred Stock on an as converted to Common Stock basis then held by such Major Investor bears to the total Preferred Stock on an as converted to Common Stock basis held by all Major Investors. At the expiration of such twenty (20) day period, the Company shall promptly notify each Major Investor that elects to purchase or acquire all the shares available to it (each, a “</w:t>
      </w:r>
      <w:r>
        <w:rPr>
          <w:rFonts w:ascii="Arial" w:cs="Arial" w:eastAsia="Arial" w:hAnsi="Arial"/>
          <w:sz w:val="16"/>
          <w:szCs w:val="16"/>
          <w:b w:val="1"/>
          <w:bCs w:val="1"/>
          <w:color w:val="auto"/>
        </w:rPr>
        <w:t>Fully Exercising Investor</w:t>
      </w:r>
      <w:r>
        <w:rPr>
          <w:rFonts w:ascii="Arial" w:cs="Arial" w:eastAsia="Arial" w:hAnsi="Arial"/>
          <w:sz w:val="16"/>
          <w:szCs w:val="16"/>
          <w:color w:val="auto"/>
        </w:rPr>
        <w:t>”) of any other Major Investor’s failure to do likewise. During the ten</w:t>
      </w:r>
    </w:p>
    <w:p>
      <w:pPr>
        <w:spacing w:after="0" w:line="2" w:lineRule="exact"/>
        <w:rPr>
          <w:rFonts w:ascii="Arial" w:cs="Arial" w:eastAsia="Arial" w:hAnsi="Arial"/>
          <w:sz w:val="16"/>
          <w:szCs w:val="16"/>
          <w:color w:val="auto"/>
        </w:rPr>
      </w:pPr>
    </w:p>
    <w:p>
      <w:pPr>
        <w:ind w:left="360" w:hanging="352"/>
        <w:spacing w:after="0"/>
        <w:tabs>
          <w:tab w:leader="none" w:pos="3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day period commencing after the Company has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302" w:name="page303"/>
    <w:bookmarkEnd w:id="302"/>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Preferred Stock on an as-converted to Common Stock basis issued and held, then held, by such Fully Exercising Investor bears to the Preferred Stock on an as-converted to Common Stock basis issued and held, by all Fully Exercising Investors who wish to purchase such unsubscribed shares. The closing of any sale pursuant to this </w:t>
      </w:r>
      <w:r>
        <w:rPr>
          <w:rFonts w:ascii="Arial" w:cs="Arial" w:eastAsia="Arial" w:hAnsi="Arial"/>
          <w:sz w:val="17"/>
          <w:szCs w:val="17"/>
          <w:u w:val="single" w:color="auto"/>
          <w:color w:val="auto"/>
        </w:rPr>
        <w:t>Subsection 4.1(b)</w:t>
      </w:r>
      <w:r>
        <w:rPr>
          <w:rFonts w:ascii="Arial" w:cs="Arial" w:eastAsia="Arial" w:hAnsi="Arial"/>
          <w:sz w:val="17"/>
          <w:szCs w:val="17"/>
          <w:color w:val="auto"/>
        </w:rPr>
        <w:t xml:space="preserve"> shall occur within the later of ninety (90) days of the date that the Offer Notice is given and the date of initial sale of New Securities pursuant to </w:t>
      </w:r>
      <w:r>
        <w:rPr>
          <w:rFonts w:ascii="Arial" w:cs="Arial" w:eastAsia="Arial" w:hAnsi="Arial"/>
          <w:sz w:val="17"/>
          <w:szCs w:val="17"/>
          <w:u w:val="single" w:color="auto"/>
          <w:color w:val="auto"/>
        </w:rPr>
        <w:t>Subsection 4.1(c)</w:t>
      </w:r>
      <w:r>
        <w:rPr>
          <w:rFonts w:ascii="Arial" w:cs="Arial" w:eastAsia="Arial" w:hAnsi="Arial"/>
          <w:sz w:val="17"/>
          <w:szCs w:val="17"/>
          <w:color w:val="auto"/>
        </w:rPr>
        <w:t>.</w:t>
      </w:r>
    </w:p>
    <w:p>
      <w:pPr>
        <w:spacing w:after="0" w:line="70" w:lineRule="exact"/>
        <w:rPr>
          <w:sz w:val="20"/>
          <w:szCs w:val="20"/>
          <w:color w:val="auto"/>
        </w:rPr>
      </w:pPr>
    </w:p>
    <w:p>
      <w:pPr>
        <w:ind w:right="40" w:firstLine="1492"/>
        <w:spacing w:after="0" w:line="273" w:lineRule="auto"/>
        <w:tabs>
          <w:tab w:leader="none" w:pos="1728"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If all New Securities referred to in the Offer Notice are not elected to be purchased or acquired as provided in </w:t>
      </w:r>
      <w:r>
        <w:rPr>
          <w:rFonts w:ascii="Arial" w:cs="Arial" w:eastAsia="Arial" w:hAnsi="Arial"/>
          <w:sz w:val="17"/>
          <w:szCs w:val="17"/>
          <w:u w:val="single" w:color="auto"/>
          <w:color w:val="auto"/>
        </w:rPr>
        <w:t>Subsection 4.1(b)</w:t>
      </w:r>
      <w:r>
        <w:rPr>
          <w:rFonts w:ascii="Arial" w:cs="Arial" w:eastAsia="Arial" w:hAnsi="Arial"/>
          <w:sz w:val="17"/>
          <w:szCs w:val="17"/>
          <w:color w:val="auto"/>
        </w:rPr>
        <w:t xml:space="preserve">, the Company may, during the ninety (90) day period following the expiration of the periods provided in </w:t>
      </w:r>
      <w:r>
        <w:rPr>
          <w:rFonts w:ascii="Arial" w:cs="Arial" w:eastAsia="Arial" w:hAnsi="Arial"/>
          <w:sz w:val="17"/>
          <w:szCs w:val="17"/>
          <w:u w:val="single" w:color="auto"/>
          <w:color w:val="auto"/>
        </w:rPr>
        <w:t>Subsection 4.1(b)</w:t>
      </w:r>
      <w:r>
        <w:rPr>
          <w:rFonts w:ascii="Arial" w:cs="Arial" w:eastAsia="Arial" w:hAnsi="Arial"/>
          <w:sz w:val="17"/>
          <w:szCs w:val="17"/>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Arial" w:cs="Arial" w:eastAsia="Arial" w:hAnsi="Arial"/>
          <w:sz w:val="17"/>
          <w:szCs w:val="17"/>
          <w:u w:val="single" w:color="auto"/>
          <w:color w:val="auto"/>
        </w:rPr>
        <w:t>Subsection 4.1</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right="360" w:firstLine="1492"/>
        <w:spacing w:after="0" w:line="264" w:lineRule="auto"/>
        <w:tabs>
          <w:tab w:leader="none" w:pos="173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not be applicable to (i) Exempted Securities (as defined in the Company’s Certificate of Incorporation); (ii) shares of Common Stock issued in the IPO; and (iii) the issuance of shares of Series B Preferred Stock pursuant to the Purchase Agreement.</w:t>
      </w:r>
    </w:p>
    <w:p>
      <w:pPr>
        <w:spacing w:after="0" w:line="73" w:lineRule="exact"/>
        <w:rPr>
          <w:rFonts w:ascii="Arial" w:cs="Arial" w:eastAsia="Arial" w:hAnsi="Arial"/>
          <w:sz w:val="18"/>
          <w:szCs w:val="18"/>
          <w:color w:val="auto"/>
        </w:rPr>
      </w:pPr>
    </w:p>
    <w:p>
      <w:pPr>
        <w:ind w:firstLine="1492"/>
        <w:spacing w:after="0" w:line="255" w:lineRule="auto"/>
        <w:tabs>
          <w:tab w:leader="none" w:pos="172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Notwithstanding any provision hereof to the contrary, in lieu of complying with the provisions of this Subsection 4.1, the Company may elect to give notice to the Major Investors within thirty (30) days after the issuance of New Securities. Such notice shall describe the type, price, and terms of the New Securities. Each Major Investor shall have twenty (20) days from the date notice is given to elect to purchase up to the number of New Securities that would, if purchased by such Major Investor, maintain such Major Investor’s percentage-ownership position, calculated as set forth in Subsection 4.1(b) before giving effect to the issuance of such New Securities. The closing of such sale shall occur within sixty (60) days of the date notice is given to the Major Investors.</w:t>
      </w:r>
    </w:p>
    <w:p>
      <w:pPr>
        <w:spacing w:after="0" w:line="85"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terminate and be of no further force or effect (i) immediately before the consummation of a Qualified IPO, as such term is defined in the Company’s Certificate of Incorporation, or (ii) upon a Deemed Liquidation Event, as such term is defined in the Company’s Certificate of Incorporation, whichever event occurs first.</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80"/>
          </w:cols>
          <w:pgMar w:left="240" w:top="274" w:right="379" w:bottom="1440" w:gutter="0" w:footer="0" w:header="0"/>
        </w:sectPr>
      </w:pPr>
    </w:p>
    <w:bookmarkStart w:id="303" w:name="page304"/>
    <w:bookmarkEnd w:id="303"/>
    <w:p>
      <w:pPr>
        <w:ind w:left="640" w:hanging="176"/>
        <w:spacing w:after="0"/>
        <w:tabs>
          <w:tab w:leader="none" w:pos="64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Covenants</w:t>
      </w:r>
      <w:r>
        <w:rPr>
          <w:rFonts w:ascii="Arial" w:cs="Arial" w:eastAsia="Arial" w:hAnsi="Arial"/>
          <w:sz w:val="18"/>
          <w:szCs w:val="18"/>
          <w:color w:val="auto"/>
        </w:rPr>
        <w:t>.</w:t>
      </w:r>
    </w:p>
    <w:p>
      <w:pPr>
        <w:spacing w:after="0" w:line="117" w:lineRule="exact"/>
        <w:rPr>
          <w:sz w:val="20"/>
          <w:szCs w:val="20"/>
          <w:color w:val="auto"/>
        </w:rPr>
      </w:pPr>
    </w:p>
    <w:p>
      <w:pPr>
        <w:ind w:firstLine="1484"/>
        <w:spacing w:after="0" w:line="270"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The Company shall use its commercially reasonable efforts to maintain Directors and Officers liability insurance from financially sound and reputable insurers in an amount and on terms and conditions satisfactory to the Board of Directors, including a majority of the Preferred Directors, and will use commercially reasonable efforts to cause such insurance policies to be maintained until such time as the Board of Directors, including a majority of the Preferred Directors, determines that such insurance should be discontinued. The policy shall not be cancelable by the Company without prior approval by the Board of Directors including a majority of the Preferred Directors. Notwithstanding any other provision of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to the contrary, for so long as any Preferred Director is serving on the Board of Directors, the Company shall not cease to maintain a Directors and Officers liability insurance policy in an amount of at least two million dollars ($2.0 million) unless approved by such Preferred Director, and the Company shall annually, within one hundred twenty (120) days after the end of each fiscal year of the Company, deliver to each Preferred Director a certification that such a Directors and Officers liability insurance policy remains in effect.</w:t>
      </w:r>
    </w:p>
    <w:p>
      <w:pPr>
        <w:spacing w:after="0" w:line="74" w:lineRule="exact"/>
        <w:rPr>
          <w:sz w:val="20"/>
          <w:szCs w:val="20"/>
          <w:color w:val="auto"/>
        </w:rPr>
      </w:pPr>
    </w:p>
    <w:p>
      <w:pPr>
        <w:ind w:firstLine="1484"/>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Employee Agreements</w:t>
      </w:r>
      <w:r>
        <w:rPr>
          <w:rFonts w:ascii="Arial" w:cs="Arial" w:eastAsia="Arial" w:hAnsi="Arial"/>
          <w:sz w:val="17"/>
          <w:szCs w:val="17"/>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Key Employee to enter into a one (1) year noncompetition and nonsolicitation agreement, substantially in the form approved by the Board of Directors (including a majority of the Preferred Directors), after the date hereof, or, otherwise, substantially in the form provided to counsel for the Investors before the date hereof as the Company’s standard form agreement. In addition, the Company shall not amend, modify, terminate, waive, or otherwise alter, in whole or in part, any of the above-referenced agreements or any restricted stock agreement between the Company and any employee, without the consent of a majority of the Preferred Directors.</w:t>
      </w:r>
    </w:p>
    <w:p>
      <w:pPr>
        <w:spacing w:after="0" w:line="70" w:lineRule="exact"/>
        <w:rPr>
          <w:sz w:val="20"/>
          <w:szCs w:val="20"/>
          <w:color w:val="auto"/>
        </w:rPr>
      </w:pPr>
    </w:p>
    <w:p>
      <w:pPr>
        <w:ind w:firstLine="1484"/>
        <w:spacing w:after="0" w:line="270"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Employee Stock</w:t>
      </w:r>
      <w:r>
        <w:rPr>
          <w:rFonts w:ascii="Arial" w:cs="Arial" w:eastAsia="Arial" w:hAnsi="Arial"/>
          <w:sz w:val="17"/>
          <w:szCs w:val="17"/>
          <w:color w:val="auto"/>
        </w:rPr>
        <w:t xml:space="preserve">. Unless otherwise approved by the Board of Directors, including a majority of the Preferred Directors, any employees or consultants of the Company who purchases, receives options to purchase, or receives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or in equal quarterly installments over the following twelve (12) quarters, (ii) a market stand-off provision substantially similar to that in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and (iii) provisions requiring such employee or consultant to enter into each of the Voting Agreement pursuant to Section 7.1(b) thereof and Right of First Refusal and Co-Sale Agreement pursuant to Section 6.17 thereof, in each case as applicable to such employee or consultant. In addition, unless otherwise approved by the Board of Directors, including a majority of the Preferred Directors, the Company shall retain a “right of first refusal” on employee transfers until the Company’s IPO and shall have the right to repurchase unvested shares at cost upon termination of employment of a holder of restricted stock.</w:t>
      </w:r>
    </w:p>
    <w:p>
      <w:pPr>
        <w:spacing w:after="0" w:line="70" w:lineRule="exact"/>
        <w:rPr>
          <w:sz w:val="20"/>
          <w:szCs w:val="20"/>
          <w:color w:val="auto"/>
        </w:rPr>
      </w:pPr>
    </w:p>
    <w:p>
      <w:pPr>
        <w:ind w:right="340" w:firstLine="1484"/>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Board Matters</w:t>
      </w:r>
      <w:r>
        <w:rPr>
          <w:rFonts w:ascii="Arial" w:cs="Arial" w:eastAsia="Arial" w:hAnsi="Arial"/>
          <w:sz w:val="18"/>
          <w:szCs w:val="18"/>
          <w:color w:val="auto"/>
        </w:rPr>
        <w:t>. Unless otherwise determined the Board of Directors, including a majority of the Preferred Directors, the Board of Directors shall meet at least quarterly in accordance with an agreed-upon schedule. The Company shall reimburse the nonemployee directors for all reasonable out-of-pocket travel (consistent with the Company’s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304" w:name="page305"/>
    <w:bookmarkEnd w:id="304"/>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travel policy) and other expenses incurred in connection with the performance of their duties as directors and attending meetings of the Board of Directors and committees thereof and attending events on behalf of the Company. Each of the Preferred Directors shall have the right to sit on any audit committee or compensation committee of the Board of Directors or any other committee with authority to act on behalf of the Company without specific approval from the Board of Directors. As of the date hereof, Bruce Booth shall be the Chairman of the Board of Directors.</w:t>
      </w:r>
    </w:p>
    <w:p>
      <w:pPr>
        <w:spacing w:after="0" w:line="63" w:lineRule="exact"/>
        <w:rPr>
          <w:sz w:val="20"/>
          <w:szCs w:val="20"/>
          <w:color w:val="auto"/>
        </w:rPr>
      </w:pPr>
    </w:p>
    <w:p>
      <w:pPr>
        <w:ind w:right="120" w:firstLine="1484"/>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of Incorporation, or elsewhere, as the case may be.</w:t>
      </w:r>
    </w:p>
    <w:p>
      <w:pPr>
        <w:spacing w:after="0" w:line="80" w:lineRule="exact"/>
        <w:rPr>
          <w:sz w:val="20"/>
          <w:szCs w:val="20"/>
          <w:color w:val="auto"/>
        </w:rPr>
      </w:pPr>
    </w:p>
    <w:p>
      <w:pPr>
        <w:ind w:firstLine="1484"/>
        <w:spacing w:after="0" w:line="286"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Expenses of Counsel</w:t>
      </w:r>
      <w:r>
        <w:rPr>
          <w:rFonts w:ascii="Arial" w:cs="Arial" w:eastAsia="Arial" w:hAnsi="Arial"/>
          <w:sz w:val="16"/>
          <w:szCs w:val="16"/>
          <w:color w:val="auto"/>
        </w:rPr>
        <w:t>. In the event of a transaction which is a Sale of the Company (as defined in the Voting Agreement), the reasonable fees and disbursements, not to exceed $25,000, of one counsel for the Investors (“</w:t>
      </w:r>
      <w:r>
        <w:rPr>
          <w:rFonts w:ascii="Arial" w:cs="Arial" w:eastAsia="Arial" w:hAnsi="Arial"/>
          <w:sz w:val="16"/>
          <w:szCs w:val="16"/>
          <w:b w:val="1"/>
          <w:bCs w:val="1"/>
          <w:color w:val="auto"/>
        </w:rPr>
        <w:t>Investor Counsel</w:t>
      </w:r>
      <w:r>
        <w:rPr>
          <w:rFonts w:ascii="Arial" w:cs="Arial" w:eastAsia="Arial" w:hAnsi="Arial"/>
          <w:sz w:val="16"/>
          <w:szCs w:val="16"/>
          <w:color w:val="auto"/>
        </w:rPr>
        <w:t>”), in their capacities as stockholders, shall be borne and paid by the Company. At the outset of considering a transaction which, if consummated would constitute a Sale of the Company, the Company shall obtain the ability to share with the Investor Counsel (and such counsel’s clients) and shall share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Sale of the Company. The Company shall be obligated to share (and cause the Company’s counsel and investment bankers to share) such materials when distributed to the Company’s executives and/or any one or more of the other parties to such transaction(s). In the event that Investor Counsel deems it appropriate, in its reasonable discretion, to enter into a joint defense agreement or other arrangement to enhance the ability of the parties to protect their communications and other reviewed materials under the attorney client privilege, the Company shall, and shall direct its counsel to, execute and deliver to Investor Counsel and its clients such an agreement in form and substance reasonably acceptable to Investor Counsel. In the event that one or more of the other party or parties to such transactions require the clients of Investor Counsel to enter into a confidentiality agreement and/or joint defense agreement in order to receive such information, then the Company shall share whatever information can be shared without entry into such agreement and shall, at the same time, in good faith work expeditiously to enable Investor Counsel and its clients to negotiate and enter into the appropriate agreement(s) without undue burden to the clients of Investor Counsel.</w:t>
      </w:r>
    </w:p>
    <w:p>
      <w:pPr>
        <w:spacing w:after="0" w:line="57" w:lineRule="exact"/>
        <w:rPr>
          <w:sz w:val="20"/>
          <w:szCs w:val="20"/>
          <w:color w:val="auto"/>
        </w:rPr>
      </w:pPr>
    </w:p>
    <w:p>
      <w:pPr>
        <w:ind w:right="340" w:firstLine="1484"/>
        <w:spacing w:after="0" w:line="266"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Indemnification Matters</w:t>
      </w:r>
      <w:r>
        <w:rPr>
          <w:rFonts w:ascii="Arial" w:cs="Arial" w:eastAsia="Arial" w:hAnsi="Arial"/>
          <w:sz w:val="18"/>
          <w:szCs w:val="18"/>
          <w:color w:val="auto"/>
        </w:rPr>
        <w:t>. The Company hereby acknowledges that one (1) or more of the Preferred Directors (each a “</w:t>
      </w:r>
      <w:r>
        <w:rPr>
          <w:rFonts w:ascii="Arial" w:cs="Arial" w:eastAsia="Arial" w:hAnsi="Arial"/>
          <w:sz w:val="18"/>
          <w:szCs w:val="18"/>
          <w:b w:val="1"/>
          <w:bCs w:val="1"/>
          <w:color w:val="auto"/>
        </w:rPr>
        <w:t>Fund</w:t>
      </w:r>
      <w:r>
        <w:rPr>
          <w:rFonts w:ascii="Arial" w:cs="Arial" w:eastAsia="Arial" w:hAnsi="Arial"/>
          <w:sz w:val="18"/>
          <w:szCs w:val="18"/>
          <w:color w:val="auto"/>
        </w:rPr>
        <w:t xml:space="preserve"> </w:t>
      </w:r>
      <w:r>
        <w:rPr>
          <w:rFonts w:ascii="Arial" w:cs="Arial" w:eastAsia="Arial" w:hAnsi="Arial"/>
          <w:sz w:val="18"/>
          <w:szCs w:val="18"/>
          <w:b w:val="1"/>
          <w:bCs w:val="1"/>
          <w:color w:val="auto"/>
        </w:rPr>
        <w:t>Director</w:t>
      </w:r>
      <w:r>
        <w:rPr>
          <w:rFonts w:ascii="Arial" w:cs="Arial" w:eastAsia="Arial" w:hAnsi="Arial"/>
          <w:sz w:val="18"/>
          <w:szCs w:val="18"/>
          <w:color w:val="auto"/>
        </w:rPr>
        <w:t>”) may have certain rights to indemnification, advancement of expenses and/or insurance provided by one or more of the Investors and certain of</w:t>
      </w:r>
      <w:r>
        <w:rPr>
          <w:rFonts w:ascii="Arial" w:cs="Arial" w:eastAsia="Arial" w:hAnsi="Arial"/>
          <w:sz w:val="18"/>
          <w:szCs w:val="18"/>
          <w:b w:val="1"/>
          <w:bCs w:val="1"/>
          <w:color w:val="auto"/>
        </w:rPr>
        <w:t xml:space="preserve"> </w:t>
      </w:r>
      <w:r>
        <w:rPr>
          <w:rFonts w:ascii="Arial" w:cs="Arial" w:eastAsia="Arial" w:hAnsi="Arial"/>
          <w:sz w:val="18"/>
          <w:szCs w:val="18"/>
          <w:color w:val="auto"/>
        </w:rPr>
        <w:t>their affiliates (collectively, the “</w:t>
      </w:r>
      <w:r>
        <w:rPr>
          <w:rFonts w:ascii="Arial" w:cs="Arial" w:eastAsia="Arial" w:hAnsi="Arial"/>
          <w:sz w:val="18"/>
          <w:szCs w:val="18"/>
          <w:b w:val="1"/>
          <w:bCs w:val="1"/>
          <w:color w:val="auto"/>
        </w:rPr>
        <w:t>Fund Indemnitors</w:t>
      </w:r>
      <w:r>
        <w:rPr>
          <w:rFonts w:ascii="Arial" w:cs="Arial" w:eastAsia="Arial" w:hAnsi="Arial"/>
          <w:sz w:val="18"/>
          <w:szCs w:val="18"/>
          <w:color w:val="auto"/>
        </w:rPr>
        <w:t>”). The Company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3" w:right="239" w:bottom="1440" w:gutter="0" w:footer="0" w:header="0"/>
        </w:sectPr>
      </w:pPr>
    </w:p>
    <w:bookmarkStart w:id="305" w:name="page306"/>
    <w:bookmarkEnd w:id="30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hereby agrees (a) that it is the indemnitor of first resort (</w:t>
      </w:r>
      <w:r>
        <w:rPr>
          <w:rFonts w:ascii="Arial" w:cs="Arial" w:eastAsia="Arial" w:hAnsi="Arial"/>
          <w:sz w:val="16"/>
          <w:szCs w:val="16"/>
          <w:i w:val="1"/>
          <w:iCs w:val="1"/>
          <w:color w:val="auto"/>
        </w:rPr>
        <w:t>i.e.</w:t>
      </w:r>
      <w:r>
        <w:rPr>
          <w:rFonts w:ascii="Arial" w:cs="Arial" w:eastAsia="Arial" w:hAnsi="Arial"/>
          <w:sz w:val="16"/>
          <w:szCs w:val="16"/>
          <w:color w:val="auto"/>
        </w:rPr>
        <w:t>,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61" w:lineRule="exact"/>
        <w:rPr>
          <w:sz w:val="20"/>
          <w:szCs w:val="20"/>
          <w:color w:val="auto"/>
        </w:rPr>
      </w:pPr>
    </w:p>
    <w:p>
      <w:pPr>
        <w:ind w:right="140" w:firstLine="1484"/>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xml:space="preserve">. The covenants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except for </w:t>
      </w:r>
      <w:r>
        <w:rPr>
          <w:rFonts w:ascii="Arial" w:cs="Arial" w:eastAsia="Arial" w:hAnsi="Arial"/>
          <w:sz w:val="18"/>
          <w:szCs w:val="18"/>
          <w:u w:val="single" w:color="auto"/>
          <w:color w:val="auto"/>
        </w:rPr>
        <w:t>Subsections 5.5, 5.6, 5.7, 5.8 and 5.9</w:t>
      </w:r>
      <w:r>
        <w:rPr>
          <w:rFonts w:ascii="Arial" w:cs="Arial" w:eastAsia="Arial" w:hAnsi="Arial"/>
          <w:sz w:val="18"/>
          <w:szCs w:val="18"/>
          <w:color w:val="auto"/>
        </w:rPr>
        <w:t>,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Company’s Certificate of Incorporation, whichever event occurs first.</w:t>
      </w:r>
    </w:p>
    <w:p>
      <w:pPr>
        <w:spacing w:after="0" w:line="79" w:lineRule="exact"/>
        <w:rPr>
          <w:sz w:val="20"/>
          <w:szCs w:val="20"/>
          <w:color w:val="auto"/>
        </w:rPr>
      </w:pPr>
    </w:p>
    <w:p>
      <w:pPr>
        <w:ind w:right="180" w:firstLine="1484"/>
        <w:spacing w:after="0" w:line="289"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Right to Conduct Activities</w:t>
      </w:r>
      <w:r>
        <w:rPr>
          <w:rFonts w:ascii="Arial" w:cs="Arial" w:eastAsia="Arial" w:hAnsi="Arial"/>
          <w:sz w:val="16"/>
          <w:szCs w:val="16"/>
          <w:color w:val="auto"/>
        </w:rPr>
        <w:t>. The Company hereby agrees and acknowledges that each of Aisling, Atlas, Brace, Clarus, Cormorant, Eventide, Leerink, Morningside, Surveyor and SV (each a “</w:t>
      </w:r>
      <w:r>
        <w:rPr>
          <w:rFonts w:ascii="Arial" w:cs="Arial" w:eastAsia="Arial" w:hAnsi="Arial"/>
          <w:sz w:val="16"/>
          <w:szCs w:val="16"/>
          <w:b w:val="1"/>
          <w:bCs w:val="1"/>
          <w:color w:val="auto"/>
        </w:rPr>
        <w:t>Fund</w:t>
      </w:r>
      <w:r>
        <w:rPr>
          <w:rFonts w:ascii="Arial" w:cs="Arial" w:eastAsia="Arial" w:hAnsi="Arial"/>
          <w:sz w:val="16"/>
          <w:szCs w:val="16"/>
          <w:color w:val="auto"/>
        </w:rPr>
        <w:t>”) is a professional investment fund, and as such invests in numerous portfolio companies, some of which may be deemed competitive with the Company’s business (as currently conducted or as currently proposed to be conducted). The Company hereby agrees that, to the extent permitted under applicable law, no Fund shall be liable to the Company for any claim arising out of, or based upon, (i) the investment by such Fund or its Affiliates in any entity competitive with the Company, or (ii) actions taken by any Affiliate, partner, officer or other representative of such Fund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Funds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59" w:lineRule="exact"/>
        <w:rPr>
          <w:sz w:val="20"/>
          <w:szCs w:val="20"/>
          <w:color w:val="auto"/>
        </w:rPr>
      </w:pPr>
    </w:p>
    <w:p>
      <w:pPr>
        <w:ind w:right="140" w:firstLine="1484"/>
        <w:spacing w:after="0" w:line="264"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Matters Requiring Preferred Director Approval</w:t>
      </w:r>
      <w:r>
        <w:rPr>
          <w:rFonts w:ascii="Arial" w:cs="Arial" w:eastAsia="Arial" w:hAnsi="Arial"/>
          <w:sz w:val="18"/>
          <w:szCs w:val="18"/>
          <w:color w:val="auto"/>
        </w:rPr>
        <w:t>. So long as there are any Preferred Directors, the Company hereby covenants and agrees with each of the Investors that it shall not, without approval of the Board of Directors, which approval must include the affirmative vote a majority of the Preferred Directors:</w:t>
      </w:r>
    </w:p>
    <w:p>
      <w:pPr>
        <w:spacing w:after="0" w:line="73" w:lineRule="exact"/>
        <w:rPr>
          <w:sz w:val="20"/>
          <w:szCs w:val="20"/>
          <w:color w:val="auto"/>
        </w:rPr>
      </w:pPr>
    </w:p>
    <w:p>
      <w:pPr>
        <w:ind w:right="400" w:firstLine="1492"/>
        <w:spacing w:after="0" w:line="277" w:lineRule="auto"/>
        <w:tabs>
          <w:tab w:leader="none" w:pos="172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make any loan or advance to, or own any stock or other securities of, any subsidiary or other corporation, partnership, unless it is wholly owned by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3" w:right="239" w:bottom="1440" w:gutter="0" w:footer="0" w:header="0"/>
        </w:sectPr>
      </w:pPr>
    </w:p>
    <w:bookmarkStart w:id="306" w:name="page307"/>
    <w:bookmarkEnd w:id="306"/>
    <w:p>
      <w:pPr>
        <w:ind w:right="600" w:firstLine="1492"/>
        <w:spacing w:after="0" w:line="308" w:lineRule="auto"/>
        <w:tabs>
          <w:tab w:leader="none" w:pos="1738" w:val="left"/>
        </w:tabs>
        <w:numPr>
          <w:ilvl w:val="1"/>
          <w:numId w:val="2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any loan or advance to any person, including, any employee or director, except advances and similar expenditures in the ordinary course of business or under the terms of an employee stock or option plan approved by the Board of Directors;</w:t>
      </w:r>
    </w:p>
    <w:p>
      <w:pPr>
        <w:spacing w:after="0" w:line="38" w:lineRule="exact"/>
        <w:rPr>
          <w:rFonts w:ascii="Arial" w:cs="Arial" w:eastAsia="Arial" w:hAnsi="Arial"/>
          <w:sz w:val="17"/>
          <w:szCs w:val="17"/>
          <w:color w:val="auto"/>
        </w:rPr>
      </w:pPr>
    </w:p>
    <w:p>
      <w:pPr>
        <w:ind w:left="1740" w:hanging="248"/>
        <w:spacing w:after="0"/>
        <w:tabs>
          <w:tab w:leader="none" w:pos="174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guarantee any indebtedness except for trade accounts of the Company or any subsidiary arising in the ordinary course of business;</w:t>
      </w:r>
    </w:p>
    <w:p>
      <w:pPr>
        <w:spacing w:after="0" w:line="140" w:lineRule="exact"/>
        <w:rPr>
          <w:rFonts w:ascii="Arial" w:cs="Arial" w:eastAsia="Arial" w:hAnsi="Arial"/>
          <w:sz w:val="16"/>
          <w:szCs w:val="16"/>
          <w:color w:val="auto"/>
        </w:rPr>
      </w:pPr>
    </w:p>
    <w:p>
      <w:pPr>
        <w:ind w:left="1740" w:hanging="248"/>
        <w:spacing w:after="0"/>
        <w:tabs>
          <w:tab w:leader="none" w:pos="174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make any investment inconsistent with any investment policy approved by the Board of Directors;</w:t>
      </w:r>
    </w:p>
    <w:p>
      <w:pPr>
        <w:spacing w:after="0" w:line="117" w:lineRule="exact"/>
        <w:rPr>
          <w:rFonts w:ascii="Arial" w:cs="Arial" w:eastAsia="Arial" w:hAnsi="Arial"/>
          <w:sz w:val="18"/>
          <w:szCs w:val="18"/>
          <w:color w:val="auto"/>
        </w:rPr>
      </w:pPr>
    </w:p>
    <w:p>
      <w:pPr>
        <w:ind w:right="400" w:firstLine="1492"/>
        <w:spacing w:after="0" w:line="277" w:lineRule="auto"/>
        <w:tabs>
          <w:tab w:leader="none" w:pos="172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incur any aggregate indebtedness in excess of $100,000 that is not already included in a Board-approved budget, other than trade credit incurred in the ordinary course of business;</w:t>
      </w:r>
    </w:p>
    <w:p>
      <w:pPr>
        <w:spacing w:after="0" w:line="62" w:lineRule="exact"/>
        <w:rPr>
          <w:rFonts w:ascii="Arial" w:cs="Arial" w:eastAsia="Arial" w:hAnsi="Arial"/>
          <w:sz w:val="18"/>
          <w:szCs w:val="18"/>
          <w:color w:val="auto"/>
        </w:rPr>
      </w:pPr>
    </w:p>
    <w:p>
      <w:pPr>
        <w:jc w:val="both"/>
        <w:ind w:firstLine="1492"/>
        <w:spacing w:after="0" w:line="259" w:lineRule="auto"/>
        <w:tabs>
          <w:tab w:leader="none" w:pos="170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enter into or be a party to any transaction with any director, officer or employee of the Company or any “associate” (as defined in Rule 12b-2 promulgated under the Exchange Act) of any such person, including without limitation any “management bonus” or similar plan providing payments to employees in connection with a Deemed Liquidation Event, as such term is defined in the Restated Charter, except for transactions contemplated by this Agreement and the Purchase Agreement;</w:t>
      </w:r>
    </w:p>
    <w:p>
      <w:pPr>
        <w:spacing w:after="0" w:line="78" w:lineRule="exact"/>
        <w:rPr>
          <w:rFonts w:ascii="Arial" w:cs="Arial" w:eastAsia="Arial" w:hAnsi="Arial"/>
          <w:sz w:val="18"/>
          <w:szCs w:val="18"/>
          <w:color w:val="auto"/>
        </w:rPr>
      </w:pPr>
    </w:p>
    <w:p>
      <w:pPr>
        <w:ind w:left="1740" w:hanging="248"/>
        <w:spacing w:after="0"/>
        <w:tabs>
          <w:tab w:leader="none" w:pos="174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hire, terminate, or change the compensation of the executive officers, including approving any option grants or stock awards;</w:t>
      </w:r>
    </w:p>
    <w:p>
      <w:pPr>
        <w:spacing w:after="0" w:line="128" w:lineRule="exact"/>
        <w:rPr>
          <w:rFonts w:ascii="Arial" w:cs="Arial" w:eastAsia="Arial" w:hAnsi="Arial"/>
          <w:sz w:val="17"/>
          <w:szCs w:val="17"/>
          <w:color w:val="auto"/>
        </w:rPr>
      </w:pPr>
    </w:p>
    <w:p>
      <w:pPr>
        <w:ind w:left="1740" w:hanging="248"/>
        <w:spacing w:after="0"/>
        <w:tabs>
          <w:tab w:leader="none" w:pos="174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change the principal business of the Company, enter new lines of business, or exit the current line of business;</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sell, assign, license, pledge or encumber material technology or intellectual property, other than licenses granted in the ordinary course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business;</w:t>
      </w:r>
    </w:p>
    <w:p>
      <w:pPr>
        <w:spacing w:after="0" w:line="102" w:lineRule="exact"/>
        <w:rPr>
          <w:rFonts w:ascii="Arial" w:cs="Arial" w:eastAsia="Arial" w:hAnsi="Arial"/>
          <w:sz w:val="16"/>
          <w:szCs w:val="16"/>
          <w:color w:val="auto"/>
        </w:rPr>
      </w:pPr>
    </w:p>
    <w:p>
      <w:pPr>
        <w:ind w:right="180" w:firstLine="1492"/>
        <w:spacing w:after="0" w:line="277" w:lineRule="auto"/>
        <w:tabs>
          <w:tab w:leader="none" w:pos="169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enter into any corporate strategic relationship involving the payment contribution or assignment by the Company or to the Company of assets greater than $100,000; or</w:t>
      </w:r>
    </w:p>
    <w:p>
      <w:pPr>
        <w:spacing w:after="0" w:line="62" w:lineRule="exact"/>
        <w:rPr>
          <w:rFonts w:ascii="Arial" w:cs="Arial" w:eastAsia="Arial" w:hAnsi="Arial"/>
          <w:sz w:val="18"/>
          <w:szCs w:val="18"/>
          <w:color w:val="auto"/>
        </w:rPr>
      </w:pPr>
    </w:p>
    <w:p>
      <w:pPr>
        <w:ind w:right="60" w:firstLine="1492"/>
        <w:spacing w:after="0" w:line="257" w:lineRule="auto"/>
        <w:tabs>
          <w:tab w:leader="none" w:pos="173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permit AvroBio, Inc. (a corporation formed under the laws of Ontario and a wholly-owned subsidiary of the Company, or the “Canadian Subsidiary”) to have any assets, liabilities or operations, unless, at such time and continuing for so long as the Canadian Subsidiary has any assets, liabilities or operations, the board of directors or other governing body of the Canadian Subsidiary shall be composed of the same members as the Board of Directors of the Company at such time (subject to applicable law), and the other covenants set forth in this Section 5.10 shall be applicable to the Canadian Subsidiary to the same extent as they are to the Company.</w:t>
      </w:r>
    </w:p>
    <w:p>
      <w:pPr>
        <w:spacing w:after="0" w:line="80" w:lineRule="exact"/>
        <w:rPr>
          <w:rFonts w:ascii="Arial" w:cs="Arial" w:eastAsia="Arial" w:hAnsi="Arial"/>
          <w:sz w:val="18"/>
          <w:szCs w:val="18"/>
          <w:color w:val="auto"/>
        </w:rPr>
      </w:pPr>
    </w:p>
    <w:p>
      <w:pPr>
        <w:ind w:left="640" w:hanging="176"/>
        <w:spacing w:after="0"/>
        <w:tabs>
          <w:tab w:leader="none" w:pos="64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360" w:firstLine="1484"/>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rights under this Agreement may be assigned (but only with all related obligations) by a Holder to a transferee of Registrable Securities that (i) is an Affiliate of a Holder; (ii) is a Holder’s Immediate Family Member or trust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07" w:name="page308"/>
    <w:bookmarkEnd w:id="30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the benefit of an individual Holder or one or more of such Holder’s Immediate Family Members; or (iii) after such transfer, holds at least 1,500,000 shares of Registrable Securities (subject to appropriate adjustment for stock splits, stock dividends, combinations, and other recapitalizations);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61" w:lineRule="exact"/>
        <w:rPr>
          <w:sz w:val="20"/>
          <w:szCs w:val="20"/>
          <w:color w:val="auto"/>
        </w:rPr>
      </w:pPr>
    </w:p>
    <w:p>
      <w:pPr>
        <w:ind w:right="40" w:firstLine="1484"/>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its principles of conflicts of laws.</w:t>
      </w:r>
    </w:p>
    <w:p>
      <w:pPr>
        <w:spacing w:after="0" w:line="73" w:lineRule="exact"/>
        <w:rPr>
          <w:sz w:val="20"/>
          <w:szCs w:val="20"/>
          <w:color w:val="auto"/>
        </w:rPr>
      </w:pPr>
    </w:p>
    <w:p>
      <w:pPr>
        <w:ind w:right="40" w:firstLine="1484"/>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8"/>
          <w:szCs w:val="18"/>
          <w:i w:val="1"/>
          <w:iCs w:val="1"/>
          <w:color w:val="auto"/>
        </w:rPr>
        <w:t>e.g.</w:t>
      </w:r>
      <w:r>
        <w:rPr>
          <w:rFonts w:ascii="Arial" w:cs="Arial" w:eastAsia="Arial" w:hAnsi="Arial"/>
          <w:sz w:val="18"/>
          <w:szCs w:val="18"/>
          <w:color w:val="auto"/>
        </w:rPr>
        <w:t>, www.docusign.com) or other transmission method and any counterpart so delivered shall be deemed to have been duly and validly delivered and be valid and effective for all purposes</w:t>
      </w:r>
      <w:r>
        <w:rPr>
          <w:rFonts w:ascii="Arial" w:cs="Arial" w:eastAsia="Arial" w:hAnsi="Arial"/>
          <w:sz w:val="18"/>
          <w:szCs w:val="18"/>
          <w:b w:val="1"/>
          <w:bCs w:val="1"/>
          <w:color w:val="auto"/>
        </w:rPr>
        <w:t>.</w:t>
      </w:r>
    </w:p>
    <w:p>
      <w:pPr>
        <w:spacing w:after="0" w:line="79" w:lineRule="exact"/>
        <w:rPr>
          <w:sz w:val="20"/>
          <w:szCs w:val="20"/>
          <w:color w:val="auto"/>
        </w:rPr>
      </w:pPr>
    </w:p>
    <w:p>
      <w:pPr>
        <w:ind w:right="740" w:firstLine="1484"/>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62" w:lineRule="exact"/>
        <w:rPr>
          <w:sz w:val="20"/>
          <w:szCs w:val="20"/>
          <w:color w:val="auto"/>
        </w:rPr>
      </w:pPr>
    </w:p>
    <w:p>
      <w:pPr>
        <w:ind w:right="60" w:firstLine="1484"/>
        <w:spacing w:after="0" w:line="276"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308" w:name="page309"/>
    <w:bookmarkEnd w:id="308"/>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communications shall be sent to the respective parties at their addresses as set forth on Schedule A or to the principal office of the Company and to the attention of the Chief Executive Officer, in the case of the Company, or to such email address, facsimile number, or address as subsequently modified by written notice given in accordance with this </w:t>
      </w:r>
      <w:r>
        <w:rPr>
          <w:rFonts w:ascii="Arial" w:cs="Arial" w:eastAsia="Arial" w:hAnsi="Arial"/>
          <w:sz w:val="16"/>
          <w:szCs w:val="16"/>
          <w:u w:val="single" w:color="auto"/>
          <w:color w:val="auto"/>
        </w:rPr>
        <w:t>Subsection 6.5</w:t>
      </w:r>
      <w:r>
        <w:rPr>
          <w:rFonts w:ascii="Arial" w:cs="Arial" w:eastAsia="Arial" w:hAnsi="Arial"/>
          <w:sz w:val="16"/>
          <w:szCs w:val="16"/>
          <w:color w:val="auto"/>
        </w:rPr>
        <w:t>. If notice is given to the Company, a copy (which shall not constitute notice) shall also be sent to Arthur R. McGivern, Esq., Goodwin Procter LLP, to the following address: 100 Northern Avenue, Boston, MA 02210 and if notice is given to Investors, a copy shall also be given to Brian Lenihan, Choate, Hall &amp; Stewart LLP, Two International Place, Boston, MA 02110 (which shall not constitute notice)and Suzanne P. Hamel and Thomas B. Rosedale, BRL Law Group LLC, 425 Boylston Street, Third Floor, Boston, MA 02116 (which shall not constitute notice).</w:t>
      </w:r>
    </w:p>
    <w:p>
      <w:pPr>
        <w:spacing w:after="0" w:line="57" w:lineRule="exact"/>
        <w:rPr>
          <w:sz w:val="20"/>
          <w:szCs w:val="20"/>
          <w:color w:val="auto"/>
        </w:rPr>
      </w:pPr>
    </w:p>
    <w:p>
      <w:pPr>
        <w:ind w:right="60" w:firstLine="1484"/>
        <w:spacing w:after="0" w:line="271"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Preferred Majority;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that the Company may in its sole discretion waive compliance with </w:t>
      </w:r>
      <w:r>
        <w:rPr>
          <w:rFonts w:ascii="Arial" w:cs="Arial" w:eastAsia="Arial" w:hAnsi="Arial"/>
          <w:sz w:val="17"/>
          <w:szCs w:val="17"/>
          <w:u w:val="single" w:color="auto"/>
          <w:color w:val="auto"/>
        </w:rPr>
        <w:t>Subsection 6.1</w:t>
      </w:r>
      <w:r>
        <w:rPr>
          <w:rFonts w:ascii="Arial" w:cs="Arial" w:eastAsia="Arial" w:hAnsi="Arial"/>
          <w:sz w:val="17"/>
          <w:szCs w:val="17"/>
          <w:color w:val="auto"/>
        </w:rPr>
        <w:t xml:space="preserve"> (and the Company’s failure to object promptly in writing after notification of a proposed assignment allegedly in violation of </w:t>
      </w:r>
      <w:r>
        <w:rPr>
          <w:rFonts w:ascii="Arial" w:cs="Arial" w:eastAsia="Arial" w:hAnsi="Arial"/>
          <w:sz w:val="17"/>
          <w:szCs w:val="17"/>
          <w:u w:val="single" w:color="auto"/>
          <w:color w:val="auto"/>
        </w:rPr>
        <w:t>Subsection 6.1</w:t>
      </w:r>
      <w:r>
        <w:rPr>
          <w:rFonts w:ascii="Arial" w:cs="Arial" w:eastAsia="Arial" w:hAnsi="Arial"/>
          <w:sz w:val="17"/>
          <w:szCs w:val="17"/>
          <w:color w:val="auto"/>
        </w:rPr>
        <w:t xml:space="preserve"> shall be deemed to be a waiver); and provided further that any provision hereof may be waived by any waiving party on such party’s own behalf, without the consent of any other party; and provided further that the terms of Section 1.20, the first paragraph of this Section 6.6 and the first sentence of the second paragraph of this Section 6.6 may be amended, modified or terminated and the observance of any term of such sections may be waived only with the written consent of the Company and the holders of at least a majority of outstanding Series B Preferred Stock party to this Agreement.</w:t>
      </w:r>
    </w:p>
    <w:p>
      <w:pPr>
        <w:spacing w:after="0" w:line="17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Notwithstanding the foregoing, this Agreement may not be amended or terminated and the observance of any term hereof may not be waived with respect to any Investor without (i) the written consent of such Investor, unless such amendment, termination, or waiver applies to all Investors in the same fashion (it being agreed that a waiver of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provided, however, that if, after giving effect to such waiver of Section 4 with respect to a particular transaction, an Investor purchases securities in such transaction or issuance (such Investor, a “</w:t>
      </w:r>
      <w:r>
        <w:rPr>
          <w:rFonts w:ascii="Arial" w:cs="Arial" w:eastAsia="Arial" w:hAnsi="Arial"/>
          <w:sz w:val="16"/>
          <w:szCs w:val="16"/>
          <w:b w:val="1"/>
          <w:bCs w:val="1"/>
          <w:color w:val="auto"/>
        </w:rPr>
        <w:t>Participating Investor</w:t>
      </w:r>
      <w:r>
        <w:rPr>
          <w:rFonts w:ascii="Arial" w:cs="Arial" w:eastAsia="Arial" w:hAnsi="Arial"/>
          <w:sz w:val="16"/>
          <w:szCs w:val="16"/>
          <w:color w:val="auto"/>
        </w:rPr>
        <w:t xml:space="preserve">”), such waiver of the provisions of Section 4 shall be deemed to apply to each Major Investor only if the Major Investors have been provided the opportunity to purchase a proportional number of the securities in such transaction based on the pro rata purchase right of each Major Investor set forth in Section 4, assuming a transaction size determined based upon the amount purchased by the Participating Investor that invested the largest percentage in such transaction, or (ii) the written consent of holders of at least a majority of the outstanding Series B Preferred Stock, if such amendment, termination or waiver adversely affects the rights of holders of the Series B Preferred Stock in a different and disproportionate manner than the holders of the Series A Preferred Stock or the Series Seed Preferred Stock.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6"/>
          <w:szCs w:val="16"/>
          <w:u w:val="single" w:color="auto"/>
          <w:color w:val="auto"/>
        </w:rPr>
        <w:t>Subsection 6.6</w:t>
      </w:r>
      <w:r>
        <w:rPr>
          <w:rFonts w:ascii="Arial" w:cs="Arial" w:eastAsia="Arial" w:hAnsi="Arial"/>
          <w:sz w:val="16"/>
          <w:szCs w:val="16"/>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09" w:name="page310"/>
    <w:bookmarkEnd w:id="309"/>
    <w:p>
      <w:pPr>
        <w:ind w:right="60" w:firstLine="1484"/>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6.7 </w:t>
      </w: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39" w:lineRule="exact"/>
        <w:rPr>
          <w:sz w:val="20"/>
          <w:szCs w:val="20"/>
          <w:color w:val="auto"/>
        </w:rPr>
      </w:pPr>
    </w:p>
    <w:p>
      <w:pPr>
        <w:jc w:val="both"/>
        <w:ind w:right="60" w:firstLine="1484"/>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73" w:lineRule="exact"/>
        <w:rPr>
          <w:sz w:val="20"/>
          <w:szCs w:val="20"/>
          <w:color w:val="auto"/>
        </w:rPr>
      </w:pPr>
    </w:p>
    <w:p>
      <w:pPr>
        <w:ind w:firstLine="1484"/>
        <w:spacing w:after="0" w:line="297"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Additional Investors</w:t>
      </w:r>
      <w:r>
        <w:rPr>
          <w:rFonts w:ascii="Arial" w:cs="Arial" w:eastAsia="Arial" w:hAnsi="Arial"/>
          <w:sz w:val="16"/>
          <w:szCs w:val="16"/>
          <w:color w:val="auto"/>
        </w:rPr>
        <w:t>. Notwithstanding anything to the contrary contained herein, if the Company issues additional shares of the Company’s Preferred Stock after the date hereof, whether pursuant to the Purchase Agreement or otherwise,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50" w:lineRule="exact"/>
        <w:rPr>
          <w:sz w:val="20"/>
          <w:szCs w:val="20"/>
          <w:color w:val="auto"/>
        </w:rPr>
      </w:pPr>
    </w:p>
    <w:p>
      <w:pPr>
        <w:jc w:val="both"/>
        <w:ind w:right="140" w:firstLine="1484"/>
        <w:spacing w:after="0" w:line="264"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including without limitation, the Prior Agreement.</w:t>
      </w:r>
    </w:p>
    <w:p>
      <w:pPr>
        <w:spacing w:after="0" w:line="73" w:lineRule="exact"/>
        <w:rPr>
          <w:sz w:val="20"/>
          <w:szCs w:val="20"/>
          <w:color w:val="auto"/>
        </w:rPr>
      </w:pPr>
    </w:p>
    <w:p>
      <w:pPr>
        <w:ind w:right="20" w:firstLine="1484"/>
        <w:spacing w:after="0" w:line="25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(a) hereby irrevocably and unconditionally submit to the jurisdiction of the state courts of the Commonwealth of Massachusetts and to the jurisdiction of the United States District Court for the District of Massachusetts for the purpose of any suit, action or other proceeding arising out of or based upon this Agreement, (b) agree not to commence any suit, action or other proceeding arising out of or based upon this Agreement except in the state courts of the Commonwealth of Massachusetts or the United States District Court for the District of Massachusetts,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3" w:right="259" w:bottom="1440" w:gutter="0" w:footer="0" w:header="0"/>
        </w:sectPr>
      </w:pPr>
    </w:p>
    <w:bookmarkStart w:id="310" w:name="page311"/>
    <w:bookmarkEnd w:id="310"/>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74" w:lineRule="exact"/>
        <w:rPr>
          <w:sz w:val="20"/>
          <w:szCs w:val="20"/>
          <w:color w:val="auto"/>
        </w:rPr>
      </w:pPr>
    </w:p>
    <w:p>
      <w:pPr>
        <w:ind w:right="140" w:firstLine="1484"/>
        <w:spacing w:after="0" w:line="276"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3" w:right="259" w:bottom="1440" w:gutter="0" w:footer="0" w:header="0"/>
        </w:sectPr>
      </w:pPr>
    </w:p>
    <w:bookmarkStart w:id="311" w:name="page312"/>
    <w:bookmarkEnd w:id="3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Geoffrey MacKay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Geoffrey MacKay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98"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60"/>
          </w:cols>
          <w:pgMar w:left="700" w:top="274" w:right="239" w:bottom="1440" w:gutter="0" w:footer="0" w:header="0"/>
        </w:sectPr>
      </w:pPr>
    </w:p>
    <w:bookmarkStart w:id="312" w:name="page313"/>
    <w:bookmarkEnd w:id="3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CITADEL MULTI-STRATEGY EQUITIES MASTER</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FUND LTD.</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Citadel Advisors LLC, its portfolio manager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Noah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Noah Goldberg</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40"/>
          </w:cols>
          <w:pgMar w:left="700" w:top="273" w:right="259" w:bottom="1440" w:gutter="0" w:footer="0" w:header="0"/>
        </w:sectPr>
      </w:pPr>
    </w:p>
    <w:bookmarkStart w:id="313" w:name="page314"/>
    <w:bookmarkEnd w:id="3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Cormorant Private Healthcare Fund I, LP</w:t>
      </w:r>
    </w:p>
    <w:p>
      <w:pPr>
        <w:sectPr>
          <w:pgSz w:w="11900" w:h="16838" w:orient="portrait"/>
          <w:cols w:equalWidth="0" w:num="1">
            <w:col w:w="10960"/>
          </w:cols>
          <w:pgMar w:left="700" w:top="274" w:right="239" w:bottom="1440" w:gutter="0" w:footer="0" w:header="0"/>
        </w:sectPr>
      </w:pP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color w:val="auto"/>
        </w:rPr>
        <w:t>Cormorant Private Healthcare GP, LLC Bihua Chen, Managing Member of the GP</w:t>
      </w:r>
    </w:p>
    <w:p>
      <w:pPr>
        <w:spacing w:after="0" w:line="124" w:lineRule="exact"/>
        <w:rPr>
          <w:sz w:val="20"/>
          <w:szCs w:val="20"/>
          <w:color w:val="auto"/>
        </w:rPr>
      </w:pPr>
    </w:p>
    <w:p>
      <w:pPr>
        <w:sectPr>
          <w:pgSz w:w="11900" w:h="16838" w:orient="portrait"/>
          <w:cols w:equalWidth="0" w:num="2">
            <w:col w:w="6660" w:space="320"/>
            <w:col w:w="3980"/>
          </w:cols>
          <w:pgMar w:left="700" w:top="274" w:right="239" w:bottom="1440" w:gutter="0" w:footer="0" w:header="0"/>
          <w:type w:val="continuous"/>
        </w:sect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252158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660" w:space="320"/>
            <w:col w:w="3980"/>
          </w:cols>
          <w:pgMar w:left="700" w:top="274" w:right="239" w:bottom="1440" w:gutter="0" w:footer="0" w:header="0"/>
          <w:type w:val="continuous"/>
        </w:sectPr>
      </w:pPr>
    </w:p>
    <w:p>
      <w:pPr>
        <w:ind w:left="6400"/>
        <w:spacing w:after="0"/>
        <w:rPr>
          <w:sz w:val="20"/>
          <w:szCs w:val="20"/>
          <w:color w:val="auto"/>
        </w:rPr>
      </w:pPr>
      <w:r>
        <w:rPr>
          <w:rFonts w:ascii="Arial" w:cs="Arial" w:eastAsia="Arial" w:hAnsi="Arial"/>
          <w:sz w:val="18"/>
          <w:szCs w:val="18"/>
          <w:color w:val="auto"/>
        </w:rPr>
        <w:t>Name: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Cormorant Global Healthcare Master Fund, LP</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Cormorant Private Healthcare GP,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Bihua Chen, Managing Member of the GP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Bihua Chen</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Bihua Chen</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19"/>
                <w:szCs w:val="19"/>
                <w:color w:val="auto"/>
              </w:rPr>
            </w:pPr>
          </w:p>
        </w:tc>
        <w:tc>
          <w:tcPr>
            <w:tcW w:w="3960" w:type="dxa"/>
            <w:vAlign w:val="bottom"/>
            <w:tcBorders>
              <w:top w:val="single" w:sz="8" w:color="auto"/>
              <w:bottom w:val="single" w:sz="8" w:color="auto"/>
            </w:tcBorders>
          </w:tcPr>
          <w:p>
            <w:pPr>
              <w:spacing w:after="0"/>
              <w:rPr>
                <w:sz w:val="19"/>
                <w:szCs w:val="19"/>
                <w:color w:val="auto"/>
              </w:rPr>
            </w:pPr>
          </w:p>
        </w:tc>
      </w:tr>
      <w:tr>
        <w:trPr>
          <w:trHeight w:val="439"/>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CRMA SPV, L.P.</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Cormorant Asset Management,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Bihua Chen, CEO/CIO</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/s/ Bihua Chen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0</wp:posOffset>
            </wp:positionV>
            <wp:extent cx="252158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Name: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28"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60"/>
          </w:cols>
          <w:pgMar w:left="700" w:top="274" w:right="239" w:bottom="1440" w:gutter="0" w:footer="0" w:header="0"/>
          <w:type w:val="continuous"/>
        </w:sectPr>
      </w:pPr>
    </w:p>
    <w:bookmarkStart w:id="314" w:name="page315"/>
    <w:bookmarkEnd w:id="3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AISLING CAPITAL IV, L.P.</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Wenzel</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Robert Wenzel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98"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60"/>
          </w:cols>
          <w:pgMar w:left="700" w:top="273" w:right="239" w:bottom="1440" w:gutter="0" w:footer="0" w:header="0"/>
        </w:sectPr>
      </w:pPr>
    </w:p>
    <w:bookmarkStart w:id="315" w:name="page316"/>
    <w:bookmarkEnd w:id="3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LEERINK HOLDINGS LLC</w:t>
      </w:r>
    </w:p>
    <w:p>
      <w:pPr>
        <w:spacing w:after="0" w:line="22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Jim Boylan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Jim Boylan</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LEERINK SWANN CO-INVESTMENT FUND, LLC</w:t>
      </w:r>
    </w:p>
    <w:p>
      <w:pPr>
        <w:spacing w:after="0" w:line="22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Jim Boylan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Jim Boylan</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Manager</w:t>
      </w:r>
    </w:p>
    <w:p>
      <w:pPr>
        <w:spacing w:after="0" w:line="20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40"/>
          </w:cols>
          <w:pgMar w:left="700" w:top="273" w:right="259" w:bottom="1440" w:gutter="0" w:footer="0" w:header="0"/>
        </w:sectPr>
      </w:pPr>
    </w:p>
    <w:bookmarkStart w:id="316" w:name="page317"/>
    <w:bookmarkEnd w:id="31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BRACE PHARMACEUTICALS LLC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Vinzenz Ploerer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Vinzenz Ploerer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pacing w:after="0" w:line="198"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60"/>
          </w:cols>
          <w:pgMar w:left="700" w:top="274" w:right="239" w:bottom="1440" w:gutter="0" w:footer="0" w:header="0"/>
        </w:sectPr>
      </w:pPr>
    </w:p>
    <w:bookmarkStart w:id="317" w:name="page318"/>
    <w:bookmarkEnd w:id="3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MUTUAL FUND SERIES TRUST, ON BEHALF OF</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EVENTIDE HEALTHCARE &amp; LIFE SCIENCES FUND</w:t>
      </w:r>
    </w:p>
    <w:p>
      <w:pPr>
        <w:spacing w:after="0" w:line="211"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Erik Naviloff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Erik Naviloff</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Treasurer</w:t>
      </w:r>
    </w:p>
    <w:p>
      <w:pPr>
        <w:spacing w:after="0" w:line="20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40"/>
          </w:cols>
          <w:pgMar w:left="700" w:top="273" w:right="259" w:bottom="1440" w:gutter="0" w:footer="0" w:header="0"/>
        </w:sectPr>
      </w:pPr>
    </w:p>
    <w:bookmarkStart w:id="318" w:name="page319"/>
    <w:bookmarkEnd w:id="31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BIOMARIN PHARMACEUTICAL INC.</w:t>
      </w:r>
    </w:p>
    <w:p>
      <w:pPr>
        <w:spacing w:after="0" w:line="22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Brinda Balakrishnan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Brinda Balakrishnan</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Group Vice President</w:t>
      </w:r>
    </w:p>
    <w:p>
      <w:pPr>
        <w:spacing w:after="0" w:line="20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40"/>
          </w:cols>
          <w:pgMar w:left="700" w:top="274" w:right="259" w:bottom="1440" w:gutter="0" w:footer="0" w:header="0"/>
        </w:sectPr>
      </w:pPr>
    </w:p>
    <w:bookmarkStart w:id="319" w:name="page320"/>
    <w:bookmarkEnd w:id="3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ALEXANDRIA VENTURE INVESTMENTS, LLC,</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Alexandria Real Estate Equities, Inc., a Maryland</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corporation, its managing member</w:t>
      </w:r>
    </w:p>
    <w:p>
      <w:pPr>
        <w:spacing w:after="0" w:line="211"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Aaron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Aaron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VP - Corporate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28"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40"/>
          </w:cols>
          <w:pgMar w:left="700" w:top="274" w:right="259" w:bottom="1440" w:gutter="0" w:footer="0" w:header="0"/>
        </w:sectPr>
      </w:pPr>
    </w:p>
    <w:bookmarkStart w:id="320" w:name="page321"/>
    <w:bookmarkEnd w:id="32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For and on behalf of</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Morningside Venture Investments Limited</w:t>
      </w:r>
    </w:p>
    <w:p>
      <w:pPr>
        <w:spacing w:after="0" w:line="224" w:lineRule="exact"/>
        <w:rPr>
          <w:sz w:val="20"/>
          <w:szCs w:val="20"/>
          <w:color w:val="auto"/>
        </w:rPr>
      </w:pPr>
    </w:p>
    <w:p>
      <w:pPr>
        <w:ind w:left="6400"/>
        <w:spacing w:after="0"/>
        <w:tabs>
          <w:tab w:leader="none" w:pos="6960" w:val="left"/>
          <w:tab w:leader="none" w:pos="8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Hon Kit Bing</w:t>
      </w:r>
      <w:r>
        <w:rPr>
          <w:sz w:val="20"/>
          <w:szCs w:val="20"/>
          <w:color w:val="auto"/>
        </w:rPr>
        <w:tab/>
      </w:r>
      <w:r>
        <w:rPr>
          <w:rFonts w:ascii="Arial" w:cs="Arial" w:eastAsia="Arial" w:hAnsi="Arial"/>
          <w:sz w:val="17"/>
          <w:szCs w:val="17"/>
          <w:color w:val="auto"/>
        </w:rPr>
        <w:t>/s/ Jill Marie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Hon Kit Bing/Jill Marie Franklin</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Authorized Signatories</w:t>
      </w:r>
    </w:p>
    <w:p>
      <w:pPr>
        <w:spacing w:after="0" w:line="20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40"/>
          </w:cols>
          <w:pgMar w:left="700" w:top="274" w:right="259" w:bottom="1440" w:gutter="0" w:footer="0" w:header="0"/>
        </w:sectPr>
      </w:pPr>
    </w:p>
    <w:bookmarkStart w:id="321" w:name="page322"/>
    <w:bookmarkEnd w:id="3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ATLAS VENTURE FUND X, L.P.</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Atlas Venture Associates X, L.P. Its General Partner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Atlas Venture Associates X, LLC Its General Partner</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Ommer Chohan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Ommer Chohan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98"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60"/>
          </w:cols>
          <w:pgMar w:left="700" w:top="274" w:right="239" w:bottom="1440" w:gutter="0" w:footer="0" w:header="0"/>
        </w:sectPr>
      </w:pPr>
    </w:p>
    <w:bookmarkStart w:id="322" w:name="page323"/>
    <w:bookmarkEnd w:id="3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SV Life Sciences Fund VI, L.P.</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w w:val="93"/>
              </w:rPr>
              <w:t>SV Life Sciences Fund VI (GP), L.P., its sole General</w:t>
            </w:r>
          </w:p>
        </w:tc>
      </w:tr>
      <w:tr>
        <w:trPr>
          <w:trHeight w:val="230"/>
        </w:trPr>
        <w:tc>
          <w:tcPr>
            <w:tcW w:w="58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SVLSF VI, LLC, its sole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Denise W. Marks</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Denise W. Marks</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SVLSF VI, LLC, Member</w:t>
            </w:r>
          </w:p>
        </w:tc>
      </w:tr>
      <w:tr>
        <w:trPr>
          <w:trHeight w:val="20"/>
        </w:trPr>
        <w:tc>
          <w:tcPr>
            <w:tcW w:w="600" w:type="dxa"/>
            <w:vAlign w:val="bottom"/>
            <w:gridSpan w:val="2"/>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r>
      <w:tr>
        <w:trPr>
          <w:trHeight w:val="439"/>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SV Life Sciences Fund VI Strategic Partners, L.P.</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w w:val="93"/>
              </w:rPr>
              <w:t>SV Life Sciences Fund VI (GP), L.P., its sole General</w:t>
            </w:r>
          </w:p>
        </w:tc>
      </w:tr>
      <w:tr>
        <w:trPr>
          <w:trHeight w:val="230"/>
        </w:trPr>
        <w:tc>
          <w:tcPr>
            <w:tcW w:w="58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SVLSF VI, LLC, its sole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Denise W. Marks</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Denise W. Marks</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SVLSF VI, LLC, Member</w:t>
            </w:r>
          </w:p>
        </w:tc>
      </w:tr>
    </w:tbl>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60"/>
          </w:cols>
          <w:pgMar w:left="700" w:top="273" w:right="239" w:bottom="1440" w:gutter="0" w:footer="0" w:header="0"/>
        </w:sectPr>
      </w:pPr>
    </w:p>
    <w:bookmarkStart w:id="323" w:name="page324"/>
    <w:bookmarkEnd w:id="3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written above.</w:t>
      </w:r>
    </w:p>
    <w:p>
      <w:pPr>
        <w:sectPr>
          <w:pgSz w:w="11900" w:h="16838" w:orient="portrait"/>
          <w:cols w:equalWidth="0" w:num="1">
            <w:col w:w="10940"/>
          </w:cols>
          <w:pgMar w:left="700" w:top="273" w:right="259" w:bottom="1440" w:gutter="0" w:footer="0" w:header="0"/>
        </w:sectPr>
      </w:pP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LARUS</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IFESCIENCES</w:t>
      </w:r>
      <w:r>
        <w:rPr>
          <w:rFonts w:ascii="Arial" w:cs="Arial" w:eastAsia="Arial" w:hAnsi="Arial"/>
          <w:sz w:val="18"/>
          <w:szCs w:val="18"/>
          <w:b w:val="1"/>
          <w:bCs w:val="1"/>
          <w:color w:val="auto"/>
        </w:rPr>
        <w:t xml:space="preserve"> III, L.P.</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w:t>
      </w:r>
      <w:r>
        <w:rPr>
          <w:rFonts w:ascii="Arial" w:cs="Arial" w:eastAsia="Arial" w:hAnsi="Arial"/>
          <w:sz w:val="14"/>
          <w:szCs w:val="14"/>
          <w:color w:val="auto"/>
        </w:rPr>
        <w:t>Y ITS</w:t>
      </w:r>
      <w:r>
        <w:rPr>
          <w:rFonts w:ascii="Arial" w:cs="Arial" w:eastAsia="Arial" w:hAnsi="Arial"/>
          <w:sz w:val="17"/>
          <w:szCs w:val="17"/>
          <w:color w:val="auto"/>
        </w:rPr>
        <w:t xml:space="preserve"> G</w:t>
      </w:r>
      <w:r>
        <w:rPr>
          <w:rFonts w:ascii="Arial" w:cs="Arial" w:eastAsia="Arial" w:hAnsi="Arial"/>
          <w:sz w:val="14"/>
          <w:szCs w:val="14"/>
          <w:color w:val="auto"/>
        </w:rPr>
        <w:t>ENERAL</w:t>
      </w:r>
      <w:r>
        <w:rPr>
          <w:rFonts w:ascii="Arial" w:cs="Arial" w:eastAsia="Arial" w:hAnsi="Arial"/>
          <w:sz w:val="17"/>
          <w:szCs w:val="17"/>
          <w:color w:val="auto"/>
        </w:rPr>
        <w:t xml:space="preserve"> P</w:t>
      </w:r>
      <w:r>
        <w:rPr>
          <w:rFonts w:ascii="Arial" w:cs="Arial" w:eastAsia="Arial" w:hAnsi="Arial"/>
          <w:sz w:val="14"/>
          <w:szCs w:val="14"/>
          <w:color w:val="auto"/>
        </w:rPr>
        <w:t>ARTNER</w:t>
      </w:r>
      <w:r>
        <w:rPr>
          <w:rFonts w:ascii="Arial" w:cs="Arial" w:eastAsia="Arial" w:hAnsi="Arial"/>
          <w:sz w:val="17"/>
          <w:szCs w:val="17"/>
          <w:color w:val="auto"/>
        </w:rPr>
        <w:t>, C</w:t>
      </w:r>
      <w:r>
        <w:rPr>
          <w:rFonts w:ascii="Arial" w:cs="Arial" w:eastAsia="Arial" w:hAnsi="Arial"/>
          <w:sz w:val="14"/>
          <w:szCs w:val="14"/>
          <w:color w:val="auto"/>
        </w:rPr>
        <w:t>LARUS</w:t>
      </w:r>
      <w:r>
        <w:rPr>
          <w:rFonts w:ascii="Arial" w:cs="Arial" w:eastAsia="Arial" w:hAnsi="Arial"/>
          <w:sz w:val="17"/>
          <w:szCs w:val="17"/>
          <w:color w:val="auto"/>
        </w:rPr>
        <w:t xml:space="preserve"> V</w:t>
      </w:r>
      <w:r>
        <w:rPr>
          <w:rFonts w:ascii="Arial" w:cs="Arial" w:eastAsia="Arial" w:hAnsi="Arial"/>
          <w:sz w:val="14"/>
          <w:szCs w:val="14"/>
          <w:color w:val="auto"/>
        </w:rPr>
        <w:t>ENTURES</w:t>
      </w:r>
      <w:r>
        <w:rPr>
          <w:rFonts w:ascii="Arial" w:cs="Arial" w:eastAsia="Arial" w:hAnsi="Arial"/>
          <w:sz w:val="17"/>
          <w:szCs w:val="17"/>
          <w:color w:val="auto"/>
        </w:rPr>
        <w:t xml:space="preserve"> III GP, LP</w:t>
      </w:r>
    </w:p>
    <w:p>
      <w:pPr>
        <w:spacing w:after="0" w:line="3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w:t>
      </w:r>
      <w:r>
        <w:rPr>
          <w:rFonts w:ascii="Arial" w:cs="Arial" w:eastAsia="Arial" w:hAnsi="Arial"/>
          <w:sz w:val="14"/>
          <w:szCs w:val="14"/>
          <w:color w:val="auto"/>
        </w:rPr>
        <w:t>Y ITS</w:t>
      </w:r>
      <w:r>
        <w:rPr>
          <w:rFonts w:ascii="Arial" w:cs="Arial" w:eastAsia="Arial" w:hAnsi="Arial"/>
          <w:sz w:val="17"/>
          <w:szCs w:val="17"/>
          <w:color w:val="auto"/>
        </w:rPr>
        <w:t xml:space="preserve"> G</w:t>
      </w:r>
      <w:r>
        <w:rPr>
          <w:rFonts w:ascii="Arial" w:cs="Arial" w:eastAsia="Arial" w:hAnsi="Arial"/>
          <w:sz w:val="14"/>
          <w:szCs w:val="14"/>
          <w:color w:val="auto"/>
        </w:rPr>
        <w:t>ENERAL</w:t>
      </w:r>
      <w:r>
        <w:rPr>
          <w:rFonts w:ascii="Arial" w:cs="Arial" w:eastAsia="Arial" w:hAnsi="Arial"/>
          <w:sz w:val="17"/>
          <w:szCs w:val="17"/>
          <w:color w:val="auto"/>
        </w:rPr>
        <w:t xml:space="preserve"> P</w:t>
      </w:r>
      <w:r>
        <w:rPr>
          <w:rFonts w:ascii="Arial" w:cs="Arial" w:eastAsia="Arial" w:hAnsi="Arial"/>
          <w:sz w:val="14"/>
          <w:szCs w:val="14"/>
          <w:color w:val="auto"/>
        </w:rPr>
        <w:t>ARTNER</w:t>
      </w:r>
      <w:r>
        <w:rPr>
          <w:rFonts w:ascii="Arial" w:cs="Arial" w:eastAsia="Arial" w:hAnsi="Arial"/>
          <w:sz w:val="17"/>
          <w:szCs w:val="17"/>
          <w:color w:val="auto"/>
        </w:rPr>
        <w:t>, C</w:t>
      </w:r>
      <w:r>
        <w:rPr>
          <w:rFonts w:ascii="Arial" w:cs="Arial" w:eastAsia="Arial" w:hAnsi="Arial"/>
          <w:sz w:val="14"/>
          <w:szCs w:val="14"/>
          <w:color w:val="auto"/>
        </w:rPr>
        <w:t>LARUS</w:t>
      </w:r>
      <w:r>
        <w:rPr>
          <w:rFonts w:ascii="Arial" w:cs="Arial" w:eastAsia="Arial" w:hAnsi="Arial"/>
          <w:sz w:val="17"/>
          <w:szCs w:val="17"/>
          <w:color w:val="auto"/>
        </w:rPr>
        <w:t xml:space="preserve"> V</w:t>
      </w:r>
      <w:r>
        <w:rPr>
          <w:rFonts w:ascii="Arial" w:cs="Arial" w:eastAsia="Arial" w:hAnsi="Arial"/>
          <w:sz w:val="14"/>
          <w:szCs w:val="14"/>
          <w:color w:val="auto"/>
        </w:rPr>
        <w:t>ENTURES</w:t>
      </w:r>
      <w:r>
        <w:rPr>
          <w:rFonts w:ascii="Arial" w:cs="Arial" w:eastAsia="Arial" w:hAnsi="Arial"/>
          <w:sz w:val="17"/>
          <w:szCs w:val="17"/>
          <w:color w:val="auto"/>
        </w:rPr>
        <w:t xml:space="preserve"> III, LLC</w:t>
      </w:r>
    </w:p>
    <w:p>
      <w:pPr>
        <w:spacing w:after="0" w:line="2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Scott Requadt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-10160</wp:posOffset>
            </wp:positionV>
            <wp:extent cx="218122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18122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COTT</w:t>
      </w:r>
      <w:r>
        <w:rPr>
          <w:rFonts w:ascii="Arial" w:cs="Arial" w:eastAsia="Arial" w:hAnsi="Arial"/>
          <w:sz w:val="18"/>
          <w:szCs w:val="18"/>
          <w:color w:val="auto"/>
        </w:rPr>
        <w:t xml:space="preserve"> R</w:t>
      </w:r>
      <w:r>
        <w:rPr>
          <w:rFonts w:ascii="Arial" w:cs="Arial" w:eastAsia="Arial" w:hAnsi="Arial"/>
          <w:sz w:val="15"/>
          <w:szCs w:val="15"/>
          <w:color w:val="auto"/>
        </w:rPr>
        <w:t>EQUADT</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ANAGING</w:t>
      </w:r>
      <w:r>
        <w:rPr>
          <w:rFonts w:ascii="Arial" w:cs="Arial" w:eastAsia="Arial" w:hAnsi="Arial"/>
          <w:sz w:val="18"/>
          <w:szCs w:val="18"/>
          <w:color w:val="auto"/>
        </w:rPr>
        <w:t xml:space="preserve"> D</w:t>
      </w:r>
      <w:r>
        <w:rPr>
          <w:rFonts w:ascii="Arial" w:cs="Arial" w:eastAsia="Arial" w:hAnsi="Arial"/>
          <w:sz w:val="15"/>
          <w:szCs w:val="15"/>
          <w:color w:val="auto"/>
        </w:rPr>
        <w:t>IRECTOR</w:t>
      </w:r>
    </w:p>
    <w:p>
      <w:pPr>
        <w:spacing w:after="0" w:line="20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 RESTATED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40"/>
          </w:cols>
          <w:pgMar w:left="700" w:top="273" w:right="259" w:bottom="1440" w:gutter="0" w:footer="0" w:header="0"/>
          <w:type w:val="continuous"/>
        </w:sectPr>
      </w:pPr>
    </w:p>
    <w:bookmarkStart w:id="324" w:name="page325"/>
    <w:bookmarkEnd w:id="324"/>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842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SCHEDULE A</w:t>
            </w:r>
          </w:p>
        </w:tc>
        <w:tc>
          <w:tcPr>
            <w:tcW w:w="162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8420" w:type="dxa"/>
            <w:vAlign w:val="bottom"/>
          </w:tcPr>
          <w:p>
            <w:pPr>
              <w:jc w:val="center"/>
              <w:ind w:left="270"/>
              <w:spacing w:after="0"/>
              <w:rPr>
                <w:sz w:val="20"/>
                <w:szCs w:val="20"/>
                <w:color w:val="auto"/>
              </w:rPr>
            </w:pPr>
            <w:r>
              <w:rPr>
                <w:rFonts w:ascii="Arial" w:cs="Arial" w:eastAsia="Arial" w:hAnsi="Arial"/>
                <w:sz w:val="18"/>
                <w:szCs w:val="18"/>
                <w:b w:val="1"/>
                <w:bCs w:val="1"/>
                <w:color w:val="auto"/>
                <w:w w:val="87"/>
              </w:rPr>
              <w:t>Investors</w:t>
            </w:r>
          </w:p>
        </w:tc>
        <w:tc>
          <w:tcPr>
            <w:tcW w:w="1620" w:type="dxa"/>
            <w:vAlign w:val="bottom"/>
          </w:tcPr>
          <w:p>
            <w:pPr>
              <w:spacing w:after="0"/>
              <w:rPr>
                <w:sz w:val="20"/>
                <w:szCs w:val="20"/>
                <w:color w:val="auto"/>
              </w:rPr>
            </w:pPr>
          </w:p>
        </w:tc>
      </w:tr>
      <w:tr>
        <w:trPr>
          <w:trHeight w:val="452"/>
        </w:trPr>
        <w:tc>
          <w:tcPr>
            <w:tcW w:w="1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Name and Address</w:t>
            </w:r>
          </w:p>
        </w:tc>
        <w:tc>
          <w:tcPr>
            <w:tcW w:w="842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Number of Shares Held</w:t>
            </w:r>
          </w:p>
        </w:tc>
      </w:tr>
      <w:tr>
        <w:trPr>
          <w:trHeight w:val="175"/>
        </w:trPr>
        <w:tc>
          <w:tcPr>
            <w:tcW w:w="9740" w:type="dxa"/>
            <w:vAlign w:val="bottom"/>
            <w:gridSpan w:val="2"/>
          </w:tcPr>
          <w:p>
            <w:pPr>
              <w:spacing w:after="0" w:line="176" w:lineRule="exact"/>
              <w:rPr>
                <w:sz w:val="20"/>
                <w:szCs w:val="20"/>
                <w:color w:val="auto"/>
              </w:rPr>
            </w:pPr>
            <w:r>
              <w:rPr>
                <w:rFonts w:ascii="Arial" w:cs="Arial" w:eastAsia="Arial" w:hAnsi="Arial"/>
                <w:sz w:val="18"/>
                <w:szCs w:val="18"/>
                <w:color w:val="auto"/>
              </w:rPr>
              <w:t>Citadel Multi-Strategy Equities Master Fund Ltd.</w:t>
            </w:r>
          </w:p>
        </w:tc>
        <w:tc>
          <w:tcPr>
            <w:tcW w:w="1620" w:type="dxa"/>
            <w:vAlign w:val="bottom"/>
          </w:tcPr>
          <w:p>
            <w:pPr>
              <w:spacing w:after="0"/>
              <w:rPr>
                <w:sz w:val="15"/>
                <w:szCs w:val="15"/>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c/o Citadel Advisors LLC</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601 Lexington Avenue, New York, New York</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Attention: Noah Goldberg, Senior Deputy General Counsel</w:t>
            </w:r>
          </w:p>
        </w:tc>
        <w:tc>
          <w:tcPr>
            <w:tcW w:w="1620" w:type="dxa"/>
            <w:vAlign w:val="bottom"/>
          </w:tcPr>
          <w:p>
            <w:pPr>
              <w:spacing w:after="0"/>
              <w:rPr>
                <w:sz w:val="18"/>
                <w:szCs w:val="18"/>
                <w:color w:val="auto"/>
              </w:rPr>
            </w:pPr>
          </w:p>
        </w:tc>
      </w:tr>
      <w:tr>
        <w:trPr>
          <w:trHeight w:val="244"/>
        </w:trPr>
        <w:tc>
          <w:tcPr>
            <w:tcW w:w="9740" w:type="dxa"/>
            <w:vAlign w:val="bottom"/>
            <w:gridSpan w:val="2"/>
          </w:tcPr>
          <w:p>
            <w:pPr>
              <w:spacing w:after="0"/>
              <w:rPr>
                <w:sz w:val="20"/>
                <w:szCs w:val="20"/>
                <w:color w:val="auto"/>
              </w:rPr>
            </w:pPr>
            <w:r>
              <w:rPr>
                <w:rFonts w:ascii="Arial" w:cs="Arial" w:eastAsia="Arial" w:hAnsi="Arial"/>
                <w:sz w:val="18"/>
                <w:szCs w:val="18"/>
                <w:color w:val="auto"/>
              </w:rPr>
              <w:t>CitadelAgreementNotice@citadel.com</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5,610,360</w:t>
            </w:r>
          </w:p>
        </w:tc>
      </w:tr>
      <w:tr>
        <w:trPr>
          <w:trHeight w:val="310"/>
        </w:trPr>
        <w:tc>
          <w:tcPr>
            <w:tcW w:w="9740" w:type="dxa"/>
            <w:vAlign w:val="bottom"/>
            <w:gridSpan w:val="2"/>
          </w:tcPr>
          <w:p>
            <w:pPr>
              <w:spacing w:after="0"/>
              <w:rPr>
                <w:sz w:val="20"/>
                <w:szCs w:val="20"/>
                <w:color w:val="auto"/>
              </w:rPr>
            </w:pPr>
            <w:r>
              <w:rPr>
                <w:rFonts w:ascii="Arial" w:cs="Arial" w:eastAsia="Arial" w:hAnsi="Arial"/>
                <w:sz w:val="18"/>
                <w:szCs w:val="18"/>
                <w:color w:val="auto"/>
              </w:rPr>
              <w:t>Cormorant Private Healthcare Fund I, LP</w:t>
            </w:r>
          </w:p>
        </w:tc>
        <w:tc>
          <w:tcPr>
            <w:tcW w:w="1620" w:type="dxa"/>
            <w:vAlign w:val="bottom"/>
          </w:tcPr>
          <w:p>
            <w:pPr>
              <w:spacing w:after="0"/>
              <w:rPr>
                <w:sz w:val="24"/>
                <w:szCs w:val="24"/>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200 Clarendon Street, 52nd Floor</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Boston, MA 02116</w:t>
            </w:r>
          </w:p>
        </w:tc>
        <w:tc>
          <w:tcPr>
            <w:tcW w:w="1620" w:type="dxa"/>
            <w:vAlign w:val="bottom"/>
          </w:tcPr>
          <w:p>
            <w:pPr>
              <w:spacing w:after="0"/>
              <w:rPr>
                <w:sz w:val="18"/>
                <w:szCs w:val="18"/>
                <w:color w:val="auto"/>
              </w:rPr>
            </w:pPr>
          </w:p>
        </w:tc>
      </w:tr>
      <w:tr>
        <w:trPr>
          <w:trHeight w:val="244"/>
        </w:trPr>
        <w:tc>
          <w:tcPr>
            <w:tcW w:w="9740" w:type="dxa"/>
            <w:vAlign w:val="bottom"/>
            <w:gridSpan w:val="2"/>
          </w:tcPr>
          <w:p>
            <w:pPr>
              <w:spacing w:after="0"/>
              <w:rPr>
                <w:sz w:val="20"/>
                <w:szCs w:val="20"/>
                <w:color w:val="auto"/>
              </w:rPr>
            </w:pPr>
            <w:r>
              <w:rPr>
                <w:rFonts w:ascii="Arial" w:cs="Arial" w:eastAsia="Arial" w:hAnsi="Arial"/>
                <w:sz w:val="18"/>
                <w:szCs w:val="18"/>
                <w:color w:val="auto"/>
              </w:rPr>
              <w:t>Attention: Jake Abdolmohammadi</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4,366,543</w:t>
            </w:r>
          </w:p>
        </w:tc>
      </w:tr>
      <w:tr>
        <w:trPr>
          <w:trHeight w:val="310"/>
        </w:trPr>
        <w:tc>
          <w:tcPr>
            <w:tcW w:w="9740" w:type="dxa"/>
            <w:vAlign w:val="bottom"/>
            <w:gridSpan w:val="2"/>
          </w:tcPr>
          <w:p>
            <w:pPr>
              <w:spacing w:after="0"/>
              <w:rPr>
                <w:sz w:val="20"/>
                <w:szCs w:val="20"/>
                <w:color w:val="auto"/>
              </w:rPr>
            </w:pPr>
            <w:r>
              <w:rPr>
                <w:rFonts w:ascii="Arial" w:cs="Arial" w:eastAsia="Arial" w:hAnsi="Arial"/>
                <w:sz w:val="18"/>
                <w:szCs w:val="18"/>
                <w:color w:val="auto"/>
              </w:rPr>
              <w:t>Cormorant Global Healthcare Master Fund, LP</w:t>
            </w:r>
          </w:p>
        </w:tc>
        <w:tc>
          <w:tcPr>
            <w:tcW w:w="1620" w:type="dxa"/>
            <w:vAlign w:val="bottom"/>
          </w:tcPr>
          <w:p>
            <w:pPr>
              <w:spacing w:after="0"/>
              <w:rPr>
                <w:sz w:val="24"/>
                <w:szCs w:val="24"/>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200 Clarendon Street, 52nd Floor</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Boston, MA 02116</w:t>
            </w:r>
          </w:p>
        </w:tc>
        <w:tc>
          <w:tcPr>
            <w:tcW w:w="1620" w:type="dxa"/>
            <w:vAlign w:val="bottom"/>
          </w:tcPr>
          <w:p>
            <w:pPr>
              <w:spacing w:after="0"/>
              <w:rPr>
                <w:sz w:val="18"/>
                <w:szCs w:val="18"/>
                <w:color w:val="auto"/>
              </w:rPr>
            </w:pPr>
          </w:p>
        </w:tc>
      </w:tr>
      <w:tr>
        <w:trPr>
          <w:trHeight w:val="244"/>
        </w:trPr>
        <w:tc>
          <w:tcPr>
            <w:tcW w:w="9740" w:type="dxa"/>
            <w:vAlign w:val="bottom"/>
            <w:gridSpan w:val="2"/>
          </w:tcPr>
          <w:p>
            <w:pPr>
              <w:spacing w:after="0"/>
              <w:rPr>
                <w:sz w:val="20"/>
                <w:szCs w:val="20"/>
                <w:color w:val="auto"/>
              </w:rPr>
            </w:pPr>
            <w:r>
              <w:rPr>
                <w:rFonts w:ascii="Arial" w:cs="Arial" w:eastAsia="Arial" w:hAnsi="Arial"/>
                <w:sz w:val="18"/>
                <w:szCs w:val="18"/>
                <w:color w:val="auto"/>
              </w:rPr>
              <w:t>Attention: Jake Abdolmohammadi</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1,005,938</w:t>
            </w:r>
          </w:p>
        </w:tc>
      </w:tr>
      <w:tr>
        <w:trPr>
          <w:trHeight w:val="310"/>
        </w:trPr>
        <w:tc>
          <w:tcPr>
            <w:tcW w:w="9740" w:type="dxa"/>
            <w:vAlign w:val="bottom"/>
            <w:gridSpan w:val="2"/>
          </w:tcPr>
          <w:p>
            <w:pPr>
              <w:spacing w:after="0"/>
              <w:rPr>
                <w:sz w:val="20"/>
                <w:szCs w:val="20"/>
                <w:color w:val="auto"/>
              </w:rPr>
            </w:pPr>
            <w:r>
              <w:rPr>
                <w:rFonts w:ascii="Arial" w:cs="Arial" w:eastAsia="Arial" w:hAnsi="Arial"/>
                <w:sz w:val="18"/>
                <w:szCs w:val="18"/>
                <w:color w:val="auto"/>
              </w:rPr>
              <w:t>CRMA SPV, L.P.</w:t>
            </w:r>
          </w:p>
        </w:tc>
        <w:tc>
          <w:tcPr>
            <w:tcW w:w="1620" w:type="dxa"/>
            <w:vAlign w:val="bottom"/>
          </w:tcPr>
          <w:p>
            <w:pPr>
              <w:spacing w:after="0"/>
              <w:rPr>
                <w:sz w:val="24"/>
                <w:szCs w:val="24"/>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PO Box 309</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Ugland House</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Grand Cayman</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KY1-1104 Cayman Islands</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Copy to:</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200 Clarendon Street, 52nd Floor</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Boston, MA 02116</w:t>
            </w:r>
          </w:p>
        </w:tc>
        <w:tc>
          <w:tcPr>
            <w:tcW w:w="1620" w:type="dxa"/>
            <w:vAlign w:val="bottom"/>
          </w:tcPr>
          <w:p>
            <w:pPr>
              <w:spacing w:after="0"/>
              <w:rPr>
                <w:sz w:val="18"/>
                <w:szCs w:val="18"/>
                <w:color w:val="auto"/>
              </w:rPr>
            </w:pPr>
          </w:p>
        </w:tc>
      </w:tr>
      <w:tr>
        <w:trPr>
          <w:trHeight w:val="244"/>
        </w:trPr>
        <w:tc>
          <w:tcPr>
            <w:tcW w:w="9740" w:type="dxa"/>
            <w:vAlign w:val="bottom"/>
            <w:gridSpan w:val="2"/>
          </w:tcPr>
          <w:p>
            <w:pPr>
              <w:spacing w:after="0"/>
              <w:rPr>
                <w:sz w:val="20"/>
                <w:szCs w:val="20"/>
                <w:color w:val="auto"/>
              </w:rPr>
            </w:pPr>
            <w:r>
              <w:rPr>
                <w:rFonts w:ascii="Arial" w:cs="Arial" w:eastAsia="Arial" w:hAnsi="Arial"/>
                <w:sz w:val="18"/>
                <w:szCs w:val="18"/>
                <w:color w:val="auto"/>
              </w:rPr>
              <w:t>Attention: Jake Abdolmohammadi</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237,879</w:t>
            </w:r>
          </w:p>
        </w:tc>
      </w:tr>
      <w:tr>
        <w:trPr>
          <w:trHeight w:val="310"/>
        </w:trPr>
        <w:tc>
          <w:tcPr>
            <w:tcW w:w="9740" w:type="dxa"/>
            <w:vAlign w:val="bottom"/>
            <w:gridSpan w:val="2"/>
          </w:tcPr>
          <w:p>
            <w:pPr>
              <w:spacing w:after="0"/>
              <w:rPr>
                <w:sz w:val="20"/>
                <w:szCs w:val="20"/>
                <w:color w:val="auto"/>
              </w:rPr>
            </w:pPr>
            <w:r>
              <w:rPr>
                <w:rFonts w:ascii="Arial" w:cs="Arial" w:eastAsia="Arial" w:hAnsi="Arial"/>
                <w:sz w:val="18"/>
                <w:szCs w:val="18"/>
                <w:color w:val="auto"/>
              </w:rPr>
              <w:t>Aisling Capital IV, L.P.</w:t>
            </w:r>
          </w:p>
        </w:tc>
        <w:tc>
          <w:tcPr>
            <w:tcW w:w="1620" w:type="dxa"/>
            <w:vAlign w:val="bottom"/>
          </w:tcPr>
          <w:p>
            <w:pPr>
              <w:spacing w:after="0"/>
              <w:rPr>
                <w:sz w:val="24"/>
                <w:szCs w:val="24"/>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888 Seventh Avenue, 12th Floor</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New York, NY 10106</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Attn: Drew Schiff and</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Attn: Chief Financial Officer</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Fax: 212 651 6379, with copy to:</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McDermott Will &amp; Emery LLP</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340 Madison Avenue</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New York, NY 10173-1922</w:t>
            </w:r>
          </w:p>
        </w:tc>
        <w:tc>
          <w:tcPr>
            <w:tcW w:w="1620" w:type="dxa"/>
            <w:vAlign w:val="bottom"/>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Attn: Todd Finger</w:t>
            </w:r>
          </w:p>
        </w:tc>
        <w:tc>
          <w:tcPr>
            <w:tcW w:w="1620" w:type="dxa"/>
            <w:vAlign w:val="bottom"/>
          </w:tcPr>
          <w:p>
            <w:pPr>
              <w:spacing w:after="0"/>
              <w:rPr>
                <w:sz w:val="18"/>
                <w:szCs w:val="18"/>
                <w:color w:val="auto"/>
              </w:rPr>
            </w:pPr>
          </w:p>
        </w:tc>
      </w:tr>
      <w:tr>
        <w:trPr>
          <w:trHeight w:val="244"/>
        </w:trPr>
        <w:tc>
          <w:tcPr>
            <w:tcW w:w="9740" w:type="dxa"/>
            <w:vAlign w:val="bottom"/>
            <w:gridSpan w:val="2"/>
          </w:tcPr>
          <w:p>
            <w:pPr>
              <w:spacing w:after="0"/>
              <w:rPr>
                <w:sz w:val="20"/>
                <w:szCs w:val="20"/>
                <w:color w:val="auto"/>
              </w:rPr>
            </w:pPr>
            <w:r>
              <w:rPr>
                <w:rFonts w:ascii="Arial" w:cs="Arial" w:eastAsia="Arial" w:hAnsi="Arial"/>
                <w:sz w:val="18"/>
                <w:szCs w:val="18"/>
                <w:color w:val="auto"/>
              </w:rPr>
              <w:t>Fax: 212 547 5444</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2,805,179</w:t>
            </w:r>
          </w:p>
        </w:tc>
      </w:tr>
      <w:tr>
        <w:trPr>
          <w:trHeight w:val="310"/>
        </w:trPr>
        <w:tc>
          <w:tcPr>
            <w:tcW w:w="9740" w:type="dxa"/>
            <w:vAlign w:val="bottom"/>
            <w:gridSpan w:val="2"/>
          </w:tcPr>
          <w:p>
            <w:pPr>
              <w:spacing w:after="0"/>
              <w:rPr>
                <w:sz w:val="20"/>
                <w:szCs w:val="20"/>
                <w:color w:val="auto"/>
              </w:rPr>
            </w:pPr>
            <w:r>
              <w:rPr>
                <w:rFonts w:ascii="Arial" w:cs="Arial" w:eastAsia="Arial" w:hAnsi="Arial"/>
                <w:sz w:val="18"/>
                <w:szCs w:val="18"/>
                <w:color w:val="auto"/>
              </w:rPr>
              <w:t>Mutual Fund Series Trust, on behalf of Eventide Healthcare &amp; Life Sciences Fund</w:t>
            </w:r>
          </w:p>
        </w:tc>
        <w:tc>
          <w:tcPr>
            <w:tcW w:w="1620" w:type="dxa"/>
            <w:vAlign w:val="bottom"/>
          </w:tcPr>
          <w:p>
            <w:pPr>
              <w:spacing w:after="0"/>
              <w:rPr>
                <w:sz w:val="24"/>
                <w:szCs w:val="24"/>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c/o Finny Kuruvilla, One International Place,</w:t>
            </w:r>
          </w:p>
        </w:tc>
        <w:tc>
          <w:tcPr>
            <w:tcW w:w="1620" w:type="dxa"/>
            <w:vAlign w:val="bottom"/>
          </w:tcPr>
          <w:p>
            <w:pPr>
              <w:spacing w:after="0"/>
              <w:rPr>
                <w:sz w:val="18"/>
                <w:szCs w:val="18"/>
                <w:color w:val="auto"/>
              </w:rPr>
            </w:pPr>
          </w:p>
        </w:tc>
      </w:tr>
      <w:tr>
        <w:trPr>
          <w:trHeight w:val="244"/>
        </w:trPr>
        <w:tc>
          <w:tcPr>
            <w:tcW w:w="9740" w:type="dxa"/>
            <w:vAlign w:val="bottom"/>
            <w:gridSpan w:val="2"/>
          </w:tcPr>
          <w:p>
            <w:pPr>
              <w:spacing w:after="0"/>
              <w:rPr>
                <w:sz w:val="20"/>
                <w:szCs w:val="20"/>
                <w:color w:val="auto"/>
              </w:rPr>
            </w:pPr>
            <w:r>
              <w:rPr>
                <w:rFonts w:ascii="Arial" w:cs="Arial" w:eastAsia="Arial" w:hAnsi="Arial"/>
                <w:sz w:val="18"/>
                <w:szCs w:val="18"/>
                <w:color w:val="auto"/>
              </w:rPr>
              <w:t>Suite 3510, Boston, MA 02110</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2,805,179</w:t>
            </w:r>
          </w:p>
        </w:tc>
      </w:tr>
      <w:tr>
        <w:trPr>
          <w:trHeight w:val="310"/>
        </w:trPr>
        <w:tc>
          <w:tcPr>
            <w:tcW w:w="9740" w:type="dxa"/>
            <w:vAlign w:val="bottom"/>
            <w:gridSpan w:val="2"/>
          </w:tcPr>
          <w:p>
            <w:pPr>
              <w:spacing w:after="0"/>
              <w:rPr>
                <w:sz w:val="20"/>
                <w:szCs w:val="20"/>
                <w:color w:val="auto"/>
              </w:rPr>
            </w:pPr>
            <w:r>
              <w:rPr>
                <w:rFonts w:ascii="Arial" w:cs="Arial" w:eastAsia="Arial" w:hAnsi="Arial"/>
                <w:sz w:val="18"/>
                <w:szCs w:val="18"/>
                <w:color w:val="auto"/>
              </w:rPr>
              <w:t>Brace Pharmaceuticals LLC</w:t>
            </w:r>
          </w:p>
        </w:tc>
        <w:tc>
          <w:tcPr>
            <w:tcW w:w="1620" w:type="dxa"/>
            <w:vAlign w:val="bottom"/>
          </w:tcPr>
          <w:p>
            <w:pPr>
              <w:spacing w:after="0"/>
              <w:rPr>
                <w:sz w:val="24"/>
                <w:szCs w:val="24"/>
                <w:color w:val="auto"/>
              </w:rPr>
            </w:pPr>
          </w:p>
        </w:tc>
      </w:tr>
      <w:tr>
        <w:trPr>
          <w:trHeight w:val="244"/>
        </w:trPr>
        <w:tc>
          <w:tcPr>
            <w:tcW w:w="9740" w:type="dxa"/>
            <w:vAlign w:val="bottom"/>
            <w:gridSpan w:val="2"/>
          </w:tcPr>
          <w:p>
            <w:pPr>
              <w:spacing w:after="0"/>
              <w:rPr>
                <w:sz w:val="20"/>
                <w:szCs w:val="20"/>
                <w:color w:val="auto"/>
              </w:rPr>
            </w:pPr>
            <w:r>
              <w:rPr>
                <w:rFonts w:ascii="Arial" w:cs="Arial" w:eastAsia="Arial" w:hAnsi="Arial"/>
                <w:sz w:val="18"/>
                <w:szCs w:val="18"/>
                <w:color w:val="auto"/>
              </w:rPr>
              <w:t>155 Gibbs Street, Suite 406, Rockville, MD, 20850</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1,402,589</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Morningside Venture Investments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Louise Garbarino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2nd Floor, Le Prince de Galles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 Avenue des Citronniers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 98000, Monaco</w:t>
      </w:r>
    </w:p>
    <w:p>
      <w:pPr>
        <w:spacing w:after="0" w:line="9" w:lineRule="exact"/>
        <w:rPr>
          <w:sz w:val="20"/>
          <w:szCs w:val="20"/>
          <w:color w:val="auto"/>
        </w:rPr>
      </w:pPr>
    </w:p>
    <w:p>
      <w:pPr>
        <w:ind w:left="200" w:hanging="192"/>
        <w:spacing w:after="0"/>
        <w:tabs>
          <w:tab w:leader="none" w:pos="2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011-377-97-97-47-37</w:t>
      </w:r>
    </w:p>
    <w:p>
      <w:pPr>
        <w:spacing w:after="0" w:line="9" w:lineRule="exact"/>
        <w:rPr>
          <w:rFonts w:ascii="Arial" w:cs="Arial" w:eastAsia="Arial" w:hAnsi="Arial"/>
          <w:sz w:val="18"/>
          <w:szCs w:val="18"/>
          <w:color w:val="auto"/>
        </w:rPr>
      </w:pPr>
    </w:p>
    <w:p>
      <w:pPr>
        <w:ind w:right="8520" w:firstLine="8"/>
        <w:spacing w:after="0" w:line="250" w:lineRule="auto"/>
        <w:tabs>
          <w:tab w:leader="none" w:pos="19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011-377-97-97-47-30 </w:t>
      </w:r>
      <w:r>
        <w:rPr>
          <w:rFonts w:ascii="Arial" w:cs="Arial" w:eastAsia="Arial" w:hAnsi="Arial"/>
          <w:sz w:val="18"/>
          <w:szCs w:val="18"/>
          <w:u w:val="single" w:color="auto"/>
          <w:color w:val="auto"/>
        </w:rPr>
        <w:t>lgarbarino@thc-mgt.mc</w:t>
      </w:r>
      <w:r>
        <w:rPr>
          <w:rFonts w:ascii="Arial" w:cs="Arial" w:eastAsia="Arial" w:hAnsi="Arial"/>
          <w:sz w:val="18"/>
          <w:szCs w:val="18"/>
          <w:color w:val="auto"/>
        </w:rPr>
        <w:t xml:space="preserve"> with copies to: 1)McCarthy Legal Services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Attn: Stephanie O’Brien, Esq.</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color w:val="auto"/>
              </w:rPr>
              <w:t>1188 Centre Street</w:t>
            </w:r>
          </w:p>
        </w:tc>
        <w:tc>
          <w:tcPr>
            <w:tcW w:w="5300" w:type="dxa"/>
            <w:vAlign w:val="bottom"/>
          </w:tcPr>
          <w:p>
            <w:pPr>
              <w:jc w:val="right"/>
              <w:spacing w:after="0"/>
              <w:rPr>
                <w:sz w:val="20"/>
                <w:szCs w:val="20"/>
                <w:color w:val="auto"/>
              </w:rPr>
            </w:pPr>
            <w:r>
              <w:rPr>
                <w:rFonts w:ascii="Arial" w:cs="Arial" w:eastAsia="Arial" w:hAnsi="Arial"/>
                <w:sz w:val="18"/>
                <w:szCs w:val="18"/>
                <w:b w:val="1"/>
                <w:bCs w:val="1"/>
                <w:color w:val="auto"/>
              </w:rPr>
              <w:t>935,059</w:t>
            </w:r>
          </w:p>
        </w:tc>
      </w:tr>
    </w:tbl>
    <w:p>
      <w:pPr>
        <w:sectPr>
          <w:pgSz w:w="11900" w:h="16838" w:orient="portrait"/>
          <w:cols w:equalWidth="0" w:num="1">
            <w:col w:w="11360"/>
          </w:cols>
          <w:pgMar w:left="240" w:top="270" w:right="299" w:bottom="1440" w:gutter="0" w:footer="0" w:header="0"/>
        </w:sectPr>
      </w:pPr>
    </w:p>
    <w:bookmarkStart w:id="325" w:name="page326"/>
    <w:bookmarkEnd w:id="3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Newton Centre, MA 02459</w:t>
      </w:r>
    </w:p>
    <w:p>
      <w:pPr>
        <w:spacing w:after="0" w:line="23" w:lineRule="exact"/>
        <w:rPr>
          <w:sz w:val="20"/>
          <w:szCs w:val="20"/>
          <w:color w:val="auto"/>
        </w:rPr>
      </w:pPr>
    </w:p>
    <w:p>
      <w:pPr>
        <w:ind w:left="200" w:hanging="192"/>
        <w:spacing w:after="0"/>
        <w:tabs>
          <w:tab w:leader="none" w:pos="2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(617) 244-2800</w:t>
      </w:r>
    </w:p>
    <w:p>
      <w:pPr>
        <w:spacing w:after="0" w:line="9" w:lineRule="exact"/>
        <w:rPr>
          <w:rFonts w:ascii="Arial" w:cs="Arial" w:eastAsia="Arial" w:hAnsi="Arial"/>
          <w:sz w:val="18"/>
          <w:szCs w:val="18"/>
          <w:color w:val="auto"/>
        </w:rPr>
      </w:pPr>
    </w:p>
    <w:p>
      <w:pPr>
        <w:ind w:right="7160" w:firstLine="8"/>
        <w:spacing w:after="0" w:line="323" w:lineRule="auto"/>
        <w:tabs>
          <w:tab w:leader="none" w:pos="19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(617) 244-2889 </w:t>
      </w:r>
      <w:r>
        <w:rPr>
          <w:rFonts w:ascii="Arial" w:cs="Arial" w:eastAsia="Arial" w:hAnsi="Arial"/>
          <w:sz w:val="16"/>
          <w:szCs w:val="16"/>
          <w:u w:val="single" w:color="auto"/>
          <w:color w:val="auto"/>
        </w:rPr>
        <w:t>obrien@morningsidenewton.com</w:t>
      </w:r>
      <w:r>
        <w:rPr>
          <w:rFonts w:ascii="Arial" w:cs="Arial" w:eastAsia="Arial" w:hAnsi="Arial"/>
          <w:sz w:val="16"/>
          <w:szCs w:val="16"/>
          <w:color w:val="auto"/>
        </w:rPr>
        <w:t>, and</w:t>
      </w:r>
    </w:p>
    <w:p>
      <w:pPr>
        <w:spacing w:after="0" w:line="44" w:lineRule="exact"/>
        <w:rPr>
          <w:sz w:val="20"/>
          <w:szCs w:val="20"/>
          <w:color w:val="auto"/>
        </w:rPr>
      </w:pPr>
    </w:p>
    <w:p>
      <w:pPr>
        <w:ind w:right="6860" w:firstLine="8"/>
        <w:spacing w:after="0" w:line="258" w:lineRule="auto"/>
        <w:tabs>
          <w:tab w:leader="none" w:pos="19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Springfield Financial Advisory Limited Attn: Alice Li/Makim Ma</w:t>
      </w:r>
    </w:p>
    <w:p>
      <w:pPr>
        <w:spacing w:after="0" w:line="1" w:lineRule="exact"/>
        <w:rPr>
          <w:rFonts w:ascii="Arial" w:cs="Arial" w:eastAsia="Arial" w:hAnsi="Arial"/>
          <w:sz w:val="18"/>
          <w:szCs w:val="18"/>
          <w:color w:val="auto"/>
        </w:rPr>
      </w:pPr>
    </w:p>
    <w:p>
      <w:pPr>
        <w:ind w:right="7740"/>
        <w:spacing w:after="0" w:line="265" w:lineRule="auto"/>
        <w:rPr>
          <w:rFonts w:ascii="Arial" w:cs="Arial" w:eastAsia="Arial" w:hAnsi="Arial"/>
          <w:sz w:val="18"/>
          <w:szCs w:val="18"/>
          <w:color w:val="auto"/>
        </w:rPr>
      </w:pPr>
      <w:r>
        <w:rPr>
          <w:rFonts w:ascii="Arial" w:cs="Arial" w:eastAsia="Arial" w:hAnsi="Arial"/>
          <w:sz w:val="17"/>
          <w:szCs w:val="17"/>
          <w:color w:val="auto"/>
        </w:rPr>
        <w:t>22nd Floor Hang Lung Centre 2-20 Paterson Street Causeway Bay, Hong Kong T: 011-852-2576-6800</w:t>
      </w:r>
    </w:p>
    <w:p>
      <w:pPr>
        <w:ind w:right="7980"/>
        <w:spacing w:after="0" w:line="277" w:lineRule="auto"/>
        <w:rPr>
          <w:rFonts w:ascii="Arial" w:cs="Arial" w:eastAsia="Arial" w:hAnsi="Arial"/>
          <w:sz w:val="18"/>
          <w:szCs w:val="18"/>
          <w:color w:val="auto"/>
        </w:rPr>
      </w:pPr>
      <w:r>
        <w:rPr>
          <w:rFonts w:ascii="Arial" w:cs="Arial" w:eastAsia="Arial" w:hAnsi="Arial"/>
          <w:sz w:val="17"/>
          <w:szCs w:val="17"/>
          <w:color w:val="auto"/>
        </w:rPr>
        <w:t xml:space="preserve">F: 011-852-2881-5741 alice.li@springfld.com </w:t>
      </w:r>
      <w:r>
        <w:rPr>
          <w:rFonts w:ascii="Arial" w:cs="Arial" w:eastAsia="Arial" w:hAnsi="Arial"/>
          <w:sz w:val="17"/>
          <w:szCs w:val="17"/>
          <w:u w:val="single" w:color="auto"/>
          <w:color w:val="auto"/>
        </w:rPr>
        <w:t>MakimMa@springfld.com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Leerink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37th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Leerink Swann Co-Investment Fund,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37th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Attention:</w:t>
        <w:tab/>
        <w:t>General Counsel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Atlas Venture Fund X,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400 Technology Square, 10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spacing w:after="0"/>
        <w:tabs>
          <w:tab w:leader="none" w:pos="900" w:val="left"/>
          <w:tab w:leader="none" w:pos="2920" w:val="left"/>
        </w:tabs>
        <w:rPr>
          <w:sz w:val="20"/>
          <w:szCs w:val="20"/>
          <w:color w:val="auto"/>
        </w:rPr>
      </w:pPr>
      <w:r>
        <w:rPr>
          <w:rFonts w:ascii="Arial" w:cs="Arial" w:eastAsia="Arial" w:hAnsi="Arial"/>
          <w:sz w:val="18"/>
          <w:szCs w:val="18"/>
          <w:color w:val="auto"/>
        </w:rPr>
        <w:t>Attention:</w:t>
        <w:tab/>
        <w:t>General Counsel, E-mail:</w:t>
      </w:r>
      <w:r>
        <w:rPr>
          <w:sz w:val="20"/>
          <w:szCs w:val="20"/>
          <w:color w:val="auto"/>
        </w:rPr>
        <w:tab/>
      </w:r>
      <w:r>
        <w:rPr>
          <w:rFonts w:ascii="Arial" w:cs="Arial" w:eastAsia="Arial" w:hAnsi="Arial"/>
          <w:sz w:val="16"/>
          <w:szCs w:val="16"/>
          <w:u w:val="single" w:color="auto"/>
          <w:color w:val="auto"/>
        </w:rPr>
        <w:t>bruce@atlasventure.com</w:t>
      </w:r>
      <w:r>
        <w:rPr>
          <w:rFonts w:ascii="Arial" w:cs="Arial" w:eastAsia="Arial" w:hAnsi="Arial"/>
          <w:sz w:val="16"/>
          <w:szCs w:val="16"/>
          <w:color w:val="auto"/>
        </w:rPr>
        <w:t>, with a copy to</w:t>
      </w:r>
      <w:r>
        <w:rPr>
          <w:rFonts w:ascii="Arial" w:cs="Arial" w:eastAsia="Arial" w:hAnsi="Arial"/>
          <w:sz w:val="16"/>
          <w:szCs w:val="16"/>
          <w:u w:val="single" w:color="auto"/>
          <w:color w:val="auto"/>
        </w:rPr>
        <w:t xml:space="preserve"> ommer@atlasventure.com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SV Life Sciences Fund VI,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Boston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 Washington Street, Suite 3900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Josh Resnick and Denise Marks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jresnick@svhealthinvestors.com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dmarks@svhealthinvestors.com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SV Life Sciences Fund VI Strategic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Boston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 Washington Street, Suite 3900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Josh Resnick and Denise Marks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jresnick@svhealthinvestors.com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dmarks@svhealthinvestors.com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Clarus Lifesciences III,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 Main Street, Suite 1210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Scott Requadt and Rob Liptak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srequadt@clarusfunds.com  rliptak@clarusfunds.com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233,764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233,765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3,740,239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1,808,211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61,908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2,805,179</w:t>
      </w:r>
    </w:p>
    <w:p>
      <w:pPr>
        <w:sectPr>
          <w:pgSz w:w="11900" w:h="16838" w:orient="portrait"/>
          <w:cols w:equalWidth="0" w:num="2">
            <w:col w:w="9920" w:space="720"/>
            <w:col w:w="720"/>
          </w:cols>
          <w:pgMar w:left="240" w:top="274" w:right="299"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Alexandria Venture Investments, LLC</w:t>
            </w:r>
          </w:p>
        </w:tc>
        <w:tc>
          <w:tcPr>
            <w:tcW w:w="410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385 E. Colorado Blvd., Suite 299, Pasadena, CA 91101</w:t>
            </w:r>
          </w:p>
        </w:tc>
        <w:tc>
          <w:tcPr>
            <w:tcW w:w="4100" w:type="dxa"/>
            <w:vAlign w:val="bottom"/>
          </w:tcPr>
          <w:p>
            <w:pPr>
              <w:spacing w:after="0"/>
              <w:rPr>
                <w:sz w:val="18"/>
                <w:szCs w:val="18"/>
                <w:color w:val="auto"/>
              </w:rPr>
            </w:pPr>
          </w:p>
        </w:tc>
      </w:tr>
      <w:tr>
        <w:trPr>
          <w:trHeight w:val="244"/>
        </w:trPr>
        <w:tc>
          <w:tcPr>
            <w:tcW w:w="7260" w:type="dxa"/>
            <w:vAlign w:val="bottom"/>
          </w:tcPr>
          <w:p>
            <w:pPr>
              <w:spacing w:after="0"/>
              <w:rPr>
                <w:sz w:val="20"/>
                <w:szCs w:val="20"/>
                <w:color w:val="auto"/>
              </w:rPr>
            </w:pPr>
            <w:r>
              <w:rPr>
                <w:rFonts w:ascii="Arial" w:cs="Arial" w:eastAsia="Arial" w:hAnsi="Arial"/>
                <w:sz w:val="18"/>
                <w:szCs w:val="18"/>
                <w:color w:val="auto"/>
              </w:rPr>
              <w:t>Attention: Aaron Jacobson</w:t>
            </w:r>
          </w:p>
        </w:tc>
        <w:tc>
          <w:tcPr>
            <w:tcW w:w="4100" w:type="dxa"/>
            <w:vAlign w:val="bottom"/>
          </w:tcPr>
          <w:p>
            <w:pPr>
              <w:jc w:val="center"/>
              <w:ind w:left="3190"/>
              <w:spacing w:after="0"/>
              <w:rPr>
                <w:sz w:val="20"/>
                <w:szCs w:val="20"/>
                <w:color w:val="auto"/>
              </w:rPr>
            </w:pPr>
            <w:r>
              <w:rPr>
                <w:rFonts w:ascii="Arial" w:cs="Arial" w:eastAsia="Arial" w:hAnsi="Arial"/>
                <w:sz w:val="18"/>
                <w:szCs w:val="18"/>
                <w:b w:val="1"/>
                <w:bCs w:val="1"/>
                <w:color w:val="auto"/>
                <w:w w:val="89"/>
              </w:rPr>
              <w:t>233,765</w:t>
            </w:r>
          </w:p>
        </w:tc>
      </w:tr>
      <w:tr>
        <w:trPr>
          <w:trHeight w:val="310"/>
        </w:trPr>
        <w:tc>
          <w:tcPr>
            <w:tcW w:w="7260" w:type="dxa"/>
            <w:vAlign w:val="bottom"/>
          </w:tcPr>
          <w:p>
            <w:pPr>
              <w:spacing w:after="0"/>
              <w:rPr>
                <w:sz w:val="20"/>
                <w:szCs w:val="20"/>
                <w:color w:val="auto"/>
              </w:rPr>
            </w:pPr>
            <w:r>
              <w:rPr>
                <w:rFonts w:ascii="Arial" w:cs="Arial" w:eastAsia="Arial" w:hAnsi="Arial"/>
                <w:sz w:val="18"/>
                <w:szCs w:val="18"/>
                <w:color w:val="auto"/>
              </w:rPr>
              <w:t>BioMarin Pharmaceutical Inc.</w:t>
            </w:r>
          </w:p>
        </w:tc>
        <w:tc>
          <w:tcPr>
            <w:tcW w:w="4100" w:type="dxa"/>
            <w:vAlign w:val="bottom"/>
          </w:tcPr>
          <w:p>
            <w:pPr>
              <w:spacing w:after="0"/>
              <w:rPr>
                <w:sz w:val="24"/>
                <w:szCs w:val="24"/>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105 Digital Drive, Novato, CA 94949</w:t>
            </w:r>
          </w:p>
        </w:tc>
        <w:tc>
          <w:tcPr>
            <w:tcW w:w="4100" w:type="dxa"/>
            <w:vAlign w:val="bottom"/>
          </w:tcPr>
          <w:p>
            <w:pPr>
              <w:spacing w:after="0"/>
              <w:rPr>
                <w:sz w:val="18"/>
                <w:szCs w:val="18"/>
                <w:color w:val="auto"/>
              </w:rPr>
            </w:pPr>
          </w:p>
        </w:tc>
      </w:tr>
      <w:tr>
        <w:trPr>
          <w:trHeight w:val="244"/>
        </w:trPr>
        <w:tc>
          <w:tcPr>
            <w:tcW w:w="7260" w:type="dxa"/>
            <w:vAlign w:val="bottom"/>
          </w:tcPr>
          <w:p>
            <w:pPr>
              <w:spacing w:after="0"/>
              <w:rPr>
                <w:sz w:val="20"/>
                <w:szCs w:val="20"/>
                <w:color w:val="auto"/>
              </w:rPr>
            </w:pPr>
            <w:r>
              <w:rPr>
                <w:rFonts w:ascii="Arial" w:cs="Arial" w:eastAsia="Arial" w:hAnsi="Arial"/>
                <w:sz w:val="18"/>
                <w:szCs w:val="18"/>
                <w:color w:val="auto"/>
              </w:rPr>
              <w:t>Attention: General Counsel</w:t>
            </w:r>
          </w:p>
        </w:tc>
        <w:tc>
          <w:tcPr>
            <w:tcW w:w="4100" w:type="dxa"/>
            <w:vAlign w:val="bottom"/>
          </w:tcPr>
          <w:p>
            <w:pPr>
              <w:jc w:val="center"/>
              <w:ind w:left="3190"/>
              <w:spacing w:after="0"/>
              <w:rPr>
                <w:sz w:val="20"/>
                <w:szCs w:val="20"/>
                <w:color w:val="auto"/>
              </w:rPr>
            </w:pPr>
            <w:r>
              <w:rPr>
                <w:rFonts w:ascii="Arial" w:cs="Arial" w:eastAsia="Arial" w:hAnsi="Arial"/>
                <w:sz w:val="18"/>
                <w:szCs w:val="18"/>
                <w:color w:val="auto"/>
                <w:w w:val="89"/>
              </w:rPr>
              <w:t>233,765</w:t>
            </w:r>
          </w:p>
        </w:tc>
      </w:tr>
      <w:tr>
        <w:trPr>
          <w:trHeight w:val="324"/>
        </w:trPr>
        <w:tc>
          <w:tcPr>
            <w:tcW w:w="7260" w:type="dxa"/>
            <w:vAlign w:val="bottom"/>
          </w:tcPr>
          <w:p>
            <w:pPr>
              <w:ind w:left="360"/>
              <w:spacing w:after="0"/>
              <w:rPr>
                <w:sz w:val="20"/>
                <w:szCs w:val="20"/>
                <w:color w:val="auto"/>
              </w:rPr>
            </w:pPr>
            <w:r>
              <w:rPr>
                <w:rFonts w:ascii="Arial" w:cs="Arial" w:eastAsia="Arial" w:hAnsi="Arial"/>
                <w:sz w:val="18"/>
                <w:szCs w:val="18"/>
                <w:color w:val="auto"/>
              </w:rPr>
              <w:t>TOTAL:</w:t>
            </w:r>
          </w:p>
        </w:tc>
        <w:tc>
          <w:tcPr>
            <w:tcW w:w="4100" w:type="dxa"/>
            <w:vAlign w:val="bottom"/>
          </w:tcPr>
          <w:p>
            <w:pPr>
              <w:jc w:val="center"/>
              <w:ind w:left="3190"/>
              <w:spacing w:after="0"/>
              <w:rPr>
                <w:sz w:val="20"/>
                <w:szCs w:val="20"/>
                <w:color w:val="auto"/>
              </w:rPr>
            </w:pPr>
            <w:r>
              <w:rPr>
                <w:rFonts w:ascii="Arial" w:cs="Arial" w:eastAsia="Arial" w:hAnsi="Arial"/>
                <w:sz w:val="18"/>
                <w:szCs w:val="18"/>
                <w:color w:val="auto"/>
                <w:w w:val="90"/>
              </w:rPr>
              <w:t>28,519,322</w:t>
            </w:r>
          </w:p>
        </w:tc>
      </w:tr>
    </w:tbl>
    <w:p>
      <w:pPr>
        <w:jc w:val="center"/>
        <w:ind w:left="3190"/>
        <w:spacing w:after="0"/>
        <w:rPr>
          <w:sz w:val="20"/>
          <w:szCs w:val="20"/>
          <w:color w:val="auto"/>
        </w:rPr>
        <w:sectPr>
          <w:pgSz w:w="11900" w:h="16838" w:orient="portrait"/>
          <w:cols w:equalWidth="0" w:num="1">
            <w:col w:w="11360"/>
          </w:cols>
          <w:pgMar w:left="240" w:top="274"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27" w:name="page328"/>
    <w:bookmarkEnd w:id="327"/>
    <w:p>
      <w:pPr>
        <w:ind w:left="1058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AVROBIO, Inc., a Delaware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As set forth in Paragraph A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Type/Series of Stock: </w:t>
      </w:r>
      <w:r>
        <w:rPr>
          <w:rFonts w:ascii="Arial" w:cs="Arial" w:eastAsia="Arial" w:hAnsi="Arial"/>
          <w:sz w:val="18"/>
          <w:szCs w:val="18"/>
          <w:color w:val="auto"/>
        </w:rPr>
        <w:t>Series A Preferred Stock, $0.0001 par value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Warrant Price: </w:t>
      </w:r>
      <w:r>
        <w:rPr>
          <w:rFonts w:ascii="Arial" w:cs="Arial" w:eastAsia="Arial" w:hAnsi="Arial"/>
          <w:sz w:val="18"/>
          <w:szCs w:val="18"/>
          <w:color w:val="auto"/>
        </w:rPr>
        <w:t>$0.7949 per Share, subject to adjustment as provided herein</w:t>
      </w:r>
    </w:p>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Issue Date: </w:t>
            </w:r>
            <w:r>
              <w:rPr>
                <w:rFonts w:ascii="Arial" w:cs="Arial" w:eastAsia="Arial" w:hAnsi="Arial"/>
                <w:sz w:val="18"/>
                <w:szCs w:val="18"/>
                <w:color w:val="auto"/>
              </w:rPr>
              <w:t>June 23, 2017</w:t>
            </w:r>
          </w:p>
        </w:tc>
        <w:tc>
          <w:tcPr>
            <w:tcW w:w="1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June 22, 2027</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See also Section 5.1(b).</w:t>
            </w:r>
          </w:p>
        </w:tc>
      </w:tr>
      <w:tr>
        <w:trPr>
          <w:trHeight w:val="194"/>
        </w:trPr>
        <w:tc>
          <w:tcPr>
            <w:tcW w:w="1840" w:type="dxa"/>
            <w:vAlign w:val="bottom"/>
          </w:tcPr>
          <w:p>
            <w:pPr>
              <w:spacing w:after="0" w:line="194" w:lineRule="exact"/>
              <w:rPr>
                <w:sz w:val="20"/>
                <w:szCs w:val="20"/>
                <w:color w:val="auto"/>
              </w:rPr>
            </w:pPr>
            <w:r>
              <w:rPr>
                <w:rFonts w:ascii="Arial" w:cs="Arial" w:eastAsia="Arial" w:hAnsi="Arial"/>
                <w:sz w:val="18"/>
                <w:szCs w:val="18"/>
                <w:b w:val="1"/>
                <w:bCs w:val="1"/>
                <w:color w:val="auto"/>
              </w:rPr>
              <w:t>Credit Facility:</w:t>
            </w:r>
          </w:p>
        </w:tc>
        <w:tc>
          <w:tcPr>
            <w:tcW w:w="9320" w:type="dxa"/>
            <w:vAlign w:val="bottom"/>
            <w:gridSpan w:val="5"/>
          </w:tcPr>
          <w:p>
            <w:pPr>
              <w:spacing w:after="0" w:line="194" w:lineRule="exact"/>
              <w:rPr>
                <w:sz w:val="20"/>
                <w:szCs w:val="20"/>
                <w:color w:val="auto"/>
              </w:rPr>
            </w:pPr>
            <w:r>
              <w:rPr>
                <w:rFonts w:ascii="Arial" w:cs="Arial" w:eastAsia="Arial" w:hAnsi="Arial"/>
                <w:sz w:val="18"/>
                <w:szCs w:val="18"/>
                <w:color w:val="auto"/>
                <w:w w:val="91"/>
              </w:rPr>
              <w:t>This Warrant to Purchase Stock (“</w:t>
            </w:r>
            <w:r>
              <w:rPr>
                <w:rFonts w:ascii="Arial" w:cs="Arial" w:eastAsia="Arial" w:hAnsi="Arial"/>
                <w:sz w:val="18"/>
                <w:szCs w:val="18"/>
                <w:b w:val="1"/>
                <w:bCs w:val="1"/>
                <w:color w:val="auto"/>
                <w:w w:val="91"/>
              </w:rPr>
              <w:t>Warrant</w:t>
            </w:r>
            <w:r>
              <w:rPr>
                <w:rFonts w:ascii="Arial" w:cs="Arial" w:eastAsia="Arial" w:hAnsi="Arial"/>
                <w:sz w:val="18"/>
                <w:szCs w:val="18"/>
                <w:color w:val="auto"/>
                <w:w w:val="91"/>
              </w:rPr>
              <w:t>”) is issued in connection with that certain Loan and Security Agreement of even date</w:t>
            </w:r>
          </w:p>
        </w:tc>
      </w:tr>
      <w:tr>
        <w:trPr>
          <w:trHeight w:val="20"/>
        </w:trPr>
        <w:tc>
          <w:tcPr>
            <w:tcW w:w="18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840" w:type="dxa"/>
            <w:vAlign w:val="bottom"/>
          </w:tcPr>
          <w:p>
            <w:pPr>
              <w:spacing w:after="0"/>
              <w:rPr>
                <w:sz w:val="17"/>
                <w:szCs w:val="17"/>
                <w:color w:val="auto"/>
              </w:rPr>
            </w:pPr>
          </w:p>
        </w:tc>
        <w:tc>
          <w:tcPr>
            <w:tcW w:w="9320" w:type="dxa"/>
            <w:vAlign w:val="bottom"/>
            <w:gridSpan w:val="5"/>
          </w:tcPr>
          <w:p>
            <w:pPr>
              <w:spacing w:after="0" w:line="196" w:lineRule="exact"/>
              <w:rPr>
                <w:sz w:val="20"/>
                <w:szCs w:val="20"/>
                <w:color w:val="auto"/>
              </w:rPr>
            </w:pPr>
            <w:r>
              <w:rPr>
                <w:rFonts w:ascii="Arial" w:cs="Arial" w:eastAsia="Arial" w:hAnsi="Arial"/>
                <w:sz w:val="18"/>
                <w:szCs w:val="18"/>
                <w:color w:val="auto"/>
                <w:w w:val="91"/>
              </w:rPr>
              <w:t>herewith between Silicon Valley Bank and the Company (as amended and/or modified and in effect from time to time, the “</w:t>
            </w:r>
            <w:r>
              <w:rPr>
                <w:rFonts w:ascii="Arial" w:cs="Arial" w:eastAsia="Arial" w:hAnsi="Arial"/>
                <w:sz w:val="18"/>
                <w:szCs w:val="18"/>
                <w:b w:val="1"/>
                <w:bCs w:val="1"/>
                <w:color w:val="auto"/>
                <w:w w:val="91"/>
              </w:rPr>
              <w:t>Loan</w:t>
            </w:r>
          </w:p>
        </w:tc>
      </w:tr>
      <w:tr>
        <w:trPr>
          <w:trHeight w:val="196"/>
        </w:trPr>
        <w:tc>
          <w:tcPr>
            <w:tcW w:w="1840" w:type="dxa"/>
            <w:vAlign w:val="bottom"/>
          </w:tcPr>
          <w:p>
            <w:pPr>
              <w:spacing w:after="0"/>
              <w:rPr>
                <w:sz w:val="17"/>
                <w:szCs w:val="17"/>
                <w:color w:val="auto"/>
              </w:rPr>
            </w:pPr>
          </w:p>
        </w:tc>
        <w:tc>
          <w:tcPr>
            <w:tcW w:w="892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400" w:type="dxa"/>
            <w:vAlign w:val="bottom"/>
            <w:tcBorders>
              <w:top w:val="single" w:sz="8" w:color="auto"/>
            </w:tcBorders>
          </w:tcPr>
          <w:p>
            <w:pPr>
              <w:spacing w:after="0"/>
              <w:rPr>
                <w:sz w:val="17"/>
                <w:szCs w:val="17"/>
                <w:color w:val="auto"/>
              </w:rPr>
            </w:pPr>
          </w:p>
        </w:tc>
      </w:tr>
      <w:tr>
        <w:trPr>
          <w:trHeight w:val="20"/>
        </w:trPr>
        <w:tc>
          <w:tcPr>
            <w:tcW w:w="1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up to such number of fully paid and non-assessable shares of the above-stated Type/Series of Stock (the “</w:t>
      </w:r>
      <w:r>
        <w:rPr>
          <w:rFonts w:ascii="Arial" w:cs="Arial" w:eastAsia="Arial" w:hAnsi="Arial"/>
          <w:sz w:val="18"/>
          <w:szCs w:val="18"/>
          <w:b w:val="1"/>
          <w:bCs w:val="1"/>
          <w:u w:val="single" w:color="auto"/>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as determined pursuant to Paragraph A below,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8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Number of Shares</w:t>
      </w:r>
      <w:r>
        <w:rPr>
          <w:rFonts w:ascii="Arial" w:cs="Arial" w:eastAsia="Arial" w:hAnsi="Arial"/>
          <w:sz w:val="18"/>
          <w:szCs w:val="18"/>
          <w:color w:val="auto"/>
        </w:rPr>
        <w:t>. This Warrant shall be exercisable for the Initial Shares, plus the Additional Shares, if any (collectively, and as may be adjusted from time to time in accordance with the provisions of this Warrant,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w:t>
      </w:r>
    </w:p>
    <w:p>
      <w:pPr>
        <w:spacing w:after="0" w:line="58" w:lineRule="exact"/>
        <w:rPr>
          <w:sz w:val="20"/>
          <w:szCs w:val="20"/>
          <w:color w:val="auto"/>
        </w:rPr>
      </w:pPr>
    </w:p>
    <w:p>
      <w:pPr>
        <w:ind w:right="80" w:firstLine="921"/>
        <w:spacing w:after="0" w:line="282" w:lineRule="auto"/>
        <w:tabs>
          <w:tab w:leader="none" w:pos="1168"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Initial Shares</w:t>
      </w:r>
      <w:r>
        <w:rPr>
          <w:rFonts w:ascii="Arial" w:cs="Arial" w:eastAsia="Arial" w:hAnsi="Arial"/>
          <w:sz w:val="18"/>
          <w:szCs w:val="18"/>
          <w:color w:val="auto"/>
        </w:rPr>
        <w:t>. As used herein, “</w:t>
      </w:r>
      <w:r>
        <w:rPr>
          <w:rFonts w:ascii="Arial" w:cs="Arial" w:eastAsia="Arial" w:hAnsi="Arial"/>
          <w:sz w:val="18"/>
          <w:szCs w:val="18"/>
          <w:b w:val="1"/>
          <w:bCs w:val="1"/>
          <w:u w:val="single" w:color="auto"/>
          <w:color w:val="auto"/>
        </w:rPr>
        <w:t>Initial Shares</w:t>
      </w:r>
      <w:r>
        <w:rPr>
          <w:rFonts w:ascii="Arial" w:cs="Arial" w:eastAsia="Arial" w:hAnsi="Arial"/>
          <w:sz w:val="18"/>
          <w:szCs w:val="18"/>
          <w:color w:val="auto"/>
        </w:rPr>
        <w:t>” means 28,305 shares of the Class, subject to adjustment from time to time in accordance with the provisions of this Warrant.</w:t>
      </w:r>
    </w:p>
    <w:p>
      <w:pPr>
        <w:spacing w:after="0" w:line="57" w:lineRule="exact"/>
        <w:rPr>
          <w:rFonts w:ascii="Arial" w:cs="Arial" w:eastAsia="Arial" w:hAnsi="Arial"/>
          <w:sz w:val="18"/>
          <w:szCs w:val="18"/>
          <w:color w:val="auto"/>
        </w:rPr>
      </w:pPr>
    </w:p>
    <w:p>
      <w:pPr>
        <w:ind w:right="340" w:firstLine="921"/>
        <w:spacing w:after="0" w:line="276" w:lineRule="auto"/>
        <w:tabs>
          <w:tab w:leader="none" w:pos="1168"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Additional Shares</w:t>
      </w:r>
      <w:r>
        <w:rPr>
          <w:rFonts w:ascii="Arial" w:cs="Arial" w:eastAsia="Arial" w:hAnsi="Arial"/>
          <w:sz w:val="17"/>
          <w:szCs w:val="17"/>
          <w:color w:val="auto"/>
        </w:rPr>
        <w:t>. Upon the making of each Term Loan Advance (as defined in the Loan Agreement) to the Company, this Warrant automatically shall become exercisable for such number of additional shares of the Class as shall equal (a) the Additional Shares Pool, multiplied by (b) a fraction, the numerator of which shall equal the amount of such Term Loan Advance and the denominator of which shall equal $10,000,000, subject to adjustment thereafter from time to time in accordance with the provisions of this Warrant. All shares, if any, for which this Warrant becomes exercisable pursuant to this Paragraph A(2) are referred to herein cumulatively as the “</w:t>
      </w:r>
      <w:r>
        <w:rPr>
          <w:rFonts w:ascii="Arial" w:cs="Arial" w:eastAsia="Arial" w:hAnsi="Arial"/>
          <w:sz w:val="17"/>
          <w:szCs w:val="17"/>
          <w:b w:val="1"/>
          <w:bCs w:val="1"/>
          <w:u w:val="single" w:color="auto"/>
          <w:color w:val="auto"/>
        </w:rPr>
        <w:t>Additional Shares</w:t>
      </w:r>
      <w:r>
        <w:rPr>
          <w:rFonts w:ascii="Arial" w:cs="Arial" w:eastAsia="Arial" w:hAnsi="Arial"/>
          <w:sz w:val="17"/>
          <w:szCs w:val="17"/>
          <w:color w:val="auto"/>
        </w:rPr>
        <w:t>.</w:t>
      </w:r>
    </w:p>
    <w:p>
      <w:pPr>
        <w:sectPr>
          <w:pgSz w:w="11900" w:h="16838" w:orient="portrait"/>
          <w:cols w:equalWidth="0" w:num="1">
            <w:col w:w="11420"/>
          </w:cols>
          <w:pgMar w:left="240" w:top="121" w:right="239" w:bottom="1440" w:gutter="0" w:footer="0" w:header="0"/>
        </w:sectPr>
      </w:pPr>
    </w:p>
    <w:bookmarkStart w:id="328" w:name="page329"/>
    <w:bookmarkEnd w:id="328"/>
    <w:p>
      <w:pPr>
        <w:jc w:val="both"/>
        <w:ind w:right="40" w:firstLine="921"/>
        <w:spacing w:after="0" w:line="266" w:lineRule="auto"/>
        <w:tabs>
          <w:tab w:leader="none" w:pos="1168"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Shares Pool</w:t>
      </w:r>
      <w:r>
        <w:rPr>
          <w:rFonts w:ascii="Arial" w:cs="Arial" w:eastAsia="Arial" w:hAnsi="Arial"/>
          <w:sz w:val="18"/>
          <w:szCs w:val="18"/>
          <w:color w:val="auto"/>
        </w:rPr>
        <w:t>. As used herein, “</w:t>
      </w:r>
      <w:r>
        <w:rPr>
          <w:rFonts w:ascii="Arial" w:cs="Arial" w:eastAsia="Arial" w:hAnsi="Arial"/>
          <w:sz w:val="18"/>
          <w:szCs w:val="18"/>
          <w:b w:val="1"/>
          <w:bCs w:val="1"/>
          <w:u w:val="single" w:color="auto"/>
          <w:color w:val="auto"/>
        </w:rPr>
        <w:t>Additional Shares Pool</w:t>
      </w:r>
      <w:r>
        <w:rPr>
          <w:rFonts w:ascii="Arial" w:cs="Arial" w:eastAsia="Arial" w:hAnsi="Arial"/>
          <w:sz w:val="18"/>
          <w:szCs w:val="18"/>
          <w:color w:val="auto"/>
        </w:rPr>
        <w:t>” means 160,397 shares of the Class, as such number may be adjusted from time to time in accordance with the provisions of this Warrant (as if the Additional Shares Pool constituted “Shares” hereunder at all times from and after the Issue Date for such purpose).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Method of Exercise</w:t>
      </w:r>
      <w:r>
        <w:rPr>
          <w:rFonts w:ascii="Arial" w:cs="Arial" w:eastAsia="Arial" w:hAnsi="Arial"/>
          <w:sz w:val="18"/>
          <w:szCs w:val="18"/>
          <w:color w:val="auto"/>
        </w:rPr>
        <w:t>. Holder may, at any time and from time to time through 5:00 PM, Eastern time, on the Expiration Date,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Cashless Exercise</w:t>
      </w:r>
      <w:r>
        <w:rPr>
          <w:rFonts w:ascii="Arial" w:cs="Arial" w:eastAsia="Arial" w:hAnsi="Arial"/>
          <w:sz w:val="17"/>
          <w:szCs w:val="17"/>
          <w:color w:val="auto"/>
        </w:rPr>
        <w:t>. On any exercise of this Warrant, in lieu of payment of the aggregate Warrant Price in the manner as specified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1.1 above, but otherwise in accordance with the requirements of Section 1.1, Holder may elect to receive Shares equal to the value of this Warrant,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hereof as to which this Warrant is being exercised. Thereupon, the Company shall issue to the Holder such number of fully paid and non-assessable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as are computed using the following formula:</w:t>
      </w:r>
    </w:p>
    <w:p>
      <w:pPr>
        <w:spacing w:after="0" w:line="11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400"/>
          </w:cols>
          <w:pgMar w:left="240" w:top="269" w:right="259" w:bottom="1440" w:gutter="0" w:footer="0" w:header="0"/>
        </w:sectPr>
      </w:pPr>
    </w:p>
    <w:p>
      <w:pPr>
        <w:spacing w:after="0" w:line="131"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X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to be issued to the Holder;</w:t>
      </w:r>
    </w:p>
    <w:p>
      <w:pPr>
        <w:spacing w:after="0" w:line="154" w:lineRule="exact"/>
        <w:rPr>
          <w:sz w:val="20"/>
          <w:szCs w:val="20"/>
          <w:color w:val="auto"/>
        </w:rPr>
      </w:pPr>
    </w:p>
    <w:p>
      <w:pPr>
        <w:sectPr>
          <w:pgSz w:w="11900" w:h="16838" w:orient="portrait"/>
          <w:cols w:equalWidth="0" w:num="2">
            <w:col w:w="2100" w:space="640"/>
            <w:col w:w="8660"/>
          </w:cols>
          <w:pgMar w:left="240" w:top="269" w:right="25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Y =</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the number of Shares with respect to which this Warrant is being exercised (inclusive of the Shares surrendered to the Company in payment of the aggregate Warrant Price);</w:t>
      </w:r>
    </w:p>
    <w:p>
      <w:pPr>
        <w:spacing w:after="0" w:line="76" w:lineRule="exact"/>
        <w:rPr>
          <w:sz w:val="20"/>
          <w:szCs w:val="20"/>
          <w:color w:val="auto"/>
        </w:rPr>
      </w:pPr>
    </w:p>
    <w:p>
      <w:pPr>
        <w:sectPr>
          <w:pgSz w:w="11900" w:h="16838" w:orient="portrait"/>
          <w:cols w:equalWidth="0" w:num="2">
            <w:col w:w="2100" w:space="640"/>
            <w:col w:w="8660"/>
          </w:cols>
          <w:pgMar w:left="240" w:top="269" w:right="25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Fair Market Value (as determined pursuant to Section 1.3 below) of one Share; and</w:t>
      </w:r>
    </w:p>
    <w:p>
      <w:pPr>
        <w:spacing w:after="0" w:line="154" w:lineRule="exact"/>
        <w:rPr>
          <w:sz w:val="20"/>
          <w:szCs w:val="20"/>
          <w:color w:val="auto"/>
        </w:rPr>
      </w:pPr>
    </w:p>
    <w:p>
      <w:pPr>
        <w:sectPr>
          <w:pgSz w:w="11900" w:h="16838" w:orient="portrait"/>
          <w:cols w:equalWidth="0" w:num="2">
            <w:col w:w="2100" w:space="640"/>
            <w:col w:w="8660"/>
          </w:cols>
          <w:pgMar w:left="240" w:top="269" w:right="25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Warrant Price.</w:t>
      </w:r>
    </w:p>
    <w:p>
      <w:pPr>
        <w:spacing w:after="0" w:line="140" w:lineRule="exact"/>
        <w:rPr>
          <w:sz w:val="20"/>
          <w:szCs w:val="20"/>
          <w:color w:val="auto"/>
        </w:rPr>
      </w:pPr>
    </w:p>
    <w:p>
      <w:pPr>
        <w:sectPr>
          <w:pgSz w:w="11900" w:h="16838" w:orient="portrait"/>
          <w:cols w:equalWidth="0" w:num="2">
            <w:col w:w="2100" w:space="640"/>
            <w:col w:w="8660"/>
          </w:cols>
          <w:pgMar w:left="240" w:top="269" w:right="259" w:bottom="1440" w:gutter="0" w:footer="0" w:header="0"/>
          <w:type w:val="continuous"/>
        </w:sectPr>
      </w:pPr>
    </w:p>
    <w:p>
      <w:pPr>
        <w:ind w:right="40" w:firstLine="913"/>
        <w:spacing w:after="0" w:line="290"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u w:val="single" w:color="auto"/>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69" w:right="259" w:bottom="1440" w:gutter="0" w:footer="0" w:header="0"/>
          <w:type w:val="continuous"/>
        </w:sectPr>
      </w:pPr>
    </w:p>
    <w:bookmarkStart w:id="329" w:name="page330"/>
    <w:bookmarkEnd w:id="329"/>
    <w:p>
      <w:pPr>
        <w:jc w:val="both"/>
        <w:ind w:right="10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73"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113" w:lineRule="exact"/>
        <w:rPr>
          <w:sz w:val="20"/>
          <w:szCs w:val="20"/>
          <w:color w:val="auto"/>
        </w:rPr>
      </w:pPr>
    </w:p>
    <w:p>
      <w:pPr>
        <w:ind w:right="180" w:firstLine="921"/>
        <w:spacing w:after="0" w:line="291" w:lineRule="auto"/>
        <w:tabs>
          <w:tab w:leader="none" w:pos="1157"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u w:val="single" w:color="auto"/>
          <w:color w:val="auto"/>
        </w:rPr>
        <w:t>Acquisition</w:t>
      </w:r>
      <w:r>
        <w:rPr>
          <w:rFonts w:ascii="Arial" w:cs="Arial" w:eastAsia="Arial" w:hAnsi="Arial"/>
          <w:sz w:val="16"/>
          <w:szCs w:val="16"/>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56" w:lineRule="exact"/>
        <w:rPr>
          <w:rFonts w:ascii="Arial" w:cs="Arial" w:eastAsia="Arial" w:hAnsi="Arial"/>
          <w:sz w:val="16"/>
          <w:szCs w:val="16"/>
          <w:color w:val="auto"/>
        </w:rPr>
      </w:pPr>
    </w:p>
    <w:p>
      <w:pPr>
        <w:ind w:firstLine="921"/>
        <w:spacing w:after="0" w:line="270" w:lineRule="auto"/>
        <w:tabs>
          <w:tab w:leader="none" w:pos="1168"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Treatment of Warrant at Acquisition</w:t>
      </w:r>
      <w:r>
        <w:rPr>
          <w:rFonts w:ascii="Arial" w:cs="Arial" w:eastAsia="Arial" w:hAnsi="Arial"/>
          <w:sz w:val="17"/>
          <w:szCs w:val="17"/>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7"/>
          <w:szCs w:val="17"/>
          <w:b w:val="1"/>
          <w:bCs w:val="1"/>
          <w:u w:val="single" w:color="auto"/>
          <w:color w:val="auto"/>
        </w:rPr>
        <w:t>Cash/Public Acquisition</w:t>
      </w:r>
      <w:r>
        <w:rPr>
          <w:rFonts w:ascii="Arial" w:cs="Arial" w:eastAsia="Arial" w:hAnsi="Arial"/>
          <w:sz w:val="17"/>
          <w:szCs w:val="17"/>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of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69" w:lineRule="exact"/>
        <w:rPr>
          <w:rFonts w:ascii="Arial" w:cs="Arial" w:eastAsia="Arial" w:hAnsi="Arial"/>
          <w:sz w:val="17"/>
          <w:szCs w:val="17"/>
          <w:color w:val="auto"/>
        </w:rPr>
      </w:pPr>
    </w:p>
    <w:p>
      <w:pPr>
        <w:ind w:right="400" w:firstLine="921"/>
        <w:spacing w:after="0" w:line="279" w:lineRule="auto"/>
        <w:tabs>
          <w:tab w:leader="none" w:pos="1158" w:val="left"/>
        </w:tabs>
        <w:numPr>
          <w:ilvl w:val="0"/>
          <w:numId w:val="219"/>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30" w:name="page331"/>
    <w:bookmarkEnd w:id="330"/>
    <w:p>
      <w:pPr>
        <w:ind w:right="60" w:firstLine="921"/>
        <w:spacing w:after="0" w:line="272" w:lineRule="auto"/>
        <w:tabs>
          <w:tab w:leader="none" w:pos="1168" w:val="left"/>
        </w:tabs>
        <w:numPr>
          <w:ilvl w:val="0"/>
          <w:numId w:val="2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used in this Warrant, “</w:t>
      </w:r>
      <w:r>
        <w:rPr>
          <w:rFonts w:ascii="Arial" w:cs="Arial" w:eastAsia="Arial" w:hAnsi="Arial"/>
          <w:sz w:val="17"/>
          <w:szCs w:val="17"/>
          <w:b w:val="1"/>
          <w:bCs w:val="1"/>
          <w:u w:val="single" w:color="auto"/>
          <w:color w:val="auto"/>
        </w:rPr>
        <w:t>Marketable Securities</w:t>
      </w:r>
      <w:r>
        <w:rPr>
          <w:rFonts w:ascii="Arial" w:cs="Arial" w:eastAsia="Arial" w:hAnsi="Arial"/>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68"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Certain Agreements</w:t>
      </w:r>
      <w:r>
        <w:rPr>
          <w:rFonts w:ascii="Arial" w:cs="Arial" w:eastAsia="Arial" w:hAnsi="Arial"/>
          <w:sz w:val="17"/>
          <w:szCs w:val="17"/>
          <w:color w:val="auto"/>
        </w:rPr>
        <w:t>. Following any exercise of this Warrant and solely with respect to the Shares issued thereupon (and the shares of Common Stock, if any, issued upon conversion of such Shares), Holder shall, if the Company so requests in writing, become a party to, by execution and delivery to the Company of a counterpart signature page, joinder agreement, instrument of accession or similar instrument, the Company’s then-effective investor rights agreement, stockholders agreement and/or each other agreement entered into among the Company and the holders of the outstanding shares of the Class, in each case only if (i) all holders of outstanding shares of the Class are then parties thereto, and (ii) such agreement is then by its terms in force and effect. Provided that the conditions described in the foregoing clauses (i) and (ii) are met as to any such agreement at the time of any exercise of this Warrant, Holder shall, effective upon such exercise, automatically become bound by, and the Shares issued upon such exercise (and the shares of Common Stock, if any, issuable upon conversion of such Shares), automatically become subject to, such agreement.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7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331" w:name="page332"/>
    <w:bookmarkEnd w:id="331"/>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6"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u w:val="single" w:color="auto"/>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Adjustments for Diluting Issuances</w:t>
      </w:r>
      <w:r>
        <w:rPr>
          <w:rFonts w:ascii="Arial" w:cs="Arial" w:eastAsia="Arial" w:hAnsi="Arial"/>
          <w:sz w:val="18"/>
          <w:szCs w:val="18"/>
          <w:color w:val="auto"/>
        </w:rPr>
        <w:t>. Without duplication of any adjustment otherwise provided for in this Section 2, the number of shares of common stock issuable upon conversion of the Shares shall be subject to the same anti-dilution adjustments, if any, made to the outstanding shares of the Class from time to time in the manner set forth in the Company’s Certificate of Incorporation as if the Shares were issued and outstanding on and as of the date of any such required adjustment.</w:t>
      </w:r>
    </w:p>
    <w:p>
      <w:pPr>
        <w:spacing w:after="0" w:line="79"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79"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117" w:lineRule="exact"/>
        <w:rPr>
          <w:sz w:val="20"/>
          <w:szCs w:val="20"/>
          <w:color w:val="auto"/>
        </w:rPr>
      </w:pPr>
    </w:p>
    <w:p>
      <w:pPr>
        <w:ind w:right="420" w:firstLine="1492"/>
        <w:spacing w:after="0" w:line="342" w:lineRule="auto"/>
        <w:tabs>
          <w:tab w:leader="none" w:pos="1728"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32" w:name="page333"/>
    <w:bookmarkEnd w:id="332"/>
    <w:p>
      <w:pPr>
        <w:ind w:right="140" w:firstLine="1492"/>
        <w:spacing w:after="0" w:line="297" w:lineRule="auto"/>
        <w:tabs>
          <w:tab w:leader="none" w:pos="1738" w:val="left"/>
        </w:tabs>
        <w:numPr>
          <w:ilvl w:val="0"/>
          <w:numId w:val="2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5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(c)The Company’s capitalization table attached hereto as Schedule 1 is true and complete, in all material respects, as of the Issue Date.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117" w:lineRule="exact"/>
        <w:rPr>
          <w:sz w:val="20"/>
          <w:szCs w:val="20"/>
          <w:color w:val="auto"/>
        </w:rPr>
      </w:pPr>
    </w:p>
    <w:p>
      <w:pPr>
        <w:ind w:right="200" w:firstLine="1492"/>
        <w:spacing w:after="0" w:line="277" w:lineRule="auto"/>
        <w:tabs>
          <w:tab w:leader="none" w:pos="172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62" w:lineRule="exact"/>
        <w:rPr>
          <w:rFonts w:ascii="Arial" w:cs="Arial" w:eastAsia="Arial" w:hAnsi="Arial"/>
          <w:sz w:val="18"/>
          <w:szCs w:val="18"/>
          <w:color w:val="auto"/>
        </w:rPr>
      </w:pPr>
    </w:p>
    <w:p>
      <w:pPr>
        <w:ind w:right="100" w:firstLine="1492"/>
        <w:spacing w:after="0" w:line="277" w:lineRule="auto"/>
        <w:tabs>
          <w:tab w:leader="none" w:pos="173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62" w:lineRule="exact"/>
        <w:rPr>
          <w:rFonts w:ascii="Arial" w:cs="Arial" w:eastAsia="Arial" w:hAnsi="Arial"/>
          <w:sz w:val="18"/>
          <w:szCs w:val="18"/>
          <w:color w:val="auto"/>
        </w:rPr>
      </w:pPr>
    </w:p>
    <w:p>
      <w:pPr>
        <w:ind w:left="1740" w:hanging="248"/>
        <w:spacing w:after="0"/>
        <w:tabs>
          <w:tab w:leader="none" w:pos="174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w:t>
      </w:r>
    </w:p>
    <w:p>
      <w:pPr>
        <w:spacing w:after="0" w:line="102" w:lineRule="exact"/>
        <w:rPr>
          <w:rFonts w:ascii="Arial" w:cs="Arial" w:eastAsia="Arial" w:hAnsi="Arial"/>
          <w:sz w:val="16"/>
          <w:szCs w:val="16"/>
          <w:color w:val="auto"/>
        </w:rPr>
      </w:pPr>
    </w:p>
    <w:p>
      <w:pPr>
        <w:ind w:left="1740" w:hanging="248"/>
        <w:spacing w:after="0"/>
        <w:tabs>
          <w:tab w:leader="none" w:pos="17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117" w:lineRule="exact"/>
        <w:rPr>
          <w:sz w:val="20"/>
          <w:szCs w:val="20"/>
          <w:color w:val="auto"/>
        </w:rPr>
      </w:pPr>
    </w:p>
    <w:p>
      <w:pPr>
        <w:ind w:left="920" w:right="80" w:firstLine="421"/>
        <w:spacing w:after="0" w:line="286" w:lineRule="auto"/>
        <w:tabs>
          <w:tab w:leader="none" w:pos="1595"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Class will be entitled thereto) or for determining rights to vote, if any;</w:t>
      </w:r>
    </w:p>
    <w:p>
      <w:pPr>
        <w:spacing w:after="0" w:line="57" w:lineRule="exact"/>
        <w:rPr>
          <w:rFonts w:ascii="Arial" w:cs="Arial" w:eastAsia="Arial" w:hAnsi="Arial"/>
          <w:sz w:val="17"/>
          <w:szCs w:val="17"/>
          <w:color w:val="auto"/>
        </w:rPr>
      </w:pPr>
    </w:p>
    <w:p>
      <w:pPr>
        <w:ind w:left="920" w:firstLine="421"/>
        <w:spacing w:after="0" w:line="279" w:lineRule="auto"/>
        <w:tabs>
          <w:tab w:leader="none" w:pos="1595"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63" w:lineRule="exact"/>
        <w:rPr>
          <w:rFonts w:ascii="Arial" w:cs="Arial" w:eastAsia="Arial" w:hAnsi="Arial"/>
          <w:sz w:val="17"/>
          <w:szCs w:val="17"/>
          <w:color w:val="auto"/>
        </w:rPr>
      </w:pPr>
    </w:p>
    <w:p>
      <w:pPr>
        <w:ind w:left="920" w:right="380" w:firstLine="421"/>
        <w:spacing w:after="0" w:line="277" w:lineRule="auto"/>
        <w:tabs>
          <w:tab w:leader="none" w:pos="159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3" w:right="299" w:bottom="1440" w:gutter="0" w:footer="0" w:header="0"/>
        </w:sectPr>
      </w:pPr>
    </w:p>
    <w:bookmarkStart w:id="333" w:name="page334"/>
    <w:bookmarkEnd w:id="333"/>
    <w:p>
      <w:pPr>
        <w:ind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also provide information requested by Holder that is reasonably necessary to enable Holder to comply with Holder’s accounting or reporting requirements.</w:t>
      </w:r>
    </w:p>
    <w:p>
      <w:pPr>
        <w:spacing w:after="0" w:line="387"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xml:space="preserve">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73"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xml:space="preserve">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5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Investment Experience.</w:t>
      </w:r>
      <w:r>
        <w:rPr>
          <w:rFonts w:ascii="Arial" w:cs="Arial" w:eastAsia="Arial" w:hAnsi="Arial"/>
          <w:sz w:val="18"/>
          <w:szCs w:val="18"/>
          <w:color w:val="auto"/>
        </w:rPr>
        <w:t xml:space="preserve">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xml:space="preserve"> Holder is an “accredited investor” within the meaning of Regulation D promulgated under the Act.</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xml:space="preserve">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80"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and the securities issuable, directly or indirectly, upon conversion of the Shares, if any, shall be subject to the Market Standoff provisions in Section 2.11 of the Company’s Amended and Restated Investor Rights Agreement, dated as of July 21, 2016, as amended and/or restated and in effect from time to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3" w:right="259" w:bottom="1440" w:gutter="0" w:footer="0" w:header="0"/>
        </w:sectPr>
      </w:pPr>
    </w:p>
    <w:bookmarkStart w:id="334" w:name="page335"/>
    <w:bookmarkEnd w:id="334"/>
    <w:p>
      <w:pPr>
        <w:ind w:right="2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4.7 </w:t>
      </w:r>
      <w:r>
        <w:rPr>
          <w:rFonts w:ascii="Arial" w:cs="Arial" w:eastAsia="Arial" w:hAnsi="Arial"/>
          <w:sz w:val="18"/>
          <w:szCs w:val="18"/>
          <w:u w:val="single" w:color="auto"/>
          <w:color w:val="auto"/>
        </w:rPr>
        <w:t>No Shareholder Rights</w:t>
      </w:r>
      <w:r>
        <w:rPr>
          <w:rFonts w:ascii="Arial" w:cs="Arial" w:eastAsia="Arial" w:hAnsi="Arial"/>
          <w:sz w:val="18"/>
          <w:szCs w:val="18"/>
          <w:color w:val="auto"/>
        </w:rPr>
        <w:t>. Without limiting any provision of this Warrant, Holder agrees that as a Holder of this Warrant it will not have any rights (including, but not limited to, voting rights) as a shareholder of the Company with respect to the Shares issuable hereunder unless and until the exercise of this Warrant and then only with respect to the Shares issued on such exercise.</w:t>
      </w:r>
    </w:p>
    <w:p>
      <w:pPr>
        <w:spacing w:after="0" w:line="39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SECTION 5. MISCELLANEOUS.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Automatic Cashless Exercise Upon Expiration</w:t>
      </w:r>
      <w:r>
        <w:rPr>
          <w:rFonts w:ascii="Arial" w:cs="Arial" w:eastAsia="Arial" w:hAnsi="Arial"/>
          <w:sz w:val="18"/>
          <w:szCs w:val="18"/>
          <w:color w:val="auto"/>
        </w:rPr>
        <w:t>.</w:t>
      </w:r>
    </w:p>
    <w:p>
      <w:pPr>
        <w:spacing w:after="0" w:line="117" w:lineRule="exact"/>
        <w:rPr>
          <w:sz w:val="20"/>
          <w:szCs w:val="20"/>
          <w:color w:val="auto"/>
        </w:rPr>
      </w:pPr>
    </w:p>
    <w:p>
      <w:pPr>
        <w:ind w:right="220" w:firstLine="921"/>
        <w:spacing w:after="0" w:line="277" w:lineRule="auto"/>
        <w:tabs>
          <w:tab w:leader="none" w:pos="1157"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62" w:lineRule="exact"/>
        <w:rPr>
          <w:rFonts w:ascii="Arial" w:cs="Arial" w:eastAsia="Arial" w:hAnsi="Arial"/>
          <w:sz w:val="18"/>
          <w:szCs w:val="18"/>
          <w:color w:val="auto"/>
        </w:rPr>
      </w:pPr>
    </w:p>
    <w:p>
      <w:pPr>
        <w:ind w:firstLine="921"/>
        <w:spacing w:after="0" w:line="257" w:lineRule="auto"/>
        <w:tabs>
          <w:tab w:leader="none" w:pos="1168"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8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evidencing Shares (and each certificate evidencing securities issued upon conversion of any Shares, if any) shall be imprinted with a legend in substantially the following form:</w:t>
      </w:r>
    </w:p>
    <w:p>
      <w:pPr>
        <w:spacing w:after="0" w:line="62"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THAT CERTAIN WARRANT TO PURCHASE STOCK ISSUED BY THE ISSUER TO SILICON VALLEY BANK DATED JUNE __, 2017,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85"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335" w:name="page336"/>
    <w:bookmarkEnd w:id="335"/>
    <w:p>
      <w:pPr>
        <w:ind w:right="40" w:firstLine="91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xml:space="preserve">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issued upon exercise of this Warrant (or the securities issued upon conversion of the Shares, if any) to any transferee, provided, however, in connection with any such transfer, SVB Financial Group or any subsequent Holder will give the Company notice of the portion of the Warrant and/or Shares (and/or securities issued upon conversion of the Shares, if any)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8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from the Company to the Holder, or vice versa, shall be deemed delivered and effective (i) when given personally, (ii) on the third (3</w:t>
      </w:r>
      <w:r>
        <w:rPr>
          <w:rFonts w:ascii="Arial" w:cs="Arial" w:eastAsia="Arial" w:hAnsi="Arial"/>
          <w:sz w:val="14"/>
          <w:szCs w:val="14"/>
          <w:color w:val="auto"/>
        </w:rPr>
        <w:t>rd</w:t>
      </w:r>
      <w:r>
        <w:rPr>
          <w:rFonts w:ascii="Arial" w:cs="Arial" w:eastAsia="Arial" w:hAnsi="Arial"/>
          <w:sz w:val="17"/>
          <w:szCs w:val="17"/>
          <w:color w:val="auto"/>
        </w:rPr>
        <w:t>)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3003 Tasman Drive, HC 215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(408) 654-7400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(408) 988-8317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Email address: </w:t>
      </w:r>
      <w:r>
        <w:rPr>
          <w:rFonts w:ascii="Arial" w:cs="Arial" w:eastAsia="Arial" w:hAnsi="Arial"/>
          <w:sz w:val="18"/>
          <w:szCs w:val="18"/>
          <w:u w:val="single" w:color="auto"/>
          <w:color w:val="auto"/>
        </w:rPr>
        <w:t>derivatives@svb.com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400 Technology Square, Suite 101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(617) 914-8403</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geoff.mackay@avrobio.com</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336" w:name="page337"/>
    <w:bookmarkEnd w:id="336"/>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Arthur McGivern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(617) 570-1971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(617) 523-1231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AMcGivern@goodwinlaw.com</w:t>
      </w:r>
    </w:p>
    <w:p>
      <w:pPr>
        <w:spacing w:after="0" w:line="103"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73" w:lineRule="exact"/>
        <w:rPr>
          <w:sz w:val="20"/>
          <w:szCs w:val="20"/>
          <w:color w:val="auto"/>
        </w:rPr>
      </w:pPr>
    </w:p>
    <w:p>
      <w:pPr>
        <w:ind w:right="140" w:firstLine="913"/>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3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73"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Commonwealth of Massachusetts, without giving effect to its principles regarding conflicts of law.</w:t>
      </w:r>
    </w:p>
    <w:p>
      <w:pPr>
        <w:spacing w:after="0" w:line="62"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is any day that is not a Saturday, Sunday or a day on which Silicon Valley Bank is closed.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left blank intentionally]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337" w:name="page338"/>
    <w:bookmarkEnd w:id="337"/>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Geoffrey MacKay</w:t>
            </w:r>
          </w:p>
        </w:tc>
      </w:tr>
      <w:tr>
        <w:trPr>
          <w:trHeight w:val="210"/>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Borders>
              <w:top w:val="single" w:sz="8" w:color="auto"/>
            </w:tcBorders>
          </w:tcPr>
          <w:p>
            <w:pPr>
              <w:spacing w:after="0"/>
              <w:rPr>
                <w:sz w:val="18"/>
                <w:szCs w:val="18"/>
                <w:color w:val="auto"/>
              </w:rPr>
            </w:pPr>
          </w:p>
        </w:tc>
        <w:tc>
          <w:tcPr>
            <w:tcW w:w="3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Geoffrey MacKay</w:t>
            </w:r>
          </w:p>
        </w:tc>
      </w:tr>
      <w:tr>
        <w:trPr>
          <w:trHeight w:val="209"/>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(Print)</w:t>
            </w:r>
          </w:p>
        </w:tc>
      </w:t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and CEO, Treasurer and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Thomas C. Kelly</w:t>
            </w:r>
          </w:p>
        </w:tc>
      </w:tr>
      <w:tr>
        <w:trPr>
          <w:trHeight w:val="210"/>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Borders>
              <w:top w:val="single" w:sz="8" w:color="auto"/>
            </w:tcBorders>
          </w:tcPr>
          <w:p>
            <w:pPr>
              <w:spacing w:after="0"/>
              <w:rPr>
                <w:sz w:val="18"/>
                <w:szCs w:val="18"/>
                <w:color w:val="auto"/>
              </w:rPr>
            </w:pPr>
          </w:p>
        </w:tc>
        <w:tc>
          <w:tcPr>
            <w:tcW w:w="3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Thomas C. Kelly</w:t>
            </w:r>
          </w:p>
        </w:tc>
      </w:tr>
      <w:tr>
        <w:trPr>
          <w:trHeight w:val="209"/>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(Print)</w:t>
            </w:r>
          </w:p>
        </w:tc>
      </w:t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273" w:right="419" w:bottom="1440" w:gutter="0" w:footer="0" w:header="0"/>
        </w:sectPr>
      </w:pPr>
    </w:p>
    <w:bookmarkStart w:id="338" w:name="page339"/>
    <w:bookmarkEnd w:id="338"/>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NOTICE OF EXERCISE</w:t>
      </w:r>
    </w:p>
    <w:p>
      <w:pPr>
        <w:spacing w:after="0" w:line="225" w:lineRule="exact"/>
        <w:rPr>
          <w:sz w:val="20"/>
          <w:szCs w:val="20"/>
          <w:color w:val="auto"/>
        </w:rPr>
      </w:pPr>
    </w:p>
    <w:p>
      <w:pPr>
        <w:ind w:left="460"/>
        <w:spacing w:after="0"/>
        <w:tabs>
          <w:tab w:leader="none" w:pos="6060" w:val="left"/>
          <w:tab w:leader="none" w:pos="8820" w:val="left"/>
        </w:tabs>
        <w:rPr>
          <w:sz w:val="20"/>
          <w:szCs w:val="20"/>
          <w:color w:val="auto"/>
        </w:rPr>
      </w:pPr>
      <w:r>
        <w:rPr>
          <w:rFonts w:ascii="Arial" w:cs="Arial" w:eastAsia="Arial" w:hAnsi="Arial"/>
          <w:sz w:val="18"/>
          <w:szCs w:val="18"/>
          <w:color w:val="auto"/>
        </w:rPr>
        <w:t>1. The undersigned Holder hereby exercises its right to purchase</w:t>
      </w:r>
      <w:r>
        <w:rPr>
          <w:sz w:val="20"/>
          <w:szCs w:val="20"/>
          <w:color w:val="auto"/>
        </w:rPr>
        <w:tab/>
      </w:r>
      <w:r>
        <w:rPr>
          <w:rFonts w:ascii="Arial" w:cs="Arial" w:eastAsia="Arial" w:hAnsi="Arial"/>
          <w:sz w:val="18"/>
          <w:szCs w:val="18"/>
          <w:color w:val="auto"/>
        </w:rPr>
        <w:t>shares of the Common/Series</w:t>
      </w:r>
      <w:r>
        <w:rPr>
          <w:sz w:val="20"/>
          <w:szCs w:val="20"/>
          <w:color w:val="auto"/>
        </w:rPr>
        <w:tab/>
      </w:r>
      <w:r>
        <w:rPr>
          <w:rFonts w:ascii="Arial" w:cs="Arial" w:eastAsia="Arial" w:hAnsi="Arial"/>
          <w:sz w:val="16"/>
          <w:szCs w:val="16"/>
          <w:color w:val="auto"/>
        </w:rPr>
        <w:t>Preferred [circle one] Stock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in accordance with the attached Warrant To Purchase Stock, and tenders payment of the aggregate Warrant Price for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as follows:</w:t>
      </w:r>
    </w:p>
    <w:p>
      <w:pPr>
        <w:spacing w:after="0" w:line="116" w:lineRule="exact"/>
        <w:rPr>
          <w:sz w:val="20"/>
          <w:szCs w:val="20"/>
          <w:color w:val="auto"/>
        </w:rPr>
      </w:pPr>
    </w:p>
    <w:p>
      <w:pPr>
        <w:ind w:left="900" w:hanging="446"/>
        <w:spacing w:after="0"/>
        <w:tabs>
          <w:tab w:leader="none" w:pos="900" w:val="left"/>
        </w:tabs>
        <w:numPr>
          <w:ilvl w:val="0"/>
          <w:numId w:val="226"/>
        </w:numPr>
        <w:rPr>
          <w:rFonts w:ascii="MS PGothic" w:cs="MS PGothic" w:eastAsia="MS PGothic" w:hAnsi="MS PGothic"/>
          <w:sz w:val="18"/>
          <w:szCs w:val="18"/>
          <w:color w:val="auto"/>
        </w:rPr>
      </w:pPr>
      <w:r>
        <w:rPr>
          <w:rFonts w:ascii="Arial" w:cs="Arial" w:eastAsia="Arial" w:hAnsi="Arial"/>
          <w:sz w:val="18"/>
          <w:szCs w:val="18"/>
          <w:color w:val="auto"/>
        </w:rPr>
        <w:t>check in the amount of $</w:t>
      </w:r>
      <w:r>
        <w:rPr>
          <w:rFonts w:ascii="Arial" w:cs="Arial" w:eastAsia="Arial" w:hAnsi="Arial"/>
          <w:sz w:val="16"/>
          <w:szCs w:val="16"/>
          <w:color w:val="auto"/>
        </w:rPr>
        <w:t>payable to order of the Company enclosed herewith</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226"/>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226"/>
        </w:numPr>
        <w:rPr>
          <w:rFonts w:ascii="MS PGothic" w:cs="MS PGothic" w:eastAsia="MS PGothic" w:hAnsi="MS PGothic"/>
          <w:sz w:val="18"/>
          <w:szCs w:val="18"/>
          <w:color w:val="auto"/>
        </w:rPr>
      </w:pPr>
      <w:r>
        <w:rPr>
          <w:rFonts w:ascii="Arial" w:cs="Arial" w:eastAsia="Arial" w:hAnsi="Arial"/>
          <w:sz w:val="18"/>
          <w:szCs w:val="18"/>
          <w:color w:val="auto"/>
        </w:rPr>
        <w:t>Cashless Exercise pursuant to Section 1.2 of the Warrant</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226"/>
        </w:numPr>
        <w:rPr>
          <w:rFonts w:ascii="MS PGothic" w:cs="MS PGothic" w:eastAsia="MS PGothic" w:hAnsi="MS PGothic"/>
          <w:sz w:val="18"/>
          <w:szCs w:val="18"/>
          <w:color w:val="auto"/>
        </w:rPr>
      </w:pPr>
      <w:r>
        <w:rPr>
          <w:rFonts w:ascii="Arial" w:cs="Arial" w:eastAsia="Arial" w:hAnsi="Arial"/>
          <w:sz w:val="18"/>
          <w:szCs w:val="18"/>
          <w:color w:val="auto"/>
        </w:rPr>
        <w:t>Other [Describe] __________________________________________</w:t>
      </w:r>
    </w:p>
    <w:p>
      <w:pPr>
        <w:spacing w:after="0" w:line="117" w:lineRule="exact"/>
        <w:rPr>
          <w:sz w:val="20"/>
          <w:szCs w:val="20"/>
          <w:color w:val="auto"/>
        </w:rPr>
      </w:pPr>
    </w:p>
    <w:p>
      <w:pPr>
        <w:ind w:left="1980" w:right="4100" w:hanging="1516"/>
        <w:spacing w:after="0" w:line="637" w:lineRule="auto"/>
        <w:tabs>
          <w:tab w:leader="none" w:pos="64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-387985</wp:posOffset>
            </wp:positionV>
            <wp:extent cx="377317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773170"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66040</wp:posOffset>
            </wp:positionV>
            <wp:extent cx="377317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773170"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357505</wp:posOffset>
            </wp:positionV>
            <wp:extent cx="377317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right="360" w:firstLine="464"/>
        <w:spacing w:after="0" w:line="277" w:lineRule="auto"/>
        <w:tabs>
          <w:tab w:leader="none" w:pos="63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1360"/>
          </w:cols>
          <w:pgMar w:left="240" w:top="273" w:right="299" w:bottom="1440" w:gutter="0" w:footer="0" w:header="0"/>
        </w:sectPr>
      </w:pPr>
    </w:p>
    <w:bookmarkStart w:id="339" w:name="page340"/>
    <w:bookmarkEnd w:id="339"/>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9019"/>
          </w:cols>
          <w:pgMar w:left="1440" w:top="274" w:right="1440" w:bottom="1440" w:gutter="0" w:footer="0" w:header="0"/>
        </w:sectPr>
      </w:pPr>
    </w:p>
    <w:bookmarkStart w:id="340" w:name="page341"/>
    <w:bookmarkEnd w:id="340"/>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000" w:type="dxa"/>
            <w:vAlign w:val="bottom"/>
          </w:tcPr>
          <w:p>
            <w:pPr>
              <w:ind w:left="1160"/>
              <w:spacing w:after="0"/>
              <w:rPr>
                <w:sz w:val="20"/>
                <w:szCs w:val="20"/>
                <w:color w:val="auto"/>
              </w:rPr>
            </w:pPr>
            <w:r>
              <w:rPr>
                <w:rFonts w:ascii="Arial" w:cs="Arial" w:eastAsia="Arial" w:hAnsi="Arial"/>
                <w:sz w:val="18"/>
                <w:szCs w:val="18"/>
                <w:b w:val="1"/>
                <w:bCs w:val="1"/>
                <w:color w:val="auto"/>
                <w:w w:val="91"/>
              </w:rPr>
              <w:t>Exhibit 5.1</w:t>
            </w:r>
          </w:p>
        </w:tc>
      </w:tr>
      <w:tr>
        <w:trPr>
          <w:trHeight w:val="432"/>
        </w:trPr>
        <w:tc>
          <w:tcPr>
            <w:tcW w:w="9420" w:type="dxa"/>
            <w:vAlign w:val="bottom"/>
            <w:gridSpan w:val="3"/>
          </w:tcPr>
          <w:p>
            <w:pPr>
              <w:ind w:left="6780"/>
              <w:spacing w:after="0"/>
              <w:rPr>
                <w:sz w:val="20"/>
                <w:szCs w:val="20"/>
                <w:color w:val="auto"/>
              </w:rPr>
            </w:pPr>
            <w:r>
              <w:rPr>
                <w:rFonts w:ascii="Arial" w:cs="Arial" w:eastAsia="Arial" w:hAnsi="Arial"/>
                <w:sz w:val="18"/>
                <w:szCs w:val="18"/>
                <w:color w:val="auto"/>
              </w:rPr>
              <w:t>, 2018</w:t>
            </w:r>
          </w:p>
        </w:tc>
        <w:tc>
          <w:tcPr>
            <w:tcW w:w="2000" w:type="dxa"/>
            <w:vAlign w:val="bottom"/>
          </w:tcPr>
          <w:p>
            <w:pPr>
              <w:spacing w:after="0"/>
              <w:rPr>
                <w:sz w:val="24"/>
                <w:szCs w:val="24"/>
                <w:color w:val="auto"/>
              </w:rPr>
            </w:pPr>
          </w:p>
        </w:tc>
      </w:tr>
      <w:tr>
        <w:trPr>
          <w:trHeight w:val="418"/>
        </w:trPr>
        <w:tc>
          <w:tcPr>
            <w:tcW w:w="9420" w:type="dxa"/>
            <w:vAlign w:val="bottom"/>
            <w:gridSpan w:val="3"/>
          </w:tcPr>
          <w:p>
            <w:pPr>
              <w:spacing w:after="0"/>
              <w:rPr>
                <w:sz w:val="20"/>
                <w:szCs w:val="20"/>
                <w:color w:val="auto"/>
              </w:rPr>
            </w:pPr>
            <w:r>
              <w:rPr>
                <w:rFonts w:ascii="Arial" w:cs="Arial" w:eastAsia="Arial" w:hAnsi="Arial"/>
                <w:sz w:val="18"/>
                <w:szCs w:val="18"/>
                <w:color w:val="auto"/>
              </w:rPr>
              <w:t>AVROBIO, Inc.</w:t>
            </w:r>
          </w:p>
        </w:tc>
        <w:tc>
          <w:tcPr>
            <w:tcW w:w="2000" w:type="dxa"/>
            <w:vAlign w:val="bottom"/>
          </w:tcPr>
          <w:p>
            <w:pPr>
              <w:spacing w:after="0"/>
              <w:rPr>
                <w:sz w:val="24"/>
                <w:szCs w:val="24"/>
                <w:color w:val="auto"/>
              </w:rPr>
            </w:pPr>
          </w:p>
        </w:tc>
      </w:tr>
      <w:tr>
        <w:trPr>
          <w:trHeight w:val="216"/>
        </w:trPr>
        <w:tc>
          <w:tcPr>
            <w:tcW w:w="9420" w:type="dxa"/>
            <w:vAlign w:val="bottom"/>
            <w:gridSpan w:val="3"/>
          </w:tcPr>
          <w:p>
            <w:pPr>
              <w:spacing w:after="0"/>
              <w:rPr>
                <w:sz w:val="20"/>
                <w:szCs w:val="20"/>
                <w:color w:val="auto"/>
              </w:rPr>
            </w:pPr>
            <w:r>
              <w:rPr>
                <w:rFonts w:ascii="Arial" w:cs="Arial" w:eastAsia="Arial" w:hAnsi="Arial"/>
                <w:sz w:val="18"/>
                <w:szCs w:val="18"/>
                <w:color w:val="auto"/>
              </w:rPr>
              <w:t>One Kendall Square</w:t>
            </w:r>
          </w:p>
        </w:tc>
        <w:tc>
          <w:tcPr>
            <w:tcW w:w="2000" w:type="dxa"/>
            <w:vAlign w:val="bottom"/>
          </w:tcPr>
          <w:p>
            <w:pPr>
              <w:spacing w:after="0"/>
              <w:rPr>
                <w:sz w:val="18"/>
                <w:szCs w:val="18"/>
                <w:color w:val="auto"/>
              </w:rPr>
            </w:pPr>
          </w:p>
        </w:tc>
      </w:tr>
      <w:tr>
        <w:trPr>
          <w:trHeight w:val="216"/>
        </w:trPr>
        <w:tc>
          <w:tcPr>
            <w:tcW w:w="9420" w:type="dxa"/>
            <w:vAlign w:val="bottom"/>
            <w:gridSpan w:val="3"/>
          </w:tcPr>
          <w:p>
            <w:pPr>
              <w:spacing w:after="0"/>
              <w:rPr>
                <w:sz w:val="20"/>
                <w:szCs w:val="20"/>
                <w:color w:val="auto"/>
              </w:rPr>
            </w:pPr>
            <w:r>
              <w:rPr>
                <w:rFonts w:ascii="Arial" w:cs="Arial" w:eastAsia="Arial" w:hAnsi="Arial"/>
                <w:sz w:val="18"/>
                <w:szCs w:val="18"/>
                <w:color w:val="auto"/>
              </w:rPr>
              <w:t>Building 300, Suite 201</w:t>
            </w:r>
          </w:p>
        </w:tc>
        <w:tc>
          <w:tcPr>
            <w:tcW w:w="2000" w:type="dxa"/>
            <w:vAlign w:val="bottom"/>
          </w:tcPr>
          <w:p>
            <w:pPr>
              <w:spacing w:after="0"/>
              <w:rPr>
                <w:sz w:val="18"/>
                <w:szCs w:val="18"/>
                <w:color w:val="auto"/>
              </w:rPr>
            </w:pPr>
          </w:p>
        </w:tc>
      </w:tr>
      <w:tr>
        <w:trPr>
          <w:trHeight w:val="230"/>
        </w:trPr>
        <w:tc>
          <w:tcPr>
            <w:tcW w:w="9420" w:type="dxa"/>
            <w:vAlign w:val="bottom"/>
            <w:gridSpan w:val="3"/>
          </w:tcPr>
          <w:p>
            <w:pPr>
              <w:spacing w:after="0"/>
              <w:rPr>
                <w:sz w:val="20"/>
                <w:szCs w:val="20"/>
                <w:color w:val="auto"/>
              </w:rPr>
            </w:pPr>
            <w:r>
              <w:rPr>
                <w:rFonts w:ascii="Arial" w:cs="Arial" w:eastAsia="Arial" w:hAnsi="Arial"/>
                <w:sz w:val="18"/>
                <w:szCs w:val="18"/>
                <w:color w:val="auto"/>
              </w:rPr>
              <w:t>Cambridge, MA 02139</w:t>
            </w:r>
          </w:p>
        </w:tc>
        <w:tc>
          <w:tcPr>
            <w:tcW w:w="2000" w:type="dxa"/>
            <w:vAlign w:val="bottom"/>
          </w:tcPr>
          <w:p>
            <w:pPr>
              <w:spacing w:after="0"/>
              <w:rPr>
                <w:sz w:val="20"/>
                <w:szCs w:val="20"/>
                <w:color w:val="auto"/>
              </w:rPr>
            </w:pPr>
          </w:p>
        </w:tc>
      </w:tr>
      <w:tr>
        <w:trPr>
          <w:trHeight w:val="419"/>
        </w:trPr>
        <w:tc>
          <w:tcPr>
            <w:tcW w:w="9420" w:type="dxa"/>
            <w:vAlign w:val="bottom"/>
            <w:gridSpan w:val="3"/>
          </w:tcPr>
          <w:p>
            <w:pPr>
              <w:ind w:left="460"/>
              <w:spacing w:after="0"/>
              <w:rPr>
                <w:sz w:val="20"/>
                <w:szCs w:val="20"/>
                <w:color w:val="auto"/>
              </w:rPr>
            </w:pPr>
            <w:r>
              <w:rPr>
                <w:rFonts w:ascii="Arial" w:cs="Arial" w:eastAsia="Arial" w:hAnsi="Arial"/>
                <w:sz w:val="18"/>
                <w:szCs w:val="18"/>
                <w:color w:val="auto"/>
              </w:rPr>
              <w:t>Re:  Securities Registered under Registration Statement on Form S-1</w:t>
            </w:r>
          </w:p>
        </w:tc>
        <w:tc>
          <w:tcPr>
            <w:tcW w:w="200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53"/>
        </w:trPr>
        <w:tc>
          <w:tcPr>
            <w:tcW w:w="9420" w:type="dxa"/>
            <w:vAlign w:val="bottom"/>
            <w:gridSpan w:val="3"/>
          </w:tcPr>
          <w:p>
            <w:pPr>
              <w:spacing w:after="0"/>
              <w:rPr>
                <w:sz w:val="20"/>
                <w:szCs w:val="20"/>
                <w:color w:val="auto"/>
              </w:rPr>
            </w:pPr>
            <w:r>
              <w:rPr>
                <w:rFonts w:ascii="Arial" w:cs="Arial" w:eastAsia="Arial" w:hAnsi="Arial"/>
                <w:sz w:val="18"/>
                <w:szCs w:val="18"/>
                <w:color w:val="auto"/>
              </w:rPr>
              <w:t>Ladies and Gentlemen:</w:t>
            </w:r>
          </w:p>
        </w:tc>
        <w:tc>
          <w:tcPr>
            <w:tcW w:w="2000" w:type="dxa"/>
            <w:vAlign w:val="bottom"/>
          </w:tcPr>
          <w:p>
            <w:pPr>
              <w:spacing w:after="0"/>
              <w:rPr>
                <w:sz w:val="24"/>
                <w:szCs w:val="24"/>
                <w:color w:val="auto"/>
              </w:rPr>
            </w:pPr>
          </w:p>
        </w:tc>
      </w:tr>
      <w:tr>
        <w:trPr>
          <w:trHeight w:val="432"/>
        </w:trPr>
        <w:tc>
          <w:tcPr>
            <w:tcW w:w="9420" w:type="dxa"/>
            <w:vAlign w:val="bottom"/>
            <w:gridSpan w:val="3"/>
          </w:tcPr>
          <w:p>
            <w:pPr>
              <w:ind w:left="460"/>
              <w:spacing w:after="0"/>
              <w:rPr>
                <w:sz w:val="20"/>
                <w:szCs w:val="20"/>
                <w:color w:val="auto"/>
              </w:rPr>
            </w:pPr>
            <w:r>
              <w:rPr>
                <w:rFonts w:ascii="Arial" w:cs="Arial" w:eastAsia="Arial" w:hAnsi="Arial"/>
                <w:sz w:val="18"/>
                <w:szCs w:val="18"/>
                <w:color w:val="auto"/>
                <w:w w:val="95"/>
              </w:rPr>
              <w:t>We have acted as counsel to you in connection with your filing of a Registration Statement on Form S-1 (File No. 333-</w:t>
            </w:r>
          </w:p>
        </w:tc>
        <w:tc>
          <w:tcPr>
            <w:tcW w:w="2000" w:type="dxa"/>
            <w:vAlign w:val="bottom"/>
          </w:tcPr>
          <w:p>
            <w:pPr>
              <w:ind w:left="380"/>
              <w:spacing w:after="0"/>
              <w:rPr>
                <w:sz w:val="20"/>
                <w:szCs w:val="20"/>
                <w:color w:val="auto"/>
              </w:rPr>
            </w:pPr>
            <w:r>
              <w:rPr>
                <w:rFonts w:ascii="Arial" w:cs="Arial" w:eastAsia="Arial" w:hAnsi="Arial"/>
                <w:sz w:val="18"/>
                <w:szCs w:val="18"/>
                <w:color w:val="auto"/>
              </w:rPr>
              <w:t>) (as amended or</w:t>
            </w:r>
          </w:p>
        </w:tc>
      </w:tr>
    </w:tbl>
    <w:p>
      <w:pPr>
        <w:spacing w:after="0"/>
        <w:rPr>
          <w:sz w:val="20"/>
          <w:szCs w:val="20"/>
          <w:color w:val="auto"/>
        </w:rPr>
      </w:pPr>
      <w:r>
        <w:rPr>
          <w:rFonts w:ascii="Arial" w:cs="Arial" w:eastAsia="Arial" w:hAnsi="Arial"/>
          <w:sz w:val="17"/>
          <w:szCs w:val="17"/>
          <w:color w:val="auto"/>
        </w:rPr>
        <w:t>supplemented, the “Registration Statement”) pursuant to the Securities Act of 1933, as amended (the “Securities Act”), relating to the registration of the</w:t>
      </w:r>
    </w:p>
    <w:p>
      <w:pPr>
        <w:spacing w:after="0" w:line="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offering by AVROBIO, Inc., a Delaware corporation (the “Company”), of up to shares (the “Shares”) of the Company’s Common Stock, $0.0001 par value per share, including Shares purchasable by the underwriters upon their exercise of an over-allotment option granted to the underwriters by the Company. The Shares are being sold to the several underwriters named in, and pursuant to, an underwriting agreement among the Company and such underwriters (the “Underwriting Agreement”).</w:t>
      </w:r>
    </w:p>
    <w:p>
      <w:pPr>
        <w:spacing w:after="0" w:line="19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Based on the foregoing, we are of the opinion that the Shares have been duly authorized and, upon issuance and delivery against payment therefor in accordance with the terms of the Underwriting Agreement, the Shares will be validly issued, fully paid and non-assessable.</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8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5"/>
          <w:szCs w:val="15"/>
          <w:color w:val="auto"/>
        </w:rPr>
        <w:t>LLP</w:t>
      </w:r>
    </w:p>
    <w:p>
      <w:pPr>
        <w:sectPr>
          <w:pgSz w:w="11900" w:h="16838" w:orient="portrait"/>
          <w:cols w:equalWidth="0" w:num="1">
            <w:col w:w="11420"/>
          </w:cols>
          <w:pgMar w:left="240" w:top="121" w:right="23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2015 STOCK OPTION AND GRANT PLAN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PURPOSE OF THE PLAN; DEFINITIONS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name of the plan is the AvroBio, Inc. Amended and Restated 2015 Stock Option and Grant Plan (the “</w:t>
      </w:r>
      <w:r>
        <w:rPr>
          <w:rFonts w:ascii="Arial" w:cs="Arial" w:eastAsia="Arial" w:hAnsi="Arial"/>
          <w:sz w:val="18"/>
          <w:szCs w:val="18"/>
          <w:u w:val="single" w:color="auto"/>
          <w:color w:val="auto"/>
        </w:rPr>
        <w:t>Plan</w:t>
      </w:r>
      <w:r>
        <w:rPr>
          <w:rFonts w:ascii="Arial" w:cs="Arial" w:eastAsia="Arial" w:hAnsi="Arial"/>
          <w:sz w:val="18"/>
          <w:szCs w:val="18"/>
          <w:color w:val="auto"/>
        </w:rPr>
        <w:t>”). The purpose of the Plan is to encourage and enable the officers, employees, directors, Consultants and other key persons of AvroBio, Inc., a Delaware corporation (including any successor entity, the “</w:t>
      </w:r>
      <w:r>
        <w:rPr>
          <w:rFonts w:ascii="Arial" w:cs="Arial" w:eastAsia="Arial" w:hAnsi="Arial"/>
          <w:sz w:val="18"/>
          <w:szCs w:val="18"/>
          <w:u w:val="single" w:color="auto"/>
          <w:color w:val="auto"/>
        </w:rPr>
        <w:t>Company</w:t>
      </w:r>
      <w:r>
        <w:rPr>
          <w:rFonts w:ascii="Arial" w:cs="Arial" w:eastAsia="Arial" w:hAnsi="Arial"/>
          <w:sz w:val="18"/>
          <w:szCs w:val="18"/>
          <w:color w:val="auto"/>
        </w:rPr>
        <w:t>”) and its Subsidiaries, upon whose judgment, initiative and efforts the Company largely depends for the successful conduct of its business, to acquire a proprietary interest in the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terms shall be defined as set forth below:</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w:t>
      </w:r>
    </w:p>
    <w:p>
      <w:pPr>
        <w:spacing w:after="0" w:line="187"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Award</w:t>
      </w:r>
      <w:r>
        <w:rPr>
          <w:rFonts w:ascii="Arial" w:cs="Arial" w:eastAsia="Arial" w:hAnsi="Arial"/>
          <w:sz w:val="17"/>
          <w:szCs w:val="17"/>
          <w:color w:val="auto"/>
        </w:rPr>
        <w:t>” or “</w:t>
      </w:r>
      <w:r>
        <w:rPr>
          <w:rFonts w:ascii="Arial" w:cs="Arial" w:eastAsia="Arial" w:hAnsi="Arial"/>
          <w:sz w:val="17"/>
          <w:szCs w:val="17"/>
          <w:i w:val="1"/>
          <w:iCs w:val="1"/>
          <w:color w:val="auto"/>
        </w:rPr>
        <w:t>Awards,</w:t>
      </w:r>
      <w:r>
        <w:rPr>
          <w:rFonts w:ascii="Arial" w:cs="Arial" w:eastAsia="Arial" w:hAnsi="Arial"/>
          <w:sz w:val="17"/>
          <w:szCs w:val="17"/>
          <w:color w:val="auto"/>
        </w:rPr>
        <w:t>” except where referring to a particular category of grant under the Plan, shall include Incentive Stock Options, Non-Qualified Stock Options, Restricted Stock Awards, Unrestricted Stock Awards, Restricted Stock Units or any combination of the foregoing.</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 written or electronic agreement setting forth the terms and provisions applicable to an Award granted under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Each Award Agreement may contain terms and conditions in addition to those set forth in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in the event of any conflict in the terms of the Plan and the Award Agreement, the terms of the Plan shall govern</w:t>
      </w:r>
      <w:r>
        <w:rPr>
          <w:rFonts w:ascii="Arial" w:cs="Arial" w:eastAsia="Arial" w:hAnsi="Arial"/>
          <w:sz w:val="18"/>
          <w:szCs w:val="18"/>
          <w:b w:val="1"/>
          <w:bCs w:val="1"/>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Cause</w:t>
      </w:r>
      <w:r>
        <w:rPr>
          <w:rFonts w:ascii="Arial" w:cs="Arial" w:eastAsia="Arial" w:hAnsi="Arial"/>
          <w:sz w:val="17"/>
          <w:szCs w:val="17"/>
          <w:color w:val="auto"/>
        </w:rPr>
        <w:t>” shall have the meaning as set forth in the Award Agreement(s). In the case that any Award Agreement does not contain a definition of “Cause,” it shall mean (i) the grantee’s dishonest statements or acts with respect to the Company or any Affiliate of the Company, or any current or prospective customers, suppliers vendors or other third parties with which such entity does business; (ii) the grantee’s commission of (A) a felony or (B) 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or (v) the grantee’s material violation of any provision of any agreement(s) between the grantee and the Company relating to noncompetition, nonsolicitation, nondisclosure and/or assignment of inventions.</w:t>
      </w:r>
    </w:p>
    <w:p>
      <w:pPr>
        <w:sectPr>
          <w:pgSz w:w="11900" w:h="16838" w:orient="portrait"/>
          <w:cols w:equalWidth="0" w:num="1">
            <w:col w:w="11420"/>
          </w:cols>
          <w:pgMar w:left="240" w:top="121" w:right="239" w:bottom="1440" w:gutter="0" w:footer="0" w:header="0"/>
        </w:sectPr>
      </w:pPr>
    </w:p>
    <w:bookmarkStart w:id="342" w:name="page343"/>
    <w:bookmarkEnd w:id="342"/>
    <w:p>
      <w:pPr>
        <w:ind w:right="500" w:firstLine="456"/>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“Chief Executive Officer” </w:t>
      </w:r>
      <w:r>
        <w:rPr>
          <w:rFonts w:ascii="Arial" w:cs="Arial" w:eastAsia="Arial" w:hAnsi="Arial"/>
          <w:sz w:val="18"/>
          <w:szCs w:val="18"/>
          <w:color w:val="auto"/>
        </w:rPr>
        <w:t>means the Chief Executive Officer of the Company or, if there is no Chief Executive Officer, then the President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Code</w:t>
      </w:r>
      <w:r>
        <w:rPr>
          <w:rFonts w:ascii="Arial" w:cs="Arial" w:eastAsia="Arial" w:hAnsi="Arial"/>
          <w:sz w:val="17"/>
          <w:szCs w:val="17"/>
          <w:color w:val="auto"/>
        </w:rPr>
        <w:t>” means the Internal Revenue Code of 1986, as amended, and any successor Code, and related rules, regulations and interpretations.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means the Committee of the Board referred to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any natural person that provides bona fide services to the Company (including a Subsidiary), and such services are not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offer or sale of securities in a capital-raising transaction and do not directly or indirectly promote or maintain a market for the Company’s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“disability” as defined in Section 422(c) of the Code.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on which the Plan is adopted as set forth on the final page of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and the rules and regulations thereunder.</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of the Stock on any given date means the fair market value of the Stock determined in good faith by the Committee based on the reasonable application of a reasonable valuation method not inconsistent with Section 409A of the Code. If the Stock is admitted to trade on a national securities exchange, the determination shall be made by reference to the closing price reported on such exchange. If there is no closing price for such date, the determination shall be made by reference to the last date preceding such date for which there is a closing price.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 xml:space="preserve">“Good Reason” </w:t>
      </w:r>
      <w:r>
        <w:rPr>
          <w:rFonts w:ascii="Arial" w:cs="Arial" w:eastAsia="Arial" w:hAnsi="Arial"/>
          <w:sz w:val="18"/>
          <w:szCs w:val="18"/>
          <w:color w:val="auto"/>
        </w:rPr>
        <w:t>shall have the meaning as set forth in the Award Agreement(s). In the case that any Award Agreement does not contain a definition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“Good Reason,” it shall mean (i) a material diminution in the grantee’s base salary except for across-the-board salary reductions similarly affecting all or substantially all similarly situated employees of the Company or (ii) a change of more than 50 miles in the geographic location at which the grantee provides services to the Company, so long as the grantee provides at least 90 days notice to the Company following the initial occurrence of any such event and the Company fails to cure such event within 30 days thereafter.</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xml:space="preserve"> means the date that the Committee designates in its approval of an Award in accordance with applicable law as the date on which the Award is granted, which date may not precede the date of such Committee approval.</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means, with respect to an Award or any Shares, the Person holding such Award or Shares, including the initial recipient of the Award or any</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Transferee.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3" w:right="279" w:bottom="1440" w:gutter="0" w:footer="0" w:header="0"/>
        </w:sectPr>
      </w:pPr>
    </w:p>
    <w:bookmarkStart w:id="343" w:name="page344"/>
    <w:bookmarkEnd w:id="343"/>
    <w:p>
      <w:pPr>
        <w:jc w:val="center"/>
        <w:ind w:right="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i w:val="1"/>
          <w:iCs w:val="1"/>
          <w:color w:val="auto"/>
        </w:rPr>
        <w:t>Incentive Stock Option</w:t>
      </w:r>
      <w:r>
        <w:rPr>
          <w:rFonts w:ascii="Arial" w:cs="Arial" w:eastAsia="Arial" w:hAnsi="Arial"/>
          <w:sz w:val="17"/>
          <w:szCs w:val="17"/>
          <w:color w:val="auto"/>
        </w:rPr>
        <w:t>” means any Stock Option designated and qualified as an “incentive stock option” as defined in Section 422 of the Code.</w:t>
      </w:r>
    </w:p>
    <w:p>
      <w:pPr>
        <w:spacing w:after="0" w:line="23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Public Offering</w:t>
      </w:r>
      <w:r>
        <w:rPr>
          <w:rFonts w:ascii="Arial" w:cs="Arial" w:eastAsia="Arial" w:hAnsi="Arial"/>
          <w:sz w:val="18"/>
          <w:szCs w:val="18"/>
          <w:color w:val="auto"/>
        </w:rPr>
        <w:t>” means the consummation of the first firm commitment underwritten public offering pursuant to an effective registration statement under the Securities Act covering the offer and sale by the Company of its equity securities, as a result of or following which the Stock shall be publicly held.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any Stock Option that is not an Incentive Stock Option.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or “</w:t>
      </w:r>
      <w:r>
        <w:rPr>
          <w:rFonts w:ascii="Arial" w:cs="Arial" w:eastAsia="Arial" w:hAnsi="Arial"/>
          <w:sz w:val="18"/>
          <w:szCs w:val="18"/>
          <w:i w:val="1"/>
          <w:iCs w:val="1"/>
          <w:color w:val="auto"/>
        </w:rPr>
        <w:t>Stock Option</w:t>
      </w:r>
      <w:r>
        <w:rPr>
          <w:rFonts w:ascii="Arial" w:cs="Arial" w:eastAsia="Arial" w:hAnsi="Arial"/>
          <w:sz w:val="18"/>
          <w:szCs w:val="18"/>
          <w:color w:val="auto"/>
        </w:rPr>
        <w:t xml:space="preserve">” means any option to purchase shares of Stock granted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Transferees</w:t>
      </w:r>
      <w:r>
        <w:rPr>
          <w:rFonts w:ascii="Arial" w:cs="Arial" w:eastAsia="Arial" w:hAnsi="Arial"/>
          <w:sz w:val="18"/>
          <w:szCs w:val="18"/>
          <w:color w:val="auto"/>
        </w:rPr>
        <w:t xml:space="preserve">” shall mean any of the following to whom a Holder may transfer Shares hereunder (as set forth in </w:t>
      </w:r>
      <w:r>
        <w:rPr>
          <w:rFonts w:ascii="Arial" w:cs="Arial" w:eastAsia="Arial" w:hAnsi="Arial"/>
          <w:sz w:val="18"/>
          <w:szCs w:val="18"/>
          <w:u w:val="single" w:color="auto"/>
          <w:color w:val="auto"/>
        </w:rPr>
        <w:t>Section 9(a)(ii)(A)</w:t>
      </w:r>
      <w:r>
        <w:rPr>
          <w:rFonts w:ascii="Arial" w:cs="Arial" w:eastAsia="Arial" w:hAnsi="Arial"/>
          <w:sz w:val="18"/>
          <w:szCs w:val="18"/>
          <w:color w:val="auto"/>
        </w:rPr>
        <w:t>): the Holder’s child, stepchild, grandchild, parent, stepparent, grandparent, spouse, former spouse, sibling, niece, nephew, mother-in-law, father-in-law, son-in-law, daughter-in-law, brother-in-law, or sister-in-law, including adoptive relationships, any person sharing the Holder’s household (other than a tenant or employee), a trust in which these persons have more than fifty percent of the beneficial interest, a foundation in which these persons control the management of assets, and any other entity in which these persons own more than fifty percent of the voting interests</w:t>
      </w:r>
      <w:r>
        <w:rPr>
          <w:rFonts w:ascii="Arial" w:cs="Arial" w:eastAsia="Arial" w:hAnsi="Arial"/>
          <w:sz w:val="18"/>
          <w:szCs w:val="18"/>
          <w:i w:val="1"/>
          <w:iCs w:val="1"/>
          <w:color w:val="auto"/>
        </w:rPr>
        <w:t>; provided, however,</w:t>
      </w:r>
      <w:r>
        <w:rPr>
          <w:rFonts w:ascii="Arial" w:cs="Arial" w:eastAsia="Arial" w:hAnsi="Arial"/>
          <w:sz w:val="18"/>
          <w:szCs w:val="18"/>
          <w:color w:val="auto"/>
        </w:rPr>
        <w:t xml:space="preserve"> that any such trust does not require or permit distribution of any Shares during the term of the Award Agreement unless subject to its terms. Upon the death of the Holder, the term Permitted Transferees shall also include such deceased Holder’s estate, executors, administrators, personal representatives, heirs, legatees and distributees, as the case may be.</w:t>
      </w:r>
    </w:p>
    <w:p>
      <w:pPr>
        <w:spacing w:after="0" w:line="19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shall mean any individual, corporation, partnership (limited or general), limited liability company, limited liability partnership, association, trust, joint venture, unincorporated organization or any similar entity.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“Restricted Stock Award” </w:t>
      </w:r>
      <w:r>
        <w:rPr>
          <w:rFonts w:ascii="Arial" w:cs="Arial" w:eastAsia="Arial" w:hAnsi="Arial"/>
          <w:sz w:val="17"/>
          <w:szCs w:val="17"/>
          <w:color w:val="auto"/>
        </w:rPr>
        <w:t>means Awards granted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“Restricted Stock” </w:t>
      </w:r>
      <w:r>
        <w:rPr>
          <w:rFonts w:ascii="Arial" w:cs="Arial" w:eastAsia="Arial" w:hAnsi="Arial"/>
          <w:sz w:val="17"/>
          <w:szCs w:val="17"/>
          <w:color w:val="auto"/>
        </w:rPr>
        <w:t>means Shares issued pursuant to such Awards.</w:t>
      </w:r>
    </w:p>
    <w:p>
      <w:pPr>
        <w:spacing w:after="0" w:line="23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an Award of phantom stock units to a grantee, which may be settled in cash or Shares as determined by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Sale Event”</w:t>
      </w:r>
      <w:r>
        <w:rPr>
          <w:rFonts w:ascii="Arial" w:cs="Arial" w:eastAsia="Arial" w:hAnsi="Arial"/>
          <w:sz w:val="17"/>
          <w:szCs w:val="17"/>
          <w:color w:val="auto"/>
        </w:rPr>
        <w:t xml:space="preserve"> means the consummation of (i) the dissolution or liquidation of the Company, (ii) the sale of all or substantially all of the assets of the Company on a consolidated basis to an unrelated person or entity, (iii)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(iv) the acquisition of all or a majority of the outstanding voting stock of the Company in a single transaction or a series of related transactions by a Person or group of Persons, or (v) any other acquisition of the business of the Company, as determined by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Company’s Initial Public Offering, any subsequent public offering or another capital raising event, or a merger effected solely to change the Company’s domicile shall not constitute a “Sale Event.”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3" w:right="279" w:bottom="1440" w:gutter="0" w:footer="0" w:header="0"/>
        </w:sectPr>
      </w:pPr>
    </w:p>
    <w:bookmarkStart w:id="344" w:name="page345"/>
    <w:bookmarkEnd w:id="344"/>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409A” </w:t>
      </w:r>
      <w:r>
        <w:rPr>
          <w:rFonts w:ascii="Arial" w:cs="Arial" w:eastAsia="Arial" w:hAnsi="Arial"/>
          <w:sz w:val="18"/>
          <w:szCs w:val="18"/>
          <w:color w:val="auto"/>
        </w:rPr>
        <w:t>means Section 409A of the Code and the regulations and other guidance promulgated thereunder.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thereunder.</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i w:val="1"/>
          <w:iCs w:val="1"/>
          <w:color w:val="auto"/>
        </w:rPr>
        <w:t xml:space="preserve">“Service Relationship” </w:t>
      </w:r>
      <w:r>
        <w:rPr>
          <w:rFonts w:ascii="Arial" w:cs="Arial" w:eastAsia="Arial" w:hAnsi="Arial"/>
          <w:sz w:val="18"/>
          <w:szCs w:val="18"/>
          <w:color w:val="auto"/>
        </w:rPr>
        <w:t>means any relationship as a full-time employee, part-time employee, director or other key person (including Consultants)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any Subsidiary or any successor entity (e.g., a Service Relationship shall be deemed to continue without interruption in the event an individual’s status changes from full-time employee to part-time employee or Consultant).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means shares of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Common Stock, par value $0.0001 per share, of the Company.</w:t>
      </w:r>
    </w:p>
    <w:p>
      <w:pPr>
        <w:spacing w:after="0" w:line="225"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or other entity (other than the Company) in which the Company has more than a 50 percent interest, either directly or indirectly.</w:t>
      </w:r>
    </w:p>
    <w:p>
      <w:pPr>
        <w:spacing w:after="0" w:line="170"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i w:val="1"/>
          <w:iCs w:val="1"/>
          <w:color w:val="auto"/>
        </w:rPr>
        <w:t xml:space="preserve">“Ten Percent Owner” </w:t>
      </w:r>
      <w:r>
        <w:rPr>
          <w:rFonts w:ascii="Arial" w:cs="Arial" w:eastAsia="Arial" w:hAnsi="Arial"/>
          <w:sz w:val="17"/>
          <w:szCs w:val="17"/>
          <w:color w:val="auto"/>
        </w:rPr>
        <w:t>means an employee who owns or is deemed to own (by reason of the attribution rules of Section 424(d) of the Code) more than</w:t>
      </w:r>
      <w:r>
        <w:rPr>
          <w:rFonts w:ascii="Arial" w:cs="Arial" w:eastAsia="Arial" w:hAnsi="Arial"/>
          <w:sz w:val="17"/>
          <w:szCs w:val="17"/>
          <w:i w:val="1"/>
          <w:iCs w:val="1"/>
          <w:color w:val="auto"/>
        </w:rPr>
        <w:t xml:space="preserve"> </w:t>
      </w:r>
      <w:r>
        <w:rPr>
          <w:rFonts w:ascii="Arial" w:cs="Arial" w:eastAsia="Arial" w:hAnsi="Arial"/>
          <w:sz w:val="17"/>
          <w:szCs w:val="17"/>
          <w:color w:val="auto"/>
        </w:rPr>
        <w:t>10 percent of the combined voting power of all classes of stock of the Company or any parent of the Company or any Subsidiary.</w:t>
      </w:r>
    </w:p>
    <w:p>
      <w:pPr>
        <w:spacing w:after="0" w:line="147" w:lineRule="exact"/>
        <w:rPr>
          <w:sz w:val="20"/>
          <w:szCs w:val="20"/>
          <w:color w:val="auto"/>
        </w:rPr>
      </w:pPr>
    </w:p>
    <w:p>
      <w:pPr>
        <w:ind w:right="300" w:firstLine="456"/>
        <w:spacing w:after="0" w:line="293" w:lineRule="auto"/>
        <w:rPr>
          <w:sz w:val="20"/>
          <w:szCs w:val="20"/>
          <w:color w:val="auto"/>
        </w:rPr>
      </w:pPr>
      <w:r>
        <w:rPr>
          <w:rFonts w:ascii="Arial" w:cs="Arial" w:eastAsia="Arial" w:hAnsi="Arial"/>
          <w:sz w:val="16"/>
          <w:szCs w:val="16"/>
          <w:i w:val="1"/>
          <w:iCs w:val="1"/>
          <w:color w:val="auto"/>
        </w:rPr>
        <w:t xml:space="preserve">“Termination Event” </w:t>
      </w:r>
      <w:r>
        <w:rPr>
          <w:rFonts w:ascii="Arial" w:cs="Arial" w:eastAsia="Arial" w:hAnsi="Arial"/>
          <w:sz w:val="16"/>
          <w:szCs w:val="16"/>
          <w:color w:val="auto"/>
        </w:rPr>
        <w:t>means the termination of the Award recipient’s Service Relationship with the Company and its Subsidiaries for any reason</w:t>
      </w:r>
      <w:r>
        <w:rPr>
          <w:rFonts w:ascii="Arial" w:cs="Arial" w:eastAsia="Arial" w:hAnsi="Arial"/>
          <w:sz w:val="16"/>
          <w:szCs w:val="16"/>
          <w:i w:val="1"/>
          <w:iCs w:val="1"/>
          <w:color w:val="auto"/>
        </w:rPr>
        <w:t xml:space="preserve"> </w:t>
      </w:r>
      <w:r>
        <w:rPr>
          <w:rFonts w:ascii="Arial" w:cs="Arial" w:eastAsia="Arial" w:hAnsi="Arial"/>
          <w:sz w:val="16"/>
          <w:szCs w:val="16"/>
          <w:color w:val="auto"/>
        </w:rPr>
        <w:t>whatsoever, regardless of the circumstances thereof, and including, without limitation, upon death, disability, retirement, discharge or resignation for any reason, whether voluntarily or involuntarily. The following shall not constitute a Termination Event: (i) a transfer to the service of the Company from a Subsidiary or from the Company to a Subsidiary, or from one Subsidiary to another Subsidiary or (ii) an approved leave of absence for military service or sickness, or for any other purpose approved by the Committee, if the individual’s right to re-employment is guaranteed either by a statute or by contract or under the policy pursuant to which the leave of absence was granted or if the Committee otherwise so provides in writing.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Stock Award”</w:t>
      </w:r>
      <w:r>
        <w:rPr>
          <w:rFonts w:ascii="Arial" w:cs="Arial" w:eastAsia="Arial" w:hAnsi="Arial"/>
          <w:sz w:val="16"/>
          <w:szCs w:val="16"/>
          <w:color w:val="auto"/>
        </w:rPr>
        <w:t xml:space="preserve"> means any Award granted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and </w:t>
      </w:r>
      <w:r>
        <w:rPr>
          <w:rFonts w:ascii="Arial" w:cs="Arial" w:eastAsia="Arial" w:hAnsi="Arial"/>
          <w:sz w:val="16"/>
          <w:szCs w:val="16"/>
          <w:i w:val="1"/>
          <w:iCs w:val="1"/>
          <w:color w:val="auto"/>
        </w:rPr>
        <w:t>“Unrestricted Stock”</w:t>
      </w:r>
      <w:r>
        <w:rPr>
          <w:rFonts w:ascii="Arial" w:cs="Arial" w:eastAsia="Arial" w:hAnsi="Arial"/>
          <w:sz w:val="16"/>
          <w:szCs w:val="16"/>
          <w:color w:val="auto"/>
        </w:rPr>
        <w:t xml:space="preserve"> means Shares issued pursuant to such Awards.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ADMINISTRATION OF PLAN; COMMITTEE AUTHORITY TO SELECT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GRANTEES AND DETERMINE AWARDS</w:t>
      </w:r>
    </w:p>
    <w:p>
      <w:pPr>
        <w:spacing w:after="0" w:line="211" w:lineRule="exact"/>
        <w:rPr>
          <w:sz w:val="20"/>
          <w:szCs w:val="20"/>
          <w:color w:val="auto"/>
        </w:rPr>
      </w:pPr>
    </w:p>
    <w:p>
      <w:pPr>
        <w:jc w:val="both"/>
        <w:ind w:right="220" w:firstLine="464"/>
        <w:spacing w:after="0" w:line="264" w:lineRule="auto"/>
        <w:tabs>
          <w:tab w:leader="none" w:pos="701"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 The Plan shall be administered by the Board, or at the discretion of the Board, by a committee of the Board, comprised of not less than two directors. All references herein to the “Committee” shall be deemed to refer to the group then responsible for administration of the Plan at the relevant time (i.e., either the Board of Directors or a committee or committees of the Board, as applicable).</w:t>
      </w:r>
    </w:p>
    <w:p>
      <w:pPr>
        <w:spacing w:after="0" w:line="73" w:lineRule="exact"/>
        <w:rPr>
          <w:rFonts w:ascii="Arial" w:cs="Arial" w:eastAsia="Arial" w:hAnsi="Arial"/>
          <w:sz w:val="18"/>
          <w:szCs w:val="18"/>
          <w:color w:val="auto"/>
        </w:rPr>
      </w:pPr>
    </w:p>
    <w:p>
      <w:pPr>
        <w:ind w:firstLine="464"/>
        <w:spacing w:after="0" w:line="277" w:lineRule="auto"/>
        <w:tabs>
          <w:tab w:leader="none" w:pos="711"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Powers of Committee</w:t>
      </w:r>
      <w:r>
        <w:rPr>
          <w:rFonts w:ascii="Arial" w:cs="Arial" w:eastAsia="Arial" w:hAnsi="Arial"/>
          <w:sz w:val="18"/>
          <w:szCs w:val="18"/>
          <w:color w:val="auto"/>
        </w:rPr>
        <w:t>. The Committee shall have the power and authority to grant Awards consistent with the terms of the Plan, including the power and authority: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45" w:name="page346"/>
    <w:bookmarkEnd w:id="345"/>
    <w:p>
      <w:pPr>
        <w:ind w:left="1140" w:hanging="219"/>
        <w:spacing w:after="0"/>
        <w:tabs>
          <w:tab w:leader="none" w:pos="11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select the individuals to whom Awards may from time to time be granted;</w:t>
      </w:r>
    </w:p>
    <w:p>
      <w:pPr>
        <w:spacing w:after="0" w:line="117" w:lineRule="exact"/>
        <w:rPr>
          <w:rFonts w:ascii="Arial" w:cs="Arial" w:eastAsia="Arial" w:hAnsi="Arial"/>
          <w:sz w:val="18"/>
          <w:szCs w:val="18"/>
          <w:color w:val="auto"/>
        </w:rPr>
      </w:pPr>
    </w:p>
    <w:p>
      <w:pPr>
        <w:ind w:right="260" w:firstLine="921"/>
        <w:spacing w:after="0" w:line="308" w:lineRule="auto"/>
        <w:tabs>
          <w:tab w:leader="none" w:pos="1178"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to determine the time or times of grant, and the amount, if any, of Incentive Stock Options, Non-Qualified Stock Options, Restricted Stock Awards, Unrestricted Stock Awards, Restricted Stock Units, or any combination of the foregoing, granted to any one or more grantees;</w:t>
      </w:r>
    </w:p>
    <w:p>
      <w:pPr>
        <w:spacing w:after="0" w:line="38" w:lineRule="exact"/>
        <w:rPr>
          <w:rFonts w:ascii="Arial" w:cs="Arial" w:eastAsia="Arial" w:hAnsi="Arial"/>
          <w:sz w:val="17"/>
          <w:szCs w:val="17"/>
          <w:color w:val="auto"/>
        </w:rPr>
      </w:pPr>
    </w:p>
    <w:p>
      <w:pPr>
        <w:ind w:right="820" w:firstLine="921"/>
        <w:spacing w:after="0" w:line="277" w:lineRule="auto"/>
        <w:tabs>
          <w:tab w:leader="none" w:pos="122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any Award and, subject to the provisions of the Plan, the price, exercise price, conversion ratio or other price relating thereto;</w:t>
      </w:r>
    </w:p>
    <w:p>
      <w:pPr>
        <w:spacing w:after="0" w:line="62" w:lineRule="exact"/>
        <w:rPr>
          <w:rFonts w:ascii="Arial" w:cs="Arial" w:eastAsia="Arial" w:hAnsi="Arial"/>
          <w:sz w:val="18"/>
          <w:szCs w:val="18"/>
          <w:color w:val="auto"/>
        </w:rPr>
      </w:pPr>
    </w:p>
    <w:p>
      <w:pPr>
        <w:ind w:firstLine="921"/>
        <w:spacing w:after="0" w:line="264" w:lineRule="auto"/>
        <w:tabs>
          <w:tab w:leader="none" w:pos="121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to determine and, subject to </w:t>
      </w:r>
      <w:r>
        <w:rPr>
          <w:rFonts w:ascii="Arial" w:cs="Arial" w:eastAsia="Arial" w:hAnsi="Arial"/>
          <w:sz w:val="18"/>
          <w:szCs w:val="18"/>
          <w:u w:val="single" w:color="auto"/>
          <w:color w:val="auto"/>
        </w:rPr>
        <w:t>Section 12</w:t>
      </w:r>
      <w:r>
        <w:rPr>
          <w:rFonts w:ascii="Arial" w:cs="Arial" w:eastAsia="Arial" w:hAnsi="Arial"/>
          <w:sz w:val="18"/>
          <w:szCs w:val="18"/>
          <w:color w:val="auto"/>
        </w:rPr>
        <w:t>, to modify from time to time the terms and conditions, including restrictions, not inconsistent with the terms of the Plan, of any Award, which terms and conditions may differ among individual Awards and grantees, and to approve the form of Award Agreements;</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to impose any limitations on Awards, including limitations on transfers, repurchase provisions and the like, and to exercise repurchase rights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obligations;</w:t>
      </w:r>
    </w:p>
    <w:p>
      <w:pPr>
        <w:spacing w:after="0" w:line="102" w:lineRule="exact"/>
        <w:rPr>
          <w:rFonts w:ascii="Arial" w:cs="Arial" w:eastAsia="Arial" w:hAnsi="Arial"/>
          <w:sz w:val="16"/>
          <w:szCs w:val="16"/>
          <w:color w:val="auto"/>
        </w:rPr>
      </w:pPr>
    </w:p>
    <w:p>
      <w:pPr>
        <w:ind w:left="1280" w:hanging="359"/>
        <w:spacing w:after="0"/>
        <w:tabs>
          <w:tab w:leader="none" w:pos="128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5(a)(ii)</w:t>
      </w:r>
      <w:r>
        <w:rPr>
          <w:rFonts w:ascii="Arial" w:cs="Arial" w:eastAsia="Arial" w:hAnsi="Arial"/>
          <w:sz w:val="16"/>
          <w:szCs w:val="16"/>
          <w:color w:val="auto"/>
        </w:rPr>
        <w:t xml:space="preserve"> and any restrictions imposed by Section 409A, to extend at any time the period in which Stock Options may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exercised; and</w:t>
      </w:r>
    </w:p>
    <w:p>
      <w:pPr>
        <w:spacing w:after="0" w:line="102" w:lineRule="exact"/>
        <w:rPr>
          <w:rFonts w:ascii="Arial" w:cs="Arial" w:eastAsia="Arial" w:hAnsi="Arial"/>
          <w:sz w:val="16"/>
          <w:szCs w:val="16"/>
          <w:color w:val="auto"/>
        </w:rPr>
      </w:pPr>
    </w:p>
    <w:p>
      <w:pPr>
        <w:ind w:right="40" w:firstLine="921"/>
        <w:spacing w:after="0" w:line="259" w:lineRule="auto"/>
        <w:tabs>
          <w:tab w:leader="none" w:pos="131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Award Agreements); to make all determinations it deems advisable for the administration of the Plan; to decide all disputes arising in connection with the Plan; and to otherwise supervise the administration of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decisions and interpretations of the Committee shall be binding on all persons, including the Company and all Holders.</w:t>
      </w:r>
    </w:p>
    <w:p>
      <w:pPr>
        <w:spacing w:after="0" w:line="117" w:lineRule="exact"/>
        <w:rPr>
          <w:sz w:val="20"/>
          <w:szCs w:val="20"/>
          <w:color w:val="auto"/>
        </w:rPr>
      </w:pPr>
    </w:p>
    <w:p>
      <w:pPr>
        <w:ind w:left="700" w:hanging="236"/>
        <w:spacing w:after="0"/>
        <w:tabs>
          <w:tab w:leader="none" w:pos="700"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Award Agreement</w:t>
      </w:r>
      <w:r>
        <w:rPr>
          <w:rFonts w:ascii="Arial" w:cs="Arial" w:eastAsia="Arial" w:hAnsi="Arial"/>
          <w:sz w:val="16"/>
          <w:szCs w:val="16"/>
          <w:color w:val="auto"/>
        </w:rPr>
        <w:t>. Awards under the Plan shall be evidenced by Award Agreements that set forth the terms, conditions and limitations for each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Award.</w:t>
      </w:r>
    </w:p>
    <w:p>
      <w:pPr>
        <w:spacing w:after="0" w:line="102" w:lineRule="exact"/>
        <w:rPr>
          <w:rFonts w:ascii="Arial" w:cs="Arial" w:eastAsia="Arial" w:hAnsi="Arial"/>
          <w:sz w:val="16"/>
          <w:szCs w:val="16"/>
          <w:color w:val="auto"/>
        </w:rPr>
      </w:pPr>
    </w:p>
    <w:p>
      <w:pPr>
        <w:ind w:right="180" w:firstLine="464"/>
        <w:spacing w:after="0" w:line="273" w:lineRule="auto"/>
        <w:tabs>
          <w:tab w:leader="none" w:pos="711"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Neither the Board nor the Committee, nor any member of either or any delegate thereof, shall be liable for any act, omission, interpretation, construction or determination made in good faith in connection with the Plan, and the members of the Board and the Committee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governing documents, including its certificate of incorporation or bylaws, or any directors’ and officers’ liability insurance coverage which may be in effect from time to time and/or any indemnification agreement between such individual and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46" w:name="page347"/>
    <w:bookmarkEnd w:id="346"/>
    <w:p>
      <w:pPr>
        <w:ind w:left="-20" w:right="80" w:firstLine="464"/>
        <w:spacing w:after="0" w:line="253" w:lineRule="auto"/>
        <w:tabs>
          <w:tab w:leader="none" w:pos="681"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Foreign Award Recipients</w:t>
      </w:r>
      <w:r>
        <w:rPr>
          <w:rFonts w:ascii="Arial" w:cs="Arial" w:eastAsia="Arial" w:hAnsi="Arial"/>
          <w:sz w:val="18"/>
          <w:szCs w:val="18"/>
          <w:color w:val="auto"/>
        </w:rPr>
        <w:t xml:space="preserve">. Notwithstanding any provision of the Plan to the contrary, in order to comply with the laws in other countries in which the Company and any Subsidiary operate or have employees or other individuals eligible for Awards, the Committee, in its sole discretion, shall have the power and authority to: (i) determine which Subsidiaries, if any, shall be covered by the Plan; (ii) determine which individuals, if any,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Committee determines such actions to be necessary or advisable (and such subplans and/or modifications shall be attached to the Plan as appendices);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such subplans and/or modifications shall increase the share limitation contained in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hereof; and (v) take any action, before or after an Award is made, that the Committee determines to be necessary or advisable to obtain approval or comply with any local governmental regulatory exemptions or approvals.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STOCK ISSUABLE UNDER THE PLAN; MERGERS AND OTHER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TRANSACTIONS; SUBSTITUTION</w:t>
      </w:r>
    </w:p>
    <w:p>
      <w:pPr>
        <w:spacing w:after="0" w:line="211" w:lineRule="exact"/>
        <w:rPr>
          <w:sz w:val="20"/>
          <w:szCs w:val="20"/>
          <w:color w:val="auto"/>
        </w:rPr>
      </w:pPr>
    </w:p>
    <w:p>
      <w:pPr>
        <w:ind w:left="-20" w:firstLine="464"/>
        <w:spacing w:after="0" w:line="271" w:lineRule="auto"/>
        <w:tabs>
          <w:tab w:leader="none" w:pos="681" w:val="left"/>
        </w:tabs>
        <w:numPr>
          <w:ilvl w:val="0"/>
          <w:numId w:val="233"/>
        </w:numPr>
        <w:rPr>
          <w:rFonts w:ascii="Arial" w:cs="Arial" w:eastAsia="Arial" w:hAnsi="Arial"/>
          <w:sz w:val="17"/>
          <w:szCs w:val="17"/>
          <w:color w:val="auto"/>
        </w:rPr>
      </w:pPr>
      <w:r>
        <w:rPr>
          <w:rFonts w:ascii="Arial" w:cs="Arial" w:eastAsia="Arial" w:hAnsi="Arial"/>
          <w:sz w:val="17"/>
          <w:szCs w:val="17"/>
          <w:u w:val="single" w:color="auto"/>
          <w:color w:val="auto"/>
        </w:rPr>
        <w:t>Stock Issuable</w:t>
      </w:r>
      <w:r>
        <w:rPr>
          <w:rFonts w:ascii="Arial" w:cs="Arial" w:eastAsia="Arial" w:hAnsi="Arial"/>
          <w:sz w:val="17"/>
          <w:szCs w:val="17"/>
          <w:color w:val="auto"/>
        </w:rPr>
        <w:t>. The maximum number of Shares reserved and available for issuance under the Plan shall be 3,361,345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33,613,450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3,361,345 Shares shall be granted to any one individual in any calendar year period.</w:t>
      </w:r>
    </w:p>
    <w:p>
      <w:pPr>
        <w:spacing w:after="0" w:line="70" w:lineRule="exact"/>
        <w:rPr>
          <w:rFonts w:ascii="Arial" w:cs="Arial" w:eastAsia="Arial" w:hAnsi="Arial"/>
          <w:sz w:val="17"/>
          <w:szCs w:val="17"/>
          <w:color w:val="auto"/>
        </w:rPr>
      </w:pPr>
    </w:p>
    <w:p>
      <w:pPr>
        <w:ind w:left="-20" w:right="140" w:firstLine="464"/>
        <w:spacing w:after="0" w:line="271" w:lineRule="auto"/>
        <w:tabs>
          <w:tab w:leader="none" w:pos="691" w:val="left"/>
        </w:tabs>
        <w:numPr>
          <w:ilvl w:val="0"/>
          <w:numId w:val="233"/>
        </w:numPr>
        <w:rPr>
          <w:rFonts w:ascii="Arial" w:cs="Arial" w:eastAsia="Arial" w:hAnsi="Arial"/>
          <w:sz w:val="17"/>
          <w:szCs w:val="17"/>
          <w:color w:val="auto"/>
        </w:rPr>
      </w:pPr>
      <w:r>
        <w:rPr>
          <w:rFonts w:ascii="Arial" w:cs="Arial" w:eastAsia="Arial" w:hAnsi="Arial"/>
          <w:sz w:val="17"/>
          <w:szCs w:val="17"/>
          <w:u w:val="single" w:color="auto"/>
          <w:color w:val="auto"/>
        </w:rPr>
        <w:t>Changes in Stock</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hereof, if, as a result of any reorganization, recapitalization, reclassification, stock dividend, stock split, reverse stock split or other similar change in the Company’s capital stock,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in each case, without the receipt of consideration by the Company, or, if, as a result of any merger or consolidation, or sale of all or substantially all of the assets of the Company, the outstanding Shares are converted into or exchanged for other securities of the Company or any successor entity (or a parent or subsidiary thereof), the Committee shall make an appropriate and proportionate adjustment in (i) the maximum number of Shares reserved for issuance under the Plan, (ii) the number and kind of Shares or other securities subject to any then outstanding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4" w:right="259" w:bottom="1440" w:gutter="0" w:footer="0" w:header="0"/>
        </w:sectPr>
      </w:pPr>
    </w:p>
    <w:bookmarkStart w:id="347" w:name="page348"/>
    <w:bookmarkEnd w:id="347"/>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Awards under the Plan, (iii) the repurchase price, if any, per Share subject to each outstanding Award, and (iv) the exercise price for each Share subject to any then outstanding Stock Options under the Plan, without changing the aggregate exercise price (i.e., the exercise price multiplied by the number of Stock Options) as to which such Stock Options remain exercisable. The Committee shall in any event make such adjustments as may be required by</w:t>
      </w:r>
    </w:p>
    <w:p>
      <w:pPr>
        <w:spacing w:after="0" w:line="255" w:lineRule="auto"/>
        <w:rPr>
          <w:sz w:val="20"/>
          <w:szCs w:val="20"/>
          <w:color w:val="auto"/>
        </w:rPr>
      </w:pPr>
      <w:r>
        <w:rPr>
          <w:rFonts w:ascii="Arial" w:cs="Arial" w:eastAsia="Arial" w:hAnsi="Arial"/>
          <w:sz w:val="18"/>
          <w:szCs w:val="18"/>
          <w:color w:val="auto"/>
        </w:rPr>
        <w:t>Section 25102(o) of the California Corporation Code and the rules and regulations promulgated thereunder. The adjustment by the Committee shall be final, binding and conclusive. No fractional Shares shall be issued under the Plan resulting from any such adjustment, but the Committee in its discretion may make a cash payment in lieu of fractional shares.</w:t>
      </w:r>
    </w:p>
    <w:p>
      <w:pPr>
        <w:spacing w:after="0" w:line="82" w:lineRule="exact"/>
        <w:rPr>
          <w:sz w:val="20"/>
          <w:szCs w:val="20"/>
          <w:color w:val="auto"/>
        </w:rPr>
      </w:pPr>
    </w:p>
    <w:p>
      <w:pPr>
        <w:ind w:left="700" w:hanging="236"/>
        <w:spacing w:after="0"/>
        <w:tabs>
          <w:tab w:leader="none" w:pos="70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Sale Events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20" w:firstLine="881"/>
        <w:spacing w:after="0" w:line="257" w:lineRule="auto"/>
        <w:tabs>
          <w:tab w:leader="none" w:pos="1631" w:val="left"/>
        </w:tabs>
        <w:numPr>
          <w:ilvl w:val="2"/>
          <w:numId w:val="234"/>
        </w:numPr>
        <w:rPr>
          <w:rFonts w:ascii="Arial" w:cs="Arial" w:eastAsia="Arial" w:hAnsi="Arial"/>
          <w:sz w:val="18"/>
          <w:szCs w:val="18"/>
          <w:color w:val="auto"/>
        </w:rPr>
      </w:pPr>
      <w:r>
        <w:rPr>
          <w:rFonts w:ascii="Arial" w:cs="Arial" w:eastAsia="Arial" w:hAnsi="Arial"/>
          <w:sz w:val="18"/>
          <w:szCs w:val="18"/>
          <w:color w:val="auto"/>
        </w:rPr>
        <w:t>In the case of and subject to the consummation of a Sale Event, the Plan and all outstanding Options issued hereunder shall terminate upon the effective time of any such Sale Event unless assumed or continued by the successor entity, or new stock options or other awards of the successor entity or parent thereof are substituted therefor, with an equitable or proportionate adjustment as to the number and kind of shares and, if appropriate, the per share exercise prices, as such parties shall agree (after taking into account any acceleration hereunder and/or pursuant to the terms of any Award Agreement).</w:t>
      </w:r>
    </w:p>
    <w:p>
      <w:pPr>
        <w:spacing w:after="0" w:line="80" w:lineRule="exact"/>
        <w:rPr>
          <w:rFonts w:ascii="Arial" w:cs="Arial" w:eastAsia="Arial" w:hAnsi="Arial"/>
          <w:sz w:val="18"/>
          <w:szCs w:val="18"/>
          <w:color w:val="auto"/>
        </w:rPr>
      </w:pPr>
    </w:p>
    <w:p>
      <w:pPr>
        <w:ind w:left="460" w:right="360" w:firstLine="881"/>
        <w:spacing w:after="0" w:line="279" w:lineRule="auto"/>
        <w:tabs>
          <w:tab w:leader="none" w:pos="1621" w:val="left"/>
        </w:tabs>
        <w:numPr>
          <w:ilvl w:val="2"/>
          <w:numId w:val="234"/>
        </w:numPr>
        <w:rPr>
          <w:rFonts w:ascii="Arial" w:cs="Arial" w:eastAsia="Arial" w:hAnsi="Arial"/>
          <w:sz w:val="17"/>
          <w:szCs w:val="17"/>
          <w:color w:val="auto"/>
        </w:rPr>
      </w:pPr>
      <w:r>
        <w:rPr>
          <w:rFonts w:ascii="Arial" w:cs="Arial" w:eastAsia="Arial" w:hAnsi="Arial"/>
          <w:sz w:val="17"/>
          <w:szCs w:val="17"/>
          <w:color w:val="auto"/>
        </w:rPr>
        <w:t xml:space="preserve">In the event of the termination of the Plan and all outstanding Options issued hereunder pursuant to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each Holder of Options shall be permitted, within a period of time prior to the consummation of the Sale Event as specified by the Committee, to exercise all such Options which are then exercisable or will become exercisable as of the effective time of the Sale Event;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exercise of Options not exercisable prior to the Sale Event shall be subject to the consummation of the Sale Event.</w:t>
      </w:r>
    </w:p>
    <w:p>
      <w:pPr>
        <w:spacing w:after="0" w:line="63" w:lineRule="exact"/>
        <w:rPr>
          <w:rFonts w:ascii="Arial" w:cs="Arial" w:eastAsia="Arial" w:hAnsi="Arial"/>
          <w:sz w:val="17"/>
          <w:szCs w:val="17"/>
          <w:color w:val="auto"/>
        </w:rPr>
      </w:pPr>
    </w:p>
    <w:p>
      <w:pPr>
        <w:ind w:left="460" w:right="120" w:firstLine="881"/>
        <w:spacing w:after="0" w:line="273" w:lineRule="auto"/>
        <w:tabs>
          <w:tab w:leader="none" w:pos="1621" w:val="left"/>
        </w:tabs>
        <w:numPr>
          <w:ilvl w:val="2"/>
          <w:numId w:val="234"/>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w:t>
      </w:r>
      <w:r>
        <w:rPr>
          <w:rFonts w:ascii="Arial" w:cs="Arial" w:eastAsia="Arial" w:hAnsi="Arial"/>
          <w:sz w:val="17"/>
          <w:szCs w:val="17"/>
          <w:u w:val="single" w:color="auto"/>
          <w:color w:val="auto"/>
        </w:rPr>
        <w:t>Section 3(c)(i)(A)</w:t>
      </w:r>
      <w:r>
        <w:rPr>
          <w:rFonts w:ascii="Arial" w:cs="Arial" w:eastAsia="Arial" w:hAnsi="Arial"/>
          <w:sz w:val="17"/>
          <w:szCs w:val="17"/>
          <w:color w:val="auto"/>
        </w:rPr>
        <w:t>, in the event of a Sale Event, the Company shall have the right, but not the obligation, to make or provide for a cash payment to the Holders of Options, without any consent of the Holders, in exchange for the cancellation thereof, in an amount equal to the difference between (A) the value as determined by the Committee of the consideration payable per share of Stock pursuant to the Sale Event (the “</w:t>
      </w:r>
      <w:r>
        <w:rPr>
          <w:rFonts w:ascii="Arial" w:cs="Arial" w:eastAsia="Arial" w:hAnsi="Arial"/>
          <w:sz w:val="17"/>
          <w:szCs w:val="17"/>
          <w:u w:val="single" w:color="auto"/>
          <w:color w:val="auto"/>
        </w:rPr>
        <w:t>Sale Price</w:t>
      </w:r>
      <w:r>
        <w:rPr>
          <w:rFonts w:ascii="Arial" w:cs="Arial" w:eastAsia="Arial" w:hAnsi="Arial"/>
          <w:sz w:val="17"/>
          <w:szCs w:val="17"/>
          <w:color w:val="auto"/>
        </w:rPr>
        <w:t>”) times the number of Shares subject to outstanding Options being cancelled (to the extent then vested and exercisable, including by reason of acceleration in connection with such Sale Event, at prices not in excess of the Sale Price) and (B) the aggregate exercise price of all such outstanding vested and exercisable Options.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3" w:right="279" w:bottom="1440" w:gutter="0" w:footer="0" w:header="0"/>
        </w:sectPr>
      </w:pPr>
    </w:p>
    <w:bookmarkStart w:id="348" w:name="page349"/>
    <w:bookmarkEnd w:id="348"/>
    <w:p>
      <w:pPr>
        <w:ind w:left="1180" w:hanging="259"/>
        <w:spacing w:after="0"/>
        <w:tabs>
          <w:tab w:leader="none" w:pos="118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Stock and Restricted Stock Unit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881"/>
        <w:spacing w:after="0" w:line="276" w:lineRule="auto"/>
        <w:tabs>
          <w:tab w:leader="none" w:pos="1631" w:val="left"/>
        </w:tabs>
        <w:numPr>
          <w:ilvl w:val="1"/>
          <w:numId w:val="235"/>
        </w:numPr>
        <w:rPr>
          <w:rFonts w:ascii="Arial" w:cs="Arial" w:eastAsia="Arial" w:hAnsi="Arial"/>
          <w:sz w:val="17"/>
          <w:szCs w:val="17"/>
          <w:color w:val="auto"/>
        </w:rPr>
      </w:pPr>
      <w:r>
        <w:rPr>
          <w:rFonts w:ascii="Arial" w:cs="Arial" w:eastAsia="Arial" w:hAnsi="Arial"/>
          <w:sz w:val="17"/>
          <w:szCs w:val="17"/>
          <w:color w:val="auto"/>
        </w:rPr>
        <w:t>In the case of and subject to the consummation of a Sale Event, all Restricted Stock and unvested Restricted Stock Unit Awards (other than those becoming vested as a result of the Sale Event) issued hereunder shall be forfeited immediately prior to the effective time of any such Sale Event unless assumed or continued by the successor entity, or awards of the successor entity or parent thereof are substituted therefor, with an equitable or proportionate adjustment as to the number and kind of shares subject to such awards as such parties shall agree (after taking into account any acceleration hereunder and/or pursuant to the terms of any Award Agreement).</w:t>
      </w:r>
    </w:p>
    <w:p>
      <w:pPr>
        <w:spacing w:after="0" w:line="64" w:lineRule="exact"/>
        <w:rPr>
          <w:rFonts w:ascii="Arial" w:cs="Arial" w:eastAsia="Arial" w:hAnsi="Arial"/>
          <w:sz w:val="17"/>
          <w:szCs w:val="17"/>
          <w:color w:val="auto"/>
        </w:rPr>
      </w:pPr>
    </w:p>
    <w:p>
      <w:pPr>
        <w:jc w:val="both"/>
        <w:ind w:left="460" w:right="180" w:firstLine="881"/>
        <w:spacing w:after="0" w:line="286" w:lineRule="auto"/>
        <w:tabs>
          <w:tab w:leader="none" w:pos="1621" w:val="left"/>
        </w:tabs>
        <w:numPr>
          <w:ilvl w:val="1"/>
          <w:numId w:val="235"/>
        </w:numPr>
        <w:rPr>
          <w:rFonts w:ascii="Arial" w:cs="Arial" w:eastAsia="Arial" w:hAnsi="Arial"/>
          <w:sz w:val="17"/>
          <w:szCs w:val="17"/>
          <w:color w:val="auto"/>
        </w:rPr>
      </w:pPr>
      <w:r>
        <w:rPr>
          <w:rFonts w:ascii="Arial" w:cs="Arial" w:eastAsia="Arial" w:hAnsi="Arial"/>
          <w:sz w:val="17"/>
          <w:szCs w:val="17"/>
          <w:color w:val="auto"/>
        </w:rPr>
        <w:t xml:space="preserve">In the event of the forfeiture of Restricted Stock pursuant to </w:t>
      </w:r>
      <w:r>
        <w:rPr>
          <w:rFonts w:ascii="Arial" w:cs="Arial" w:eastAsia="Arial" w:hAnsi="Arial"/>
          <w:sz w:val="17"/>
          <w:szCs w:val="17"/>
          <w:u w:val="single" w:color="auto"/>
          <w:color w:val="auto"/>
        </w:rPr>
        <w:t>Section 3(c)(ii)(A)</w:t>
      </w:r>
      <w:r>
        <w:rPr>
          <w:rFonts w:ascii="Arial" w:cs="Arial" w:eastAsia="Arial" w:hAnsi="Arial"/>
          <w:sz w:val="17"/>
          <w:szCs w:val="17"/>
          <w:color w:val="auto"/>
        </w:rPr>
        <w:t xml:space="preserve">, such Restricted Stock shall be repurchased from the Holder thereof at a price per share equal to the lower of the original per share purchase price paid by the Holder (subject to adjustment as provided in </w:t>
      </w:r>
      <w:r>
        <w:rPr>
          <w:rFonts w:ascii="Arial" w:cs="Arial" w:eastAsia="Arial" w:hAnsi="Arial"/>
          <w:sz w:val="17"/>
          <w:szCs w:val="17"/>
          <w:u w:val="single" w:color="auto"/>
          <w:color w:val="auto"/>
        </w:rPr>
        <w:t>Section 3(b)</w:t>
      </w:r>
      <w:r>
        <w:rPr>
          <w:rFonts w:ascii="Arial" w:cs="Arial" w:eastAsia="Arial" w:hAnsi="Arial"/>
          <w:sz w:val="17"/>
          <w:szCs w:val="17"/>
          <w:color w:val="auto"/>
        </w:rPr>
        <w:t>) or the current Fair Market Value of such Shares, determined immediately prior to the effective time of the Sale Event.</w:t>
      </w:r>
    </w:p>
    <w:p>
      <w:pPr>
        <w:spacing w:after="0" w:line="57" w:lineRule="exact"/>
        <w:rPr>
          <w:rFonts w:ascii="Arial" w:cs="Arial" w:eastAsia="Arial" w:hAnsi="Arial"/>
          <w:sz w:val="17"/>
          <w:szCs w:val="17"/>
          <w:color w:val="auto"/>
        </w:rPr>
      </w:pPr>
    </w:p>
    <w:p>
      <w:pPr>
        <w:ind w:left="460" w:right="20" w:firstLine="881"/>
        <w:spacing w:after="0" w:line="259" w:lineRule="auto"/>
        <w:tabs>
          <w:tab w:leader="none" w:pos="1621"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w:t>
      </w:r>
      <w:r>
        <w:rPr>
          <w:rFonts w:ascii="Arial" w:cs="Arial" w:eastAsia="Arial" w:hAnsi="Arial"/>
          <w:sz w:val="18"/>
          <w:szCs w:val="18"/>
          <w:u w:val="single" w:color="auto"/>
          <w:color w:val="auto"/>
        </w:rPr>
        <w:t>Section 3(c)(ii)(A)</w:t>
      </w:r>
      <w:r>
        <w:rPr>
          <w:rFonts w:ascii="Arial" w:cs="Arial" w:eastAsia="Arial" w:hAnsi="Arial"/>
          <w:sz w:val="18"/>
          <w:szCs w:val="18"/>
          <w:color w:val="auto"/>
        </w:rPr>
        <w:t>, in the event of a Sale Event, the Company shall have the right, but not the obligation, to make or provide for a cash payment to the Holders of Restricted Stock or Restricted Stock Unit Awards, without consent of the Holders, in exchange for the cancellation thereof, in an amount equal to the Sale Price times the number of Shares subject to such Awards, to be paid at the time of such Sale Event or upon the later vesting of such Awards.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ELIGIBILITY</w:t>
      </w:r>
    </w:p>
    <w:p>
      <w:pPr>
        <w:spacing w:after="0" w:line="22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 xml:space="preserve">Grantees under the Plan will be such full or part-time officers and other employees, directors, Consultants and key persons of the Company and any Subsidiary who are selected from time to time by the Committee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Awards shall be granted only to those individuals described in Rule 701(c) of the Securities Act.</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Upon the grant of a Stock Option, the Company and the grantee shall enter into an Award Agreement. The terms and conditions of each such Award Agreement shall be determined by the Committee, and such terms and conditions may differ among individual Awards and grantees.</w:t>
      </w:r>
    </w:p>
    <w:p>
      <w:pPr>
        <w:spacing w:after="0" w:line="14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73" w:lineRule="exact"/>
        <w:rPr>
          <w:sz w:val="20"/>
          <w:szCs w:val="20"/>
          <w:color w:val="auto"/>
        </w:rPr>
      </w:pPr>
    </w:p>
    <w:p>
      <w:pPr>
        <w:ind w:right="140" w:firstLine="464"/>
        <w:spacing w:after="0" w:line="264" w:lineRule="auto"/>
        <w:tabs>
          <w:tab w:leader="none" w:pos="701"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Terms of Stock Options</w:t>
      </w:r>
      <w:r>
        <w:rPr>
          <w:rFonts w:ascii="Arial" w:cs="Arial" w:eastAsia="Arial" w:hAnsi="Arial"/>
          <w:sz w:val="18"/>
          <w:szCs w:val="18"/>
          <w:color w:val="auto"/>
        </w:rPr>
        <w:t xml:space="preserve">. The Committee in its discretion may grant Stock Options to those individuals who meet the eligibility requirements of </w:t>
      </w:r>
      <w:r>
        <w:rPr>
          <w:rFonts w:ascii="Arial" w:cs="Arial" w:eastAsia="Arial" w:hAnsi="Arial"/>
          <w:sz w:val="18"/>
          <w:szCs w:val="18"/>
          <w:u w:val="single" w:color="auto"/>
          <w:color w:val="auto"/>
        </w:rPr>
        <w:t>Section 4</w:t>
      </w:r>
      <w:r>
        <w:rPr>
          <w:rFonts w:ascii="Arial" w:cs="Arial" w:eastAsia="Arial" w:hAnsi="Arial"/>
          <w:sz w:val="18"/>
          <w:szCs w:val="18"/>
          <w:color w:val="auto"/>
        </w:rPr>
        <w:t>. Stock Options shall be subject to the following terms and conditions and shall contain such additional terms and conditions, not inconsistent with the terms of the Plan, as the Committee shall deem desirable.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349" w:name="page350"/>
    <w:bookmarkEnd w:id="349"/>
    <w:p>
      <w:pPr>
        <w:ind w:right="80" w:firstLine="921"/>
        <w:spacing w:after="0" w:line="259" w:lineRule="auto"/>
        <w:tabs>
          <w:tab w:leader="none" w:pos="1128"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Price</w:t>
      </w:r>
      <w:r>
        <w:rPr>
          <w:rFonts w:ascii="Arial" w:cs="Arial" w:eastAsia="Arial" w:hAnsi="Arial"/>
          <w:sz w:val="18"/>
          <w:szCs w:val="18"/>
          <w:color w:val="auto"/>
        </w:rPr>
        <w:t>. The exercise price per share for the Shares covered by a Stock Option shall be determined by the Committee at the time of grant but shall not be less than 100 percent of the Fair Market Value on the Grant Date. In the case of an Incentive Stock Option that is granted to a Ten Percent Owner, the exercise price per share for the Shares covered by such Incentive Stock Option shall not be less than 110 percent of the Fair Market Value on the Grant Date.</w:t>
      </w:r>
    </w:p>
    <w:p>
      <w:pPr>
        <w:spacing w:after="0" w:line="78" w:lineRule="exact"/>
        <w:rPr>
          <w:rFonts w:ascii="Arial" w:cs="Arial" w:eastAsia="Arial" w:hAnsi="Arial"/>
          <w:sz w:val="18"/>
          <w:szCs w:val="18"/>
          <w:color w:val="auto"/>
        </w:rPr>
      </w:pPr>
    </w:p>
    <w:p>
      <w:pPr>
        <w:ind w:firstLine="921"/>
        <w:spacing w:after="0" w:line="264" w:lineRule="auto"/>
        <w:tabs>
          <w:tab w:leader="none" w:pos="1178"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Committee, but no Stock Option shall be exercisable more than ten years from the Grant Date. In the case of an Incentive Stock Option that is granted to a Ten Percent Owner, the term of such Stock Option shall be no more than five years from the Grant Date.</w:t>
      </w:r>
    </w:p>
    <w:p>
      <w:pPr>
        <w:spacing w:after="0" w:line="73" w:lineRule="exact"/>
        <w:rPr>
          <w:rFonts w:ascii="Arial" w:cs="Arial" w:eastAsia="Arial" w:hAnsi="Arial"/>
          <w:sz w:val="18"/>
          <w:szCs w:val="18"/>
          <w:color w:val="auto"/>
        </w:rPr>
      </w:pPr>
    </w:p>
    <w:p>
      <w:pPr>
        <w:ind w:firstLine="921"/>
        <w:spacing w:after="0" w:line="271" w:lineRule="auto"/>
        <w:tabs>
          <w:tab w:leader="none" w:pos="1228" w:val="left"/>
        </w:tabs>
        <w:numPr>
          <w:ilvl w:val="0"/>
          <w:numId w:val="237"/>
        </w:numPr>
        <w:rPr>
          <w:rFonts w:ascii="Arial" w:cs="Arial" w:eastAsia="Arial" w:hAnsi="Arial"/>
          <w:sz w:val="17"/>
          <w:szCs w:val="17"/>
          <w:color w:val="auto"/>
        </w:rPr>
      </w:pPr>
      <w:r>
        <w:rPr>
          <w:rFonts w:ascii="Arial" w:cs="Arial" w:eastAsia="Arial" w:hAnsi="Arial"/>
          <w:sz w:val="17"/>
          <w:szCs w:val="17"/>
          <w:u w:val="single" w:color="auto"/>
          <w:color w:val="auto"/>
        </w:rPr>
        <w:t>Exercisability; Rights of a Stockholder</w:t>
      </w:r>
      <w:r>
        <w:rPr>
          <w:rFonts w:ascii="Arial" w:cs="Arial" w:eastAsia="Arial" w:hAnsi="Arial"/>
          <w:sz w:val="17"/>
          <w:szCs w:val="17"/>
          <w:color w:val="auto"/>
        </w:rPr>
        <w:t>. Stock Options shall become exercisable and/or vested at such time or times, whether or not in installments, as shall be determined by the Committee at or after the Grant Date. The Award Agreement may permit a grantee to exercise all or a portion of a Stock Option immediately at grant; provided that the Shares issued upon such exercise shall be subject to restrictions and a vesting schedule identical to the vesting schedule of the related Stock Option, such Shares shall be deemed to be Restricted Stock for purposes of the Plan, and the optionee may be required to enter into an additional or new Award Agreement as a condition to exercise of such Stock Option. An optionee shall have the rights of a stockholder only as to Shares acquired upon the exercise of a Stock Option and not as to unexercised Stock Options. An optionee shall not be deemed to have acquired any Shares unless and until a Stock Option shall have been exercised pursuant to the terms of the Award Agreement and this Plan and the optionee’s name has been entered on the books of the Company as a stockholder.</w:t>
      </w:r>
    </w:p>
    <w:p>
      <w:pPr>
        <w:spacing w:after="0" w:line="70" w:lineRule="exact"/>
        <w:rPr>
          <w:rFonts w:ascii="Arial" w:cs="Arial" w:eastAsia="Arial" w:hAnsi="Arial"/>
          <w:sz w:val="17"/>
          <w:szCs w:val="17"/>
          <w:color w:val="auto"/>
        </w:rPr>
      </w:pPr>
    </w:p>
    <w:p>
      <w:pPr>
        <w:jc w:val="both"/>
        <w:ind w:right="200" w:firstLine="921"/>
        <w:spacing w:after="0" w:line="264" w:lineRule="auto"/>
        <w:tabs>
          <w:tab w:leader="none" w:pos="1218"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by an optionee in whole or in part, by the optionee giving written or electronic notice of exercise to the Company, specifying the number of Shares to be purchased. Payment of the purchase price may be made by one or more of the following methods (or any combination thereof) to the extent provided in the Award Agreement:</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In cash, by certified or bank check, by wire transfer of immediately available funds, or other instrument acceptable to the Committee;</w:t>
      </w:r>
    </w:p>
    <w:p>
      <w:pPr>
        <w:spacing w:after="0" w:line="140" w:lineRule="exact"/>
        <w:rPr>
          <w:rFonts w:ascii="Arial" w:cs="Arial" w:eastAsia="Arial" w:hAnsi="Arial"/>
          <w:sz w:val="16"/>
          <w:szCs w:val="16"/>
          <w:color w:val="auto"/>
        </w:rPr>
      </w:pPr>
    </w:p>
    <w:p>
      <w:pPr>
        <w:ind w:left="460" w:firstLine="881"/>
        <w:spacing w:after="0" w:line="286" w:lineRule="auto"/>
        <w:tabs>
          <w:tab w:leader="none" w:pos="1621" w:val="left"/>
        </w:tabs>
        <w:numPr>
          <w:ilvl w:val="1"/>
          <w:numId w:val="237"/>
        </w:numPr>
        <w:rPr>
          <w:rFonts w:ascii="Arial" w:cs="Arial" w:eastAsia="Arial" w:hAnsi="Arial"/>
          <w:sz w:val="17"/>
          <w:szCs w:val="17"/>
          <w:color w:val="auto"/>
        </w:rPr>
      </w:pPr>
      <w:r>
        <w:rPr>
          <w:rFonts w:ascii="Arial" w:cs="Arial" w:eastAsia="Arial" w:hAnsi="Arial"/>
          <w:sz w:val="17"/>
          <w:szCs w:val="17"/>
          <w:color w:val="auto"/>
        </w:rPr>
        <w:t xml:space="preserve">If permitted by the Committee, by the optionee delivering to the Company a promissory note, if the Board has expressly authorized the loan of funds to the optionee for the purpose of enabling or assisting the optionee to effect the exercise of his or her Stock Option; </w:t>
      </w:r>
      <w:r>
        <w:rPr>
          <w:rFonts w:ascii="Arial" w:cs="Arial" w:eastAsia="Arial" w:hAnsi="Arial"/>
          <w:sz w:val="17"/>
          <w:szCs w:val="17"/>
          <w:u w:val="single" w:color="auto"/>
          <w:color w:val="auto"/>
        </w:rPr>
        <w:t>provided</w:t>
      </w:r>
      <w:r>
        <w:rPr>
          <w:rFonts w:ascii="Arial" w:cs="Arial" w:eastAsia="Arial" w:hAnsi="Arial"/>
          <w:sz w:val="17"/>
          <w:szCs w:val="17"/>
          <w:color w:val="auto"/>
        </w:rPr>
        <w:t>, that at least so much of the exercise price as represents the par value of the Stock shall be paid in cash if required by state law;</w:t>
      </w:r>
    </w:p>
    <w:p>
      <w:pPr>
        <w:spacing w:after="0" w:line="57" w:lineRule="exact"/>
        <w:rPr>
          <w:rFonts w:ascii="Arial" w:cs="Arial" w:eastAsia="Arial" w:hAnsi="Arial"/>
          <w:sz w:val="17"/>
          <w:szCs w:val="17"/>
          <w:color w:val="auto"/>
        </w:rPr>
      </w:pPr>
    </w:p>
    <w:p>
      <w:pPr>
        <w:jc w:val="both"/>
        <w:ind w:left="460" w:right="60" w:firstLine="881"/>
        <w:spacing w:after="0" w:line="297" w:lineRule="auto"/>
        <w:tabs>
          <w:tab w:leader="none" w:pos="1621" w:val="left"/>
        </w:tabs>
        <w:numPr>
          <w:ilvl w:val="1"/>
          <w:numId w:val="237"/>
        </w:numPr>
        <w:rPr>
          <w:rFonts w:ascii="Arial" w:cs="Arial" w:eastAsia="Arial" w:hAnsi="Arial"/>
          <w:sz w:val="16"/>
          <w:szCs w:val="16"/>
          <w:color w:val="auto"/>
        </w:rPr>
      </w:pPr>
      <w:r>
        <w:rPr>
          <w:rFonts w:ascii="Arial" w:cs="Arial" w:eastAsia="Arial" w:hAnsi="Arial"/>
          <w:sz w:val="16"/>
          <w:szCs w:val="16"/>
          <w:color w:val="auto"/>
        </w:rPr>
        <w:t>If permitted by the Committee and the Initial Public Offering has occurred (or the Stock otherwise becomes publicly-traded), through the delivery (or attestation to the ownership) of Shares that have been purchased by the optionee on the open market or that are beneficially owned by the optionee and are not then subject to restrictions under any Company plan. To the extent required to avoid variable accounting treatment under ASC 718 or other applicable accounting rules, such surrendered Shares if originally purchased from the Company shall have been owned by the optionee for at least six months. Such surrendered Shares shall be valued at Fair Market Value on the exercise date;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350" w:name="page351"/>
    <w:bookmarkEnd w:id="350"/>
    <w:p>
      <w:pPr>
        <w:ind w:left="460" w:right="240" w:firstLine="881"/>
        <w:spacing w:after="0" w:line="276" w:lineRule="auto"/>
        <w:tabs>
          <w:tab w:leader="none" w:pos="1631" w:val="left"/>
        </w:tabs>
        <w:numPr>
          <w:ilvl w:val="0"/>
          <w:numId w:val="2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permitted by the Committee and the Initial Public Offering has occurred (or the Stock otherwise becomes publicly-traded), by the optionee delivering to the Company a properly executed exercise notice together with irrevocable instructions to a broker to promptly deliver to the Company cash or a check payable and acceptable to the Company for the purchase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or</w:t>
      </w:r>
    </w:p>
    <w:p>
      <w:pPr>
        <w:spacing w:after="0" w:line="64" w:lineRule="exact"/>
        <w:rPr>
          <w:rFonts w:ascii="Arial" w:cs="Arial" w:eastAsia="Arial" w:hAnsi="Arial"/>
          <w:sz w:val="17"/>
          <w:szCs w:val="17"/>
          <w:color w:val="auto"/>
        </w:rPr>
      </w:pPr>
    </w:p>
    <w:p>
      <w:pPr>
        <w:ind w:left="460" w:right="300" w:firstLine="881"/>
        <w:spacing w:after="0" w:line="264" w:lineRule="auto"/>
        <w:tabs>
          <w:tab w:leader="none" w:pos="161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If permitted by the Committee, and only with respect to Stock Options that are not Incentive Stock Options, by a “net exercise” arrangement pursuant to which the Company will reduce the number of Shares issuable upon exercise by the largest whole number of Shares with a Fair Market Value that does not exceed the aggregate exercise price.</w:t>
      </w:r>
    </w:p>
    <w:p>
      <w:pPr>
        <w:spacing w:after="0" w:line="181"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Payment instruments will be received subject to collection. No certificates for Shares so purchased will be issued to the optionee or, with respect to uncertificated Stock, no transfer to the optionee on the records of the Company will take place, until the Company has completed all steps it has deemed necessary to satisfy legal requirements relating to the issuance and sale of the Shares, which steps may include, without limitation, (i) receipt of a representation from the optionee at the time of exercise of the Option that the optionee is purchasing the Shares for the optionee’s own account and not with a view to any sale or distribution of the Shares or other representations relating to compliance with applicable law governing the issuance of securities, (ii) the legending of the certificate (or notation on any book entry) representing the Shares to evidence the foregoing restrictions, and (iii) obtaining from optionee payment or provision for all withholding taxes due as a result of the exercise of the Option. The delivery of certificates representing the shares of Stock (or the transfer to the optionee on the records of the Company with respect to uncertificated Stock) to be purchased pursuant to the exercise of a Stock Option will be contingent upon (A) receipt from the optionee (or a purchaser acting in his or her stead in accordance with the provisions of the Stock Option) by the Company of the full purchase price for such Shares and the fulfillment of any other requirements contained in the Award Agreement or applicable provisions of laws and (B) if required by the Company, the optionee shall have entered into any stockholders agreements or other agreements with the Company and/or certain other of the Company’s stockholders relating to the Stock. In the event an optionee chooses to pay the purchase price by previously-owned Shares through the attestation method, the number of Shares transferred to the optionee upon the exercise of the Stock Option shall be net of the number of Shares attested to.</w:t>
      </w:r>
    </w:p>
    <w:p>
      <w:pPr>
        <w:spacing w:after="0" w:line="77" w:lineRule="exact"/>
        <w:rPr>
          <w:sz w:val="20"/>
          <w:szCs w:val="20"/>
          <w:color w:val="auto"/>
        </w:rPr>
      </w:pPr>
    </w:p>
    <w:p>
      <w:pPr>
        <w:ind w:firstLine="464"/>
        <w:spacing w:after="0" w:line="257" w:lineRule="auto"/>
        <w:tabs>
          <w:tab w:leader="none" w:pos="711"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Annual Limit on Incentive Stock Options</w:t>
      </w:r>
      <w:r>
        <w:rPr>
          <w:rFonts w:ascii="Arial" w:cs="Arial" w:eastAsia="Arial" w:hAnsi="Arial"/>
          <w:sz w:val="18"/>
          <w:szCs w:val="18"/>
          <w:color w:val="auto"/>
        </w:rPr>
        <w:t>. To the extent required for “incentive stock option” treatment under Section 422 of the Code, the aggregate Fair Market Value (determined as of the Grant Date) of the Shares with respect to which Incentive Stock Options granted under the Plan and any other plan of the Company or its parent and any Subsidiary that become exercisable for the first time by an optionee during any calendar year shall not exceed $100,000 or such other limit as may be in effect from time to time under Section 422 of the Code. To the extent that any Stock Option exceeds this limit, it shall constitute a Non-Qualified Stock Option.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351" w:name="page352"/>
    <w:bookmarkEnd w:id="351"/>
    <w:p>
      <w:pPr>
        <w:ind w:firstLine="464"/>
        <w:spacing w:after="0" w:line="289" w:lineRule="auto"/>
        <w:tabs>
          <w:tab w:leader="none" w:pos="701"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w:t>
      </w:r>
      <w:r>
        <w:rPr>
          <w:rFonts w:ascii="Arial" w:cs="Arial" w:eastAsia="Arial" w:hAnsi="Arial"/>
          <w:sz w:val="16"/>
          <w:szCs w:val="16"/>
          <w:color w:val="auto"/>
        </w:rPr>
        <w:t xml:space="preserve">. Any portion of a Stock Option that is not vested and exercisable on the date of termination of an optionee’s Service Relationship shall immediately expire and be null and void. Once any portion of the Stock Option becomes vested and exercisable, the optionee’s right to exercise such portion of the Stock Option (or the optionee’s representatives and legatees as applicable) in the event of a termination of the optionee’s Service Relationship shall continue until the earliest of: (i) the date which is: (A) 12 months following the date on which the optionee’s Service Relationship terminates due to death or Disability (or such longer period of time as determined by the Committee and set forth in the applicable Award Agreement), or (B) three months following the date on which the optionee’s Service Relationship terminates if the termination is due to any reason other than death or Disability (or such longer period of time as determined by the Committee and set forth in the applicable Award Agreement), or (ii) the Expiration Date set forth in the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an Award Agreement may provide that if the optionee’s Service Relationship is terminated for Cause, the Stock Option shall terminate immediately and be null and void upon the date of the optionee’s termination and shall not thereafter be exercisable.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ind w:right="20" w:firstLine="464"/>
        <w:spacing w:after="0" w:line="293" w:lineRule="auto"/>
        <w:tabs>
          <w:tab w:leader="none" w:pos="701"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Awards</w:t>
      </w:r>
      <w:r>
        <w:rPr>
          <w:rFonts w:ascii="Arial" w:cs="Arial" w:eastAsia="Arial" w:hAnsi="Arial"/>
          <w:sz w:val="16"/>
          <w:szCs w:val="16"/>
          <w:color w:val="auto"/>
        </w:rPr>
        <w:t xml:space="preserve">. The Committee may, in its sole discretion, grant (or sell at par value or such other purchase price determined by the Committee) to an eligible individual under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a Restricted Stock Award under the Plan. The Committee shall determine the restrictions and conditions applicable to each Restricted Stock Award at the time of grant. Conditions may be based on continuing employment (or other Service Relationship), achievement of pre-established performance goals and objectives and/or such other criteria as the Committee may determine. Upon the grant of a Restricted Stock Award, the Company and the grantee shall enter into an Award Agreement. The terms and conditions of each such Award Agreement shall be determined by the Committee, and such terms and conditions may differ among individual Awards and grantees.</w:t>
      </w:r>
    </w:p>
    <w:p>
      <w:pPr>
        <w:spacing w:after="0" w:line="56" w:lineRule="exact"/>
        <w:rPr>
          <w:rFonts w:ascii="Arial" w:cs="Arial" w:eastAsia="Arial" w:hAnsi="Arial"/>
          <w:sz w:val="16"/>
          <w:szCs w:val="16"/>
          <w:color w:val="auto"/>
        </w:rPr>
      </w:pPr>
    </w:p>
    <w:p>
      <w:pPr>
        <w:ind w:firstLine="464"/>
        <w:spacing w:after="0" w:line="272" w:lineRule="auto"/>
        <w:tabs>
          <w:tab w:leader="none" w:pos="711"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Rights as a Stockholder</w:t>
      </w:r>
      <w:r>
        <w:rPr>
          <w:rFonts w:ascii="Arial" w:cs="Arial" w:eastAsia="Arial" w:hAnsi="Arial"/>
          <w:sz w:val="17"/>
          <w:szCs w:val="17"/>
          <w:color w:val="auto"/>
        </w:rPr>
        <w:t xml:space="preserve">. Upon the grant of the Restricted Stock Award and payment of any applicable purchase price, a grantee of Restricted Stock shall be considered the record owner of and shall be entitled to vote the Restricted Stock if, and to the extent, such Shares are entitled to voting rights, subject to such conditions contained in the Award Agreement. The grantee shall be entitled to receive all dividends and any other distributions declared on the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is under no duty to declare any such dividends or to make any such distribution. Unless the Committee shall otherwise determine, certificates evidencing the Restricted Stock shall remain in the possession of the Company until such Restricted Stock is vested as provided in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below of this Section, and the grantee shall be required, as a condition of the grant, to deliver to the Company a stock power endorsed in blank and such other instruments of transfer as the Committee may prescribe.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352" w:name="page353"/>
    <w:bookmarkEnd w:id="352"/>
    <w:p>
      <w:pPr>
        <w:ind w:right="80" w:firstLine="464"/>
        <w:spacing w:after="0" w:line="257" w:lineRule="auto"/>
        <w:tabs>
          <w:tab w:leader="none" w:pos="701"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w:t>
      </w:r>
      <w:r>
        <w:rPr>
          <w:rFonts w:ascii="Arial" w:cs="Arial" w:eastAsia="Arial" w:hAnsi="Arial"/>
          <w:sz w:val="18"/>
          <w:szCs w:val="18"/>
          <w:color w:val="auto"/>
        </w:rPr>
        <w:t xml:space="preserve">. Restricted Stock may not be sold, assigned, transferred, pledged or otherwise encumbered or disposed of except as specifically provided herein or in the Award Agreement. Except as may otherwise be provided by the Committee either in the Award Agreement or, subject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below, in writing after the Award Agreement is issued, if a grantee’s Service Relationship with the Company and any Subsidiary terminates, the Company or its assigns shall have the right, as may be specified in the relevant instrument, to repurchase some or all of the Shares subject to the Award at such purchase price as is set forth in the Award Agreement.</w:t>
      </w:r>
    </w:p>
    <w:p>
      <w:pPr>
        <w:spacing w:after="0" w:line="80" w:lineRule="exact"/>
        <w:rPr>
          <w:rFonts w:ascii="Arial" w:cs="Arial" w:eastAsia="Arial" w:hAnsi="Arial"/>
          <w:sz w:val="18"/>
          <w:szCs w:val="18"/>
          <w:color w:val="auto"/>
        </w:rPr>
      </w:pPr>
    </w:p>
    <w:p>
      <w:pPr>
        <w:jc w:val="both"/>
        <w:ind w:right="320" w:firstLine="464"/>
        <w:spacing w:after="0" w:line="312" w:lineRule="auto"/>
        <w:tabs>
          <w:tab w:leader="none" w:pos="711"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Vesting of Restricted Stock</w:t>
      </w:r>
      <w:r>
        <w:rPr>
          <w:rFonts w:ascii="Arial" w:cs="Arial" w:eastAsia="Arial" w:hAnsi="Arial"/>
          <w:sz w:val="16"/>
          <w:szCs w:val="16"/>
          <w:color w:val="auto"/>
        </w:rPr>
        <w:t>. The Committee at the time of grant shall specify in the Award Agreement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Award Agreement.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UNRESTRICTED STOCK AWARDS</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The Committee may, in its sole discretion, grant (or sell at par value or such other purchase price determined by the Committee) to an eligible person under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 Unrestricted Stock Award under the Plan. Unrestricted Stock Awards may be granted in respect of past services or other valid consideration, or in lieu of cash compensation due to such grantee.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ind w:firstLine="464"/>
        <w:spacing w:after="0" w:line="290" w:lineRule="auto"/>
        <w:tabs>
          <w:tab w:leader="none" w:pos="701"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Units</w:t>
      </w:r>
      <w:r>
        <w:rPr>
          <w:rFonts w:ascii="Arial" w:cs="Arial" w:eastAsia="Arial" w:hAnsi="Arial"/>
          <w:sz w:val="16"/>
          <w:szCs w:val="16"/>
          <w:color w:val="auto"/>
        </w:rPr>
        <w:t xml:space="preserve">. The Committee may, in its sole discretion, grant to an eligible person under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Restricted Stock Units under the Plan. The Committee shall determine the restrictions and conditions applicable to each Restricted Stock Unit at the time of grant. Vesting conditions may be based on continuing employment (or other Service Relationship), achievement of pre-established performance goals and objectives and/or other such criteria as the Committee may determine. Upon the grant of Restricted Stock Units, the grantee and the Company shall enter into an Award Agreement. The terms and conditions of each such Award Agreement shall be determined by the Committee and may differ among individual Awards and grantees. On or promptly following the vesting date or dates applicable to any Restricted Stock Unit, but in no event later than March 15 of the year following the year in which such vesting occurs, such Restricted Stock Unit(s) shall be settled in the form of cash or shares of Stock, as specified in the Award Agreement. Restricted Stock Units may not be sold, assigned, transferred, pledged, or otherwise encumbered or disposed of.</w:t>
      </w:r>
    </w:p>
    <w:p>
      <w:pPr>
        <w:spacing w:after="0" w:line="58" w:lineRule="exact"/>
        <w:rPr>
          <w:rFonts w:ascii="Arial" w:cs="Arial" w:eastAsia="Arial" w:hAnsi="Arial"/>
          <w:sz w:val="16"/>
          <w:szCs w:val="16"/>
          <w:color w:val="auto"/>
        </w:rPr>
      </w:pPr>
    </w:p>
    <w:p>
      <w:pPr>
        <w:ind w:right="140" w:firstLine="464"/>
        <w:spacing w:after="0" w:line="257" w:lineRule="auto"/>
        <w:tabs>
          <w:tab w:leader="none" w:pos="711"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A grantee shall have the rights of a stockholder only as to Shares, if any, acquired upon settlement of Restricted Stock Units. A grantee shall not be deemed to have acquired any such Shares unless and until the Restricted Stock Units shall have been settled in Shares pursuant to the terms of the Plan and the Award Agreement, the Company shall have issued and delivered a certificate representing the Shares to the grantee (or transferred on the records of the Company with respect to uncertificated stock), and the grantee’s name has been entered in the books of the Company as a stockholder.</w:t>
      </w:r>
    </w:p>
    <w:p>
      <w:pPr>
        <w:spacing w:after="0" w:line="80" w:lineRule="exact"/>
        <w:rPr>
          <w:rFonts w:ascii="Arial" w:cs="Arial" w:eastAsia="Arial" w:hAnsi="Arial"/>
          <w:sz w:val="18"/>
          <w:szCs w:val="18"/>
          <w:color w:val="auto"/>
        </w:rPr>
      </w:pPr>
    </w:p>
    <w:p>
      <w:pPr>
        <w:ind w:right="200" w:firstLine="464"/>
        <w:spacing w:after="0" w:line="264" w:lineRule="auto"/>
        <w:tabs>
          <w:tab w:leader="none" w:pos="701"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Committee either in the Award Agreement or in writing after the Award Agreement is issued, a grantee’s right in all Restricted Stock Units that have not vested shall automatically terminate upon the grantee’s cessation of Service Relationship with the Company and any Subsidiary for any reason.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3" w:right="259" w:bottom="1440" w:gutter="0" w:footer="0" w:header="0"/>
        </w:sectPr>
      </w:pPr>
    </w:p>
    <w:bookmarkStart w:id="353" w:name="page354"/>
    <w:bookmarkEnd w:id="35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 </w:t>
      </w:r>
      <w:r>
        <w:rPr>
          <w:rFonts w:ascii="Arial" w:cs="Arial" w:eastAsia="Arial" w:hAnsi="Arial"/>
          <w:sz w:val="18"/>
          <w:szCs w:val="18"/>
          <w:u w:val="single" w:color="auto"/>
          <w:color w:val="auto"/>
        </w:rPr>
        <w:t>TRANSFER RESTRICTIONS; COMPANY RIGHT OF FIRST REFUSAL;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COMPANY REPURCHASE RIGHTS</w:t>
      </w:r>
    </w:p>
    <w:p>
      <w:pPr>
        <w:spacing w:after="0" w:line="211" w:lineRule="exact"/>
        <w:rPr>
          <w:sz w:val="20"/>
          <w:szCs w:val="20"/>
          <w:color w:val="auto"/>
        </w:rPr>
      </w:pPr>
    </w:p>
    <w:p>
      <w:pPr>
        <w:ind w:left="700" w:hanging="236"/>
        <w:spacing w:after="0"/>
        <w:tabs>
          <w:tab w:leader="none" w:pos="700"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921"/>
        <w:spacing w:after="0" w:line="269" w:lineRule="auto"/>
        <w:tabs>
          <w:tab w:leader="none" w:pos="1128" w:val="left"/>
        </w:tabs>
        <w:numPr>
          <w:ilvl w:val="1"/>
          <w:numId w:val="244"/>
        </w:numPr>
        <w:rPr>
          <w:rFonts w:ascii="Arial" w:cs="Arial" w:eastAsia="Arial" w:hAnsi="Arial"/>
          <w:sz w:val="17"/>
          <w:szCs w:val="17"/>
          <w:color w:val="auto"/>
        </w:rPr>
      </w:pPr>
      <w:r>
        <w:rPr>
          <w:rFonts w:ascii="Arial" w:cs="Arial" w:eastAsia="Arial" w:hAnsi="Arial"/>
          <w:sz w:val="17"/>
          <w:szCs w:val="17"/>
          <w:u w:val="single" w:color="auto"/>
          <w:color w:val="auto"/>
        </w:rPr>
        <w:t>Non-Transferability of Stock Options</w:t>
      </w:r>
      <w:r>
        <w:rPr>
          <w:rFonts w:ascii="Arial" w:cs="Arial" w:eastAsia="Arial" w:hAnsi="Arial"/>
          <w:sz w:val="17"/>
          <w:szCs w:val="17"/>
          <w:color w:val="auto"/>
        </w:rPr>
        <w:t>. Stock Options and, prior to exercise, the Shares issuable upon exercise of such Stock Option, shall not be transferable by the optionee otherwise than by will, or by the laws of descent and distribution, and all Stock Options shall be exercisable, during the optionee’s lifetime, only by the optionee, or by the optionee’s legal representative or guardian in the event of the optionee’s incapacity. Notwithstanding the foregoing, the Committee, in its sole discretion, may provide in the Award Agreement regarding a given Stock Option that the optionee may transfer by gift, without consideration for the transfer, his or her Non-Qualified Stock Options to his or her family members (as defined in Rule 701 of the Securities Act), to trusts for the benefit of such family members, or to partnerships in which such family members are the only partners (to the extent such trusts or partnerships are considered “family members” for purposes of Rule 701 of the Securities Act), provided that the transferee agrees in writing with the Company to be bound by all of the terms and conditions of this Plan and the applicable Award Agreement, including the execution of a stock power upon the issuance of Shares. Stock Options, and the Shares issuable upon exercise of such Stock Options, shall be restricted as to any pledge, hypothecation, or other transfer, including any short position, any “put equivalent position” (as defined in the Exchange Act) or any “call equivalent position” (as defined in the Exchange Act) prior to exercise.</w:t>
      </w:r>
    </w:p>
    <w:p>
      <w:pPr>
        <w:spacing w:after="0" w:line="74" w:lineRule="exact"/>
        <w:rPr>
          <w:rFonts w:ascii="Arial" w:cs="Arial" w:eastAsia="Arial" w:hAnsi="Arial"/>
          <w:sz w:val="17"/>
          <w:szCs w:val="17"/>
          <w:color w:val="auto"/>
        </w:rPr>
      </w:pPr>
    </w:p>
    <w:p>
      <w:pPr>
        <w:ind w:firstLine="921"/>
        <w:spacing w:after="0" w:line="286" w:lineRule="auto"/>
        <w:tabs>
          <w:tab w:leader="none" w:pos="1178" w:val="left"/>
        </w:tabs>
        <w:numPr>
          <w:ilvl w:val="1"/>
          <w:numId w:val="244"/>
        </w:numPr>
        <w:rPr>
          <w:rFonts w:ascii="Arial" w:cs="Arial" w:eastAsia="Arial" w:hAnsi="Arial"/>
          <w:sz w:val="16"/>
          <w:szCs w:val="16"/>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xml:space="preserve">. No Shares shall be sold, assigned, transferred, pledged, hypothecated, given away or in any other manner disposed of or encumbered, whether voluntarily or by operation of law, unless (i) the transfer is in compliance with the terms of the applicable Award Agreement, all applicable securities laws (including, without limitation, the Securities Act), and with the terms and conditions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(ii) the transfer does not cause the Company to become subject to the reporting requirements of the Exchange Act, and (iii) the transferee consents in writing to be bound by the provisions of the Plan and the Award Agreement, including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In connection with any proposed transfer, the Committee may require the transferor to provide at the transferor’s own expense an opinion of counsel to the transferor, satisfactory to the Committee, that such transfer is in compliance with all foreign, federal and state securities laws (including, without limitation, the Securities Act). Any attempted transfer of Shares not in accordance with the terms and conditions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be null and void, and the Company shall not reflect on its records any change in record ownership of any Shares as a result of any such transfer, shall otherwise refuse to recognize any such transfer and shall not in any way give effect to any such transfer of Shares. The Company shall be entitled to seek protective orders, injunctive relief and other remedies available at law or in equity including, without limitation, seeking specific performance or the rescission of any transfer not made in strict compliance with the provisions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Subject to the foregoing general provisions, and unless otherwise provided in the applicable Award Agreement, Shares may be transferred pursuant to the following specific terms and conditions (provided that with respect to any transfer of Restricted Stock, all vesting and forfeiture provisions shall continue to apply with respect to the original recipient):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354" w:name="page355"/>
    <w:bookmarkEnd w:id="354"/>
    <w:p>
      <w:pPr>
        <w:ind w:left="440" w:right="80" w:firstLine="881"/>
        <w:spacing w:after="0" w:line="297" w:lineRule="auto"/>
        <w:tabs>
          <w:tab w:leader="none" w:pos="1611" w:val="left"/>
        </w:tabs>
        <w:numPr>
          <w:ilvl w:val="1"/>
          <w:numId w:val="24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Transfers to Permitted Transferees</w:t>
      </w:r>
      <w:r>
        <w:rPr>
          <w:rFonts w:ascii="Arial" w:cs="Arial" w:eastAsia="Arial" w:hAnsi="Arial"/>
          <w:sz w:val="16"/>
          <w:szCs w:val="16"/>
          <w:color w:val="auto"/>
        </w:rPr>
        <w:t xml:space="preserve">. The Holder may transfer any or all of the Shares to one or more Permitted Transferees;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following such transfer, such Shares shall continue to be subject to the terms of this Plan (including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and such Permitted</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Transferee(s) shall, as a condition to any such transfer, deliver a written acknowledgment to that effect to the Company and shall deliver a stock power to the Company with respect to the Shares. Notwithstanding the foregoing, the Holder may not transfer any of the Shares to a Person whom the Company reasonably determines is a direct competitor or a potential competitor of the Company or any of its Subsidiaries.</w:t>
      </w:r>
    </w:p>
    <w:p>
      <w:pPr>
        <w:spacing w:after="0" w:line="50" w:lineRule="exact"/>
        <w:rPr>
          <w:rFonts w:ascii="Arial" w:cs="Arial" w:eastAsia="Arial" w:hAnsi="Arial"/>
          <w:sz w:val="16"/>
          <w:szCs w:val="16"/>
          <w:color w:val="auto"/>
        </w:rPr>
      </w:pPr>
    </w:p>
    <w:p>
      <w:pPr>
        <w:ind w:left="440" w:right="120" w:firstLine="881"/>
        <w:spacing w:after="0" w:line="259" w:lineRule="auto"/>
        <w:tabs>
          <w:tab w:leader="none" w:pos="1601"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Transfers Upon Death</w:t>
      </w:r>
      <w:r>
        <w:rPr>
          <w:rFonts w:ascii="Arial" w:cs="Arial" w:eastAsia="Arial" w:hAnsi="Arial"/>
          <w:sz w:val="18"/>
          <w:szCs w:val="18"/>
          <w:color w:val="auto"/>
        </w:rPr>
        <w:t>. Upon the death of the Holder, any Shares then held by the Holder at the time of such death and any Shares acquired after the Holder’s death by the Holder’s legal representative shall be subject to the provisions of this Plan, and the Holder’s estate, executors, administrators, personal representatives, heirs, legatees and distributees shall be obligated to convey such Shares to the Company or its assigns under the terms contemplated by the Plan and the Award Agreement.</w:t>
      </w:r>
    </w:p>
    <w:p>
      <w:pPr>
        <w:spacing w:after="0" w:line="78" w:lineRule="exact"/>
        <w:rPr>
          <w:rFonts w:ascii="Arial" w:cs="Arial" w:eastAsia="Arial" w:hAnsi="Arial"/>
          <w:sz w:val="18"/>
          <w:szCs w:val="18"/>
          <w:color w:val="auto"/>
        </w:rPr>
      </w:pPr>
    </w:p>
    <w:p>
      <w:pPr>
        <w:ind w:left="-20" w:firstLine="464"/>
        <w:spacing w:after="0" w:line="286" w:lineRule="auto"/>
        <w:tabs>
          <w:tab w:leader="none" w:pos="691"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Right of First Refusal</w:t>
      </w:r>
      <w:r>
        <w:rPr>
          <w:rFonts w:ascii="Arial" w:cs="Arial" w:eastAsia="Arial" w:hAnsi="Arial"/>
          <w:sz w:val="16"/>
          <w:szCs w:val="16"/>
          <w:color w:val="auto"/>
        </w:rPr>
        <w:t>. In the event that a Holder desires at any time to sell or otherwise transfer all or any part of his or her Shares (other than shares of Restricted Stock which by their terms are not transferrable), the Holder first shall give written notice to the Company of the Holder’s intention to make such transfer. Such notice shall state the number of Shares that the Holder proposes to sell (the “</w:t>
      </w:r>
      <w:r>
        <w:rPr>
          <w:rFonts w:ascii="Arial" w:cs="Arial" w:eastAsia="Arial" w:hAnsi="Arial"/>
          <w:sz w:val="16"/>
          <w:szCs w:val="16"/>
          <w:u w:val="single" w:color="auto"/>
          <w:color w:val="auto"/>
        </w:rPr>
        <w:t>Offered Shares</w:t>
      </w:r>
      <w:r>
        <w:rPr>
          <w:rFonts w:ascii="Arial" w:cs="Arial" w:eastAsia="Arial" w:hAnsi="Arial"/>
          <w:sz w:val="16"/>
          <w:szCs w:val="16"/>
          <w:color w:val="auto"/>
        </w:rPr>
        <w:t xml:space="preserve">”), the price and the terms at which the proposed sale is to be made and the name and address of the proposed transferee. At any time within 30 days after the receipt of such notice by the Company, the Company or its assigns may elect to purchase all or any portion of the Offered Shares at the price and on the terms offered by the proposed transferee and specified in the notice. The Company or its assigns shall exercise this right by mailing or delivering written notice to the Holder within the foregoing 30-day period. If the Company or its assigns elect to exercise its purchase rights under this </w:t>
      </w:r>
      <w:r>
        <w:rPr>
          <w:rFonts w:ascii="Arial" w:cs="Arial" w:eastAsia="Arial" w:hAnsi="Arial"/>
          <w:sz w:val="16"/>
          <w:szCs w:val="16"/>
          <w:u w:val="single" w:color="auto"/>
          <w:color w:val="auto"/>
        </w:rPr>
        <w:t>Section 9(b)</w:t>
      </w:r>
      <w:r>
        <w:rPr>
          <w:rFonts w:ascii="Arial" w:cs="Arial" w:eastAsia="Arial" w:hAnsi="Arial"/>
          <w:sz w:val="16"/>
          <w:szCs w:val="16"/>
          <w:color w:val="auto"/>
        </w:rPr>
        <w:t>, the closing for such purchase shall, in any event, take place within 45 days after the receipt by the Company of the initial notice from the Holder. In the event that the Company or its assigns do not elect to exercise such purchase right, or in the event that the Company or its assigns do not pay the full purchase price within such 45-day period, the Holder may, within 60 days thereafter, sell the Offered Shares to the proposed transferee and at the same price and on the same terms as specified in the Holder’s notice. Any Shares not sold to the proposed transferee shall remain subject to the Plan. If the Holder is a party to any stockholders agreements or other agreements with the Company and/or certain other of the Company’s stockholders relating to the Shares, (i) the transferring Holder shall comply with the requirements of such stockholders agreements or other agreements relating to any proposed transfer of the Offered Shares, and (ii) any proposed transferee that purchases Offered Shares shall enter into such stockholders agreements or other agreements with the Company and/or certain of the Company’s stockholders relating to the Offered Shares on the same terms and in the same capacity as the transferring Holder.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274" w:right="259" w:bottom="1440" w:gutter="0" w:footer="0" w:header="0"/>
        </w:sectPr>
      </w:pPr>
    </w:p>
    <w:bookmarkStart w:id="355" w:name="page356"/>
    <w:bookmarkEnd w:id="355"/>
    <w:p>
      <w:pPr>
        <w:ind w:left="660" w:hanging="236"/>
        <w:spacing w:after="0"/>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Company’s Right of Repurchase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60" w:firstLine="921"/>
        <w:spacing w:after="0" w:line="271" w:lineRule="auto"/>
        <w:tabs>
          <w:tab w:leader="none" w:pos="1088" w:val="left"/>
        </w:tabs>
        <w:numPr>
          <w:ilvl w:val="1"/>
          <w:numId w:val="247"/>
        </w:numPr>
        <w:rPr>
          <w:rFonts w:ascii="Arial" w:cs="Arial" w:eastAsia="Arial" w:hAnsi="Arial"/>
          <w:sz w:val="17"/>
          <w:szCs w:val="17"/>
          <w:color w:val="auto"/>
        </w:rPr>
      </w:pPr>
      <w:r>
        <w:rPr>
          <w:rFonts w:ascii="Arial" w:cs="Arial" w:eastAsia="Arial" w:hAnsi="Arial"/>
          <w:sz w:val="17"/>
          <w:szCs w:val="17"/>
          <w:u w:val="single" w:color="auto"/>
          <w:color w:val="auto"/>
        </w:rPr>
        <w:t>Right of Repurchase for Shares Issued Upon the Exercise of an Option.</w:t>
      </w:r>
      <w:r>
        <w:rPr>
          <w:rFonts w:ascii="Arial" w:cs="Arial" w:eastAsia="Arial" w:hAnsi="Arial"/>
          <w:sz w:val="17"/>
          <w:szCs w:val="17"/>
          <w:color w:val="auto"/>
        </w:rPr>
        <w:t xml:space="preserve"> Upon a Termination Event, the Company or its assigns shall have the right and option to repurchase from a Holder of Shares acquired upon exercise of a Stock Option which are still subject to a risk of forfeiture as of the Termination Event. Additionally, notwithstanding anything to the contrary contained in this Plan, upon a Termination Event for Cause, the Company or its assigns shall have the right and option to repurchase from a Holder of Shares acquired upon exercise of a Stock Option whether or not they are still subject to a risk of forfeiture as of such Termination Event for Cause. Such repurchase rights may be exercised by the Company within the later of (A) six months following the date of such Termination Event or (B) seven months after the acquisition of Shares upon exercise of a Stock Option. The repurchase price shall be equal to the lower of the original per share price paid by the Holder, subject to adjustment as provided in Section 3(b) of the Plan, or the current Fair Market Value of such Shares as of the date the Company elects to exercise its repurchase rights.</w:t>
      </w:r>
    </w:p>
    <w:p>
      <w:pPr>
        <w:spacing w:after="0" w:line="70" w:lineRule="exact"/>
        <w:rPr>
          <w:rFonts w:ascii="Arial" w:cs="Arial" w:eastAsia="Arial" w:hAnsi="Arial"/>
          <w:sz w:val="17"/>
          <w:szCs w:val="17"/>
          <w:color w:val="auto"/>
        </w:rPr>
      </w:pPr>
    </w:p>
    <w:p>
      <w:pPr>
        <w:ind w:left="-40" w:right="40" w:firstLine="921"/>
        <w:spacing w:after="0" w:line="290" w:lineRule="auto"/>
        <w:tabs>
          <w:tab w:leader="none" w:pos="1138" w:val="left"/>
        </w:tabs>
        <w:numPr>
          <w:ilvl w:val="1"/>
          <w:numId w:val="247"/>
        </w:numPr>
        <w:rPr>
          <w:rFonts w:ascii="Arial" w:cs="Arial" w:eastAsia="Arial" w:hAnsi="Arial"/>
          <w:sz w:val="16"/>
          <w:szCs w:val="16"/>
          <w:color w:val="auto"/>
        </w:rPr>
      </w:pPr>
      <w:r>
        <w:rPr>
          <w:rFonts w:ascii="Arial" w:cs="Arial" w:eastAsia="Arial" w:hAnsi="Arial"/>
          <w:sz w:val="16"/>
          <w:szCs w:val="16"/>
          <w:u w:val="single" w:color="auto"/>
          <w:color w:val="auto"/>
        </w:rPr>
        <w:t>Right of Repurchase With Respect to Restricted Stock</w:t>
      </w:r>
      <w:r>
        <w:rPr>
          <w:rFonts w:ascii="Arial" w:cs="Arial" w:eastAsia="Arial" w:hAnsi="Arial"/>
          <w:sz w:val="16"/>
          <w:szCs w:val="16"/>
          <w:color w:val="auto"/>
        </w:rPr>
        <w:t>. Upon a Termination Event, the Company or its assigns shall have the right and option to repurchase from a Holder of Shares received pursuant to a Restricted Stock Award any Shares that are still subject to a risk of forfeiture as of the Termination Event. Such repurchase right may be exercised by the Company within six months following the date of such Termination Event. Additionally, notwithstanding anything to the contrary contained in this Plan, upon a Termination Event for Cause, the Company or its assigns shall have the right and option to repurchase from a Holder of Shares received pursuant to a Restricted Stock Award any Shares whether or not they are still subject to a risk of forfeiture as of such Termination Event for Cause. Such repurchase right may be exercised by the Company within six months following the date of such Termination Event. The repurchase price shall be the lower of the original per share purchase price paid by the Holder, subject to adjustment as provided in Section 3(b) of the Plan, or the current Fair Market Value of such Shares as of the date the Company elects to exercise its repurchase rights.</w:t>
      </w:r>
    </w:p>
    <w:p>
      <w:pPr>
        <w:spacing w:after="0" w:line="58" w:lineRule="exact"/>
        <w:rPr>
          <w:rFonts w:ascii="Arial" w:cs="Arial" w:eastAsia="Arial" w:hAnsi="Arial"/>
          <w:sz w:val="16"/>
          <w:szCs w:val="16"/>
          <w:color w:val="auto"/>
        </w:rPr>
      </w:pPr>
    </w:p>
    <w:p>
      <w:pPr>
        <w:ind w:left="-40" w:firstLine="921"/>
        <w:spacing w:after="0" w:line="293" w:lineRule="auto"/>
        <w:tabs>
          <w:tab w:leader="none" w:pos="1188" w:val="left"/>
        </w:tabs>
        <w:numPr>
          <w:ilvl w:val="1"/>
          <w:numId w:val="247"/>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xml:space="preserve">. Any repurchase right of the Company shall be exercised by the Company or its assigns by giving the Holder written notice on or before the last day of the repurchase period of its intention to exercise such repurchase right. Upon such notification, the Holder shall promptly surrender to the Company, free and clear of any liens or encumbrances, any certificates representing the Shares being purchased, together with a duly executed stock power for the transfer of such Shares to the Company or the Company’s assignee or assignees. Upon the Company’s or its assignee’s receipt of the certificates from the Holder, the Company or its assignee or assignees shall deliver to him, her or them a check for the applicable repurchase price;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may pay the repurchase price by offsetting and canceling any indebtedness then owed by the Holder to the Company.</w:t>
      </w:r>
    </w:p>
    <w:p>
      <w:pPr>
        <w:spacing w:after="0" w:line="56" w:lineRule="exact"/>
        <w:rPr>
          <w:rFonts w:ascii="Arial" w:cs="Arial" w:eastAsia="Arial" w:hAnsi="Arial"/>
          <w:sz w:val="16"/>
          <w:szCs w:val="16"/>
          <w:color w:val="auto"/>
        </w:rPr>
      </w:pPr>
    </w:p>
    <w:p>
      <w:pPr>
        <w:ind w:left="680" w:hanging="256"/>
        <w:spacing w:after="0"/>
        <w:tabs>
          <w:tab w:leader="none" w:pos="68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60" w:hanging="236"/>
        <w:spacing w:after="0"/>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Escrow Arrangement</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73" w:right="259" w:bottom="1440" w:gutter="0" w:footer="0" w:header="0"/>
        </w:sectPr>
      </w:pPr>
    </w:p>
    <w:bookmarkStart w:id="356" w:name="page357"/>
    <w:bookmarkEnd w:id="356"/>
    <w:p>
      <w:pPr>
        <w:ind w:left="-20" w:right="20" w:firstLine="921"/>
        <w:spacing w:after="0" w:line="255" w:lineRule="auto"/>
        <w:tabs>
          <w:tab w:leader="none" w:pos="1108" w:val="left"/>
        </w:tabs>
        <w:numPr>
          <w:ilvl w:val="1"/>
          <w:numId w:val="2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Escrow</w:t>
      </w:r>
      <w:r>
        <w:rPr>
          <w:rFonts w:ascii="Arial" w:cs="Arial" w:eastAsia="Arial" w:hAnsi="Arial"/>
          <w:sz w:val="18"/>
          <w:szCs w:val="18"/>
          <w:color w:val="auto"/>
        </w:rPr>
        <w:t xml:space="preserve">. In order to carry out the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of this Plan more effectively, the Company shall hold any Shares issued pursuant to Awards granted under the Plan in escrow together with separate stock powers executed by the Holder in blank for transfer. The Company shall not dispose of the Shares except as otherwise provided in this Plan. In the event of any repurchase by the Company (or any of its assigns), the Company is hereby authorized by the Holder, as the Holder’s attorney-in-fact, to date and complete the stock powers necessary for the transfer of the Shares being purchased and to transfer such Shares in accordance with the terms hereof. At such time as any Shares are no longer subject to the Company’s repurchase and first refusal rights, the Company shall, at the written request of the Holder, deliver to the Holder a certificate representing such Shares with the balance of the Shares to be held in escrow pursuant to this Section.</w:t>
      </w:r>
    </w:p>
    <w:p>
      <w:pPr>
        <w:spacing w:after="0" w:line="81" w:lineRule="exact"/>
        <w:rPr>
          <w:rFonts w:ascii="Arial" w:cs="Arial" w:eastAsia="Arial" w:hAnsi="Arial"/>
          <w:sz w:val="18"/>
          <w:szCs w:val="18"/>
          <w:color w:val="auto"/>
        </w:rPr>
      </w:pPr>
    </w:p>
    <w:p>
      <w:pPr>
        <w:ind w:left="-20" w:right="60" w:firstLine="921"/>
        <w:spacing w:after="0" w:line="288" w:lineRule="auto"/>
        <w:tabs>
          <w:tab w:leader="none" w:pos="1158" w:val="left"/>
        </w:tabs>
        <w:numPr>
          <w:ilvl w:val="1"/>
          <w:numId w:val="248"/>
        </w:numPr>
        <w:rPr>
          <w:rFonts w:ascii="Arial" w:cs="Arial" w:eastAsia="Arial" w:hAnsi="Arial"/>
          <w:sz w:val="16"/>
          <w:szCs w:val="16"/>
          <w:color w:val="auto"/>
        </w:rPr>
      </w:pPr>
      <w:r>
        <w:rPr>
          <w:rFonts w:ascii="Arial" w:cs="Arial" w:eastAsia="Arial" w:hAnsi="Arial"/>
          <w:sz w:val="16"/>
          <w:szCs w:val="16"/>
          <w:u w:val="single" w:color="auto"/>
          <w:color w:val="auto"/>
        </w:rPr>
        <w:t>Remedy</w:t>
      </w:r>
      <w:r>
        <w:rPr>
          <w:rFonts w:ascii="Arial" w:cs="Arial" w:eastAsia="Arial" w:hAnsi="Arial"/>
          <w:sz w:val="16"/>
          <w:szCs w:val="16"/>
          <w:color w:val="auto"/>
        </w:rPr>
        <w:t xml:space="preserve">. Without limitation of any other provision of this Plan or other rights, in the event that a Holder or any other Person is required to sell a Holder’s Shares pursuant to the provisions of </w:t>
      </w:r>
      <w:r>
        <w:rPr>
          <w:rFonts w:ascii="Arial" w:cs="Arial" w:eastAsia="Arial" w:hAnsi="Arial"/>
          <w:sz w:val="16"/>
          <w:szCs w:val="16"/>
          <w:u w:val="single" w:color="auto"/>
          <w:color w:val="auto"/>
        </w:rPr>
        <w:t>Sections 9(b)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hereof and in the further event that he or she refuses or for any reason fails to deliver to the Company or its designated purchaser of such Shares the certificate or certificates evidencing such Shares together with a related stock power, the Company or such designated purchaser may deposit the applicable purchase price for such Shares with a bank designated by the Company, or with the Company’s independent public accounting firm, as agent or trustee, or in escrow, for such Holder or other Person, to be held by such bank or accounting firm for the benefit of and for delivery to him, her, them or it, and/or, in its discretion, pay such purchase price by offsetting any indebtedness then owed by such Holder as provided above. Upon any such deposit and/or offset by the Company or its designated purchaser of such amount and upon notice to the Person who was required to sell the Shares to be sold pursuant to the provisions of </w:t>
      </w:r>
      <w:r>
        <w:rPr>
          <w:rFonts w:ascii="Arial" w:cs="Arial" w:eastAsia="Arial" w:hAnsi="Arial"/>
          <w:sz w:val="16"/>
          <w:szCs w:val="16"/>
          <w:u w:val="single" w:color="auto"/>
          <w:color w:val="auto"/>
        </w:rPr>
        <w:t>Sections 9(b)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such Shares shall at such time be deemed to have been sold, assigned, transferred and conveyed to such purchaser, such Holder shall have no further rights thereto (other than the right to withdraw the payment thereof held in escrow, if applicable), and the Company shall record such transfer in its stock transfer book or in any appropriate manner.</w:t>
      </w:r>
    </w:p>
    <w:p>
      <w:pPr>
        <w:spacing w:after="0" w:line="61" w:lineRule="exact"/>
        <w:rPr>
          <w:rFonts w:ascii="Arial" w:cs="Arial" w:eastAsia="Arial" w:hAnsi="Arial"/>
          <w:sz w:val="16"/>
          <w:szCs w:val="16"/>
          <w:color w:val="auto"/>
        </w:rPr>
      </w:pPr>
    </w:p>
    <w:p>
      <w:pPr>
        <w:ind w:left="-20" w:right="40" w:firstLine="464"/>
        <w:spacing w:after="0" w:line="259" w:lineRule="auto"/>
        <w:tabs>
          <w:tab w:leader="none" w:pos="661"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Lockup Provision</w:t>
      </w:r>
      <w:r>
        <w:rPr>
          <w:rFonts w:ascii="Arial" w:cs="Arial" w:eastAsia="Arial" w:hAnsi="Arial"/>
          <w:sz w:val="18"/>
          <w:szCs w:val="18"/>
          <w:color w:val="auto"/>
        </w:rPr>
        <w:t>. If requested by the Company, a Holder shall not sell or otherwise transfer or dispose of any Shares (including, without limitation, pursuant to Rule 144 under the Securities Act) held by him or her for such period following the effective date of a public offering by the Company of Shares as the Company shall specify reasonably and in good faith. If requested by the underwriter engaged by the Company, each Holder shall execute a separate letter confirming his or her agreement to comply with this Section.</w:t>
      </w:r>
    </w:p>
    <w:p>
      <w:pPr>
        <w:spacing w:after="0" w:line="78" w:lineRule="exact"/>
        <w:rPr>
          <w:rFonts w:ascii="Arial" w:cs="Arial" w:eastAsia="Arial" w:hAnsi="Arial"/>
          <w:sz w:val="18"/>
          <w:szCs w:val="18"/>
          <w:color w:val="auto"/>
        </w:rPr>
      </w:pPr>
    </w:p>
    <w:p>
      <w:pPr>
        <w:ind w:left="-20" w:firstLine="464"/>
        <w:spacing w:after="0" w:line="259" w:lineRule="auto"/>
        <w:tabs>
          <w:tab w:leader="none" w:pos="691"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Capital Structure</w:t>
      </w:r>
      <w:r>
        <w:rPr>
          <w:rFonts w:ascii="Arial" w:cs="Arial" w:eastAsia="Arial" w:hAnsi="Arial"/>
          <w:sz w:val="18"/>
          <w:szCs w:val="18"/>
          <w:color w:val="auto"/>
        </w:rPr>
        <w:t xml:space="preserve">. If, as a result of any reorganization, recapitalization, reclassification, stock dividend, stock split, reverse stock split or other similar change in the Common Stock, the outstanding Shares are increased or decreased or are exchanged for a different number or kind of securities of the Company, the restrictions contained in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apply with equal force to additional and/or substitute securities, if any, received by Holder in exchange for, or by virtue of his or her ownership of, Shares.</w:t>
      </w:r>
    </w:p>
    <w:p>
      <w:pPr>
        <w:spacing w:after="0" w:line="78" w:lineRule="exact"/>
        <w:rPr>
          <w:rFonts w:ascii="Arial" w:cs="Arial" w:eastAsia="Arial" w:hAnsi="Arial"/>
          <w:sz w:val="18"/>
          <w:szCs w:val="18"/>
          <w:color w:val="auto"/>
        </w:rPr>
      </w:pPr>
    </w:p>
    <w:p>
      <w:pPr>
        <w:jc w:val="both"/>
        <w:ind w:left="-20" w:right="160" w:firstLine="464"/>
        <w:spacing w:after="0" w:line="312" w:lineRule="auto"/>
        <w:tabs>
          <w:tab w:leader="none" w:pos="691"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The terms and provisions of </w:t>
      </w:r>
      <w:r>
        <w:rPr>
          <w:rFonts w:ascii="Arial" w:cs="Arial" w:eastAsia="Arial" w:hAnsi="Arial"/>
          <w:sz w:val="16"/>
          <w:szCs w:val="16"/>
          <w:u w:val="single" w:color="auto"/>
          <w:color w:val="auto"/>
        </w:rPr>
        <w:t>Section 9(b)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(except for the Company’s right to repurchase Shares still subject to a risk of forfeiture upon a Termination Event) shall terminate upon the closing of the Company’s Initial Public Offering or upon consummation of any Sale Event, in either case as a result of which Shares are registered under Section 12 of the Exchange Act and publicly-traded on any national security exchange.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74" w:right="259" w:bottom="1440" w:gutter="0" w:footer="0" w:header="0"/>
        </w:sectPr>
      </w:pPr>
    </w:p>
    <w:bookmarkStart w:id="357" w:name="page358"/>
    <w:bookmarkEnd w:id="35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 </w:t>
      </w:r>
      <w:r>
        <w:rPr>
          <w:rFonts w:ascii="Arial" w:cs="Arial" w:eastAsia="Arial" w:hAnsi="Arial"/>
          <w:sz w:val="18"/>
          <w:szCs w:val="18"/>
          <w:u w:val="single" w:color="auto"/>
          <w:color w:val="auto"/>
        </w:rPr>
        <w:t>TAX WITHHOLDING</w:t>
      </w:r>
    </w:p>
    <w:p>
      <w:pPr>
        <w:spacing w:after="0" w:line="225" w:lineRule="exact"/>
        <w:rPr>
          <w:sz w:val="20"/>
          <w:szCs w:val="20"/>
          <w:color w:val="auto"/>
        </w:rPr>
      </w:pPr>
    </w:p>
    <w:p>
      <w:pPr>
        <w:ind w:firstLine="464"/>
        <w:spacing w:after="0" w:line="255" w:lineRule="auto"/>
        <w:tabs>
          <w:tab w:leader="none" w:pos="701"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Payment by Grantee</w:t>
      </w:r>
      <w:r>
        <w:rPr>
          <w:rFonts w:ascii="Arial" w:cs="Arial" w:eastAsia="Arial" w:hAnsi="Arial"/>
          <w:sz w:val="18"/>
          <w:szCs w:val="18"/>
          <w:color w:val="auto"/>
        </w:rPr>
        <w:t>. Each grantee shall, no later than the date as of which the value of an Award or of any Shares or other amounts received thereunder first becomes includable in the gross income of the grantee for income tax purposes, pay to the Company, or make arrangements satisfactory to the Committee regarding payment of, any Federal, state, or local taxes of any kind required by law to be withheld by the Company with respect to such income. The Company and any Subsidiary shall, to the extent permitted by law, have the right to deduct any such taxes from any payment of any kind otherwise due to the grantee. The Company’s obligation to deliver stock certificates (or evidence of book entry) to any grantee is subject to and conditioned on any such tax withholding obligations being satisfied by the grantee.</w:t>
      </w:r>
    </w:p>
    <w:p>
      <w:pPr>
        <w:spacing w:after="0" w:line="85" w:lineRule="exact"/>
        <w:rPr>
          <w:rFonts w:ascii="Arial" w:cs="Arial" w:eastAsia="Arial" w:hAnsi="Arial"/>
          <w:sz w:val="18"/>
          <w:szCs w:val="18"/>
          <w:color w:val="auto"/>
        </w:rPr>
      </w:pPr>
    </w:p>
    <w:p>
      <w:pPr>
        <w:ind w:firstLine="464"/>
        <w:spacing w:after="0" w:line="264" w:lineRule="auto"/>
        <w:tabs>
          <w:tab w:leader="none" w:pos="711"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Payment in Stock</w:t>
      </w:r>
      <w:r>
        <w:rPr>
          <w:rFonts w:ascii="Arial" w:cs="Arial" w:eastAsia="Arial" w:hAnsi="Arial"/>
          <w:sz w:val="18"/>
          <w:szCs w:val="18"/>
          <w:color w:val="auto"/>
        </w:rPr>
        <w:t>. The Company’s minimum required tax withholding obligation may be satisfied, in whole or in part, by the Company withholding from Shares to be issued pursuant to an Award a number of Shares having an aggregate Fair Market Value (as of the date the withholding is effected) that would satisfy the minimum withholding amount due.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SECTION 409A AWARDS.</w:t>
      </w:r>
    </w:p>
    <w:p>
      <w:pPr>
        <w:spacing w:after="0" w:line="22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To the extent that any Award is determined to constitute “nonqualified deferred compensation” within the meaning of Section 409A (a “</w:t>
      </w:r>
      <w:r>
        <w:rPr>
          <w:rFonts w:ascii="Arial" w:cs="Arial" w:eastAsia="Arial" w:hAnsi="Arial"/>
          <w:sz w:val="18"/>
          <w:szCs w:val="18"/>
          <w:u w:val="single" w:color="auto"/>
          <w:color w:val="auto"/>
        </w:rPr>
        <w:t>409A Award</w:t>
      </w:r>
      <w:r>
        <w:rPr>
          <w:rFonts w:ascii="Arial" w:cs="Arial" w:eastAsia="Arial" w:hAnsi="Arial"/>
          <w:sz w:val="18"/>
          <w:szCs w:val="18"/>
          <w:color w:val="auto"/>
        </w:rPr>
        <w:t>”), the Award shall be subject to such additional rules and requirements as may be specified by the Committee from time to time. In this regard, if any amount under a 409A Award is payable upon a “separation from service” (within the meaning of Section 409A) to a grantee who is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The Company makes no representation or warranty and shall have no liability to any grantee under the Plan or any other Person with respect to any penalties or taxes under Section 409A that are, or may be, imposed with respect to any Award.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AMENDMENTS AND TERMINATION</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The Board may, at any time, amend or discontinue the Plan and the Committee may, at any time, amend or cancel any outstanding Award for the purpose of satisfying changes in law or for any other lawful purpose, but no such action shall adversely affect rights under any outstanding Award without the consent of the holder of the Award. The Committee may exercise its discretion to reduce the exercise price of outstanding Stock Options or effect repricing through cancellation of outstanding Stock Options and by granting such holders new Awards in replacement of the cancelled Stock Options. To the extent determined by the Committee to be required either by the Code to ensure that Incentive Stock Options granted under the Plan are qualified under Section 422 of the Code or otherwise, Plan amendments shall be subject to approval by the Company stockholders entitled to vote at a meeting of stockholders. Nothing in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shall limit the Board’s or Committee’s authority to take any action permitted pursuant to </w:t>
      </w:r>
      <w:r>
        <w:rPr>
          <w:rFonts w:ascii="Arial" w:cs="Arial" w:eastAsia="Arial" w:hAnsi="Arial"/>
          <w:sz w:val="17"/>
          <w:szCs w:val="17"/>
          <w:u w:val="single" w:color="auto"/>
          <w:color w:val="auto"/>
        </w:rPr>
        <w:t>Section 3(c)</w:t>
      </w:r>
      <w:r>
        <w:rPr>
          <w:rFonts w:ascii="Arial" w:cs="Arial" w:eastAsia="Arial" w:hAnsi="Arial"/>
          <w:sz w:val="17"/>
          <w:szCs w:val="17"/>
          <w:color w:val="auto"/>
        </w:rPr>
        <w:t>. The Board reserves the right to amend the Plan and/or the terms of any outstanding Stock Options to the extent reasonably necessary to comply with the requirements of the exemption pursuant to paragraph (f)(4) of Rule 12h-1 of the Exchange Act.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358" w:name="page359"/>
    <w:bookmarkEnd w:id="35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 </w:t>
      </w:r>
      <w:r>
        <w:rPr>
          <w:rFonts w:ascii="Arial" w:cs="Arial" w:eastAsia="Arial" w:hAnsi="Arial"/>
          <w:sz w:val="18"/>
          <w:szCs w:val="18"/>
          <w:u w:val="single" w:color="auto"/>
          <w:color w:val="auto"/>
        </w:rPr>
        <w:t>STATUS OF PLAN</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Committee shall otherwise expressly so determine in connection with any Award.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jc w:val="both"/>
        <w:ind w:firstLine="464"/>
        <w:spacing w:after="0" w:line="279" w:lineRule="auto"/>
        <w:tabs>
          <w:tab w:leader="none" w:pos="701"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No Distribution; Compliance with Legal Requirements</w:t>
      </w:r>
      <w:r>
        <w:rPr>
          <w:rFonts w:ascii="Arial" w:cs="Arial" w:eastAsia="Arial" w:hAnsi="Arial"/>
          <w:sz w:val="17"/>
          <w:szCs w:val="17"/>
          <w:color w:val="auto"/>
        </w:rPr>
        <w:t>. The Committee may require each person acquiring Shares pursuant to an Award to represent to and agree with the Company in writing that such person is acquiring the Shares without a view to distribution thereof. No Shares shall be issued pursuant to an Award until all applicable securities law and other legal and stock exchange or similar requirements have been satisfied. The Committee may require the placing of such stop-orders and restrictive legends on certificates for Stock and Awards as it deems appropriate.</w:t>
      </w:r>
    </w:p>
    <w:p>
      <w:pPr>
        <w:spacing w:after="0" w:line="63" w:lineRule="exact"/>
        <w:rPr>
          <w:rFonts w:ascii="Arial" w:cs="Arial" w:eastAsia="Arial" w:hAnsi="Arial"/>
          <w:sz w:val="17"/>
          <w:szCs w:val="17"/>
          <w:color w:val="auto"/>
        </w:rPr>
      </w:pPr>
    </w:p>
    <w:p>
      <w:pPr>
        <w:ind w:right="20" w:firstLine="464"/>
        <w:spacing w:after="0" w:line="293" w:lineRule="auto"/>
        <w:tabs>
          <w:tab w:leader="none" w:pos="711"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Delivery of Stock Certificates</w:t>
      </w:r>
      <w:r>
        <w:rPr>
          <w:rFonts w:ascii="Arial" w:cs="Arial" w:eastAsia="Arial" w:hAnsi="Arial"/>
          <w:sz w:val="16"/>
          <w:szCs w:val="16"/>
          <w:color w:val="auto"/>
        </w:rPr>
        <w:t xml:space="preserve">. Stock certificates to grantees under the Plan shall be deemed delivered for all purposes when the Company or a stock transfer agent of the Company shall have mailed such certificates in the United States mail, addressed to the grantee, at the grantee’s last known address on file with the Company; provided that stock certificates to be held in escrow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of the Plan shall be deemed delivered when the Company shall have recorded the issuance in its records.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w:t>
      </w:r>
    </w:p>
    <w:p>
      <w:pPr>
        <w:spacing w:after="0" w:line="52" w:lineRule="exact"/>
        <w:rPr>
          <w:rFonts w:ascii="Arial" w:cs="Arial" w:eastAsia="Arial" w:hAnsi="Arial"/>
          <w:sz w:val="16"/>
          <w:szCs w:val="16"/>
          <w:color w:val="auto"/>
        </w:rPr>
      </w:pPr>
    </w:p>
    <w:p>
      <w:pPr>
        <w:ind w:right="340" w:firstLine="464"/>
        <w:spacing w:after="0" w:line="282" w:lineRule="auto"/>
        <w:tabs>
          <w:tab w:leader="none" w:pos="701"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No Employment Rights</w:t>
      </w:r>
      <w:r>
        <w:rPr>
          <w:rFonts w:ascii="Arial" w:cs="Arial" w:eastAsia="Arial" w:hAnsi="Arial"/>
          <w:sz w:val="18"/>
          <w:szCs w:val="18"/>
          <w:b w:val="1"/>
          <w:bCs w:val="1"/>
          <w:color w:val="auto"/>
        </w:rPr>
        <w:t>.</w:t>
      </w:r>
      <w:r>
        <w:rPr>
          <w:rFonts w:ascii="Arial" w:cs="Arial" w:eastAsia="Arial" w:hAnsi="Arial"/>
          <w:sz w:val="18"/>
          <w:szCs w:val="18"/>
          <w:color w:val="auto"/>
        </w:rPr>
        <w:t xml:space="preserve"> The adoption of the Plan and the grant of Awards do not confer upon any Person any right to continued employment or Service Relationship with the Company or any Subsidiary.</w:t>
      </w:r>
    </w:p>
    <w:p>
      <w:pPr>
        <w:spacing w:after="0" w:line="57" w:lineRule="exact"/>
        <w:rPr>
          <w:rFonts w:ascii="Arial" w:cs="Arial" w:eastAsia="Arial" w:hAnsi="Arial"/>
          <w:sz w:val="18"/>
          <w:szCs w:val="18"/>
          <w:color w:val="auto"/>
        </w:rPr>
      </w:pPr>
    </w:p>
    <w:p>
      <w:pPr>
        <w:ind w:right="440" w:firstLine="464"/>
        <w:spacing w:after="0" w:line="342" w:lineRule="auto"/>
        <w:tabs>
          <w:tab w:leader="none" w:pos="711"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Trading Policy Restrictions</w:t>
      </w:r>
      <w:r>
        <w:rPr>
          <w:rFonts w:ascii="Arial" w:cs="Arial" w:eastAsia="Arial" w:hAnsi="Arial"/>
          <w:sz w:val="16"/>
          <w:szCs w:val="16"/>
          <w:color w:val="auto"/>
        </w:rPr>
        <w:t>. Option exercises and other Awards under the Plan shall be subject to the Company’s insider trading policy-related restrictions, terms and conditions as may be established by the Committee, or in accordance with policies set by the Committee, from time to time.</w:t>
      </w:r>
    </w:p>
    <w:p>
      <w:pPr>
        <w:spacing w:after="0" w:line="15" w:lineRule="exact"/>
        <w:rPr>
          <w:rFonts w:ascii="Arial" w:cs="Arial" w:eastAsia="Arial" w:hAnsi="Arial"/>
          <w:sz w:val="16"/>
          <w:szCs w:val="16"/>
          <w:color w:val="auto"/>
        </w:rPr>
      </w:pPr>
    </w:p>
    <w:p>
      <w:pPr>
        <w:jc w:val="both"/>
        <w:ind w:right="40" w:firstLine="464"/>
        <w:spacing w:after="0" w:line="302" w:lineRule="auto"/>
        <w:tabs>
          <w:tab w:leader="none" w:pos="701"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Each grantee to whom an Award has been made under the Plan may designate a beneficiary or beneficiaries to exercise any Award on or after the grantee’s death or receive any payment under any Award payable on or after the grantee’s death. Any such designation shall be on a form provided for that purpose by the Committee and shall not be effective until received by the Committee. If no beneficiary has been designated by a deceased grantee, or if the designated beneficiaries have predeceased the grantee, the beneficiary shall be the grantee’s estate.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59" w:name="page360"/>
    <w:bookmarkEnd w:id="359"/>
    <w:p>
      <w:pPr>
        <w:ind w:right="120" w:firstLine="464"/>
        <w:spacing w:after="0" w:line="277" w:lineRule="auto"/>
        <w:tabs>
          <w:tab w:leader="none" w:pos="681"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Legend</w:t>
      </w:r>
      <w:r>
        <w:rPr>
          <w:rFonts w:ascii="Arial" w:cs="Arial" w:eastAsia="Arial" w:hAnsi="Arial"/>
          <w:sz w:val="18"/>
          <w:szCs w:val="18"/>
          <w:color w:val="auto"/>
        </w:rPr>
        <w:t>. Any certificate(s) representing the Shares shall carry substantially the following legend (and with respect to uncertificated Stock, the book entries evidencing such shares shall contain the following notation):</w:t>
      </w:r>
    </w:p>
    <w:p>
      <w:pPr>
        <w:spacing w:after="0" w:line="62"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restrictions, terms and conditions (including repurchase and restrictions against transfers) contained in the AvroBio, Inc. Amended and Restated 2015 Stock Option and Grant Plan and any agreements entered into thereunder by and between the company and the holder of this certificate (a copy of which is available at the offices of the company for examination).</w:t>
      </w:r>
    </w:p>
    <w:p>
      <w:pPr>
        <w:spacing w:after="0" w:line="79" w:lineRule="exact"/>
        <w:rPr>
          <w:sz w:val="20"/>
          <w:szCs w:val="20"/>
          <w:color w:val="auto"/>
        </w:rPr>
      </w:pPr>
    </w:p>
    <w:p>
      <w:pPr>
        <w:ind w:right="60" w:firstLine="464"/>
        <w:spacing w:after="0" w:line="257" w:lineRule="auto"/>
        <w:tabs>
          <w:tab w:leader="none" w:pos="711"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Information to Holders of Options</w:t>
      </w:r>
      <w:r>
        <w:rPr>
          <w:rFonts w:ascii="Arial" w:cs="Arial" w:eastAsia="Arial" w:hAnsi="Arial"/>
          <w:sz w:val="18"/>
          <w:szCs w:val="18"/>
          <w:color w:val="auto"/>
        </w:rPr>
        <w:t>. In the event the Company is relying on the exemption from the registration requirements of Section 12(g) of the Exchange Act contained in paragraph (f)(1) of Rule 12h-1 of the Exchange Act, the Company shall provide the information described in Rule 701(e)(3), (4) and (5) of the Securities Act to all holders of Options in accordance with the requirements thereunder. The foregoing notwithstanding, the Company shall not be required to provide such information unless the optionholder has agreed in writing, on a form prescribed by the Company, to keep such information confidential.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EFFECTIVE DATE OF PLAN</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Plan shall become effective upon adoption by the Board and shall be approved by stockholders in accordance with applicable state law and the Company’s articles of incorporation and bylaws within 12 months thereafter. If the stockholders fail to approve the Plan within 12 months after its adoption by the Board of Directors, then any Awards granted or sold under the Plan shall be rescinded and no additional grants or sales shall thereafter be made under the Plan. Subject to such approval by stockholders and to the requirement that no Shares may be issued hereunder prior to such approval, Stock Options and other Awards may be granted hereunder on and after adoption of the Plan by the Board. No grants of Stock Options and other Awards may be made hereunder after the tenth anniversary of the date the Plan is adopted by the Board or the date the Plan is approved by the Company’s stockholders, whichever is earlier.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Plan, all Awards and any controversy arising out of or relating to this Plan and all Awards shall be governed by and construed in accordance with the General Corporation Law of the State of Delaware as to matters within the scope thereof, and as to all other matters shall be governed by and construed in accordance with the internal laws of Massachusetts, without regard to conflict of law principles that would result in the application of any law other than the law of the Commonwealth of Massachusetts.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ADOPTED BY THE BOARD OF DIRECTORS: July 21, 2016</w:t>
      </w:r>
    </w:p>
    <w:p>
      <w:pPr>
        <w:spacing w:after="0" w:line="225" w:lineRule="exact"/>
        <w:rPr>
          <w:sz w:val="20"/>
          <w:szCs w:val="20"/>
          <w:color w:val="auto"/>
        </w:rPr>
      </w:pPr>
    </w:p>
    <w:p>
      <w:pPr>
        <w:spacing w:after="0"/>
        <w:tabs>
          <w:tab w:leader="none" w:pos="4140" w:val="left"/>
        </w:tabs>
        <w:rPr>
          <w:sz w:val="20"/>
          <w:szCs w:val="20"/>
          <w:color w:val="auto"/>
        </w:rPr>
      </w:pPr>
      <w:r>
        <w:rPr>
          <w:rFonts w:ascii="Arial" w:cs="Arial" w:eastAsia="Arial" w:hAnsi="Arial"/>
          <w:sz w:val="18"/>
          <w:szCs w:val="18"/>
          <w:color w:val="auto"/>
        </w:rPr>
        <w:t>DATE APPROVED BY THE STOCKHOLDERS:</w:t>
      </w:r>
      <w:r>
        <w:rPr>
          <w:sz w:val="20"/>
          <w:szCs w:val="20"/>
          <w:color w:val="auto"/>
        </w:rPr>
        <w:tab/>
      </w:r>
      <w:r>
        <w:rPr>
          <w:rFonts w:ascii="Arial" w:cs="Arial" w:eastAsia="Arial" w:hAnsi="Arial"/>
          <w:sz w:val="16"/>
          <w:szCs w:val="16"/>
          <w:color w:val="auto"/>
        </w:rPr>
        <w:t>July 21, 2016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360" w:name="page361"/>
    <w:bookmarkEnd w:id="36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AVROBIO,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1 TO</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AMENDED AND RESTATED 2015 STOCK OPTION AND GRANT PLAN</w:t>
      </w:r>
    </w:p>
    <w:p>
      <w:pPr>
        <w:spacing w:after="0" w:line="229"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WHEREAS, the Board of Directors of AvroBio, Inc. (the “</w:t>
      </w:r>
      <w:r>
        <w:rPr>
          <w:rFonts w:ascii="Arial" w:cs="Arial" w:eastAsia="Arial" w:hAnsi="Arial"/>
          <w:sz w:val="17"/>
          <w:szCs w:val="17"/>
          <w:u w:val="single" w:color="auto"/>
          <w:color w:val="auto"/>
        </w:rPr>
        <w:t>Company</w:t>
      </w:r>
      <w:r>
        <w:rPr>
          <w:rFonts w:ascii="Arial" w:cs="Arial" w:eastAsia="Arial" w:hAnsi="Arial"/>
          <w:sz w:val="17"/>
          <w:szCs w:val="17"/>
          <w:color w:val="auto"/>
        </w:rPr>
        <w:t>”) approved and adopted the Amended and Restated 2015 Stock Option and Grant Plan (the “</w:t>
      </w:r>
      <w:r>
        <w:rPr>
          <w:rFonts w:ascii="Arial" w:cs="Arial" w:eastAsia="Arial" w:hAnsi="Arial"/>
          <w:sz w:val="17"/>
          <w:szCs w:val="17"/>
          <w:u w:val="single" w:color="auto"/>
          <w:color w:val="auto"/>
        </w:rPr>
        <w:t>Plan</w:t>
      </w:r>
      <w:r>
        <w:rPr>
          <w:rFonts w:ascii="Arial" w:cs="Arial" w:eastAsia="Arial" w:hAnsi="Arial"/>
          <w:sz w:val="17"/>
          <w:szCs w:val="17"/>
          <w:color w:val="auto"/>
        </w:rPr>
        <w:t>”) of the Company on July 21, 2016, and the stockholders of the Company approved and adopted the Plan on July 21, 2016; and</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WHEREAS, the Board of Directors and the stockholders of the Company have determined that it is in the best interest of the Company to amend the Plan as set forth in this Amendment.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Plan is amended as follows:</w:t>
      </w:r>
    </w:p>
    <w:p>
      <w:pPr>
        <w:spacing w:after="0" w:line="370" w:lineRule="exact"/>
        <w:rPr>
          <w:sz w:val="20"/>
          <w:szCs w:val="20"/>
          <w:color w:val="auto"/>
        </w:rPr>
      </w:pPr>
    </w:p>
    <w:p>
      <w:pPr>
        <w:ind w:left="460" w:hanging="452"/>
        <w:spacing w:after="0"/>
        <w:tabs>
          <w:tab w:leader="none" w:pos="46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of the Plan</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Section 3(a) of the Plan is hereby amended and restated in its entirety to read as follows:</w:t>
      </w:r>
    </w:p>
    <w:p>
      <w:pPr>
        <w:spacing w:after="0" w:line="121" w:lineRule="exact"/>
        <w:rPr>
          <w:rFonts w:ascii="Arial" w:cs="Arial" w:eastAsia="Arial" w:hAnsi="Arial"/>
          <w:sz w:val="18"/>
          <w:szCs w:val="18"/>
          <w:b w:val="1"/>
          <w:bCs w:val="1"/>
          <w:color w:val="auto"/>
        </w:rPr>
      </w:pPr>
    </w:p>
    <w:p>
      <w:pPr>
        <w:ind w:firstLine="464"/>
        <w:spacing w:after="0" w:line="271" w:lineRule="auto"/>
        <w:tabs>
          <w:tab w:leader="none" w:pos="701" w:val="left"/>
        </w:tabs>
        <w:numPr>
          <w:ilvl w:val="1"/>
          <w:numId w:val="2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Issuable</w:t>
      </w:r>
      <w:r>
        <w:rPr>
          <w:rFonts w:ascii="Arial" w:cs="Arial" w:eastAsia="Arial" w:hAnsi="Arial"/>
          <w:sz w:val="17"/>
          <w:szCs w:val="17"/>
          <w:color w:val="auto"/>
        </w:rPr>
        <w:t>. The maximum number of Shares reserved and available for issuance under the Plan shall be 5,536,966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55,369,660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5,536,966 Shares shall be granted to any one individual in any calendar year period.</w:t>
      </w:r>
    </w:p>
    <w:p>
      <w:pPr>
        <w:spacing w:after="0" w:line="323" w:lineRule="exact"/>
        <w:rPr>
          <w:rFonts w:ascii="Arial" w:cs="Arial" w:eastAsia="Arial" w:hAnsi="Arial"/>
          <w:sz w:val="17"/>
          <w:szCs w:val="17"/>
          <w:color w:val="auto"/>
        </w:rPr>
      </w:pPr>
    </w:p>
    <w:p>
      <w:pPr>
        <w:ind w:left="460" w:hanging="452"/>
        <w:spacing w:after="0"/>
        <w:tabs>
          <w:tab w:leader="none" w:pos="46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2.01. </w:t>
      </w:r>
      <w:r>
        <w:rPr>
          <w:rFonts w:ascii="Arial" w:cs="Arial" w:eastAsia="Arial" w:hAnsi="Arial"/>
          <w:sz w:val="18"/>
          <w:szCs w:val="18"/>
          <w:u w:val="single" w:color="auto"/>
          <w:color w:val="auto"/>
        </w:rPr>
        <w:t>Effect</w:t>
      </w:r>
      <w:r>
        <w:rPr>
          <w:rFonts w:ascii="Arial" w:cs="Arial" w:eastAsia="Arial" w:hAnsi="Arial"/>
          <w:sz w:val="18"/>
          <w:szCs w:val="18"/>
          <w:color w:val="auto"/>
        </w:rPr>
        <w:t>. Except as amended hereby, the Plan shall remain in full force and effect.</w:t>
      </w:r>
    </w:p>
    <w:p>
      <w:pPr>
        <w:spacing w:after="0" w:line="117"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2.02. </w:t>
      </w:r>
      <w:r>
        <w:rPr>
          <w:rFonts w:ascii="Arial" w:cs="Arial" w:eastAsia="Arial" w:hAnsi="Arial"/>
          <w:sz w:val="18"/>
          <w:szCs w:val="18"/>
          <w:u w:val="single" w:color="auto"/>
          <w:color w:val="auto"/>
        </w:rPr>
        <w:t>Defined Terms</w:t>
      </w:r>
      <w:r>
        <w:rPr>
          <w:rFonts w:ascii="Arial" w:cs="Arial" w:eastAsia="Arial" w:hAnsi="Arial"/>
          <w:sz w:val="18"/>
          <w:szCs w:val="18"/>
          <w:color w:val="auto"/>
        </w:rPr>
        <w:t>. All capitalized terms used but not specifically defined herein shall have the same meanings given such terms in the Plan unless</w:t>
      </w:r>
      <w:r>
        <w:rPr>
          <w:rFonts w:ascii="Arial" w:cs="Arial" w:eastAsia="Arial" w:hAnsi="Arial"/>
          <w:sz w:val="18"/>
          <w:szCs w:val="18"/>
          <w:b w:val="1"/>
          <w:bCs w:val="1"/>
          <w:color w:val="auto"/>
        </w:rPr>
        <w:t xml:space="preserve"> </w:t>
      </w:r>
      <w:r>
        <w:rPr>
          <w:rFonts w:ascii="Arial" w:cs="Arial" w:eastAsia="Arial" w:hAnsi="Arial"/>
          <w:sz w:val="18"/>
          <w:szCs w:val="18"/>
          <w:color w:val="auto"/>
        </w:rPr>
        <w:t>the context clearly indicates or dictates a contrary meaning.</w:t>
      </w:r>
    </w:p>
    <w:p>
      <w:pPr>
        <w:spacing w:after="0" w:line="54" w:lineRule="exact"/>
        <w:rPr>
          <w:sz w:val="20"/>
          <w:szCs w:val="20"/>
          <w:color w:val="auto"/>
        </w:rPr>
      </w:pPr>
    </w:p>
    <w:p>
      <w:pPr>
        <w:ind w:right="40" w:firstLine="456"/>
        <w:spacing w:after="0" w:line="314" w:lineRule="auto"/>
        <w:rPr>
          <w:sz w:val="20"/>
          <w:szCs w:val="20"/>
          <w:color w:val="auto"/>
        </w:rPr>
      </w:pPr>
      <w:r>
        <w:rPr>
          <w:rFonts w:ascii="Arial" w:cs="Arial" w:eastAsia="Arial" w:hAnsi="Arial"/>
          <w:sz w:val="16"/>
          <w:szCs w:val="16"/>
          <w:b w:val="1"/>
          <w:bCs w:val="1"/>
          <w:color w:val="auto"/>
        </w:rPr>
        <w:t xml:space="preserve">2.03.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Amendment shall be governed by and construed in accordance with the General Corporation Law of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as to matters within the scope thereof, and as to all other matters shall be governed by and construed in accordance with the internal laws of Massachusetts, without regard to conflict of law principles that would result in the application of any law other than the law of the Commonwealth of Massachusetts.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ADOPTED BY BOARD OF DIRECTORS: March 30, 2017</w:t>
      </w:r>
    </w:p>
    <w:p>
      <w:pPr>
        <w:spacing w:after="0" w:line="225" w:lineRule="exact"/>
        <w:rPr>
          <w:sz w:val="20"/>
          <w:szCs w:val="20"/>
          <w:color w:val="auto"/>
        </w:rPr>
      </w:pPr>
    </w:p>
    <w:p>
      <w:pPr>
        <w:spacing w:after="0"/>
        <w:tabs>
          <w:tab w:leader="none" w:pos="3240" w:val="left"/>
        </w:tabs>
        <w:rPr>
          <w:sz w:val="20"/>
          <w:szCs w:val="20"/>
          <w:color w:val="auto"/>
        </w:rPr>
      </w:pPr>
      <w:r>
        <w:rPr>
          <w:rFonts w:ascii="Arial" w:cs="Arial" w:eastAsia="Arial" w:hAnsi="Arial"/>
          <w:sz w:val="18"/>
          <w:szCs w:val="18"/>
          <w:color w:val="auto"/>
        </w:rPr>
        <w:t>APPROVED BY STOCKHOLDERS:</w:t>
      </w:r>
      <w:r>
        <w:rPr>
          <w:sz w:val="20"/>
          <w:szCs w:val="20"/>
          <w:color w:val="auto"/>
        </w:rPr>
        <w:tab/>
      </w:r>
      <w:r>
        <w:rPr>
          <w:rFonts w:ascii="Arial" w:cs="Arial" w:eastAsia="Arial" w:hAnsi="Arial"/>
          <w:sz w:val="16"/>
          <w:szCs w:val="16"/>
          <w:color w:val="auto"/>
        </w:rPr>
        <w:t>March 30, 2017</w:t>
      </w:r>
    </w:p>
    <w:p>
      <w:pPr>
        <w:sectPr>
          <w:pgSz w:w="11900" w:h="16838" w:orient="portrait"/>
          <w:cols w:equalWidth="0" w:num="1">
            <w:col w:w="11340"/>
          </w:cols>
          <w:pgMar w:left="240" w:top="269" w:right="319" w:bottom="1440" w:gutter="0" w:footer="0" w:header="0"/>
        </w:sectPr>
      </w:pPr>
    </w:p>
    <w:bookmarkStart w:id="361" w:name="page362"/>
    <w:bookmarkEnd w:id="36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INCENTIVE STOCK OPTION GRANT NOTICE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AVROBIO,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2015 STOCK OPTION AND GRANT PLAN</w:t>
      </w:r>
    </w:p>
    <w:p>
      <w:pPr>
        <w:spacing w:after="0" w:line="21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Pursuant to the AVROBIO, Inc. 2015 Stock Option and Grant Plan (the “</w:t>
      </w:r>
      <w:r>
        <w:rPr>
          <w:rFonts w:ascii="Arial" w:cs="Arial" w:eastAsia="Arial" w:hAnsi="Arial"/>
          <w:sz w:val="17"/>
          <w:szCs w:val="17"/>
          <w:u w:val="single" w:color="auto"/>
          <w:color w:val="auto"/>
        </w:rPr>
        <w:t>Plan</w:t>
      </w:r>
      <w:r>
        <w:rPr>
          <w:rFonts w:ascii="Arial" w:cs="Arial" w:eastAsia="Arial" w:hAnsi="Arial"/>
          <w:sz w:val="17"/>
          <w:szCs w:val="17"/>
          <w:color w:val="auto"/>
        </w:rPr>
        <w:t>”), AVROBIO, Inc., a Delaware corporation (together with any successor, the “</w:t>
      </w:r>
      <w:r>
        <w:rPr>
          <w:rFonts w:ascii="Arial" w:cs="Arial" w:eastAsia="Arial" w:hAnsi="Arial"/>
          <w:sz w:val="17"/>
          <w:szCs w:val="17"/>
          <w:u w:val="single" w:color="auto"/>
          <w:color w:val="auto"/>
        </w:rPr>
        <w:t>Company</w:t>
      </w:r>
      <w:r>
        <w:rPr>
          <w:rFonts w:ascii="Arial" w:cs="Arial" w:eastAsia="Arial" w:hAnsi="Arial"/>
          <w:sz w:val="17"/>
          <w:szCs w:val="17"/>
          <w:color w:val="auto"/>
        </w:rPr>
        <w:t>”), has granted to the individual named below, an option (the “</w:t>
      </w:r>
      <w:r>
        <w:rPr>
          <w:rFonts w:ascii="Arial" w:cs="Arial" w:eastAsia="Arial" w:hAnsi="Arial"/>
          <w:sz w:val="17"/>
          <w:szCs w:val="17"/>
          <w:u w:val="single" w:color="auto"/>
          <w:color w:val="auto"/>
        </w:rPr>
        <w:t>Stock Option</w:t>
      </w:r>
      <w:r>
        <w:rPr>
          <w:rFonts w:ascii="Arial" w:cs="Arial" w:eastAsia="Arial" w:hAnsi="Arial"/>
          <w:sz w:val="17"/>
          <w:szCs w:val="17"/>
          <w:color w:val="auto"/>
        </w:rPr>
        <w:t>”) to purchase on or prior to the Expiration Date, or such earlier date as is specified herein, all or any part of the number of shares of Common Stock, par value $0.0001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Company indicated below (the “</w:t>
      </w:r>
      <w:r>
        <w:rPr>
          <w:rFonts w:ascii="Arial" w:cs="Arial" w:eastAsia="Arial" w:hAnsi="Arial"/>
          <w:sz w:val="17"/>
          <w:szCs w:val="17"/>
          <w:u w:val="single" w:color="auto"/>
          <w:color w:val="auto"/>
        </w:rPr>
        <w:t>Shares</w:t>
      </w:r>
      <w:r>
        <w:rPr>
          <w:rFonts w:ascii="Arial" w:cs="Arial" w:eastAsia="Arial" w:hAnsi="Arial"/>
          <w:sz w:val="17"/>
          <w:szCs w:val="17"/>
          <w:color w:val="auto"/>
        </w:rPr>
        <w:t>”), at the Option Exercise Price per share, subject to the terms and conditions set forth in this Incentive Stock Option Grant Notice (the “</w:t>
      </w:r>
      <w:r>
        <w:rPr>
          <w:rFonts w:ascii="Arial" w:cs="Arial" w:eastAsia="Arial" w:hAnsi="Arial"/>
          <w:sz w:val="17"/>
          <w:szCs w:val="17"/>
          <w:u w:val="single" w:color="auto"/>
          <w:color w:val="auto"/>
        </w:rPr>
        <w:t>Grant Notice</w:t>
      </w:r>
      <w:r>
        <w:rPr>
          <w:rFonts w:ascii="Arial" w:cs="Arial" w:eastAsia="Arial" w:hAnsi="Arial"/>
          <w:sz w:val="17"/>
          <w:szCs w:val="17"/>
          <w:color w:val="auto"/>
        </w:rPr>
        <w:t>”), the attached Incentive Stock Option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and the Plan. This Stock Option is intended to qualify as an “incentive stock option” as defined in Section 422(b) of the Internal Revenue Code of 1986, as amended from time to time (the “</w:t>
      </w:r>
      <w:r>
        <w:rPr>
          <w:rFonts w:ascii="Arial" w:cs="Arial" w:eastAsia="Arial" w:hAnsi="Arial"/>
          <w:sz w:val="17"/>
          <w:szCs w:val="17"/>
          <w:u w:val="single" w:color="auto"/>
          <w:color w:val="auto"/>
        </w:rPr>
        <w:t>Code</w:t>
      </w:r>
      <w:r>
        <w:rPr>
          <w:rFonts w:ascii="Arial" w:cs="Arial" w:eastAsia="Arial" w:hAnsi="Arial"/>
          <w:sz w:val="17"/>
          <w:szCs w:val="17"/>
          <w:color w:val="auto"/>
        </w:rPr>
        <w:t>”). To the extent that any portion of the Stock Option does not so qualify, it shall be deemed a non-qualified stock option.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20"/>
                <w:szCs w:val="20"/>
                <w:color w:val="auto"/>
              </w:rPr>
            </w:pPr>
            <w:r>
              <w:rPr>
                <w:rFonts w:ascii="Arial" w:cs="Arial" w:eastAsia="Arial" w:hAnsi="Arial"/>
                <w:sz w:val="18"/>
                <w:szCs w:val="18"/>
                <w:color w:val="auto"/>
              </w:rPr>
              <w:t>Name of Optionee:</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__________________ (the “Optionee”)</w:t>
            </w: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45"/>
        </w:trPr>
        <w:tc>
          <w:tcPr>
            <w:tcW w:w="3000" w:type="dxa"/>
            <w:vAlign w:val="bottom"/>
          </w:tcPr>
          <w:p>
            <w:pPr>
              <w:spacing w:after="0"/>
              <w:rPr>
                <w:sz w:val="20"/>
                <w:szCs w:val="20"/>
                <w:color w:val="auto"/>
              </w:rPr>
            </w:pPr>
            <w:r>
              <w:rPr>
                <w:rFonts w:ascii="Arial" w:cs="Arial" w:eastAsia="Arial" w:hAnsi="Arial"/>
                <w:sz w:val="18"/>
                <w:szCs w:val="18"/>
                <w:color w:val="auto"/>
              </w:rPr>
              <w:t>No. of Shares:</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__________ Shares of Common Stock</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Grant Date:</w:t>
            </w:r>
          </w:p>
        </w:tc>
        <w:tc>
          <w:tcPr>
            <w:tcW w:w="2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84"/>
        </w:trPr>
        <w:tc>
          <w:tcPr>
            <w:tcW w:w="300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__________________ (the “Vesting Commencement Date”)</w:t>
            </w: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04"/>
        </w:trPr>
        <w:tc>
          <w:tcPr>
            <w:tcW w:w="3000" w:type="dxa"/>
            <w:vAlign w:val="bottom"/>
          </w:tcPr>
          <w:p>
            <w:pPr>
              <w:spacing w:after="0"/>
              <w:rPr>
                <w:sz w:val="20"/>
                <w:szCs w:val="20"/>
                <w:color w:val="auto"/>
              </w:rPr>
            </w:pPr>
            <w:r>
              <w:rPr>
                <w:rFonts w:ascii="Arial" w:cs="Arial" w:eastAsia="Arial" w:hAnsi="Arial"/>
                <w:sz w:val="18"/>
                <w:szCs w:val="18"/>
                <w:color w:val="auto"/>
              </w:rPr>
              <w:t>Expiration Date:</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__________________ (the “Expiration Date”)</w:t>
            </w: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r>
      <w:tr>
        <w:trPr>
          <w:trHeight w:val="304"/>
        </w:trPr>
        <w:tc>
          <w:tcPr>
            <w:tcW w:w="3000" w:type="dxa"/>
            <w:vAlign w:val="bottom"/>
          </w:tcPr>
          <w:p>
            <w:pPr>
              <w:spacing w:after="0"/>
              <w:rPr>
                <w:sz w:val="20"/>
                <w:szCs w:val="20"/>
                <w:color w:val="auto"/>
              </w:rPr>
            </w:pPr>
            <w:r>
              <w:rPr>
                <w:rFonts w:ascii="Arial" w:cs="Arial" w:eastAsia="Arial" w:hAnsi="Arial"/>
                <w:sz w:val="18"/>
                <w:szCs w:val="18"/>
                <w:color w:val="auto"/>
              </w:rPr>
              <w:t>Option Exercise Price/Share:</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$_________________ (the “Option Exercise Price”)</w:t>
            </w: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r>
      <w:tr>
        <w:trPr>
          <w:trHeight w:val="330"/>
        </w:trPr>
        <w:tc>
          <w:tcPr>
            <w:tcW w:w="3000" w:type="dxa"/>
            <w:vAlign w:val="bottom"/>
          </w:tcPr>
          <w:p>
            <w:pPr>
              <w:spacing w:after="0"/>
              <w:rPr>
                <w:sz w:val="20"/>
                <w:szCs w:val="20"/>
                <w:color w:val="auto"/>
              </w:rPr>
            </w:pPr>
            <w:r>
              <w:rPr>
                <w:rFonts w:ascii="Arial" w:cs="Arial" w:eastAsia="Arial" w:hAnsi="Arial"/>
                <w:sz w:val="18"/>
                <w:szCs w:val="18"/>
                <w:color w:val="auto"/>
              </w:rPr>
              <w:t>Vesting Schedule:</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w w:val="96"/>
              </w:rPr>
              <w:t>[25] percent of the Shares shall vest and become exercisable on the first anniversary of the Vesting</w:t>
            </w:r>
          </w:p>
        </w:tc>
      </w:tr>
      <w:tr>
        <w:trPr>
          <w:trHeight w:val="216"/>
        </w:trPr>
        <w:tc>
          <w:tcPr>
            <w:tcW w:w="3000" w:type="dxa"/>
            <w:vAlign w:val="bottom"/>
          </w:tcPr>
          <w:p>
            <w:pPr>
              <w:spacing w:after="0"/>
              <w:rPr>
                <w:sz w:val="18"/>
                <w:szCs w:val="18"/>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w w:val="95"/>
              </w:rPr>
              <w:t>Commencement Date; provided that the Optionee continues to have a Service Relationship with the</w:t>
            </w:r>
          </w:p>
        </w:tc>
      </w:tr>
      <w:tr>
        <w:trPr>
          <w:trHeight w:val="216"/>
        </w:trPr>
        <w:tc>
          <w:tcPr>
            <w:tcW w:w="3000" w:type="dxa"/>
            <w:vAlign w:val="bottom"/>
          </w:tcPr>
          <w:p>
            <w:pPr>
              <w:spacing w:after="0"/>
              <w:rPr>
                <w:sz w:val="18"/>
                <w:szCs w:val="18"/>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w w:val="96"/>
              </w:rPr>
              <w:t>Company at such time. Thereafter, the remaining [75] percent of the Shares shall vest and become</w:t>
            </w:r>
          </w:p>
        </w:tc>
      </w:tr>
      <w:tr>
        <w:trPr>
          <w:trHeight w:val="216"/>
        </w:trPr>
        <w:tc>
          <w:tcPr>
            <w:tcW w:w="3000" w:type="dxa"/>
            <w:vAlign w:val="bottom"/>
          </w:tcPr>
          <w:p>
            <w:pPr>
              <w:spacing w:after="0"/>
              <w:rPr>
                <w:sz w:val="18"/>
                <w:szCs w:val="18"/>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exercisable in [36] equal monthly installments following the first anniversary of the Vesting</w:t>
            </w:r>
          </w:p>
        </w:tc>
      </w:tr>
      <w:tr>
        <w:trPr>
          <w:trHeight w:val="216"/>
        </w:trPr>
        <w:tc>
          <w:tcPr>
            <w:tcW w:w="3000" w:type="dxa"/>
            <w:vAlign w:val="bottom"/>
          </w:tcPr>
          <w:p>
            <w:pPr>
              <w:spacing w:after="0"/>
              <w:rPr>
                <w:sz w:val="18"/>
                <w:szCs w:val="18"/>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w w:val="90"/>
              </w:rPr>
              <w:t>Commencement Date, provided the Optionee continues to have a Service Relationship with the Company</w:t>
            </w:r>
          </w:p>
        </w:tc>
      </w:tr>
      <w:tr>
        <w:trPr>
          <w:trHeight w:val="212"/>
        </w:trPr>
        <w:tc>
          <w:tcPr>
            <w:tcW w:w="3000" w:type="dxa"/>
            <w:vAlign w:val="bottom"/>
          </w:tcPr>
          <w:p>
            <w:pPr>
              <w:spacing w:after="0"/>
              <w:rPr>
                <w:sz w:val="18"/>
                <w:szCs w:val="18"/>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w w:val="91"/>
              </w:rPr>
              <w:t>at such time. Notwithstanding anything in the Agreement to the contrary, in the case of a Sale Event, this</w:t>
            </w:r>
          </w:p>
        </w:tc>
      </w:tr>
      <w:tr>
        <w:trPr>
          <w:trHeight w:val="234"/>
        </w:trPr>
        <w:tc>
          <w:tcPr>
            <w:tcW w:w="3000" w:type="dxa"/>
            <w:vAlign w:val="bottom"/>
          </w:tcPr>
          <w:p>
            <w:pPr>
              <w:spacing w:after="0"/>
              <w:rPr>
                <w:sz w:val="20"/>
                <w:szCs w:val="20"/>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Stock Option and the Shares shall be treated as provided in Section 3(c) of the Plan</w:t>
            </w:r>
            <w:r>
              <w:rPr>
                <w:rFonts w:ascii="Arial" w:cs="Arial" w:eastAsia="Arial" w:hAnsi="Arial"/>
                <w:sz w:val="18"/>
                <w:szCs w:val="18"/>
                <w:b w:val="1"/>
                <w:bCs w:val="1"/>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Incentive Stock Option Agreement, 2015 Stock Option and Grant Plan</w:t>
      </w:r>
    </w:p>
    <w:p>
      <w:pPr>
        <w:sectPr>
          <w:pgSz w:w="11900" w:h="16838" w:orient="portrait"/>
          <w:cols w:equalWidth="0" w:num="1">
            <w:col w:w="11380"/>
          </w:cols>
          <w:pgMar w:left="240" w:top="270" w:right="279" w:bottom="1440" w:gutter="0" w:footer="0" w:header="0"/>
        </w:sectPr>
      </w:pPr>
    </w:p>
    <w:bookmarkStart w:id="362" w:name="page363"/>
    <w:bookmarkEnd w:id="36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INCENTIVE STOCK OPTION AGREEMENT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AVROBIO,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2015 STOCK OPTION AND GRANT PLAN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capitalized terms used herein and not otherwise defined shall have the respective meanings set forth in the Grant Notice and the Plan.</w:t>
      </w:r>
    </w:p>
    <w:p>
      <w:pPr>
        <w:spacing w:after="0" w:line="129" w:lineRule="exact"/>
        <w:rPr>
          <w:sz w:val="20"/>
          <w:szCs w:val="20"/>
          <w:color w:val="auto"/>
        </w:rPr>
      </w:pPr>
    </w:p>
    <w:p>
      <w:pPr>
        <w:ind w:left="640" w:hanging="176"/>
        <w:spacing w:after="0"/>
        <w:tabs>
          <w:tab w:leader="none" w:pos="64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Vesting, Exercisability and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No portion of this Stock Option may be exercised until such portion shall have vested and become exercisable.</w:t>
      </w:r>
    </w:p>
    <w:p>
      <w:pPr>
        <w:spacing w:after="0" w:line="117" w:lineRule="exact"/>
        <w:rPr>
          <w:rFonts w:ascii="Arial" w:cs="Arial" w:eastAsia="Arial" w:hAnsi="Arial"/>
          <w:sz w:val="18"/>
          <w:szCs w:val="18"/>
          <w:color w:val="auto"/>
        </w:rPr>
      </w:pPr>
    </w:p>
    <w:p>
      <w:pPr>
        <w:ind w:right="740" w:firstLine="921"/>
        <w:spacing w:after="0" w:line="277" w:lineRule="auto"/>
        <w:tabs>
          <w:tab w:leader="none" w:pos="1168" w:val="left"/>
        </w:tabs>
        <w:numPr>
          <w:ilvl w:val="1"/>
          <w:numId w:val="255"/>
        </w:numPr>
        <w:rPr>
          <w:rFonts w:ascii="Arial" w:cs="Arial" w:eastAsia="Arial" w:hAnsi="Arial"/>
          <w:sz w:val="18"/>
          <w:szCs w:val="18"/>
          <w:color w:val="auto"/>
        </w:rPr>
      </w:pPr>
      <w:r>
        <w:rPr>
          <w:rFonts w:ascii="Arial" w:cs="Arial" w:eastAsia="Arial" w:hAnsi="Arial"/>
          <w:sz w:val="18"/>
          <w:szCs w:val="18"/>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2"/>
          <w:numId w:val="255"/>
        </w:numPr>
        <w:rPr>
          <w:rFonts w:ascii="Arial" w:cs="Arial" w:eastAsia="Arial" w:hAnsi="Arial"/>
          <w:sz w:val="18"/>
          <w:szCs w:val="18"/>
          <w:color w:val="auto"/>
        </w:rPr>
      </w:pPr>
      <w:r>
        <w:rPr>
          <w:rFonts w:ascii="Arial" w:cs="Arial" w:eastAsia="Arial" w:hAnsi="Arial"/>
          <w:sz w:val="18"/>
          <w:szCs w:val="18"/>
          <w:color w:val="auto"/>
        </w:rPr>
        <w:t>This Stock Option shall initially be unvested and unexercisable.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2"/>
          <w:numId w:val="255"/>
        </w:numPr>
        <w:rPr>
          <w:rFonts w:ascii="Arial" w:cs="Arial" w:eastAsia="Arial" w:hAnsi="Arial"/>
          <w:sz w:val="17"/>
          <w:szCs w:val="17"/>
          <w:color w:val="auto"/>
        </w:rPr>
      </w:pPr>
      <w:r>
        <w:rPr>
          <w:rFonts w:ascii="Arial" w:cs="Arial" w:eastAsia="Arial" w:hAnsi="Arial"/>
          <w:sz w:val="17"/>
          <w:szCs w:val="17"/>
          <w:color w:val="auto"/>
        </w:rPr>
        <w:t>This Stock Option shall vest and become exercisable in accordance with the Vesting Schedule set forth in the Grant Notice.</w:t>
      </w:r>
    </w:p>
    <w:p>
      <w:pPr>
        <w:spacing w:after="0" w:line="128" w:lineRule="exact"/>
        <w:rPr>
          <w:rFonts w:ascii="Arial" w:cs="Arial" w:eastAsia="Arial" w:hAnsi="Arial"/>
          <w:sz w:val="17"/>
          <w:szCs w:val="17"/>
          <w:color w:val="auto"/>
        </w:rPr>
      </w:pPr>
    </w:p>
    <w:p>
      <w:pPr>
        <w:jc w:val="both"/>
        <w:ind w:right="40" w:firstLine="921"/>
        <w:spacing w:after="0" w:line="264" w:lineRule="auto"/>
        <w:tabs>
          <w:tab w:leader="none" w:pos="1157" w:val="left"/>
        </w:tabs>
        <w:numPr>
          <w:ilvl w:val="1"/>
          <w:numId w:val="25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73" w:lineRule="exact"/>
        <w:rPr>
          <w:rFonts w:ascii="Arial" w:cs="Arial" w:eastAsia="Arial" w:hAnsi="Arial"/>
          <w:sz w:val="18"/>
          <w:szCs w:val="18"/>
          <w:color w:val="auto"/>
        </w:rPr>
      </w:pPr>
    </w:p>
    <w:p>
      <w:pPr>
        <w:ind w:left="460" w:right="600" w:firstLine="881"/>
        <w:spacing w:after="0" w:line="312" w:lineRule="auto"/>
        <w:tabs>
          <w:tab w:leader="none" w:pos="1551" w:val="left"/>
        </w:tabs>
        <w:numPr>
          <w:ilvl w:val="2"/>
          <w:numId w:val="255"/>
        </w:numPr>
        <w:rPr>
          <w:rFonts w:ascii="Arial" w:cs="Arial" w:eastAsia="Arial" w:hAnsi="Arial"/>
          <w:sz w:val="16"/>
          <w:szCs w:val="16"/>
          <w:color w:val="auto"/>
        </w:rPr>
      </w:pPr>
      <w:r>
        <w:rPr>
          <w:rFonts w:ascii="Arial" w:cs="Arial" w:eastAsia="Arial" w:hAnsi="Arial"/>
          <w:sz w:val="16"/>
          <w:szCs w:val="16"/>
          <w:u w:val="single" w:color="auto"/>
          <w:color w:val="auto"/>
        </w:rPr>
        <w:t>Termination Due to Death or Disability</w:t>
      </w:r>
      <w:r>
        <w:rPr>
          <w:rFonts w:ascii="Arial" w:cs="Arial" w:eastAsia="Arial" w:hAnsi="Arial"/>
          <w:sz w:val="16"/>
          <w:szCs w:val="16"/>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38" w:lineRule="exact"/>
        <w:rPr>
          <w:rFonts w:ascii="Arial" w:cs="Arial" w:eastAsia="Arial" w:hAnsi="Arial"/>
          <w:sz w:val="16"/>
          <w:szCs w:val="16"/>
          <w:color w:val="auto"/>
        </w:rPr>
      </w:pPr>
    </w:p>
    <w:p>
      <w:pPr>
        <w:jc w:val="both"/>
        <w:ind w:left="460" w:firstLine="881"/>
        <w:spacing w:after="0" w:line="259" w:lineRule="auto"/>
        <w:tabs>
          <w:tab w:leader="none" w:pos="1601" w:val="left"/>
        </w:tabs>
        <w:numPr>
          <w:ilvl w:val="2"/>
          <w:numId w:val="255"/>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xml:space="preserve">. If the Optionee’s Service Relationship terminates for any reason other than death or Disability, and unless otherwise determined by the Committee, this Stock Option may be exercised, to the extent exercisable on the date of termination, for a period of 90 days from the date of termination or until the Expiration Date, if earlier; </w:t>
      </w:r>
      <w:r>
        <w:rPr>
          <w:rFonts w:ascii="Arial" w:cs="Arial" w:eastAsia="Arial" w:hAnsi="Arial"/>
          <w:sz w:val="18"/>
          <w:szCs w:val="18"/>
          <w:u w:val="single" w:color="auto"/>
          <w:color w:val="auto"/>
        </w:rPr>
        <w:t>provided however</w:t>
      </w:r>
      <w:r>
        <w:rPr>
          <w:rFonts w:ascii="Arial" w:cs="Arial" w:eastAsia="Arial" w:hAnsi="Arial"/>
          <w:sz w:val="18"/>
          <w:szCs w:val="18"/>
          <w:color w:val="auto"/>
        </w:rPr>
        <w:t>, if the Optionee’s Service Relationship is terminated for Cause, this Stock Option shall terminate immediately upon the date of such termination.</w:t>
      </w:r>
    </w:p>
    <w:p>
      <w:pPr>
        <w:spacing w:after="0" w:line="18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For purposes hereof, the Committee’s determination of the reason for termination of the Optionee’s Service Relationship shall be conclusive and binding on the Optionee and his or her representatives or legatees. Any portion of this Stock Option that is not vested and exercisable on the date of termination of the Service Relationship shall terminate immediately and be null and void.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363" w:name="page364"/>
    <w:bookmarkEnd w:id="363"/>
    <w:p>
      <w:pPr>
        <w:ind w:left="-20" w:firstLine="921"/>
        <w:spacing w:after="0" w:line="270" w:lineRule="auto"/>
        <w:tabs>
          <w:tab w:leader="none" w:pos="1148" w:val="left"/>
        </w:tabs>
        <w:numPr>
          <w:ilvl w:val="1"/>
          <w:numId w:val="2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understood and intended that this Stock Option is intended to qualify as an “incentive stock option” as defined in Section 422 of the Code to the extent permitted under applicable law. Accordingly, the Optionee understands that in order to obtain the benefits of an incentive stock option under Section 422 of the Code, no sale or other disposition may be made of Shares for which incentive stock option treatment is desired within the one-year period beginning on the day after the day of the transfer of such Shares to him or her, nor within the two-year period beginning on the day after Grant Date of this Stock Option and further that this Stock Option must be exercised within three months after termination of employment as an employee (or 12 months in the case of death or disability) to qualify as an incentive stock option. If the Optionee disposes (whether by sale, gift, transfer or otherwise) of any such Shares within either of these periods, he or she will notify the Company within 30 days after such disposition. The Optionee also agrees to provide the Company with any information concerning any such dispositions required by the Company for tax purposes. Further, to the extent this Stock Option and any other incentive stock options of the Optionee having an aggregate Fair Market Value in excess of $100,000 (determined as of the Grant Date) first become exercisable in any year, such options will not qualify as incentive stock options.</w:t>
      </w:r>
    </w:p>
    <w:p>
      <w:pPr>
        <w:spacing w:after="0" w:line="69" w:lineRule="exact"/>
        <w:rPr>
          <w:rFonts w:ascii="Arial" w:cs="Arial" w:eastAsia="Arial" w:hAnsi="Arial"/>
          <w:sz w:val="17"/>
          <w:szCs w:val="17"/>
          <w:color w:val="auto"/>
        </w:rPr>
      </w:pPr>
    </w:p>
    <w:p>
      <w:pPr>
        <w:ind w:left="620" w:hanging="176"/>
        <w:spacing w:after="0"/>
        <w:tabs>
          <w:tab w:leader="none" w:pos="62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Exercise of Stock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80" w:firstLine="921"/>
        <w:spacing w:after="0" w:line="276" w:lineRule="auto"/>
        <w:tabs>
          <w:tab w:leader="none" w:pos="1138" w:val="left"/>
        </w:tabs>
        <w:numPr>
          <w:ilvl w:val="1"/>
          <w:numId w:val="257"/>
        </w:numPr>
        <w:rPr>
          <w:rFonts w:ascii="Arial" w:cs="Arial" w:eastAsia="Arial" w:hAnsi="Arial"/>
          <w:sz w:val="17"/>
          <w:szCs w:val="17"/>
          <w:color w:val="auto"/>
        </w:rPr>
      </w:pPr>
      <w:r>
        <w:rPr>
          <w:rFonts w:ascii="Arial" w:cs="Arial" w:eastAsia="Arial" w:hAnsi="Arial"/>
          <w:sz w:val="17"/>
          <w:szCs w:val="17"/>
          <w:color w:val="auto"/>
        </w:rPr>
        <w:t xml:space="preserve">The Optionee may exercise this Stock Option only in the following manner: Prior to the Expiration Date, the Optionee may deliver a Stock Option exercise notice (an “Exercise Notice”) in the form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64" w:lineRule="exact"/>
        <w:rPr>
          <w:rFonts w:ascii="Arial" w:cs="Arial" w:eastAsia="Arial" w:hAnsi="Arial"/>
          <w:sz w:val="17"/>
          <w:szCs w:val="17"/>
          <w:color w:val="auto"/>
        </w:rPr>
      </w:pPr>
    </w:p>
    <w:p>
      <w:pPr>
        <w:ind w:left="1160" w:hanging="259"/>
        <w:spacing w:after="0"/>
        <w:tabs>
          <w:tab w:leader="none" w:pos="1160" w:val="left"/>
        </w:tabs>
        <w:numPr>
          <w:ilvl w:val="1"/>
          <w:numId w:val="257"/>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 Date.</w:t>
      </w:r>
    </w:p>
    <w:p>
      <w:pPr>
        <w:spacing w:after="0" w:line="128" w:lineRule="exact"/>
        <w:rPr>
          <w:rFonts w:ascii="Arial" w:cs="Arial" w:eastAsia="Arial" w:hAnsi="Arial"/>
          <w:sz w:val="17"/>
          <w:szCs w:val="17"/>
          <w:color w:val="auto"/>
        </w:rPr>
      </w:pPr>
    </w:p>
    <w:p>
      <w:pPr>
        <w:ind w:left="-20" w:right="520" w:firstLine="464"/>
        <w:spacing w:after="0" w:line="277" w:lineRule="auto"/>
        <w:tabs>
          <w:tab w:leader="none" w:pos="616"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w:t>
      </w:r>
    </w:p>
    <w:p>
      <w:pPr>
        <w:spacing w:after="0" w:line="62" w:lineRule="exact"/>
        <w:rPr>
          <w:rFonts w:ascii="Arial" w:cs="Arial" w:eastAsia="Arial" w:hAnsi="Arial"/>
          <w:sz w:val="18"/>
          <w:szCs w:val="18"/>
          <w:color w:val="auto"/>
        </w:rPr>
      </w:pPr>
    </w:p>
    <w:p>
      <w:pPr>
        <w:ind w:left="-20" w:right="60" w:firstLine="464"/>
        <w:spacing w:after="0" w:line="272" w:lineRule="auto"/>
        <w:tabs>
          <w:tab w:leader="none" w:pos="616" w:val="left"/>
        </w:tabs>
        <w:numPr>
          <w:ilvl w:val="0"/>
          <w:numId w:val="257"/>
        </w:numPr>
        <w:rPr>
          <w:rFonts w:ascii="Arial" w:cs="Arial" w:eastAsia="Arial" w:hAnsi="Arial"/>
          <w:sz w:val="17"/>
          <w:szCs w:val="17"/>
          <w:color w:val="auto"/>
        </w:rPr>
      </w:pPr>
      <w:r>
        <w:rPr>
          <w:rFonts w:ascii="Arial" w:cs="Arial" w:eastAsia="Arial" w:hAnsi="Arial"/>
          <w:sz w:val="17"/>
          <w:szCs w:val="17"/>
          <w:u w:val="single" w:color="auto"/>
          <w:color w:val="auto"/>
        </w:rPr>
        <w:t>Transferability of Stock Option</w:t>
      </w:r>
      <w:r>
        <w:rPr>
          <w:rFonts w:ascii="Arial" w:cs="Arial" w:eastAsia="Arial" w:hAnsi="Arial"/>
          <w:sz w:val="17"/>
          <w:szCs w:val="17"/>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4" w:right="239" w:bottom="1440" w:gutter="0" w:footer="0" w:header="0"/>
        </w:sectPr>
      </w:pPr>
    </w:p>
    <w:bookmarkStart w:id="364" w:name="page365"/>
    <w:bookmarkEnd w:id="364"/>
    <w:p>
      <w:pPr>
        <w:ind w:left="-20" w:right="220" w:firstLine="464"/>
        <w:spacing w:after="0" w:line="277" w:lineRule="auto"/>
        <w:tabs>
          <w:tab w:leader="none" w:pos="616"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on Transfer of Shares</w:t>
      </w:r>
      <w:r>
        <w:rPr>
          <w:rFonts w:ascii="Arial" w:cs="Arial" w:eastAsia="Arial" w:hAnsi="Arial"/>
          <w:sz w:val="18"/>
          <w:szCs w:val="18"/>
          <w:color w:val="auto"/>
        </w:rPr>
        <w:t>. The Shares acquired upon exercise of the Stock Option shall be subject to certain transfer restrictions and other limitations including, without limitation, the provisions contained in Section 9 of the Plan.</w:t>
      </w:r>
    </w:p>
    <w:p>
      <w:pPr>
        <w:spacing w:after="0" w:line="62" w:lineRule="exact"/>
        <w:rPr>
          <w:rFonts w:ascii="Arial" w:cs="Arial" w:eastAsia="Arial" w:hAnsi="Arial"/>
          <w:sz w:val="18"/>
          <w:szCs w:val="18"/>
          <w:color w:val="auto"/>
        </w:rPr>
      </w:pPr>
    </w:p>
    <w:p>
      <w:pPr>
        <w:ind w:left="620" w:hanging="176"/>
        <w:spacing w:after="0"/>
        <w:tabs>
          <w:tab w:leader="none" w:pos="62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100" w:firstLine="921"/>
        <w:spacing w:after="0" w:line="308" w:lineRule="auto"/>
        <w:tabs>
          <w:tab w:leader="none" w:pos="1137" w:val="left"/>
        </w:tabs>
        <w:numPr>
          <w:ilvl w:val="1"/>
          <w:numId w:val="258"/>
        </w:numPr>
        <w:rPr>
          <w:rFonts w:ascii="Arial" w:cs="Arial" w:eastAsia="Arial" w:hAnsi="Arial"/>
          <w:sz w:val="17"/>
          <w:szCs w:val="17"/>
          <w:color w:val="auto"/>
        </w:rPr>
      </w:pPr>
      <w:r>
        <w:rPr>
          <w:rFonts w:ascii="Arial" w:cs="Arial" w:eastAsia="Arial" w:hAnsi="Arial"/>
          <w:sz w:val="17"/>
          <w:szCs w:val="17"/>
          <w:u w:val="single" w:color="auto"/>
          <w:color w:val="auto"/>
        </w:rPr>
        <w:t>Equitable Relief</w:t>
      </w:r>
      <w:r>
        <w:rPr>
          <w:rFonts w:ascii="Arial" w:cs="Arial" w:eastAsia="Arial" w:hAnsi="Arial"/>
          <w:sz w:val="17"/>
          <w:szCs w:val="17"/>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38" w:lineRule="exact"/>
        <w:rPr>
          <w:rFonts w:ascii="Arial" w:cs="Arial" w:eastAsia="Arial" w:hAnsi="Arial"/>
          <w:sz w:val="17"/>
          <w:szCs w:val="17"/>
          <w:color w:val="auto"/>
        </w:rPr>
      </w:pPr>
    </w:p>
    <w:p>
      <w:pPr>
        <w:ind w:left="-20" w:right="20" w:firstLine="921"/>
        <w:spacing w:after="0" w:line="257" w:lineRule="auto"/>
        <w:tabs>
          <w:tab w:leader="none" w:pos="1148"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Capital Structure</w:t>
      </w:r>
      <w:r>
        <w:rPr>
          <w:rFonts w:ascii="Arial" w:cs="Arial" w:eastAsia="Arial" w:hAnsi="Arial"/>
          <w:sz w:val="18"/>
          <w:szCs w:val="18"/>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80" w:lineRule="exact"/>
        <w:rPr>
          <w:rFonts w:ascii="Arial" w:cs="Arial" w:eastAsia="Arial" w:hAnsi="Arial"/>
          <w:sz w:val="18"/>
          <w:szCs w:val="18"/>
          <w:color w:val="auto"/>
        </w:rPr>
      </w:pPr>
    </w:p>
    <w:p>
      <w:pPr>
        <w:ind w:left="-20" w:right="140" w:firstLine="921"/>
        <w:spacing w:after="0" w:line="342" w:lineRule="auto"/>
        <w:tabs>
          <w:tab w:leader="none" w:pos="1137" w:val="left"/>
        </w:tabs>
        <w:numPr>
          <w:ilvl w:val="1"/>
          <w:numId w:val="258"/>
        </w:numPr>
        <w:rPr>
          <w:rFonts w:ascii="Arial" w:cs="Arial" w:eastAsia="Arial" w:hAnsi="Arial"/>
          <w:sz w:val="16"/>
          <w:szCs w:val="16"/>
          <w:color w:val="auto"/>
        </w:rPr>
      </w:pPr>
      <w:r>
        <w:rPr>
          <w:rFonts w:ascii="Arial" w:cs="Arial" w:eastAsia="Arial" w:hAnsi="Arial"/>
          <w:sz w:val="16"/>
          <w:szCs w:val="16"/>
          <w:u w:val="single" w:color="auto"/>
          <w:color w:val="auto"/>
        </w:rPr>
        <w:t>Change and Modifications</w:t>
      </w:r>
      <w:r>
        <w:rPr>
          <w:rFonts w:ascii="Arial" w:cs="Arial" w:eastAsia="Arial" w:hAnsi="Arial"/>
          <w:sz w:val="16"/>
          <w:szCs w:val="16"/>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15" w:lineRule="exact"/>
        <w:rPr>
          <w:rFonts w:ascii="Arial" w:cs="Arial" w:eastAsia="Arial" w:hAnsi="Arial"/>
          <w:sz w:val="16"/>
          <w:szCs w:val="16"/>
          <w:color w:val="auto"/>
        </w:rPr>
      </w:pPr>
    </w:p>
    <w:p>
      <w:pPr>
        <w:jc w:val="both"/>
        <w:ind w:left="-20" w:right="600" w:firstLine="921"/>
        <w:spacing w:after="0" w:line="259" w:lineRule="auto"/>
        <w:tabs>
          <w:tab w:leader="none" w:pos="1148"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Massachusetts, without regard to conflict of law principles that would result in the application of any law other than the law of the Commonwealth of Massachusetts.</w:t>
      </w:r>
    </w:p>
    <w:p>
      <w:pPr>
        <w:spacing w:after="0" w:line="78" w:lineRule="exact"/>
        <w:rPr>
          <w:rFonts w:ascii="Arial" w:cs="Arial" w:eastAsia="Arial" w:hAnsi="Arial"/>
          <w:sz w:val="18"/>
          <w:szCs w:val="18"/>
          <w:color w:val="auto"/>
        </w:rPr>
      </w:pPr>
    </w:p>
    <w:p>
      <w:pPr>
        <w:ind w:left="-20" w:right="780" w:firstLine="921"/>
        <w:spacing w:after="0" w:line="277" w:lineRule="auto"/>
        <w:tabs>
          <w:tab w:leader="none" w:pos="1137"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62" w:lineRule="exact"/>
        <w:rPr>
          <w:rFonts w:ascii="Arial" w:cs="Arial" w:eastAsia="Arial" w:hAnsi="Arial"/>
          <w:sz w:val="18"/>
          <w:szCs w:val="18"/>
          <w:color w:val="auto"/>
        </w:rPr>
      </w:pPr>
    </w:p>
    <w:p>
      <w:pPr>
        <w:ind w:left="-20" w:firstLine="921"/>
        <w:spacing w:after="0" w:line="277" w:lineRule="auto"/>
        <w:tabs>
          <w:tab w:leader="none" w:pos="1118"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Saving Clause</w:t>
      </w:r>
      <w:r>
        <w:rPr>
          <w:rFonts w:ascii="Arial" w:cs="Arial" w:eastAsia="Arial" w:hAnsi="Arial"/>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62" w:lineRule="exact"/>
        <w:rPr>
          <w:rFonts w:ascii="Arial" w:cs="Arial" w:eastAsia="Arial" w:hAnsi="Arial"/>
          <w:sz w:val="18"/>
          <w:szCs w:val="18"/>
          <w:color w:val="auto"/>
        </w:rPr>
      </w:pPr>
    </w:p>
    <w:p>
      <w:pPr>
        <w:ind w:left="-20" w:right="60" w:firstLine="921"/>
        <w:spacing w:after="0" w:line="259" w:lineRule="auto"/>
        <w:tabs>
          <w:tab w:leader="none" w:pos="1148"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78" w:lineRule="exact"/>
        <w:rPr>
          <w:rFonts w:ascii="Arial" w:cs="Arial" w:eastAsia="Arial" w:hAnsi="Arial"/>
          <w:sz w:val="18"/>
          <w:szCs w:val="18"/>
          <w:color w:val="auto"/>
        </w:rPr>
      </w:pPr>
    </w:p>
    <w:p>
      <w:pPr>
        <w:ind w:left="-20" w:firstLine="921"/>
        <w:spacing w:after="0" w:line="264" w:lineRule="auto"/>
        <w:tabs>
          <w:tab w:leader="none" w:pos="1148"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Benefit and Binding Effect</w:t>
      </w:r>
      <w:r>
        <w:rPr>
          <w:rFonts w:ascii="Arial" w:cs="Arial" w:eastAsia="Arial" w:hAnsi="Arial"/>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74" w:right="259" w:bottom="1440" w:gutter="0" w:footer="0" w:header="0"/>
        </w:sectPr>
      </w:pPr>
    </w:p>
    <w:bookmarkStart w:id="365" w:name="page366"/>
    <w:bookmarkEnd w:id="365"/>
    <w:p>
      <w:pPr>
        <w:ind w:left="-20" w:firstLine="921"/>
        <w:spacing w:after="0" w:line="277" w:lineRule="auto"/>
        <w:tabs>
          <w:tab w:leader="none" w:pos="1108"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8"/>
          <w:szCs w:val="18"/>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62" w:lineRule="exact"/>
        <w:rPr>
          <w:rFonts w:ascii="Arial" w:cs="Arial" w:eastAsia="Arial" w:hAnsi="Arial"/>
          <w:sz w:val="18"/>
          <w:szCs w:val="18"/>
          <w:color w:val="auto"/>
        </w:rPr>
      </w:pPr>
    </w:p>
    <w:p>
      <w:pPr>
        <w:ind w:left="-20" w:right="320" w:firstLine="921"/>
        <w:spacing w:after="0" w:line="277" w:lineRule="auto"/>
        <w:tabs>
          <w:tab w:leader="none" w:pos="1108"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62" w:lineRule="exact"/>
        <w:rPr>
          <w:rFonts w:ascii="Arial" w:cs="Arial" w:eastAsia="Arial" w:hAnsi="Arial"/>
          <w:sz w:val="18"/>
          <w:szCs w:val="18"/>
          <w:color w:val="auto"/>
        </w:rPr>
      </w:pPr>
    </w:p>
    <w:p>
      <w:pPr>
        <w:ind w:left="620" w:hanging="176"/>
        <w:spacing w:after="0"/>
        <w:tabs>
          <w:tab w:leader="none" w:pos="62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40" w:firstLine="921"/>
        <w:spacing w:after="0" w:line="257" w:lineRule="auto"/>
        <w:tabs>
          <w:tab w:leader="none" w:pos="1138" w:val="left"/>
        </w:tabs>
        <w:numPr>
          <w:ilvl w:val="1"/>
          <w:numId w:val="260"/>
        </w:numPr>
        <w:rPr>
          <w:rFonts w:ascii="Arial" w:cs="Arial" w:eastAsia="Arial" w:hAnsi="Arial"/>
          <w:sz w:val="18"/>
          <w:szCs w:val="18"/>
          <w:color w:val="auto"/>
        </w:rPr>
      </w:pPr>
      <w:r>
        <w:rPr>
          <w:rFonts w:ascii="Arial" w:cs="Arial" w:eastAsia="Arial" w:hAnsi="Arial"/>
          <w:sz w:val="18"/>
          <w:szCs w:val="18"/>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w:t>
      </w:r>
      <w:r>
        <w:rPr>
          <w:rFonts w:ascii="Arial" w:cs="Arial" w:eastAsia="Arial" w:hAnsi="Arial"/>
          <w:sz w:val="18"/>
          <w:szCs w:val="18"/>
          <w:u w:val="single" w:color="auto"/>
          <w:color w:val="auto"/>
        </w:rPr>
        <w:t>J.A.M.S. Rules</w:t>
      </w:r>
      <w:r>
        <w:rPr>
          <w:rFonts w:ascii="Arial" w:cs="Arial" w:eastAsia="Arial" w:hAnsi="Arial"/>
          <w:sz w:val="18"/>
          <w:szCs w:val="18"/>
          <w:color w:val="auto"/>
        </w:rPr>
        <w:t>”). The arbitration shall be governed by the United States Arbitration Act, 9 U.S.C. Sections 1 16, and judgment upon the award rendered by the arbitrators may be entered by any court having jurisdiction thereof. The place of arbitration shall be Boston, MA.</w:t>
      </w:r>
    </w:p>
    <w:p>
      <w:pPr>
        <w:spacing w:after="0" w:line="80" w:lineRule="exact"/>
        <w:rPr>
          <w:rFonts w:ascii="Arial" w:cs="Arial" w:eastAsia="Arial" w:hAnsi="Arial"/>
          <w:sz w:val="18"/>
          <w:szCs w:val="18"/>
          <w:color w:val="auto"/>
        </w:rPr>
      </w:pPr>
    </w:p>
    <w:p>
      <w:pPr>
        <w:ind w:left="-20" w:right="20" w:firstLine="921"/>
        <w:spacing w:after="0" w:line="270" w:lineRule="auto"/>
        <w:tabs>
          <w:tab w:leader="none" w:pos="1148" w:val="left"/>
        </w:tabs>
        <w:numPr>
          <w:ilvl w:val="1"/>
          <w:numId w:val="260"/>
        </w:numPr>
        <w:rPr>
          <w:rFonts w:ascii="Arial" w:cs="Arial" w:eastAsia="Arial" w:hAnsi="Arial"/>
          <w:sz w:val="17"/>
          <w:szCs w:val="17"/>
          <w:color w:val="auto"/>
        </w:rPr>
      </w:pPr>
      <w:r>
        <w:rPr>
          <w:rFonts w:ascii="Arial" w:cs="Arial" w:eastAsia="Arial" w:hAnsi="Arial"/>
          <w:sz w:val="17"/>
          <w:szCs w:val="17"/>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69" w:lineRule="exact"/>
        <w:rPr>
          <w:rFonts w:ascii="Arial" w:cs="Arial" w:eastAsia="Arial" w:hAnsi="Arial"/>
          <w:sz w:val="17"/>
          <w:szCs w:val="17"/>
          <w:color w:val="auto"/>
        </w:rPr>
      </w:pPr>
    </w:p>
    <w:p>
      <w:pPr>
        <w:ind w:left="-20" w:right="100" w:firstLine="921"/>
        <w:spacing w:after="0" w:line="259" w:lineRule="auto"/>
        <w:tabs>
          <w:tab w:leader="none" w:pos="1138"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Company, the Optionee, each party to the Agreement and any other holder of Shares issued pursuant to this Agreement (each, a “</w:t>
      </w:r>
      <w:r>
        <w:rPr>
          <w:rFonts w:ascii="Arial" w:cs="Arial" w:eastAsia="Arial" w:hAnsi="Arial"/>
          <w:sz w:val="18"/>
          <w:szCs w:val="18"/>
          <w:u w:val="single" w:color="auto"/>
          <w:color w:val="auto"/>
        </w:rPr>
        <w:t>Party</w:t>
      </w:r>
      <w:r>
        <w:rPr>
          <w:rFonts w:ascii="Arial" w:cs="Arial" w:eastAsia="Arial" w:hAnsi="Arial"/>
          <w:sz w:val="18"/>
          <w:szCs w:val="18"/>
          <w:color w:val="auto"/>
        </w:rPr>
        <w:t>”)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73" w:right="239" w:bottom="1440" w:gutter="0" w:footer="0" w:header="0"/>
        </w:sectPr>
      </w:pPr>
    </w:p>
    <w:bookmarkStart w:id="366" w:name="page367"/>
    <w:bookmarkEnd w:id="366"/>
    <w:p>
      <w:pPr>
        <w:ind w:left="-60" w:firstLine="921"/>
        <w:spacing w:after="0" w:line="270" w:lineRule="auto"/>
        <w:tabs>
          <w:tab w:leader="none" w:pos="1108" w:val="left"/>
        </w:tabs>
        <w:numPr>
          <w:ilvl w:val="0"/>
          <w:numId w:val="2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300" w:top="273" w:right="279" w:bottom="1440" w:gutter="0" w:footer="0" w:header="0"/>
        </w:sectPr>
      </w:pPr>
    </w:p>
    <w:bookmarkStart w:id="367" w:name="page368"/>
    <w:bookmarkEnd w:id="367"/>
    <w:p>
      <w:pPr>
        <w:ind w:right="4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Agreement is hereby accepted and the terms and conditions thereof hereby agreed to by the undersigned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461010</wp:posOffset>
            </wp:positionV>
            <wp:extent cx="289877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OF THIS AGREEMENT, are hereby agreed to, by the undersigned as of the date first above written.</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581025</wp:posOffset>
            </wp:positionV>
            <wp:extent cx="289877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ISO A</w:t>
      </w:r>
      <w:r>
        <w:rPr>
          <w:rFonts w:ascii="Arial" w:cs="Arial" w:eastAsia="Arial" w:hAnsi="Arial"/>
          <w:sz w:val="15"/>
          <w:szCs w:val="15"/>
          <w:b w:val="1"/>
          <w:bCs w:val="1"/>
          <w:color w:val="auto"/>
        </w:rPr>
        <w:t>GREEMENT</w:t>
      </w:r>
    </w:p>
    <w:p>
      <w:pPr>
        <w:sectPr>
          <w:pgSz w:w="11900" w:h="16838" w:orient="portrait"/>
          <w:cols w:equalWidth="0" w:num="1">
            <w:col w:w="11300"/>
          </w:cols>
          <w:pgMar w:left="240" w:top="274" w:right="359" w:bottom="1440" w:gutter="0" w:footer="0" w:header="0"/>
        </w:sectPr>
      </w:pPr>
    </w:p>
    <w:bookmarkStart w:id="368" w:name="page369"/>
    <w:bookmarkEnd w:id="36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EXERCISE NOTICE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3926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23926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23926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Pursuant to the terms of the grant notice and stock option agreement between the undersigned and AVROBIO, Inc. (the “Company”) dated</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“Agreement”) under the AVROBIO, Inc. 2015 Stock Option and Grant Plan, I, [Insert Name] , hereby [Circle One] partially/fully exercise such option by including herein payment in the amount of $ representing the purchase price for [Fill in number of Shares] Shares. I have chosen the following form(s) of payment:</w:t>
      </w:r>
    </w:p>
    <w:p>
      <w:pPr>
        <w:spacing w:after="0" w:line="217" w:lineRule="exact"/>
        <w:rPr>
          <w:sz w:val="20"/>
          <w:szCs w:val="20"/>
          <w:color w:val="auto"/>
        </w:rPr>
      </w:pPr>
    </w:p>
    <w:p>
      <w:pPr>
        <w:ind w:left="1420" w:hanging="264"/>
        <w:spacing w:after="0"/>
        <w:tabs>
          <w:tab w:leader="none" w:pos="1420" w:val="left"/>
        </w:tabs>
        <w:numPr>
          <w:ilvl w:val="0"/>
          <w:numId w:val="262"/>
        </w:numPr>
        <w:rPr>
          <w:rFonts w:ascii="MS PGothic" w:cs="MS PGothic" w:eastAsia="MS PGothic" w:hAnsi="MS PGothic"/>
          <w:sz w:val="18"/>
          <w:szCs w:val="18"/>
          <w:color w:val="auto"/>
        </w:rPr>
      </w:pPr>
      <w:r>
        <w:rPr>
          <w:rFonts w:ascii="Arial" w:cs="Arial" w:eastAsia="Arial" w:hAnsi="Arial"/>
          <w:sz w:val="18"/>
          <w:szCs w:val="18"/>
          <w:color w:val="auto"/>
        </w:rPr>
        <w:t>1. Cash</w:t>
      </w:r>
    </w:p>
    <w:p>
      <w:pPr>
        <w:spacing w:after="0" w:line="117" w:lineRule="exact"/>
        <w:rPr>
          <w:rFonts w:ascii="MS PGothic" w:cs="MS PGothic" w:eastAsia="MS PGothic" w:hAnsi="MS PGothic"/>
          <w:sz w:val="18"/>
          <w:szCs w:val="18"/>
          <w:color w:val="auto"/>
        </w:rPr>
      </w:pPr>
    </w:p>
    <w:p>
      <w:pPr>
        <w:ind w:left="1420" w:hanging="264"/>
        <w:spacing w:after="0"/>
        <w:tabs>
          <w:tab w:leader="none" w:pos="1420" w:val="left"/>
        </w:tabs>
        <w:numPr>
          <w:ilvl w:val="0"/>
          <w:numId w:val="262"/>
        </w:numPr>
        <w:rPr>
          <w:rFonts w:ascii="MS PGothic" w:cs="MS PGothic" w:eastAsia="MS PGothic" w:hAnsi="MS PGothic"/>
          <w:sz w:val="18"/>
          <w:szCs w:val="18"/>
          <w:color w:val="auto"/>
        </w:rPr>
      </w:pPr>
      <w:r>
        <w:rPr>
          <w:rFonts w:ascii="Arial" w:cs="Arial" w:eastAsia="Arial" w:hAnsi="Arial"/>
          <w:sz w:val="18"/>
          <w:szCs w:val="18"/>
          <w:color w:val="auto"/>
        </w:rPr>
        <w:t>2. Certified or bank check payable to AVROBIO, Inc.</w:t>
      </w:r>
    </w:p>
    <w:p>
      <w:pPr>
        <w:spacing w:after="0" w:line="117" w:lineRule="exact"/>
        <w:rPr>
          <w:rFonts w:ascii="MS PGothic" w:cs="MS PGothic" w:eastAsia="MS PGothic" w:hAnsi="MS PGothic"/>
          <w:sz w:val="18"/>
          <w:szCs w:val="18"/>
          <w:color w:val="auto"/>
        </w:rPr>
      </w:pPr>
    </w:p>
    <w:p>
      <w:pPr>
        <w:ind w:left="1420" w:hanging="264"/>
        <w:spacing w:after="0"/>
        <w:tabs>
          <w:tab w:leader="none" w:pos="1420" w:val="left"/>
        </w:tabs>
        <w:numPr>
          <w:ilvl w:val="0"/>
          <w:numId w:val="262"/>
        </w:numPr>
        <w:rPr>
          <w:rFonts w:ascii="MS PGothic" w:cs="MS PGothic" w:eastAsia="MS PGothic" w:hAnsi="MS PGothic"/>
          <w:sz w:val="18"/>
          <w:szCs w:val="18"/>
          <w:color w:val="auto"/>
        </w:rPr>
      </w:pPr>
      <w:r>
        <w:rPr>
          <w:rFonts w:ascii="Arial" w:cs="Arial" w:eastAsia="Arial" w:hAnsi="Arial"/>
          <w:sz w:val="18"/>
          <w:szCs w:val="18"/>
          <w:color w:val="auto"/>
        </w:rPr>
        <w:t>3. Other (as referenced in the Agreement and described in the Plan (please describe))</w:t>
      </w:r>
    </w:p>
    <w:p>
      <w:pPr>
        <w:spacing w:after="0" w:line="117" w:lineRule="exact"/>
        <w:rPr>
          <w:rFonts w:ascii="MS PGothic" w:cs="MS PGothic" w:eastAsia="MS PGothic" w:hAnsi="MS PGothic"/>
          <w:sz w:val="18"/>
          <w:szCs w:val="18"/>
          <w:color w:val="auto"/>
        </w:rPr>
      </w:pPr>
    </w:p>
    <w:p>
      <w:pPr>
        <w:ind w:left="1640"/>
        <w:spacing w:after="0"/>
        <w:rPr>
          <w:rFonts w:ascii="MS PGothic" w:cs="MS PGothic" w:eastAsia="MS PGothic" w:hAnsi="MS PGothic"/>
          <w:sz w:val="18"/>
          <w:szCs w:val="18"/>
          <w:color w:val="auto"/>
        </w:rPr>
      </w:pPr>
      <w:r>
        <w:rPr>
          <w:rFonts w:ascii="Arial" w:cs="Arial" w:eastAsia="Arial" w:hAnsi="Arial"/>
          <w:sz w:val="18"/>
          <w:szCs w:val="18"/>
          <w:color w:val="auto"/>
        </w:rPr>
        <w:t>_____________________________________________________________________________________________.</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my exercise of the option as set forth above, I hereby represent and warrant to the Company as follows:</w:t>
      </w:r>
    </w:p>
    <w:p>
      <w:pPr>
        <w:spacing w:after="0" w:line="117" w:lineRule="exact"/>
        <w:rPr>
          <w:sz w:val="20"/>
          <w:szCs w:val="20"/>
          <w:color w:val="auto"/>
        </w:rPr>
      </w:pPr>
    </w:p>
    <w:p>
      <w:pPr>
        <w:ind w:left="1560" w:hanging="219"/>
        <w:spacing w:after="0"/>
        <w:tabs>
          <w:tab w:leader="none" w:pos="156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 am purchasing the Shares for my own account for investment only, and not for resale or with a view to the distribution thereof.</w:t>
      </w:r>
    </w:p>
    <w:p>
      <w:pPr>
        <w:spacing w:after="0" w:line="128" w:lineRule="exact"/>
        <w:rPr>
          <w:rFonts w:ascii="Arial" w:cs="Arial" w:eastAsia="Arial" w:hAnsi="Arial"/>
          <w:sz w:val="17"/>
          <w:szCs w:val="17"/>
          <w:color w:val="auto"/>
        </w:rPr>
      </w:pPr>
    </w:p>
    <w:p>
      <w:pPr>
        <w:ind w:left="460" w:firstLine="881"/>
        <w:spacing w:after="0" w:line="264" w:lineRule="auto"/>
        <w:tabs>
          <w:tab w:leader="none" w:pos="160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73" w:lineRule="exact"/>
        <w:rPr>
          <w:rFonts w:ascii="Arial" w:cs="Arial" w:eastAsia="Arial" w:hAnsi="Arial"/>
          <w:sz w:val="18"/>
          <w:szCs w:val="18"/>
          <w:color w:val="auto"/>
        </w:rPr>
      </w:pPr>
    </w:p>
    <w:p>
      <w:pPr>
        <w:ind w:left="460" w:firstLine="881"/>
        <w:spacing w:after="0" w:line="277" w:lineRule="auto"/>
        <w:tabs>
          <w:tab w:leader="none" w:pos="165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 can afford a complete loss of the value of the Shares and am able to bear the economic risk of holding such Shares for an indefinite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period of time.</w:t>
      </w:r>
    </w:p>
    <w:p>
      <w:pPr>
        <w:spacing w:after="0" w:line="102" w:lineRule="exact"/>
        <w:rPr>
          <w:rFonts w:ascii="Arial" w:cs="Arial" w:eastAsia="Arial" w:hAnsi="Arial"/>
          <w:sz w:val="16"/>
          <w:szCs w:val="16"/>
          <w:color w:val="auto"/>
        </w:rPr>
      </w:pPr>
    </w:p>
    <w:p>
      <w:pPr>
        <w:ind w:left="460" w:right="40" w:firstLine="881"/>
        <w:spacing w:after="0" w:line="286" w:lineRule="auto"/>
        <w:tabs>
          <w:tab w:leader="none" w:pos="1591"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w:t>
      </w:r>
    </w:p>
    <w:p>
      <w:pPr>
        <w:sectPr>
          <w:pgSz w:w="11900" w:h="16838" w:orient="portrait"/>
          <w:cols w:equalWidth="0" w:num="1">
            <w:col w:w="11420"/>
          </w:cols>
          <w:pgMar w:left="240" w:top="270" w:right="239" w:bottom="1440" w:gutter="0" w:footer="0" w:header="0"/>
        </w:sectPr>
      </w:pPr>
    </w:p>
    <w:bookmarkStart w:id="369" w:name="page370"/>
    <w:bookmarkEnd w:id="369"/>
    <w:p>
      <w:pPr>
        <w:ind w:right="4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73" w:lineRule="exact"/>
        <w:rPr>
          <w:sz w:val="20"/>
          <w:szCs w:val="20"/>
          <w:color w:val="auto"/>
        </w:rPr>
      </w:pPr>
    </w:p>
    <w:p>
      <w:pPr>
        <w:ind w:right="420" w:firstLine="881"/>
        <w:spacing w:after="0" w:line="277" w:lineRule="auto"/>
        <w:tabs>
          <w:tab w:leader="none" w:pos="118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62" w:lineRule="exact"/>
        <w:rPr>
          <w:rFonts w:ascii="Arial" w:cs="Arial" w:eastAsia="Arial" w:hAnsi="Arial"/>
          <w:sz w:val="18"/>
          <w:szCs w:val="18"/>
          <w:color w:val="auto"/>
        </w:rPr>
      </w:pPr>
    </w:p>
    <w:p>
      <w:pPr>
        <w:ind w:left="1240" w:hanging="359"/>
        <w:spacing w:after="0"/>
        <w:tabs>
          <w:tab w:leader="none" w:pos="124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I understand and agree that the Company has a right of first refusal with respect to the Shares pursuant to Section 9(b) of the Plan.</w:t>
      </w:r>
    </w:p>
    <w:p>
      <w:pPr>
        <w:spacing w:after="0" w:line="140" w:lineRule="exact"/>
        <w:rPr>
          <w:rFonts w:ascii="Arial" w:cs="Arial" w:eastAsia="Arial" w:hAnsi="Arial"/>
          <w:sz w:val="16"/>
          <w:szCs w:val="16"/>
          <w:color w:val="auto"/>
        </w:rPr>
      </w:pPr>
    </w:p>
    <w:p>
      <w:pPr>
        <w:ind w:left="1280" w:hanging="399"/>
        <w:spacing w:after="0"/>
        <w:tabs>
          <w:tab w:leader="none" w:pos="12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I understand and agree that the Company has certain repurchase rights with respect to the Shares pursuant to Section 9(c) of the Plan.</w:t>
      </w:r>
    </w:p>
    <w:p>
      <w:pPr>
        <w:spacing w:after="0" w:line="140" w:lineRule="exact"/>
        <w:rPr>
          <w:rFonts w:ascii="Arial" w:cs="Arial" w:eastAsia="Arial" w:hAnsi="Arial"/>
          <w:sz w:val="16"/>
          <w:szCs w:val="16"/>
          <w:color w:val="auto"/>
        </w:rPr>
      </w:pPr>
    </w:p>
    <w:p>
      <w:pPr>
        <w:ind w:firstLine="881"/>
        <w:spacing w:after="0" w:line="277" w:lineRule="auto"/>
        <w:tabs>
          <w:tab w:leader="none" w:pos="118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 understand and agree that I may not sell or otherwise transfer or dispose of the Shares for a period of time following the effective date of a public offering by the Company as described in Section 9(f) of the Plan.</w:t>
      </w:r>
    </w:p>
    <w:p>
      <w:pPr>
        <w:spacing w:after="0" w:line="19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289560</wp:posOffset>
            </wp:positionV>
            <wp:extent cx="289877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289560</wp:posOffset>
            </wp:positionV>
            <wp:extent cx="289877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581025</wp:posOffset>
            </wp:positionV>
            <wp:extent cx="289877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0940"/>
          </w:cols>
          <w:pgMar w:left="700" w:top="274" w:right="259" w:bottom="1440" w:gutter="0" w:footer="0" w:header="0"/>
        </w:sectPr>
      </w:pPr>
    </w:p>
    <w:bookmarkStart w:id="370" w:name="page371"/>
    <w:bookmarkEnd w:id="37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NON-QUALIFIED STOCK OPTION GRANT NOTICE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AVROBIO,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2015 STOCK OPTION AND GRANT PLAN</w:t>
      </w:r>
    </w:p>
    <w:p>
      <w:pPr>
        <w:spacing w:after="0" w:line="21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Pursuant to the AVROBIO, Inc. 2015 Stock Option and Grant Plan (the “</w:t>
      </w:r>
      <w:r>
        <w:rPr>
          <w:rFonts w:ascii="Arial" w:cs="Arial" w:eastAsia="Arial" w:hAnsi="Arial"/>
          <w:sz w:val="16"/>
          <w:szCs w:val="16"/>
          <w:u w:val="single" w:color="auto"/>
          <w:color w:val="auto"/>
        </w:rPr>
        <w:t>Plan</w:t>
      </w:r>
      <w:r>
        <w:rPr>
          <w:rFonts w:ascii="Arial" w:cs="Arial" w:eastAsia="Arial" w:hAnsi="Arial"/>
          <w:sz w:val="16"/>
          <w:szCs w:val="16"/>
          <w:color w:val="auto"/>
        </w:rPr>
        <w:t>”), AVROBIO, Inc., a Delaware corporation (together with any successor, the “</w:t>
      </w:r>
      <w:r>
        <w:rPr>
          <w:rFonts w:ascii="Arial" w:cs="Arial" w:eastAsia="Arial" w:hAnsi="Arial"/>
          <w:sz w:val="16"/>
          <w:szCs w:val="16"/>
          <w:u w:val="single" w:color="auto"/>
          <w:color w:val="auto"/>
        </w:rPr>
        <w:t>Company</w:t>
      </w:r>
      <w:r>
        <w:rPr>
          <w:rFonts w:ascii="Arial" w:cs="Arial" w:eastAsia="Arial" w:hAnsi="Arial"/>
          <w:sz w:val="16"/>
          <w:szCs w:val="16"/>
          <w:color w:val="auto"/>
        </w:rPr>
        <w:t>”), has granted to the individual named below, an option (the “</w:t>
      </w:r>
      <w:r>
        <w:rPr>
          <w:rFonts w:ascii="Arial" w:cs="Arial" w:eastAsia="Arial" w:hAnsi="Arial"/>
          <w:sz w:val="16"/>
          <w:szCs w:val="16"/>
          <w:u w:val="single" w:color="auto"/>
          <w:color w:val="auto"/>
        </w:rPr>
        <w:t>Stock Option</w:t>
      </w:r>
      <w:r>
        <w:rPr>
          <w:rFonts w:ascii="Arial" w:cs="Arial" w:eastAsia="Arial" w:hAnsi="Arial"/>
          <w:sz w:val="16"/>
          <w:szCs w:val="16"/>
          <w:color w:val="auto"/>
        </w:rPr>
        <w:t>”) to purchase on or prior to the Expiration Date, or such earlier date as is specified herein, all or any part of the number of shares of Common Stock, par value $0.0001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of the Company indicated below (the “</w:t>
      </w:r>
      <w:r>
        <w:rPr>
          <w:rFonts w:ascii="Arial" w:cs="Arial" w:eastAsia="Arial" w:hAnsi="Arial"/>
          <w:sz w:val="16"/>
          <w:szCs w:val="16"/>
          <w:u w:val="single" w:color="auto"/>
          <w:color w:val="auto"/>
        </w:rPr>
        <w:t>Shares</w:t>
      </w:r>
      <w:r>
        <w:rPr>
          <w:rFonts w:ascii="Arial" w:cs="Arial" w:eastAsia="Arial" w:hAnsi="Arial"/>
          <w:sz w:val="16"/>
          <w:szCs w:val="16"/>
          <w:color w:val="auto"/>
        </w:rPr>
        <w:t>”), at the Option Exercise Price per share, subject to the terms and conditions set forth in this Non-Qualified Stock Option Grant Notice (the “</w:t>
      </w:r>
      <w:r>
        <w:rPr>
          <w:rFonts w:ascii="Arial" w:cs="Arial" w:eastAsia="Arial" w:hAnsi="Arial"/>
          <w:sz w:val="16"/>
          <w:szCs w:val="16"/>
          <w:u w:val="single" w:color="auto"/>
          <w:color w:val="auto"/>
        </w:rPr>
        <w:t>Grant Notice</w:t>
      </w:r>
      <w:r>
        <w:rPr>
          <w:rFonts w:ascii="Arial" w:cs="Arial" w:eastAsia="Arial" w:hAnsi="Arial"/>
          <w:sz w:val="16"/>
          <w:szCs w:val="16"/>
          <w:color w:val="auto"/>
        </w:rPr>
        <w:t>”), the attached Non-Qualified Stock Option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and the Plan. This Stock Option is not intended to qualify as an “incentive stock option” as defined in Section 422(b) of the Internal Revenue Code of 1986, as amended from time to time (the “Code”).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20"/>
                <w:szCs w:val="20"/>
                <w:color w:val="auto"/>
              </w:rPr>
            </w:pPr>
            <w:r>
              <w:rPr>
                <w:rFonts w:ascii="Arial" w:cs="Arial" w:eastAsia="Arial" w:hAnsi="Arial"/>
                <w:sz w:val="18"/>
                <w:szCs w:val="18"/>
                <w:color w:val="auto"/>
              </w:rPr>
              <w:t>Name of Optionee:</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__________________ (the “Optionee”)</w:t>
            </w: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45"/>
        </w:trPr>
        <w:tc>
          <w:tcPr>
            <w:tcW w:w="3000" w:type="dxa"/>
            <w:vAlign w:val="bottom"/>
          </w:tcPr>
          <w:p>
            <w:pPr>
              <w:spacing w:after="0"/>
              <w:rPr>
                <w:sz w:val="20"/>
                <w:szCs w:val="20"/>
                <w:color w:val="auto"/>
              </w:rPr>
            </w:pPr>
            <w:r>
              <w:rPr>
                <w:rFonts w:ascii="Arial" w:cs="Arial" w:eastAsia="Arial" w:hAnsi="Arial"/>
                <w:sz w:val="18"/>
                <w:szCs w:val="18"/>
                <w:color w:val="auto"/>
              </w:rPr>
              <w:t>No. of Shares:</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__________ Shares of Common Stock</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Grant Date:</w:t>
            </w:r>
          </w:p>
        </w:tc>
        <w:tc>
          <w:tcPr>
            <w:tcW w:w="2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84"/>
        </w:trPr>
        <w:tc>
          <w:tcPr>
            <w:tcW w:w="300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__________________ (the “Vesting Commencement Date”)</w:t>
            </w: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04"/>
        </w:trPr>
        <w:tc>
          <w:tcPr>
            <w:tcW w:w="3000" w:type="dxa"/>
            <w:vAlign w:val="bottom"/>
          </w:tcPr>
          <w:p>
            <w:pPr>
              <w:spacing w:after="0"/>
              <w:rPr>
                <w:sz w:val="20"/>
                <w:szCs w:val="20"/>
                <w:color w:val="auto"/>
              </w:rPr>
            </w:pPr>
            <w:r>
              <w:rPr>
                <w:rFonts w:ascii="Arial" w:cs="Arial" w:eastAsia="Arial" w:hAnsi="Arial"/>
                <w:sz w:val="18"/>
                <w:szCs w:val="18"/>
                <w:color w:val="auto"/>
              </w:rPr>
              <w:t>Expiration Date:</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__________________ (the “Expiration Date”)</w:t>
            </w: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r>
      <w:tr>
        <w:trPr>
          <w:trHeight w:val="304"/>
        </w:trPr>
        <w:tc>
          <w:tcPr>
            <w:tcW w:w="3000" w:type="dxa"/>
            <w:vAlign w:val="bottom"/>
          </w:tcPr>
          <w:p>
            <w:pPr>
              <w:spacing w:after="0"/>
              <w:rPr>
                <w:sz w:val="20"/>
                <w:szCs w:val="20"/>
                <w:color w:val="auto"/>
              </w:rPr>
            </w:pPr>
            <w:r>
              <w:rPr>
                <w:rFonts w:ascii="Arial" w:cs="Arial" w:eastAsia="Arial" w:hAnsi="Arial"/>
                <w:sz w:val="18"/>
                <w:szCs w:val="18"/>
                <w:color w:val="auto"/>
              </w:rPr>
              <w:t>Option Exercise Price/Share:</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$_________________ (the “Option Exercise Price”)</w:t>
            </w: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r>
      <w:tr>
        <w:trPr>
          <w:trHeight w:val="330"/>
        </w:trPr>
        <w:tc>
          <w:tcPr>
            <w:tcW w:w="3000" w:type="dxa"/>
            <w:vAlign w:val="bottom"/>
          </w:tcPr>
          <w:p>
            <w:pPr>
              <w:spacing w:after="0"/>
              <w:rPr>
                <w:sz w:val="20"/>
                <w:szCs w:val="20"/>
                <w:color w:val="auto"/>
              </w:rPr>
            </w:pPr>
            <w:r>
              <w:rPr>
                <w:rFonts w:ascii="Arial" w:cs="Arial" w:eastAsia="Arial" w:hAnsi="Arial"/>
                <w:sz w:val="18"/>
                <w:szCs w:val="18"/>
                <w:color w:val="auto"/>
              </w:rPr>
              <w:t>Vesting Schedule:</w:t>
            </w: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w w:val="96"/>
              </w:rPr>
              <w:t>[25] percent of the Shares shall vest and become exercisable on the first anniversary of the Vesting</w:t>
            </w:r>
          </w:p>
        </w:tc>
      </w:tr>
      <w:tr>
        <w:trPr>
          <w:trHeight w:val="216"/>
        </w:trPr>
        <w:tc>
          <w:tcPr>
            <w:tcW w:w="3000" w:type="dxa"/>
            <w:vAlign w:val="bottom"/>
          </w:tcPr>
          <w:p>
            <w:pPr>
              <w:spacing w:after="0"/>
              <w:rPr>
                <w:sz w:val="18"/>
                <w:szCs w:val="18"/>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w w:val="95"/>
              </w:rPr>
              <w:t>Commencement Date, provided that the Optionee continues to have a Service Relationship with the</w:t>
            </w:r>
          </w:p>
        </w:tc>
      </w:tr>
      <w:tr>
        <w:trPr>
          <w:trHeight w:val="216"/>
        </w:trPr>
        <w:tc>
          <w:tcPr>
            <w:tcW w:w="3000" w:type="dxa"/>
            <w:vAlign w:val="bottom"/>
          </w:tcPr>
          <w:p>
            <w:pPr>
              <w:spacing w:after="0"/>
              <w:rPr>
                <w:sz w:val="18"/>
                <w:szCs w:val="18"/>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w w:val="96"/>
              </w:rPr>
              <w:t>Company at such time. Thereafter, the remaining [75] percent of the Shares shall vest and become</w:t>
            </w:r>
          </w:p>
        </w:tc>
      </w:tr>
      <w:tr>
        <w:trPr>
          <w:trHeight w:val="216"/>
        </w:trPr>
        <w:tc>
          <w:tcPr>
            <w:tcW w:w="3000" w:type="dxa"/>
            <w:vAlign w:val="bottom"/>
          </w:tcPr>
          <w:p>
            <w:pPr>
              <w:spacing w:after="0"/>
              <w:rPr>
                <w:sz w:val="18"/>
                <w:szCs w:val="18"/>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exercisable in [36] equal monthly installments following the first anniversary of the Vesting</w:t>
            </w:r>
          </w:p>
        </w:tc>
      </w:tr>
      <w:tr>
        <w:trPr>
          <w:trHeight w:val="216"/>
        </w:trPr>
        <w:tc>
          <w:tcPr>
            <w:tcW w:w="3000" w:type="dxa"/>
            <w:vAlign w:val="bottom"/>
          </w:tcPr>
          <w:p>
            <w:pPr>
              <w:spacing w:after="0"/>
              <w:rPr>
                <w:sz w:val="18"/>
                <w:szCs w:val="18"/>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w w:val="90"/>
              </w:rPr>
              <w:t>Commencement Date, provided the Optionee continues to have a Service Relationship with the Company</w:t>
            </w:r>
          </w:p>
        </w:tc>
      </w:tr>
      <w:tr>
        <w:trPr>
          <w:trHeight w:val="212"/>
        </w:trPr>
        <w:tc>
          <w:tcPr>
            <w:tcW w:w="3000" w:type="dxa"/>
            <w:vAlign w:val="bottom"/>
          </w:tcPr>
          <w:p>
            <w:pPr>
              <w:spacing w:after="0"/>
              <w:rPr>
                <w:sz w:val="18"/>
                <w:szCs w:val="18"/>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w w:val="91"/>
              </w:rPr>
              <w:t>at such time. Notwithstanding anything in the Agreement to the contrary, in the case of a Sale Event, this</w:t>
            </w:r>
          </w:p>
        </w:tc>
      </w:tr>
      <w:tr>
        <w:trPr>
          <w:trHeight w:val="234"/>
        </w:trPr>
        <w:tc>
          <w:tcPr>
            <w:tcW w:w="3000" w:type="dxa"/>
            <w:vAlign w:val="bottom"/>
          </w:tcPr>
          <w:p>
            <w:pPr>
              <w:spacing w:after="0"/>
              <w:rPr>
                <w:sz w:val="20"/>
                <w:szCs w:val="20"/>
                <w:color w:val="auto"/>
              </w:rPr>
            </w:pPr>
          </w:p>
        </w:tc>
        <w:tc>
          <w:tcPr>
            <w:tcW w:w="8380" w:type="dxa"/>
            <w:vAlign w:val="bottom"/>
            <w:gridSpan w:val="6"/>
          </w:tcPr>
          <w:p>
            <w:pPr>
              <w:ind w:left="780"/>
              <w:spacing w:after="0"/>
              <w:rPr>
                <w:sz w:val="20"/>
                <w:szCs w:val="20"/>
                <w:color w:val="auto"/>
              </w:rPr>
            </w:pPr>
            <w:r>
              <w:rPr>
                <w:rFonts w:ascii="Arial" w:cs="Arial" w:eastAsia="Arial" w:hAnsi="Arial"/>
                <w:sz w:val="18"/>
                <w:szCs w:val="18"/>
                <w:color w:val="auto"/>
              </w:rPr>
              <w:t>Stock Option and the Shares shall be treated as provided in Section 3(c) of the Plan</w:t>
            </w:r>
            <w:r>
              <w:rPr>
                <w:rFonts w:ascii="Arial" w:cs="Arial" w:eastAsia="Arial" w:hAnsi="Arial"/>
                <w:sz w:val="18"/>
                <w:szCs w:val="18"/>
                <w:b w:val="1"/>
                <w:bCs w:val="1"/>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Non-Qualified Stock Option Agreement, 2015 Stock Option and Grant Plan</w:t>
      </w:r>
    </w:p>
    <w:p>
      <w:pPr>
        <w:sectPr>
          <w:pgSz w:w="11900" w:h="16838" w:orient="portrait"/>
          <w:cols w:equalWidth="0" w:num="1">
            <w:col w:w="11380"/>
          </w:cols>
          <w:pgMar w:left="240" w:top="269" w:right="279" w:bottom="1440" w:gutter="0" w:footer="0" w:header="0"/>
        </w:sectPr>
      </w:pPr>
    </w:p>
    <w:bookmarkStart w:id="371" w:name="page372"/>
    <w:bookmarkEnd w:id="37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NON-QUALIFIED STOCK OPTION AGREEMENT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AVROBIO,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2015 STOCK OPTION AND GRANT PLAN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capitalized terms used herein and not otherwise defined shall have the respective meanings set forth in the Grant Notice and the Plan.</w:t>
      </w:r>
    </w:p>
    <w:p>
      <w:pPr>
        <w:spacing w:after="0" w:line="129" w:lineRule="exact"/>
        <w:rPr>
          <w:sz w:val="20"/>
          <w:szCs w:val="20"/>
          <w:color w:val="auto"/>
        </w:rPr>
      </w:pPr>
    </w:p>
    <w:p>
      <w:pPr>
        <w:ind w:left="640" w:hanging="176"/>
        <w:spacing w:after="0"/>
        <w:tabs>
          <w:tab w:leader="none" w:pos="640"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Vesting, Exercisability and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No portion of this Stock Option may be exercised until such portion shall have vested and become exercisable.</w:t>
      </w:r>
    </w:p>
    <w:p>
      <w:pPr>
        <w:spacing w:after="0" w:line="117" w:lineRule="exact"/>
        <w:rPr>
          <w:rFonts w:ascii="Arial" w:cs="Arial" w:eastAsia="Arial" w:hAnsi="Arial"/>
          <w:sz w:val="18"/>
          <w:szCs w:val="18"/>
          <w:color w:val="auto"/>
        </w:rPr>
      </w:pPr>
    </w:p>
    <w:p>
      <w:pPr>
        <w:ind w:right="740" w:firstLine="921"/>
        <w:spacing w:after="0" w:line="277" w:lineRule="auto"/>
        <w:tabs>
          <w:tab w:leader="none" w:pos="1168" w:val="left"/>
        </w:tabs>
        <w:numPr>
          <w:ilvl w:val="1"/>
          <w:numId w:val="265"/>
        </w:numPr>
        <w:rPr>
          <w:rFonts w:ascii="Arial" w:cs="Arial" w:eastAsia="Arial" w:hAnsi="Arial"/>
          <w:sz w:val="18"/>
          <w:szCs w:val="18"/>
          <w:color w:val="auto"/>
        </w:rPr>
      </w:pPr>
      <w:r>
        <w:rPr>
          <w:rFonts w:ascii="Arial" w:cs="Arial" w:eastAsia="Arial" w:hAnsi="Arial"/>
          <w:sz w:val="18"/>
          <w:szCs w:val="18"/>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2"/>
          <w:numId w:val="265"/>
        </w:numPr>
        <w:rPr>
          <w:rFonts w:ascii="Arial" w:cs="Arial" w:eastAsia="Arial" w:hAnsi="Arial"/>
          <w:sz w:val="18"/>
          <w:szCs w:val="18"/>
          <w:color w:val="auto"/>
        </w:rPr>
      </w:pPr>
      <w:r>
        <w:rPr>
          <w:rFonts w:ascii="Arial" w:cs="Arial" w:eastAsia="Arial" w:hAnsi="Arial"/>
          <w:sz w:val="18"/>
          <w:szCs w:val="18"/>
          <w:color w:val="auto"/>
        </w:rPr>
        <w:t>This Stock Option shall initially be unvested and unexercisable.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2"/>
          <w:numId w:val="265"/>
        </w:numPr>
        <w:rPr>
          <w:rFonts w:ascii="Arial" w:cs="Arial" w:eastAsia="Arial" w:hAnsi="Arial"/>
          <w:sz w:val="17"/>
          <w:szCs w:val="17"/>
          <w:color w:val="auto"/>
        </w:rPr>
      </w:pPr>
      <w:r>
        <w:rPr>
          <w:rFonts w:ascii="Arial" w:cs="Arial" w:eastAsia="Arial" w:hAnsi="Arial"/>
          <w:sz w:val="17"/>
          <w:szCs w:val="17"/>
          <w:color w:val="auto"/>
        </w:rPr>
        <w:t>This Stock Option shall vest and become exercisable in accordance with the Vesting Schedule set forth in the Grant Notice.</w:t>
      </w:r>
    </w:p>
    <w:p>
      <w:pPr>
        <w:spacing w:after="0" w:line="128" w:lineRule="exact"/>
        <w:rPr>
          <w:rFonts w:ascii="Arial" w:cs="Arial" w:eastAsia="Arial" w:hAnsi="Arial"/>
          <w:sz w:val="17"/>
          <w:szCs w:val="17"/>
          <w:color w:val="auto"/>
        </w:rPr>
      </w:pPr>
    </w:p>
    <w:p>
      <w:pPr>
        <w:jc w:val="both"/>
        <w:ind w:right="40" w:firstLine="921"/>
        <w:spacing w:after="0" w:line="264" w:lineRule="auto"/>
        <w:tabs>
          <w:tab w:leader="none" w:pos="1157"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73" w:lineRule="exact"/>
        <w:rPr>
          <w:rFonts w:ascii="Arial" w:cs="Arial" w:eastAsia="Arial" w:hAnsi="Arial"/>
          <w:sz w:val="18"/>
          <w:szCs w:val="18"/>
          <w:color w:val="auto"/>
        </w:rPr>
      </w:pPr>
    </w:p>
    <w:p>
      <w:pPr>
        <w:ind w:left="460" w:right="600" w:firstLine="881"/>
        <w:spacing w:after="0" w:line="312" w:lineRule="auto"/>
        <w:tabs>
          <w:tab w:leader="none" w:pos="1551" w:val="left"/>
        </w:tabs>
        <w:numPr>
          <w:ilvl w:val="2"/>
          <w:numId w:val="265"/>
        </w:numPr>
        <w:rPr>
          <w:rFonts w:ascii="Arial" w:cs="Arial" w:eastAsia="Arial" w:hAnsi="Arial"/>
          <w:sz w:val="16"/>
          <w:szCs w:val="16"/>
          <w:color w:val="auto"/>
        </w:rPr>
      </w:pPr>
      <w:r>
        <w:rPr>
          <w:rFonts w:ascii="Arial" w:cs="Arial" w:eastAsia="Arial" w:hAnsi="Arial"/>
          <w:sz w:val="16"/>
          <w:szCs w:val="16"/>
          <w:u w:val="single" w:color="auto"/>
          <w:color w:val="auto"/>
        </w:rPr>
        <w:t>Termination Due to Death or Disability</w:t>
      </w:r>
      <w:r>
        <w:rPr>
          <w:rFonts w:ascii="Arial" w:cs="Arial" w:eastAsia="Arial" w:hAnsi="Arial"/>
          <w:sz w:val="16"/>
          <w:szCs w:val="16"/>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38" w:lineRule="exact"/>
        <w:rPr>
          <w:rFonts w:ascii="Arial" w:cs="Arial" w:eastAsia="Arial" w:hAnsi="Arial"/>
          <w:sz w:val="16"/>
          <w:szCs w:val="16"/>
          <w:color w:val="auto"/>
        </w:rPr>
      </w:pPr>
    </w:p>
    <w:p>
      <w:pPr>
        <w:jc w:val="both"/>
        <w:ind w:left="460" w:firstLine="881"/>
        <w:spacing w:after="0" w:line="259" w:lineRule="auto"/>
        <w:tabs>
          <w:tab w:leader="none" w:pos="1601" w:val="left"/>
        </w:tabs>
        <w:numPr>
          <w:ilvl w:val="2"/>
          <w:numId w:val="265"/>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xml:space="preserve">. If the Optionee’s Service Relationship terminates for any reason other than death or Disability, and unless otherwise determined by the Committee, this Stock Option may be exercised, to the extent exercisable on the date of termination, for a period of 90 days from the date of termination or until the Expiration Date, if earlier; </w:t>
      </w:r>
      <w:r>
        <w:rPr>
          <w:rFonts w:ascii="Arial" w:cs="Arial" w:eastAsia="Arial" w:hAnsi="Arial"/>
          <w:sz w:val="18"/>
          <w:szCs w:val="18"/>
          <w:u w:val="single" w:color="auto"/>
          <w:color w:val="auto"/>
        </w:rPr>
        <w:t>provided however</w:t>
      </w:r>
      <w:r>
        <w:rPr>
          <w:rFonts w:ascii="Arial" w:cs="Arial" w:eastAsia="Arial" w:hAnsi="Arial"/>
          <w:sz w:val="18"/>
          <w:szCs w:val="18"/>
          <w:color w:val="auto"/>
        </w:rPr>
        <w:t>, if the Optionee’s Service Relationship is terminated for Cause, this Stock Option shall terminate immediately upon the date of such termination.</w:t>
      </w:r>
    </w:p>
    <w:p>
      <w:pPr>
        <w:spacing w:after="0" w:line="187" w:lineRule="exact"/>
        <w:rPr>
          <w:sz w:val="20"/>
          <w:szCs w:val="20"/>
          <w:color w:val="auto"/>
        </w:rPr>
      </w:pPr>
    </w:p>
    <w:p>
      <w:pPr>
        <w:jc w:val="both"/>
        <w:ind w:right="460" w:firstLine="456"/>
        <w:spacing w:after="0" w:line="286" w:lineRule="auto"/>
        <w:rPr>
          <w:sz w:val="20"/>
          <w:szCs w:val="20"/>
          <w:color w:val="auto"/>
        </w:rPr>
      </w:pPr>
      <w:r>
        <w:rPr>
          <w:rFonts w:ascii="Arial" w:cs="Arial" w:eastAsia="Arial" w:hAnsi="Arial"/>
          <w:sz w:val="17"/>
          <w:szCs w:val="17"/>
          <w:color w:val="auto"/>
        </w:rPr>
        <w:t>For purposes hereof, the Committee’s determination of the reason for termination of the Optionee’s Service Relationship shall be conclusive and binding on the Optionee and his or her representatives or legatees and any Permitted Transferee. Any portion of this Stock Option that is not vested and exercisable on the date of termination of the Service Relationship shall terminate immediately and be null and void.</w:t>
      </w:r>
    </w:p>
    <w:p>
      <w:pPr>
        <w:sectPr>
          <w:pgSz w:w="11900" w:h="16838" w:orient="portrait"/>
          <w:cols w:equalWidth="0" w:num="1">
            <w:col w:w="11380"/>
          </w:cols>
          <w:pgMar w:left="240" w:top="269" w:right="279" w:bottom="1440" w:gutter="0" w:footer="0" w:header="0"/>
        </w:sectPr>
      </w:pPr>
    </w:p>
    <w:bookmarkStart w:id="372" w:name="page373"/>
    <w:bookmarkEnd w:id="372"/>
    <w:p>
      <w:pPr>
        <w:ind w:left="176" w:hanging="176"/>
        <w:spacing w:after="0"/>
        <w:tabs>
          <w:tab w:leader="none" w:pos="176"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of Stock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4" w:right="40" w:firstLine="921"/>
        <w:spacing w:after="0" w:line="276" w:lineRule="auto"/>
        <w:tabs>
          <w:tab w:leader="none" w:pos="693" w:val="left"/>
        </w:tabs>
        <w:numPr>
          <w:ilvl w:val="1"/>
          <w:numId w:val="266"/>
        </w:numPr>
        <w:rPr>
          <w:rFonts w:ascii="Arial" w:cs="Arial" w:eastAsia="Arial" w:hAnsi="Arial"/>
          <w:sz w:val="17"/>
          <w:szCs w:val="17"/>
          <w:color w:val="auto"/>
        </w:rPr>
      </w:pPr>
      <w:r>
        <w:rPr>
          <w:rFonts w:ascii="Arial" w:cs="Arial" w:eastAsia="Arial" w:hAnsi="Arial"/>
          <w:sz w:val="17"/>
          <w:szCs w:val="17"/>
          <w:color w:val="auto"/>
        </w:rPr>
        <w:t>The Optionee may exercise this Stock Option only in the following manner: Prior to the Expiration Date, the Optionee may deliver a Stock Option exercise notice (an “</w:t>
      </w:r>
      <w:r>
        <w:rPr>
          <w:rFonts w:ascii="Arial" w:cs="Arial" w:eastAsia="Arial" w:hAnsi="Arial"/>
          <w:sz w:val="17"/>
          <w:szCs w:val="17"/>
          <w:u w:val="single" w:color="auto"/>
          <w:color w:val="auto"/>
        </w:rPr>
        <w:t>Exercise Notice</w:t>
      </w:r>
      <w:r>
        <w:rPr>
          <w:rFonts w:ascii="Arial" w:cs="Arial" w:eastAsia="Arial" w:hAnsi="Arial"/>
          <w:sz w:val="17"/>
          <w:szCs w:val="17"/>
          <w:color w:val="auto"/>
        </w:rPr>
        <w:t xml:space="preserve">”) in the form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64" w:lineRule="exact"/>
        <w:rPr>
          <w:rFonts w:ascii="Arial" w:cs="Arial" w:eastAsia="Arial" w:hAnsi="Arial"/>
          <w:sz w:val="17"/>
          <w:szCs w:val="17"/>
          <w:color w:val="auto"/>
        </w:rPr>
      </w:pPr>
    </w:p>
    <w:p>
      <w:pPr>
        <w:ind w:left="716" w:hanging="259"/>
        <w:spacing w:after="0"/>
        <w:tabs>
          <w:tab w:leader="none" w:pos="716" w:val="left"/>
        </w:tabs>
        <w:numPr>
          <w:ilvl w:val="1"/>
          <w:numId w:val="266"/>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 Date.</w:t>
      </w:r>
    </w:p>
    <w:p>
      <w:pPr>
        <w:spacing w:after="0" w:line="128" w:lineRule="exact"/>
        <w:rPr>
          <w:rFonts w:ascii="Arial" w:cs="Arial" w:eastAsia="Arial" w:hAnsi="Arial"/>
          <w:sz w:val="17"/>
          <w:szCs w:val="17"/>
          <w:color w:val="auto"/>
        </w:rPr>
      </w:pPr>
    </w:p>
    <w:p>
      <w:pPr>
        <w:ind w:left="-464" w:right="480" w:firstLine="464"/>
        <w:spacing w:after="0" w:line="277" w:lineRule="auto"/>
        <w:tabs>
          <w:tab w:leader="none" w:pos="172"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w:t>
      </w:r>
    </w:p>
    <w:p>
      <w:pPr>
        <w:spacing w:after="0" w:line="62" w:lineRule="exact"/>
        <w:rPr>
          <w:rFonts w:ascii="Arial" w:cs="Arial" w:eastAsia="Arial" w:hAnsi="Arial"/>
          <w:sz w:val="18"/>
          <w:szCs w:val="18"/>
          <w:color w:val="auto"/>
        </w:rPr>
      </w:pPr>
    </w:p>
    <w:p>
      <w:pPr>
        <w:ind w:left="-464" w:right="20" w:firstLine="464"/>
        <w:spacing w:after="0" w:line="272" w:lineRule="auto"/>
        <w:tabs>
          <w:tab w:leader="none" w:pos="172"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Transferability of Stock Option</w:t>
      </w:r>
      <w:r>
        <w:rPr>
          <w:rFonts w:ascii="Arial" w:cs="Arial" w:eastAsia="Arial" w:hAnsi="Arial"/>
          <w:sz w:val="17"/>
          <w:szCs w:val="17"/>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69" w:lineRule="exact"/>
        <w:rPr>
          <w:rFonts w:ascii="Arial" w:cs="Arial" w:eastAsia="Arial" w:hAnsi="Arial"/>
          <w:sz w:val="17"/>
          <w:szCs w:val="17"/>
          <w:color w:val="auto"/>
        </w:rPr>
      </w:pPr>
    </w:p>
    <w:p>
      <w:pPr>
        <w:ind w:left="-464" w:right="200" w:firstLine="464"/>
        <w:spacing w:after="0" w:line="277" w:lineRule="auto"/>
        <w:tabs>
          <w:tab w:leader="none" w:pos="172"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 The Shares acquired upon exercise of the Stock Option shall be subject to certain transfer restrictions and other limitations including, without limitation, the provisions contained in Section 9 of the Plan.</w:t>
      </w:r>
    </w:p>
    <w:p>
      <w:pPr>
        <w:spacing w:after="0" w:line="62" w:lineRule="exact"/>
        <w:rPr>
          <w:rFonts w:ascii="Arial" w:cs="Arial" w:eastAsia="Arial" w:hAnsi="Arial"/>
          <w:sz w:val="18"/>
          <w:szCs w:val="18"/>
          <w:color w:val="auto"/>
        </w:rPr>
      </w:pPr>
    </w:p>
    <w:p>
      <w:pPr>
        <w:ind w:left="176" w:hanging="176"/>
        <w:spacing w:after="0"/>
        <w:tabs>
          <w:tab w:leader="none" w:pos="176"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4" w:right="60" w:firstLine="921"/>
        <w:spacing w:after="0" w:line="308" w:lineRule="auto"/>
        <w:tabs>
          <w:tab w:leader="none" w:pos="693" w:val="left"/>
        </w:tabs>
        <w:numPr>
          <w:ilvl w:val="1"/>
          <w:numId w:val="266"/>
        </w:numPr>
        <w:rPr>
          <w:rFonts w:ascii="Arial" w:cs="Arial" w:eastAsia="Arial" w:hAnsi="Arial"/>
          <w:sz w:val="17"/>
          <w:szCs w:val="17"/>
          <w:color w:val="auto"/>
        </w:rPr>
      </w:pPr>
      <w:r>
        <w:rPr>
          <w:rFonts w:ascii="Arial" w:cs="Arial" w:eastAsia="Arial" w:hAnsi="Arial"/>
          <w:sz w:val="17"/>
          <w:szCs w:val="17"/>
          <w:u w:val="single" w:color="auto"/>
          <w:color w:val="auto"/>
        </w:rPr>
        <w:t>Equitable Relief</w:t>
      </w:r>
      <w:r>
        <w:rPr>
          <w:rFonts w:ascii="Arial" w:cs="Arial" w:eastAsia="Arial" w:hAnsi="Arial"/>
          <w:sz w:val="17"/>
          <w:szCs w:val="17"/>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38" w:lineRule="exact"/>
        <w:rPr>
          <w:rFonts w:ascii="Arial" w:cs="Arial" w:eastAsia="Arial" w:hAnsi="Arial"/>
          <w:sz w:val="17"/>
          <w:szCs w:val="17"/>
          <w:color w:val="auto"/>
        </w:rPr>
      </w:pPr>
    </w:p>
    <w:p>
      <w:pPr>
        <w:ind w:left="-464" w:firstLine="921"/>
        <w:spacing w:after="0" w:line="257" w:lineRule="auto"/>
        <w:tabs>
          <w:tab w:leader="none" w:pos="703"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Capital Structure</w:t>
      </w:r>
      <w:r>
        <w:rPr>
          <w:rFonts w:ascii="Arial" w:cs="Arial" w:eastAsia="Arial" w:hAnsi="Arial"/>
          <w:sz w:val="18"/>
          <w:szCs w:val="18"/>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ectPr>
          <w:pgSz w:w="11900" w:h="16838" w:orient="portrait"/>
          <w:cols w:equalWidth="0" w:num="1">
            <w:col w:w="10916"/>
          </w:cols>
          <w:pgMar w:left="704" w:top="274" w:right="279" w:bottom="1440" w:gutter="0" w:footer="0" w:header="0"/>
        </w:sectPr>
      </w:pPr>
    </w:p>
    <w:bookmarkStart w:id="373" w:name="page374"/>
    <w:bookmarkEnd w:id="373"/>
    <w:p>
      <w:pPr>
        <w:ind w:left="-464" w:right="140" w:firstLine="921"/>
        <w:spacing w:after="0" w:line="342" w:lineRule="auto"/>
        <w:tabs>
          <w:tab w:leader="none" w:pos="693" w:val="left"/>
        </w:tabs>
        <w:numPr>
          <w:ilvl w:val="1"/>
          <w:numId w:val="26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and Modifications</w:t>
      </w:r>
      <w:r>
        <w:rPr>
          <w:rFonts w:ascii="Arial" w:cs="Arial" w:eastAsia="Arial" w:hAnsi="Arial"/>
          <w:sz w:val="16"/>
          <w:szCs w:val="16"/>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123" w:lineRule="exact"/>
        <w:rPr>
          <w:rFonts w:ascii="Arial" w:cs="Arial" w:eastAsia="Arial" w:hAnsi="Arial"/>
          <w:sz w:val="16"/>
          <w:szCs w:val="16"/>
          <w:color w:val="auto"/>
        </w:rPr>
      </w:pPr>
    </w:p>
    <w:p>
      <w:pPr>
        <w:jc w:val="both"/>
        <w:ind w:left="-464" w:right="600" w:firstLine="921"/>
        <w:spacing w:after="0" w:line="259" w:lineRule="auto"/>
        <w:tabs>
          <w:tab w:leader="none" w:pos="703" w:val="left"/>
        </w:tabs>
        <w:numPr>
          <w:ilvl w:val="1"/>
          <w:numId w:val="26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Massachusetts, without regard to conflict of law principles that would result in the application of any law other than the law of the Commonwealth of Massachusetts.</w:t>
      </w:r>
    </w:p>
    <w:p>
      <w:pPr>
        <w:spacing w:after="0" w:line="186" w:lineRule="exact"/>
        <w:rPr>
          <w:rFonts w:ascii="Arial" w:cs="Arial" w:eastAsia="Arial" w:hAnsi="Arial"/>
          <w:sz w:val="18"/>
          <w:szCs w:val="18"/>
          <w:color w:val="auto"/>
        </w:rPr>
      </w:pPr>
    </w:p>
    <w:p>
      <w:pPr>
        <w:ind w:left="-464" w:right="780" w:firstLine="921"/>
        <w:spacing w:after="0" w:line="277" w:lineRule="auto"/>
        <w:tabs>
          <w:tab w:leader="none" w:pos="693" w:val="left"/>
        </w:tabs>
        <w:numPr>
          <w:ilvl w:val="1"/>
          <w:numId w:val="26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170" w:lineRule="exact"/>
        <w:rPr>
          <w:rFonts w:ascii="Arial" w:cs="Arial" w:eastAsia="Arial" w:hAnsi="Arial"/>
          <w:sz w:val="18"/>
          <w:szCs w:val="18"/>
          <w:color w:val="auto"/>
        </w:rPr>
      </w:pPr>
    </w:p>
    <w:p>
      <w:pPr>
        <w:ind w:left="-464" w:firstLine="921"/>
        <w:spacing w:after="0" w:line="277" w:lineRule="auto"/>
        <w:tabs>
          <w:tab w:leader="none" w:pos="673" w:val="left"/>
        </w:tabs>
        <w:numPr>
          <w:ilvl w:val="1"/>
          <w:numId w:val="267"/>
        </w:numPr>
        <w:rPr>
          <w:rFonts w:ascii="Arial" w:cs="Arial" w:eastAsia="Arial" w:hAnsi="Arial"/>
          <w:sz w:val="18"/>
          <w:szCs w:val="18"/>
          <w:color w:val="auto"/>
        </w:rPr>
      </w:pPr>
      <w:r>
        <w:rPr>
          <w:rFonts w:ascii="Arial" w:cs="Arial" w:eastAsia="Arial" w:hAnsi="Arial"/>
          <w:sz w:val="18"/>
          <w:szCs w:val="18"/>
          <w:u w:val="single" w:color="auto"/>
          <w:color w:val="auto"/>
        </w:rPr>
        <w:t>Saving Clause</w:t>
      </w:r>
      <w:r>
        <w:rPr>
          <w:rFonts w:ascii="Arial" w:cs="Arial" w:eastAsia="Arial" w:hAnsi="Arial"/>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170" w:lineRule="exact"/>
        <w:rPr>
          <w:rFonts w:ascii="Arial" w:cs="Arial" w:eastAsia="Arial" w:hAnsi="Arial"/>
          <w:sz w:val="18"/>
          <w:szCs w:val="18"/>
          <w:color w:val="auto"/>
        </w:rPr>
      </w:pPr>
    </w:p>
    <w:p>
      <w:pPr>
        <w:ind w:left="-464" w:right="60" w:firstLine="921"/>
        <w:spacing w:after="0" w:line="259" w:lineRule="auto"/>
        <w:tabs>
          <w:tab w:leader="none" w:pos="703" w:val="left"/>
        </w:tabs>
        <w:numPr>
          <w:ilvl w:val="1"/>
          <w:numId w:val="26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186" w:lineRule="exact"/>
        <w:rPr>
          <w:rFonts w:ascii="Arial" w:cs="Arial" w:eastAsia="Arial" w:hAnsi="Arial"/>
          <w:sz w:val="18"/>
          <w:szCs w:val="18"/>
          <w:color w:val="auto"/>
        </w:rPr>
      </w:pPr>
    </w:p>
    <w:p>
      <w:pPr>
        <w:ind w:left="-464" w:firstLine="921"/>
        <w:spacing w:after="0" w:line="264" w:lineRule="auto"/>
        <w:tabs>
          <w:tab w:leader="none" w:pos="703" w:val="left"/>
        </w:tabs>
        <w:numPr>
          <w:ilvl w:val="1"/>
          <w:numId w:val="267"/>
        </w:numPr>
        <w:rPr>
          <w:rFonts w:ascii="Arial" w:cs="Arial" w:eastAsia="Arial" w:hAnsi="Arial"/>
          <w:sz w:val="18"/>
          <w:szCs w:val="18"/>
          <w:color w:val="auto"/>
        </w:rPr>
      </w:pPr>
      <w:r>
        <w:rPr>
          <w:rFonts w:ascii="Arial" w:cs="Arial" w:eastAsia="Arial" w:hAnsi="Arial"/>
          <w:sz w:val="18"/>
          <w:szCs w:val="18"/>
          <w:u w:val="single" w:color="auto"/>
          <w:color w:val="auto"/>
        </w:rPr>
        <w:t>Benefit and Binding Effect</w:t>
      </w:r>
      <w:r>
        <w:rPr>
          <w:rFonts w:ascii="Arial" w:cs="Arial" w:eastAsia="Arial" w:hAnsi="Arial"/>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81" w:lineRule="exact"/>
        <w:rPr>
          <w:rFonts w:ascii="Arial" w:cs="Arial" w:eastAsia="Arial" w:hAnsi="Arial"/>
          <w:sz w:val="18"/>
          <w:szCs w:val="18"/>
          <w:color w:val="auto"/>
        </w:rPr>
      </w:pPr>
    </w:p>
    <w:p>
      <w:pPr>
        <w:ind w:left="-464" w:right="360" w:firstLine="921"/>
        <w:spacing w:after="0" w:line="277" w:lineRule="auto"/>
        <w:tabs>
          <w:tab w:leader="none" w:pos="663" w:val="left"/>
        </w:tabs>
        <w:numPr>
          <w:ilvl w:val="1"/>
          <w:numId w:val="26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70" w:lineRule="exact"/>
        <w:rPr>
          <w:rFonts w:ascii="Arial" w:cs="Arial" w:eastAsia="Arial" w:hAnsi="Arial"/>
          <w:sz w:val="18"/>
          <w:szCs w:val="18"/>
          <w:color w:val="auto"/>
        </w:rPr>
      </w:pPr>
    </w:p>
    <w:p>
      <w:pPr>
        <w:ind w:left="-464" w:right="300" w:firstLine="921"/>
        <w:spacing w:after="0" w:line="277" w:lineRule="auto"/>
        <w:tabs>
          <w:tab w:leader="none" w:pos="663" w:val="left"/>
        </w:tabs>
        <w:numPr>
          <w:ilvl w:val="1"/>
          <w:numId w:val="267"/>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62" w:lineRule="exact"/>
        <w:rPr>
          <w:rFonts w:ascii="Arial" w:cs="Arial" w:eastAsia="Arial" w:hAnsi="Arial"/>
          <w:sz w:val="18"/>
          <w:szCs w:val="18"/>
          <w:color w:val="auto"/>
        </w:rPr>
      </w:pPr>
    </w:p>
    <w:p>
      <w:pPr>
        <w:ind w:left="176" w:hanging="176"/>
        <w:spacing w:after="0"/>
        <w:tabs>
          <w:tab w:leader="none" w:pos="176"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4" w:right="20" w:firstLine="921"/>
        <w:spacing w:after="0" w:line="257" w:lineRule="auto"/>
        <w:tabs>
          <w:tab w:leader="none" w:pos="693" w:val="left"/>
        </w:tabs>
        <w:numPr>
          <w:ilvl w:val="1"/>
          <w:numId w:val="268"/>
        </w:numPr>
        <w:rPr>
          <w:rFonts w:ascii="Arial" w:cs="Arial" w:eastAsia="Arial" w:hAnsi="Arial"/>
          <w:sz w:val="18"/>
          <w:szCs w:val="18"/>
          <w:color w:val="auto"/>
        </w:rPr>
      </w:pPr>
      <w:r>
        <w:rPr>
          <w:rFonts w:ascii="Arial" w:cs="Arial" w:eastAsia="Arial" w:hAnsi="Arial"/>
          <w:sz w:val="18"/>
          <w:szCs w:val="18"/>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w:t>
      </w:r>
      <w:r>
        <w:rPr>
          <w:rFonts w:ascii="Arial" w:cs="Arial" w:eastAsia="Arial" w:hAnsi="Arial"/>
          <w:sz w:val="18"/>
          <w:szCs w:val="18"/>
          <w:u w:val="single" w:color="auto"/>
          <w:color w:val="auto"/>
        </w:rPr>
        <w:t>J.A.M.S. Rules</w:t>
      </w:r>
      <w:r>
        <w:rPr>
          <w:rFonts w:ascii="Arial" w:cs="Arial" w:eastAsia="Arial" w:hAnsi="Arial"/>
          <w:sz w:val="18"/>
          <w:szCs w:val="18"/>
          <w:color w:val="auto"/>
        </w:rPr>
        <w:t>”). The arbitration shall be governed by the United States Arbitration Act, 9 U.S.C. Sections 1-16, and judgment upon the award rendered by the arbitrators may be entered by any court having jurisdiction thereof. The place of arbitration shall be Boston, MA.</w:t>
      </w:r>
    </w:p>
    <w:p>
      <w:pPr>
        <w:sectPr>
          <w:pgSz w:w="11900" w:h="16838" w:orient="portrait"/>
          <w:cols w:equalWidth="0" w:num="1">
            <w:col w:w="10936"/>
          </w:cols>
          <w:pgMar w:left="704" w:top="274" w:right="259" w:bottom="1440" w:gutter="0" w:footer="0" w:header="0"/>
        </w:sectPr>
      </w:pPr>
    </w:p>
    <w:bookmarkStart w:id="374" w:name="page375"/>
    <w:bookmarkEnd w:id="374"/>
    <w:p>
      <w:pPr>
        <w:ind w:left="-20" w:firstLine="921"/>
        <w:spacing w:after="0" w:line="270" w:lineRule="auto"/>
        <w:tabs>
          <w:tab w:leader="none" w:pos="1148" w:val="left"/>
        </w:tabs>
        <w:numPr>
          <w:ilvl w:val="0"/>
          <w:numId w:val="2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69" w:lineRule="exact"/>
        <w:rPr>
          <w:rFonts w:ascii="Arial" w:cs="Arial" w:eastAsia="Arial" w:hAnsi="Arial"/>
          <w:sz w:val="17"/>
          <w:szCs w:val="17"/>
          <w:color w:val="auto"/>
        </w:rPr>
      </w:pPr>
    </w:p>
    <w:p>
      <w:pPr>
        <w:ind w:left="-20" w:right="80" w:firstLine="921"/>
        <w:spacing w:after="0" w:line="259" w:lineRule="auto"/>
        <w:tabs>
          <w:tab w:leader="none" w:pos="113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Company, the Optionee, each party to the Agreement and any other holder of Shares issued pursuant to this Agreement (each, a “</w:t>
      </w:r>
      <w:r>
        <w:rPr>
          <w:rFonts w:ascii="Arial" w:cs="Arial" w:eastAsia="Arial" w:hAnsi="Arial"/>
          <w:sz w:val="18"/>
          <w:szCs w:val="18"/>
          <w:u w:val="single" w:color="auto"/>
          <w:color w:val="auto"/>
        </w:rPr>
        <w:t>Party</w:t>
      </w:r>
      <w:r>
        <w:rPr>
          <w:rFonts w:ascii="Arial" w:cs="Arial" w:eastAsia="Arial" w:hAnsi="Arial"/>
          <w:sz w:val="18"/>
          <w:szCs w:val="18"/>
          <w:color w:val="auto"/>
        </w:rPr>
        <w:t>”)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78" w:lineRule="exact"/>
        <w:rPr>
          <w:rFonts w:ascii="Arial" w:cs="Arial" w:eastAsia="Arial" w:hAnsi="Arial"/>
          <w:sz w:val="18"/>
          <w:szCs w:val="18"/>
          <w:color w:val="auto"/>
        </w:rPr>
      </w:pPr>
    </w:p>
    <w:p>
      <w:pPr>
        <w:ind w:left="-20" w:right="20" w:firstLine="921"/>
        <w:spacing w:after="0" w:line="270" w:lineRule="auto"/>
        <w:tabs>
          <w:tab w:leader="none" w:pos="1148" w:val="left"/>
        </w:tabs>
        <w:numPr>
          <w:ilvl w:val="0"/>
          <w:numId w:val="269"/>
        </w:numPr>
        <w:rPr>
          <w:rFonts w:ascii="Arial" w:cs="Arial" w:eastAsia="Arial" w:hAnsi="Arial"/>
          <w:sz w:val="17"/>
          <w:szCs w:val="17"/>
          <w:color w:val="auto"/>
        </w:rPr>
      </w:pPr>
      <w:r>
        <w:rPr>
          <w:rFonts w:ascii="Arial" w:cs="Arial" w:eastAsia="Arial" w:hAnsi="Arial"/>
          <w:sz w:val="17"/>
          <w:szCs w:val="17"/>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380"/>
          </w:cols>
          <w:pgMar w:left="260" w:top="274" w:right="259" w:bottom="1440" w:gutter="0" w:footer="0" w:header="0"/>
        </w:sectPr>
      </w:pPr>
    </w:p>
    <w:bookmarkStart w:id="375" w:name="page376"/>
    <w:bookmarkEnd w:id="375"/>
    <w:p>
      <w:pPr>
        <w:ind w:right="5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Agreement is hereby accepted and the terms and conditions thereof hereby agreed to by the undersigned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581025</wp:posOffset>
            </wp:positionV>
            <wp:extent cx="289877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872490</wp:posOffset>
            </wp:positionV>
            <wp:extent cx="289877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undersigned hereby acknowledges receiving and reviewing a copy of the Plan, including, 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OF THIS AGREEMENT, are hereby agreed to, by the undersigned as of the date first above written.</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NQSO A</w:t>
      </w:r>
      <w:r>
        <w:rPr>
          <w:rFonts w:ascii="Arial" w:cs="Arial" w:eastAsia="Arial" w:hAnsi="Arial"/>
          <w:sz w:val="15"/>
          <w:szCs w:val="15"/>
          <w:b w:val="1"/>
          <w:bCs w:val="1"/>
          <w:color w:val="auto"/>
        </w:rPr>
        <w:t>GREEMENT</w:t>
      </w:r>
    </w:p>
    <w:p>
      <w:pPr>
        <w:sectPr>
          <w:pgSz w:w="11900" w:h="16838" w:orient="portrait"/>
          <w:cols w:equalWidth="0" w:num="1">
            <w:col w:w="11380"/>
          </w:cols>
          <w:pgMar w:left="240" w:top="273" w:right="279" w:bottom="1440" w:gutter="0" w:footer="0" w:header="0"/>
        </w:sectPr>
      </w:pPr>
    </w:p>
    <w:bookmarkStart w:id="376" w:name="page377"/>
    <w:bookmarkEnd w:id="37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EXERCISE NOTICE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3926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23926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23926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Pursuant to the terms of the grant notice and stock option agreement between the undersigned and AVROBIO, Inc. (the “Company”) dated</w:t>
      </w:r>
    </w:p>
    <w:p>
      <w:pPr>
        <w:spacing w:after="0" w:line="35"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color w:val="auto"/>
        </w:rPr>
        <w:t>(the “Agreement”) under the AVROBIO, Inc. 2015 Stock Option and Grant Plan, I, [Insert Name] , hereby [Circle One] partially/fully exercise such option by including herein payment in the amount of $ representing the purchase price for [Fill in number of Shares] Shares. I have chosen the following form(s) of payment:</w:t>
      </w:r>
    </w:p>
    <w:p>
      <w:pPr>
        <w:spacing w:after="0" w:line="217" w:lineRule="exact"/>
        <w:rPr>
          <w:sz w:val="20"/>
          <w:szCs w:val="20"/>
          <w:color w:val="auto"/>
        </w:rPr>
      </w:pPr>
    </w:p>
    <w:p>
      <w:pPr>
        <w:ind w:left="1420" w:hanging="264"/>
        <w:spacing w:after="0"/>
        <w:tabs>
          <w:tab w:leader="none" w:pos="1420" w:val="left"/>
        </w:tabs>
        <w:numPr>
          <w:ilvl w:val="0"/>
          <w:numId w:val="270"/>
        </w:numPr>
        <w:rPr>
          <w:rFonts w:ascii="MS PGothic" w:cs="MS PGothic" w:eastAsia="MS PGothic" w:hAnsi="MS PGothic"/>
          <w:sz w:val="18"/>
          <w:szCs w:val="18"/>
          <w:color w:val="auto"/>
        </w:rPr>
      </w:pPr>
      <w:r>
        <w:rPr>
          <w:rFonts w:ascii="Arial" w:cs="Arial" w:eastAsia="Arial" w:hAnsi="Arial"/>
          <w:sz w:val="18"/>
          <w:szCs w:val="18"/>
          <w:color w:val="auto"/>
        </w:rPr>
        <w:t>1. Cash</w:t>
      </w:r>
    </w:p>
    <w:p>
      <w:pPr>
        <w:spacing w:after="0" w:line="117" w:lineRule="exact"/>
        <w:rPr>
          <w:rFonts w:ascii="MS PGothic" w:cs="MS PGothic" w:eastAsia="MS PGothic" w:hAnsi="MS PGothic"/>
          <w:sz w:val="18"/>
          <w:szCs w:val="18"/>
          <w:color w:val="auto"/>
        </w:rPr>
      </w:pPr>
    </w:p>
    <w:p>
      <w:pPr>
        <w:ind w:left="1420" w:hanging="264"/>
        <w:spacing w:after="0"/>
        <w:tabs>
          <w:tab w:leader="none" w:pos="1420" w:val="left"/>
        </w:tabs>
        <w:numPr>
          <w:ilvl w:val="0"/>
          <w:numId w:val="270"/>
        </w:numPr>
        <w:rPr>
          <w:rFonts w:ascii="MS PGothic" w:cs="MS PGothic" w:eastAsia="MS PGothic" w:hAnsi="MS PGothic"/>
          <w:sz w:val="18"/>
          <w:szCs w:val="18"/>
          <w:color w:val="auto"/>
        </w:rPr>
      </w:pPr>
      <w:r>
        <w:rPr>
          <w:rFonts w:ascii="Arial" w:cs="Arial" w:eastAsia="Arial" w:hAnsi="Arial"/>
          <w:sz w:val="18"/>
          <w:szCs w:val="18"/>
          <w:color w:val="auto"/>
        </w:rPr>
        <w:t>2. Certified or bank check payable to AVROBIO, Inc.</w:t>
      </w:r>
    </w:p>
    <w:p>
      <w:pPr>
        <w:spacing w:after="0" w:line="117" w:lineRule="exact"/>
        <w:rPr>
          <w:rFonts w:ascii="MS PGothic" w:cs="MS PGothic" w:eastAsia="MS PGothic" w:hAnsi="MS PGothic"/>
          <w:sz w:val="18"/>
          <w:szCs w:val="18"/>
          <w:color w:val="auto"/>
        </w:rPr>
      </w:pPr>
    </w:p>
    <w:p>
      <w:pPr>
        <w:ind w:left="1420" w:hanging="264"/>
        <w:spacing w:after="0"/>
        <w:tabs>
          <w:tab w:leader="none" w:pos="1420" w:val="left"/>
        </w:tabs>
        <w:numPr>
          <w:ilvl w:val="0"/>
          <w:numId w:val="270"/>
        </w:numPr>
        <w:rPr>
          <w:rFonts w:ascii="MS PGothic" w:cs="MS PGothic" w:eastAsia="MS PGothic" w:hAnsi="MS PGothic"/>
          <w:sz w:val="18"/>
          <w:szCs w:val="18"/>
          <w:color w:val="auto"/>
        </w:rPr>
      </w:pPr>
      <w:r>
        <w:rPr>
          <w:rFonts w:ascii="Arial" w:cs="Arial" w:eastAsia="Arial" w:hAnsi="Arial"/>
          <w:sz w:val="18"/>
          <w:szCs w:val="18"/>
          <w:color w:val="auto"/>
        </w:rPr>
        <w:t>3. Other (as referenced in the Agreement and described in the Plan (please describe))</w:t>
      </w:r>
    </w:p>
    <w:p>
      <w:pPr>
        <w:spacing w:after="0" w:line="117" w:lineRule="exact"/>
        <w:rPr>
          <w:rFonts w:ascii="MS PGothic" w:cs="MS PGothic" w:eastAsia="MS PGothic" w:hAnsi="MS PGothic"/>
          <w:sz w:val="18"/>
          <w:szCs w:val="18"/>
          <w:color w:val="auto"/>
        </w:rPr>
      </w:pPr>
    </w:p>
    <w:p>
      <w:pPr>
        <w:ind w:left="1640"/>
        <w:spacing w:after="0"/>
        <w:rPr>
          <w:rFonts w:ascii="MS PGothic" w:cs="MS PGothic" w:eastAsia="MS PGothic" w:hAnsi="MS PGothic"/>
          <w:sz w:val="18"/>
          <w:szCs w:val="18"/>
          <w:color w:val="auto"/>
        </w:rPr>
      </w:pPr>
      <w:r>
        <w:rPr>
          <w:rFonts w:ascii="Arial" w:cs="Arial" w:eastAsia="Arial" w:hAnsi="Arial"/>
          <w:sz w:val="18"/>
          <w:szCs w:val="18"/>
          <w:color w:val="auto"/>
        </w:rPr>
        <w:t>________________________________________________________________________________________________.</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my exercise of the option as set forth above, I hereby represent and warrant to the Company as follows:</w:t>
      </w:r>
    </w:p>
    <w:p>
      <w:pPr>
        <w:spacing w:after="0" w:line="117" w:lineRule="exact"/>
        <w:rPr>
          <w:sz w:val="20"/>
          <w:szCs w:val="20"/>
          <w:color w:val="auto"/>
        </w:rPr>
      </w:pPr>
    </w:p>
    <w:p>
      <w:pPr>
        <w:ind w:left="1560" w:hanging="219"/>
        <w:spacing w:after="0"/>
        <w:tabs>
          <w:tab w:leader="none" w:pos="15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I am purchasing the Shares for my own account for investment only, and not for resale or with a view to the distribution thereof.</w:t>
      </w:r>
    </w:p>
    <w:p>
      <w:pPr>
        <w:spacing w:after="0" w:line="128" w:lineRule="exact"/>
        <w:rPr>
          <w:rFonts w:ascii="Arial" w:cs="Arial" w:eastAsia="Arial" w:hAnsi="Arial"/>
          <w:sz w:val="17"/>
          <w:szCs w:val="17"/>
          <w:color w:val="auto"/>
        </w:rPr>
      </w:pPr>
    </w:p>
    <w:p>
      <w:pPr>
        <w:ind w:left="460" w:firstLine="881"/>
        <w:spacing w:after="0" w:line="264" w:lineRule="auto"/>
        <w:tabs>
          <w:tab w:leader="none" w:pos="160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73" w:lineRule="exact"/>
        <w:rPr>
          <w:rFonts w:ascii="Arial" w:cs="Arial" w:eastAsia="Arial" w:hAnsi="Arial"/>
          <w:sz w:val="18"/>
          <w:szCs w:val="18"/>
          <w:color w:val="auto"/>
        </w:rPr>
      </w:pPr>
    </w:p>
    <w:p>
      <w:pPr>
        <w:ind w:left="460" w:firstLine="881"/>
        <w:spacing w:after="0" w:line="277" w:lineRule="auto"/>
        <w:tabs>
          <w:tab w:leader="none" w:pos="165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 can afford a complete loss of the value of the Shares and am able to bear the economic risk of holding such Shares for an indefinite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period of time.</w:t>
      </w:r>
    </w:p>
    <w:p>
      <w:pPr>
        <w:spacing w:after="0" w:line="102" w:lineRule="exact"/>
        <w:rPr>
          <w:rFonts w:ascii="Arial" w:cs="Arial" w:eastAsia="Arial" w:hAnsi="Arial"/>
          <w:sz w:val="16"/>
          <w:szCs w:val="16"/>
          <w:color w:val="auto"/>
        </w:rPr>
      </w:pPr>
    </w:p>
    <w:p>
      <w:pPr>
        <w:ind w:left="460" w:right="40" w:firstLine="881"/>
        <w:spacing w:after="0" w:line="264" w:lineRule="auto"/>
        <w:tabs>
          <w:tab w:leader="none" w:pos="159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w:t>
      </w:r>
    </w:p>
    <w:p>
      <w:pPr>
        <w:sectPr>
          <w:pgSz w:w="11900" w:h="16838" w:orient="portrait"/>
          <w:cols w:equalWidth="0" w:num="1">
            <w:col w:w="11420"/>
          </w:cols>
          <w:pgMar w:left="240" w:top="270" w:right="239" w:bottom="1440" w:gutter="0" w:footer="0" w:header="0"/>
        </w:sectPr>
      </w:pPr>
    </w:p>
    <w:bookmarkStart w:id="377" w:name="page378"/>
    <w:bookmarkEnd w:id="37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absence of an effective registration statement under the Securities Act of 1933 and 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73" w:lineRule="exact"/>
        <w:rPr>
          <w:sz w:val="20"/>
          <w:szCs w:val="20"/>
          <w:color w:val="auto"/>
        </w:rPr>
      </w:pPr>
    </w:p>
    <w:p>
      <w:pPr>
        <w:ind w:right="440" w:firstLine="881"/>
        <w:spacing w:after="0" w:line="277" w:lineRule="auto"/>
        <w:tabs>
          <w:tab w:leader="none" w:pos="1181"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62" w:lineRule="exact"/>
        <w:rPr>
          <w:rFonts w:ascii="Arial" w:cs="Arial" w:eastAsia="Arial" w:hAnsi="Arial"/>
          <w:sz w:val="18"/>
          <w:szCs w:val="18"/>
          <w:color w:val="auto"/>
        </w:rPr>
      </w:pPr>
    </w:p>
    <w:p>
      <w:pPr>
        <w:ind w:left="1240" w:hanging="359"/>
        <w:spacing w:after="0"/>
        <w:tabs>
          <w:tab w:leader="none" w:pos="124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I understand and agree that the Company has a right of first refusal with respect to the Shares pursuant to Section 9(b) of the Plan.</w:t>
      </w:r>
    </w:p>
    <w:p>
      <w:pPr>
        <w:spacing w:after="0" w:line="140" w:lineRule="exact"/>
        <w:rPr>
          <w:rFonts w:ascii="Arial" w:cs="Arial" w:eastAsia="Arial" w:hAnsi="Arial"/>
          <w:sz w:val="16"/>
          <w:szCs w:val="16"/>
          <w:color w:val="auto"/>
        </w:rPr>
      </w:pPr>
    </w:p>
    <w:p>
      <w:pPr>
        <w:ind w:left="1280" w:hanging="399"/>
        <w:spacing w:after="0"/>
        <w:tabs>
          <w:tab w:leader="none" w:pos="128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I understand and agree that the Company has certain repurchase rights with respect to the Shares pursuant to Section 9(c) of the Plan.</w:t>
      </w:r>
    </w:p>
    <w:p>
      <w:pPr>
        <w:spacing w:after="0" w:line="140" w:lineRule="exact"/>
        <w:rPr>
          <w:rFonts w:ascii="Arial" w:cs="Arial" w:eastAsia="Arial" w:hAnsi="Arial"/>
          <w:sz w:val="16"/>
          <w:szCs w:val="16"/>
          <w:color w:val="auto"/>
        </w:rPr>
      </w:pPr>
    </w:p>
    <w:p>
      <w:pPr>
        <w:ind w:right="20" w:firstLine="881"/>
        <w:spacing w:after="0" w:line="277" w:lineRule="auto"/>
        <w:tabs>
          <w:tab w:leader="none" w:pos="1181"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 understand and agree that I may not sell or otherwise transfer or dispose of the Shares for a period of time following the effective date of a public offering by the Company as described in Section 9(f) of the Plan.</w:t>
      </w:r>
    </w:p>
    <w:p>
      <w:pPr>
        <w:spacing w:after="0" w:line="19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289560</wp:posOffset>
            </wp:positionV>
            <wp:extent cx="289877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289560</wp:posOffset>
            </wp:positionV>
            <wp:extent cx="289877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581025</wp:posOffset>
            </wp:positionV>
            <wp:extent cx="289877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0960"/>
          </w:cols>
          <w:pgMar w:left="700" w:top="273" w:right="239" w:bottom="1440" w:gutter="0" w:footer="0" w:header="0"/>
        </w:sectPr>
      </w:pPr>
    </w:p>
    <w:bookmarkStart w:id="378" w:name="page379"/>
    <w:bookmarkEnd w:id="37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STOCK AWARD NOTICE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AVROBIO,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2015 STOCK OPTION AND GRANT PLAN</w:t>
      </w:r>
    </w:p>
    <w:p>
      <w:pPr>
        <w:spacing w:after="0" w:line="21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the AvroBio, Inc. 2015 Stock Option and Grant Plan (the “</w:t>
      </w:r>
      <w:r>
        <w:rPr>
          <w:rFonts w:ascii="Arial" w:cs="Arial" w:eastAsia="Arial" w:hAnsi="Arial"/>
          <w:sz w:val="16"/>
          <w:szCs w:val="16"/>
          <w:u w:val="single" w:color="auto"/>
          <w:color w:val="auto"/>
        </w:rPr>
        <w:t>Plan</w:t>
      </w:r>
      <w:r>
        <w:rPr>
          <w:rFonts w:ascii="Arial" w:cs="Arial" w:eastAsia="Arial" w:hAnsi="Arial"/>
          <w:sz w:val="16"/>
          <w:szCs w:val="16"/>
          <w:color w:val="auto"/>
        </w:rPr>
        <w:t>”), AvroBio, Inc., a Delaware corporation (together with any successor, the “</w:t>
      </w:r>
      <w:r>
        <w:rPr>
          <w:rFonts w:ascii="Arial" w:cs="Arial" w:eastAsia="Arial" w:hAnsi="Arial"/>
          <w:sz w:val="16"/>
          <w:szCs w:val="16"/>
          <w:u w:val="single" w:color="auto"/>
          <w:color w:val="auto"/>
        </w:rPr>
        <w:t>Company</w:t>
      </w:r>
      <w:r>
        <w:rPr>
          <w:rFonts w:ascii="Arial" w:cs="Arial" w:eastAsia="Arial" w:hAnsi="Arial"/>
          <w:sz w:val="16"/>
          <w:szCs w:val="16"/>
          <w:color w:val="auto"/>
        </w:rPr>
        <w:t>”), hereby grants, sells and issues to the individual named below, the Shares at the Per Share Purchase Price, subject to the terms and conditions set forth in this Restricted Stock Award Notice (the “</w:t>
      </w:r>
      <w:r>
        <w:rPr>
          <w:rFonts w:ascii="Arial" w:cs="Arial" w:eastAsia="Arial" w:hAnsi="Arial"/>
          <w:sz w:val="16"/>
          <w:szCs w:val="16"/>
          <w:u w:val="single" w:color="auto"/>
          <w:color w:val="auto"/>
        </w:rPr>
        <w:t>Award Notice</w:t>
      </w:r>
      <w:r>
        <w:rPr>
          <w:rFonts w:ascii="Arial" w:cs="Arial" w:eastAsia="Arial" w:hAnsi="Arial"/>
          <w:sz w:val="16"/>
          <w:szCs w:val="16"/>
          <w:color w:val="auto"/>
        </w:rPr>
        <w:t>”), the attached Restricted Stock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and the Plan. The Grantee agrees to the provisions set forth herein and acknowledges that each such provision is a material condition of the Company’s agreement to issue and sell the Shares to him or her. The Company hereby acknowledges receipt of $[ ] in full payment for the Shares. All references to share prices and amounts herein shall be equitably adjusted to reflect stock splits, stock dividends, recapitalizations, mergers, reorganizations and similar changes affecting the capital stock of the Company, and any shares of capital stock of the Company received on or in respect of Shares in connection with any such event (including any shares of capital stock or any right, option or warrant to receive the same or any security convertible into or exchangeable for any such shares or received upon conversion of any such shares) shall be subject to this Agreement on the same basis and extent at the relevant time as the Shares in respect of which they were issued, and shall be deemed Shares as if and to the same extent they were issued at the date hereof.</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20"/>
                <w:szCs w:val="20"/>
                <w:color w:val="auto"/>
              </w:rPr>
            </w:pPr>
            <w:r>
              <w:rPr>
                <w:rFonts w:ascii="Arial" w:cs="Arial" w:eastAsia="Arial" w:hAnsi="Arial"/>
                <w:sz w:val="18"/>
                <w:szCs w:val="18"/>
                <w:color w:val="auto"/>
              </w:rPr>
              <w:t>Name of Grantee:</w:t>
            </w:r>
          </w:p>
        </w:tc>
        <w:tc>
          <w:tcPr>
            <w:tcW w:w="7560" w:type="dxa"/>
            <w:vAlign w:val="bottom"/>
            <w:gridSpan w:val="10"/>
          </w:tcPr>
          <w:p>
            <w:pPr>
              <w:spacing w:after="0"/>
              <w:rPr>
                <w:sz w:val="20"/>
                <w:szCs w:val="20"/>
                <w:color w:val="auto"/>
              </w:rPr>
            </w:pPr>
            <w:r>
              <w:rPr>
                <w:rFonts w:ascii="Arial" w:cs="Arial" w:eastAsia="Arial" w:hAnsi="Arial"/>
                <w:sz w:val="18"/>
                <w:szCs w:val="18"/>
                <w:color w:val="auto"/>
              </w:rPr>
              <w:t>_________________________ (the “Grantee”)</w:t>
            </w:r>
          </w:p>
        </w:tc>
      </w:tr>
      <w:tr>
        <w:trPr>
          <w:trHeight w:val="20"/>
        </w:trPr>
        <w:tc>
          <w:tcPr>
            <w:tcW w:w="3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04"/>
        </w:trPr>
        <w:tc>
          <w:tcPr>
            <w:tcW w:w="3780" w:type="dxa"/>
            <w:vAlign w:val="bottom"/>
          </w:tcPr>
          <w:p>
            <w:pPr>
              <w:spacing w:after="0"/>
              <w:rPr>
                <w:sz w:val="20"/>
                <w:szCs w:val="20"/>
                <w:color w:val="auto"/>
              </w:rPr>
            </w:pPr>
            <w:r>
              <w:rPr>
                <w:rFonts w:ascii="Arial" w:cs="Arial" w:eastAsia="Arial" w:hAnsi="Arial"/>
                <w:sz w:val="18"/>
                <w:szCs w:val="18"/>
                <w:color w:val="auto"/>
              </w:rPr>
              <w:t>No. of Shares:</w:t>
            </w:r>
          </w:p>
        </w:tc>
        <w:tc>
          <w:tcPr>
            <w:tcW w:w="7560" w:type="dxa"/>
            <w:vAlign w:val="bottom"/>
            <w:gridSpan w:val="10"/>
          </w:tcPr>
          <w:p>
            <w:pPr>
              <w:spacing w:after="0"/>
              <w:rPr>
                <w:sz w:val="20"/>
                <w:szCs w:val="20"/>
                <w:color w:val="auto"/>
              </w:rPr>
            </w:pPr>
            <w:r>
              <w:rPr>
                <w:rFonts w:ascii="Arial" w:cs="Arial" w:eastAsia="Arial" w:hAnsi="Arial"/>
                <w:sz w:val="18"/>
                <w:szCs w:val="18"/>
                <w:color w:val="auto"/>
              </w:rPr>
              <w:t>____________ Shares of Common Stock (the “Shares”)</w:t>
            </w:r>
          </w:p>
        </w:tc>
      </w:tr>
      <w:tr>
        <w:trPr>
          <w:trHeight w:val="304"/>
        </w:trPr>
        <w:tc>
          <w:tcPr>
            <w:tcW w:w="3780" w:type="dxa"/>
            <w:vAlign w:val="bottom"/>
          </w:tcPr>
          <w:p>
            <w:pPr>
              <w:spacing w:after="0"/>
              <w:rPr>
                <w:sz w:val="20"/>
                <w:szCs w:val="20"/>
                <w:color w:val="auto"/>
              </w:rPr>
            </w:pPr>
            <w:r>
              <w:rPr>
                <w:rFonts w:ascii="Arial" w:cs="Arial" w:eastAsia="Arial" w:hAnsi="Arial"/>
                <w:sz w:val="18"/>
                <w:szCs w:val="18"/>
                <w:color w:val="auto"/>
              </w:rPr>
              <w:t>Grant Date:</w:t>
            </w:r>
          </w:p>
        </w:tc>
        <w:tc>
          <w:tcPr>
            <w:tcW w:w="10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04"/>
        </w:trPr>
        <w:tc>
          <w:tcPr>
            <w:tcW w:w="378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7560" w:type="dxa"/>
            <w:vAlign w:val="bottom"/>
            <w:gridSpan w:val="10"/>
          </w:tcPr>
          <w:p>
            <w:pPr>
              <w:spacing w:after="0"/>
              <w:rPr>
                <w:sz w:val="20"/>
                <w:szCs w:val="20"/>
                <w:color w:val="auto"/>
              </w:rPr>
            </w:pPr>
            <w:r>
              <w:rPr>
                <w:rFonts w:ascii="Arial" w:cs="Arial" w:eastAsia="Arial" w:hAnsi="Arial"/>
                <w:sz w:val="18"/>
                <w:szCs w:val="18"/>
                <w:color w:val="auto"/>
              </w:rPr>
              <w:t>____________________ (the “Vesting Commencement Date”)</w:t>
            </w:r>
          </w:p>
        </w:tc>
      </w:tr>
      <w:tr>
        <w:trPr>
          <w:trHeight w:val="20"/>
        </w:trPr>
        <w:tc>
          <w:tcPr>
            <w:tcW w:w="3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560" w:type="dxa"/>
            <w:vAlign w:val="bottom"/>
            <w:gridSpan w:val="4"/>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04"/>
        </w:trPr>
        <w:tc>
          <w:tcPr>
            <w:tcW w:w="3780" w:type="dxa"/>
            <w:vAlign w:val="bottom"/>
          </w:tcPr>
          <w:p>
            <w:pPr>
              <w:spacing w:after="0"/>
              <w:rPr>
                <w:sz w:val="20"/>
                <w:szCs w:val="20"/>
                <w:color w:val="auto"/>
              </w:rPr>
            </w:pPr>
            <w:r>
              <w:rPr>
                <w:rFonts w:ascii="Arial" w:cs="Arial" w:eastAsia="Arial" w:hAnsi="Arial"/>
                <w:sz w:val="18"/>
                <w:szCs w:val="18"/>
                <w:color w:val="auto"/>
              </w:rPr>
              <w:t>Per Share Purchase Price:</w:t>
            </w:r>
          </w:p>
        </w:tc>
        <w:tc>
          <w:tcPr>
            <w:tcW w:w="7560" w:type="dxa"/>
            <w:vAlign w:val="bottom"/>
            <w:gridSpan w:val="10"/>
          </w:tcPr>
          <w:p>
            <w:pPr>
              <w:spacing w:after="0"/>
              <w:rPr>
                <w:sz w:val="20"/>
                <w:szCs w:val="20"/>
                <w:color w:val="auto"/>
              </w:rPr>
            </w:pPr>
            <w:r>
              <w:rPr>
                <w:rFonts w:ascii="Arial" w:cs="Arial" w:eastAsia="Arial" w:hAnsi="Arial"/>
                <w:sz w:val="18"/>
                <w:szCs w:val="18"/>
                <w:color w:val="auto"/>
              </w:rPr>
              <w:t>$0.0001 (the “Per Share Purchase Price”)</w:t>
            </w:r>
          </w:p>
        </w:tc>
      </w:tr>
      <w:tr>
        <w:trPr>
          <w:trHeight w:val="20"/>
        </w:trPr>
        <w:tc>
          <w:tcPr>
            <w:tcW w:w="3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gridSpan w:val="4"/>
            <w:shd w:val="clear" w:color="auto" w:fill="000000"/>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r>
      <w:tr>
        <w:trPr>
          <w:trHeight w:val="330"/>
        </w:trPr>
        <w:tc>
          <w:tcPr>
            <w:tcW w:w="3780" w:type="dxa"/>
            <w:vAlign w:val="bottom"/>
          </w:tcPr>
          <w:p>
            <w:pPr>
              <w:spacing w:after="0"/>
              <w:rPr>
                <w:sz w:val="20"/>
                <w:szCs w:val="20"/>
                <w:color w:val="auto"/>
              </w:rPr>
            </w:pPr>
            <w:r>
              <w:rPr>
                <w:rFonts w:ascii="Arial" w:cs="Arial" w:eastAsia="Arial" w:hAnsi="Arial"/>
                <w:sz w:val="18"/>
                <w:szCs w:val="18"/>
                <w:color w:val="auto"/>
              </w:rPr>
              <w:t>Vesting Schedule:</w:t>
            </w:r>
          </w:p>
        </w:tc>
        <w:tc>
          <w:tcPr>
            <w:tcW w:w="7560" w:type="dxa"/>
            <w:vAlign w:val="bottom"/>
            <w:gridSpan w:val="10"/>
          </w:tcPr>
          <w:p>
            <w:pPr>
              <w:spacing w:after="0"/>
              <w:rPr>
                <w:sz w:val="20"/>
                <w:szCs w:val="20"/>
                <w:color w:val="auto"/>
              </w:rPr>
            </w:pPr>
            <w:r>
              <w:rPr>
                <w:rFonts w:ascii="Arial" w:cs="Arial" w:eastAsia="Arial" w:hAnsi="Arial"/>
                <w:sz w:val="18"/>
                <w:szCs w:val="18"/>
                <w:color w:val="auto"/>
                <w:w w:val="89"/>
              </w:rPr>
              <w:t>25 percent of the Shares shall vest on the first anniversary of the Vesting Commencement Date; provided</w:t>
            </w:r>
          </w:p>
        </w:tc>
      </w:tr>
      <w:tr>
        <w:trPr>
          <w:trHeight w:val="230"/>
        </w:trPr>
        <w:tc>
          <w:tcPr>
            <w:tcW w:w="3780" w:type="dxa"/>
            <w:vAlign w:val="bottom"/>
          </w:tcPr>
          <w:p>
            <w:pPr>
              <w:spacing w:after="0"/>
              <w:rPr>
                <w:sz w:val="20"/>
                <w:szCs w:val="20"/>
                <w:color w:val="auto"/>
              </w:rPr>
            </w:pPr>
          </w:p>
        </w:tc>
        <w:tc>
          <w:tcPr>
            <w:tcW w:w="7560" w:type="dxa"/>
            <w:vAlign w:val="bottom"/>
            <w:gridSpan w:val="10"/>
          </w:tcPr>
          <w:p>
            <w:pPr>
              <w:spacing w:after="0"/>
              <w:rPr>
                <w:sz w:val="20"/>
                <w:szCs w:val="20"/>
                <w:color w:val="auto"/>
              </w:rPr>
            </w:pPr>
            <w:r>
              <w:rPr>
                <w:rFonts w:ascii="Arial" w:cs="Arial" w:eastAsia="Arial" w:hAnsi="Arial"/>
                <w:sz w:val="18"/>
                <w:szCs w:val="18"/>
                <w:color w:val="auto"/>
                <w:w w:val="89"/>
              </w:rPr>
              <w:t>that the Grantee continues to have a Service Relationship with the Company at such time. Thereafter, the</w:t>
            </w:r>
          </w:p>
        </w:tc>
      </w:tr>
    </w:tbl>
    <w:p>
      <w:pPr>
        <w:ind w:left="3780" w:right="80"/>
        <w:spacing w:after="0" w:line="253" w:lineRule="auto"/>
        <w:rPr>
          <w:sz w:val="20"/>
          <w:szCs w:val="20"/>
          <w:color w:val="auto"/>
        </w:rPr>
      </w:pPr>
      <w:r>
        <w:rPr>
          <w:rFonts w:ascii="Arial" w:cs="Arial" w:eastAsia="Arial" w:hAnsi="Arial"/>
          <w:sz w:val="18"/>
          <w:szCs w:val="18"/>
          <w:color w:val="auto"/>
        </w:rPr>
        <w:t>remaining 75 percent of the Shares shall vest in 36 equal monthly installments following the first anniversary of the Vesting Commencement Date, provided the Grantee continues to have a Service Relationship with the Company at such time. Notwithstanding anything in the Agreement to the contrary in the case of a Sale Event, the Shares of Restricted Stock shall be treated as provided in Section 3(c) of the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Attachments: Restricted Stock Agreement, 2015 Stock Option and Grant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379" w:name="page380"/>
    <w:bookmarkEnd w:id="3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STOCK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AVROBIO,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STOCK OPTION AND GRANT PLAN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capitalized terms used herein and not otherwise defined shall have the respective meanings set forth in the Award Notice and the Plan.</w:t>
      </w:r>
    </w:p>
    <w:p>
      <w:pPr>
        <w:spacing w:after="0" w:line="129" w:lineRule="exact"/>
        <w:rPr>
          <w:sz w:val="20"/>
          <w:szCs w:val="20"/>
          <w:color w:val="auto"/>
        </w:rPr>
      </w:pPr>
    </w:p>
    <w:p>
      <w:pPr>
        <w:ind w:left="620" w:hanging="176"/>
        <w:spacing w:after="0"/>
        <w:tabs>
          <w:tab w:leader="none" w:pos="62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Purchase and Sale of Shares; Vesting; Investment Representations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60" w:firstLine="921"/>
        <w:spacing w:after="0" w:line="277" w:lineRule="auto"/>
        <w:tabs>
          <w:tab w:leader="none" w:pos="1137" w:val="left"/>
        </w:tabs>
        <w:numPr>
          <w:ilvl w:val="1"/>
          <w:numId w:val="273"/>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The Company hereby sells to the Grantee, and the Grantee hereby purchases from the Company, the number of Shares set forth in the Award Notice for the Per Share Purchase Price.</w:t>
      </w:r>
    </w:p>
    <w:p>
      <w:pPr>
        <w:spacing w:after="0" w:line="62" w:lineRule="exact"/>
        <w:rPr>
          <w:rFonts w:ascii="Arial" w:cs="Arial" w:eastAsia="Arial" w:hAnsi="Arial"/>
          <w:sz w:val="18"/>
          <w:szCs w:val="18"/>
          <w:color w:val="auto"/>
        </w:rPr>
      </w:pPr>
    </w:p>
    <w:p>
      <w:pPr>
        <w:ind w:left="-20" w:right="180" w:firstLine="921"/>
        <w:spacing w:after="0" w:line="342" w:lineRule="auto"/>
        <w:tabs>
          <w:tab w:leader="none" w:pos="1148" w:val="left"/>
        </w:tabs>
        <w:numPr>
          <w:ilvl w:val="1"/>
          <w:numId w:val="273"/>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Initially, all of the Shares are non-transferable and subject to a substantial risk of forfeiture and are Shares of Restricted Stock. The risk of forfeiture shall lapse with respect to the Shares on the respective dates indicated on the Vesting Schedule set forth in the Award Notice.</w:t>
      </w:r>
    </w:p>
    <w:p>
      <w:pPr>
        <w:spacing w:after="0" w:line="15" w:lineRule="exact"/>
        <w:rPr>
          <w:rFonts w:ascii="Arial" w:cs="Arial" w:eastAsia="Arial" w:hAnsi="Arial"/>
          <w:sz w:val="16"/>
          <w:szCs w:val="16"/>
          <w:color w:val="auto"/>
        </w:rPr>
      </w:pPr>
    </w:p>
    <w:p>
      <w:pPr>
        <w:ind w:left="-20" w:right="140" w:firstLine="921"/>
        <w:spacing w:after="0" w:line="277" w:lineRule="auto"/>
        <w:tabs>
          <w:tab w:leader="none" w:pos="1137" w:val="left"/>
        </w:tabs>
        <w:numPr>
          <w:ilvl w:val="1"/>
          <w:numId w:val="273"/>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In connection with the purchase and sale of the Shares contemplated by Section 1(a) above, the Grantee hereby represents and warrants to the Company as follows:</w:t>
      </w:r>
    </w:p>
    <w:p>
      <w:pPr>
        <w:spacing w:after="0" w:line="62" w:lineRule="exact"/>
        <w:rPr>
          <w:rFonts w:ascii="Arial" w:cs="Arial" w:eastAsia="Arial" w:hAnsi="Arial"/>
          <w:sz w:val="18"/>
          <w:szCs w:val="18"/>
          <w:color w:val="auto"/>
        </w:rPr>
      </w:pPr>
    </w:p>
    <w:p>
      <w:pPr>
        <w:ind w:left="440" w:right="620" w:firstLine="881"/>
        <w:spacing w:after="0" w:line="277" w:lineRule="auto"/>
        <w:tabs>
          <w:tab w:leader="none" w:pos="1531" w:val="left"/>
        </w:tabs>
        <w:numPr>
          <w:ilvl w:val="2"/>
          <w:numId w:val="273"/>
        </w:numPr>
        <w:rPr>
          <w:rFonts w:ascii="Arial" w:cs="Arial" w:eastAsia="Arial" w:hAnsi="Arial"/>
          <w:sz w:val="18"/>
          <w:szCs w:val="18"/>
          <w:color w:val="auto"/>
        </w:rPr>
      </w:pPr>
      <w:r>
        <w:rPr>
          <w:rFonts w:ascii="Arial" w:cs="Arial" w:eastAsia="Arial" w:hAnsi="Arial"/>
          <w:sz w:val="18"/>
          <w:szCs w:val="18"/>
          <w:color w:val="auto"/>
        </w:rPr>
        <w:t>The Grantee is purchasing the Shares for the Grantee’s own account for investment only, and not for resale or with a view to the distribution thereof.</w:t>
      </w:r>
    </w:p>
    <w:p>
      <w:pPr>
        <w:spacing w:after="0" w:line="62" w:lineRule="exact"/>
        <w:rPr>
          <w:rFonts w:ascii="Arial" w:cs="Arial" w:eastAsia="Arial" w:hAnsi="Arial"/>
          <w:sz w:val="18"/>
          <w:szCs w:val="18"/>
          <w:color w:val="auto"/>
        </w:rPr>
      </w:pPr>
    </w:p>
    <w:p>
      <w:pPr>
        <w:ind w:left="440" w:right="200" w:firstLine="881"/>
        <w:spacing w:after="0" w:line="264" w:lineRule="auto"/>
        <w:tabs>
          <w:tab w:leader="none" w:pos="1581" w:val="left"/>
        </w:tabs>
        <w:numPr>
          <w:ilvl w:val="2"/>
          <w:numId w:val="273"/>
        </w:numPr>
        <w:rPr>
          <w:rFonts w:ascii="Arial" w:cs="Arial" w:eastAsia="Arial" w:hAnsi="Arial"/>
          <w:sz w:val="18"/>
          <w:szCs w:val="18"/>
          <w:color w:val="auto"/>
        </w:rPr>
      </w:pPr>
      <w:r>
        <w:rPr>
          <w:rFonts w:ascii="Arial" w:cs="Arial" w:eastAsia="Arial" w:hAnsi="Arial"/>
          <w:sz w:val="18"/>
          <w:szCs w:val="18"/>
          <w:color w:val="auto"/>
        </w:rPr>
        <w:t>The Grantee has had such an opportunity as he or she has deemed adequate to obtain from the Company such information as is necessary to permit him or her to evaluate the merits and risks of the Grantee’s investment in the Company and has consulted with the Grantee’s own advisers with respect to the Grantee’s investment in the Company.</w:t>
      </w:r>
    </w:p>
    <w:p>
      <w:pPr>
        <w:spacing w:after="0" w:line="73" w:lineRule="exact"/>
        <w:rPr>
          <w:rFonts w:ascii="Arial" w:cs="Arial" w:eastAsia="Arial" w:hAnsi="Arial"/>
          <w:sz w:val="18"/>
          <w:szCs w:val="18"/>
          <w:color w:val="auto"/>
        </w:rPr>
      </w:pPr>
    </w:p>
    <w:p>
      <w:pPr>
        <w:ind w:left="440" w:right="400" w:firstLine="881"/>
        <w:spacing w:after="0" w:line="277" w:lineRule="auto"/>
        <w:tabs>
          <w:tab w:leader="none" w:pos="1631" w:val="left"/>
        </w:tabs>
        <w:numPr>
          <w:ilvl w:val="2"/>
          <w:numId w:val="273"/>
        </w:numPr>
        <w:rPr>
          <w:rFonts w:ascii="Arial" w:cs="Arial" w:eastAsia="Arial" w:hAnsi="Arial"/>
          <w:sz w:val="18"/>
          <w:szCs w:val="18"/>
          <w:color w:val="auto"/>
        </w:rPr>
      </w:pPr>
      <w:r>
        <w:rPr>
          <w:rFonts w:ascii="Arial" w:cs="Arial" w:eastAsia="Arial" w:hAnsi="Arial"/>
          <w:sz w:val="18"/>
          <w:szCs w:val="18"/>
          <w:color w:val="auto"/>
        </w:rPr>
        <w:t>The Grantee has sufficient experience in business, financial and investment matters to be able to evaluate the risks involved in the purchase of the Shares and to make an informed investment decision with respect to such purchase.</w:t>
      </w:r>
    </w:p>
    <w:p>
      <w:pPr>
        <w:spacing w:after="0" w:line="62" w:lineRule="exact"/>
        <w:rPr>
          <w:rFonts w:ascii="Arial" w:cs="Arial" w:eastAsia="Arial" w:hAnsi="Arial"/>
          <w:sz w:val="18"/>
          <w:szCs w:val="18"/>
          <w:color w:val="auto"/>
        </w:rPr>
      </w:pPr>
    </w:p>
    <w:p>
      <w:pPr>
        <w:ind w:left="440" w:right="220" w:firstLine="881"/>
        <w:spacing w:after="0" w:line="277" w:lineRule="auto"/>
        <w:tabs>
          <w:tab w:leader="none" w:pos="1621" w:val="left"/>
        </w:tabs>
        <w:numPr>
          <w:ilvl w:val="2"/>
          <w:numId w:val="273"/>
        </w:numPr>
        <w:rPr>
          <w:rFonts w:ascii="Arial" w:cs="Arial" w:eastAsia="Arial" w:hAnsi="Arial"/>
          <w:sz w:val="18"/>
          <w:szCs w:val="18"/>
          <w:color w:val="auto"/>
        </w:rPr>
      </w:pPr>
      <w:r>
        <w:rPr>
          <w:rFonts w:ascii="Arial" w:cs="Arial" w:eastAsia="Arial" w:hAnsi="Arial"/>
          <w:sz w:val="18"/>
          <w:szCs w:val="18"/>
          <w:color w:val="auto"/>
        </w:rPr>
        <w:t>The Grantee can afford a complete loss of the value of the Shares and is able to bear the economic risk of holding such Shares for an indefinite period.</w:t>
      </w:r>
    </w:p>
    <w:p>
      <w:pPr>
        <w:spacing w:after="0" w:line="62" w:lineRule="exact"/>
        <w:rPr>
          <w:rFonts w:ascii="Arial" w:cs="Arial" w:eastAsia="Arial" w:hAnsi="Arial"/>
          <w:sz w:val="18"/>
          <w:szCs w:val="18"/>
          <w:color w:val="auto"/>
        </w:rPr>
      </w:pPr>
    </w:p>
    <w:p>
      <w:pPr>
        <w:ind w:left="440" w:firstLine="881"/>
        <w:spacing w:after="0" w:line="297" w:lineRule="auto"/>
        <w:tabs>
          <w:tab w:leader="none" w:pos="1571" w:val="left"/>
        </w:tabs>
        <w:numPr>
          <w:ilvl w:val="2"/>
          <w:numId w:val="273"/>
        </w:numPr>
        <w:rPr>
          <w:rFonts w:ascii="Arial" w:cs="Arial" w:eastAsia="Arial" w:hAnsi="Arial"/>
          <w:sz w:val="16"/>
          <w:szCs w:val="16"/>
          <w:color w:val="auto"/>
        </w:rPr>
      </w:pPr>
      <w:r>
        <w:rPr>
          <w:rFonts w:ascii="Arial" w:cs="Arial" w:eastAsia="Arial" w:hAnsi="Arial"/>
          <w:sz w:val="16"/>
          <w:szCs w:val="16"/>
          <w:color w:val="auto"/>
        </w:rPr>
        <w:t>The Grantee understands that the Shares are not registered under the Act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Act and under any applicable state securities or “blue sky” laws (or exemptions from the registration requirements thereof). The Grantee further acknowledges that certificates representing the Shares will bear restrictive legends reflecting the foregoing and/or that book entries for uncertificated Shares will include similar restrictive notations.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0" w:right="259" w:bottom="1440" w:gutter="0" w:footer="0" w:header="0"/>
        </w:sectPr>
      </w:pPr>
    </w:p>
    <w:bookmarkStart w:id="380" w:name="page381"/>
    <w:bookmarkEnd w:id="380"/>
    <w:p>
      <w:pPr>
        <w:ind w:left="400" w:right="120" w:firstLine="881"/>
        <w:spacing w:after="0" w:line="277" w:lineRule="auto"/>
        <w:tabs>
          <w:tab w:leader="none" w:pos="1581" w:val="left"/>
        </w:tabs>
        <w:numPr>
          <w:ilvl w:val="2"/>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Grantee has read and understands the Plan and acknowledges and agrees that the Shares are subject to all of the relevant terms of the Plan, including without limitation, the transfer restrictions set forth in Section 9 of the Plan.</w:t>
      </w:r>
    </w:p>
    <w:p>
      <w:pPr>
        <w:spacing w:after="0" w:line="62" w:lineRule="exact"/>
        <w:rPr>
          <w:rFonts w:ascii="Arial" w:cs="Arial" w:eastAsia="Arial" w:hAnsi="Arial"/>
          <w:sz w:val="18"/>
          <w:szCs w:val="18"/>
          <w:color w:val="auto"/>
        </w:rPr>
      </w:pPr>
    </w:p>
    <w:p>
      <w:pPr>
        <w:ind w:left="1640" w:hanging="359"/>
        <w:spacing w:after="0"/>
        <w:tabs>
          <w:tab w:leader="none" w:pos="1640" w:val="left"/>
        </w:tabs>
        <w:numPr>
          <w:ilvl w:val="2"/>
          <w:numId w:val="274"/>
        </w:numPr>
        <w:rPr>
          <w:rFonts w:ascii="Arial" w:cs="Arial" w:eastAsia="Arial" w:hAnsi="Arial"/>
          <w:sz w:val="16"/>
          <w:szCs w:val="16"/>
          <w:color w:val="auto"/>
        </w:rPr>
      </w:pPr>
      <w:r>
        <w:rPr>
          <w:rFonts w:ascii="Arial" w:cs="Arial" w:eastAsia="Arial" w:hAnsi="Arial"/>
          <w:sz w:val="16"/>
          <w:szCs w:val="16"/>
          <w:color w:val="auto"/>
        </w:rPr>
        <w:t>The Grantee understands and agrees that the Company has a right of first refusal with respect to the Shares pursuant to Section 9(b) of</w:t>
      </w:r>
    </w:p>
    <w:p>
      <w:pPr>
        <w:spacing w:after="0" w:line="46"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the Plan.</w:t>
      </w:r>
    </w:p>
    <w:p>
      <w:pPr>
        <w:spacing w:after="0" w:line="102" w:lineRule="exact"/>
        <w:rPr>
          <w:rFonts w:ascii="Arial" w:cs="Arial" w:eastAsia="Arial" w:hAnsi="Arial"/>
          <w:sz w:val="16"/>
          <w:szCs w:val="16"/>
          <w:color w:val="auto"/>
        </w:rPr>
      </w:pPr>
    </w:p>
    <w:p>
      <w:pPr>
        <w:ind w:left="1680" w:hanging="399"/>
        <w:spacing w:after="0"/>
        <w:tabs>
          <w:tab w:leader="none" w:pos="1680" w:val="left"/>
        </w:tabs>
        <w:numPr>
          <w:ilvl w:val="2"/>
          <w:numId w:val="274"/>
        </w:numPr>
        <w:rPr>
          <w:rFonts w:ascii="Arial" w:cs="Arial" w:eastAsia="Arial" w:hAnsi="Arial"/>
          <w:sz w:val="15"/>
          <w:szCs w:val="15"/>
          <w:color w:val="auto"/>
        </w:rPr>
      </w:pPr>
      <w:r>
        <w:rPr>
          <w:rFonts w:ascii="Arial" w:cs="Arial" w:eastAsia="Arial" w:hAnsi="Arial"/>
          <w:sz w:val="15"/>
          <w:szCs w:val="15"/>
          <w:color w:val="auto"/>
        </w:rPr>
        <w:t>The Grantee understands and agree that the Company has certain repurchase rights with respect to the Shares pursuant to Section 9(c)</w:t>
      </w:r>
    </w:p>
    <w:p>
      <w:pPr>
        <w:spacing w:after="0" w:line="57" w:lineRule="exact"/>
        <w:rPr>
          <w:rFonts w:ascii="Arial" w:cs="Arial" w:eastAsia="Arial" w:hAnsi="Arial"/>
          <w:sz w:val="15"/>
          <w:szCs w:val="15"/>
          <w:color w:val="auto"/>
        </w:rPr>
      </w:pPr>
    </w:p>
    <w:p>
      <w:pPr>
        <w:ind w:left="400"/>
        <w:spacing w:after="0"/>
        <w:rPr>
          <w:rFonts w:ascii="Arial" w:cs="Arial" w:eastAsia="Arial" w:hAnsi="Arial"/>
          <w:sz w:val="15"/>
          <w:szCs w:val="15"/>
          <w:color w:val="auto"/>
        </w:rPr>
      </w:pPr>
      <w:r>
        <w:rPr>
          <w:rFonts w:ascii="Arial" w:cs="Arial" w:eastAsia="Arial" w:hAnsi="Arial"/>
          <w:sz w:val="18"/>
          <w:szCs w:val="18"/>
          <w:color w:val="auto"/>
        </w:rPr>
        <w:t>of the Plan.</w:t>
      </w:r>
    </w:p>
    <w:p>
      <w:pPr>
        <w:spacing w:after="0" w:line="102" w:lineRule="exact"/>
        <w:rPr>
          <w:rFonts w:ascii="Arial" w:cs="Arial" w:eastAsia="Arial" w:hAnsi="Arial"/>
          <w:sz w:val="15"/>
          <w:szCs w:val="15"/>
          <w:color w:val="auto"/>
        </w:rPr>
      </w:pPr>
    </w:p>
    <w:p>
      <w:pPr>
        <w:ind w:left="400" w:right="260" w:firstLine="881"/>
        <w:spacing w:after="0" w:line="277" w:lineRule="auto"/>
        <w:tabs>
          <w:tab w:leader="none" w:pos="1581" w:val="left"/>
        </w:tabs>
        <w:numPr>
          <w:ilvl w:val="2"/>
          <w:numId w:val="274"/>
        </w:numPr>
        <w:rPr>
          <w:rFonts w:ascii="Arial" w:cs="Arial" w:eastAsia="Arial" w:hAnsi="Arial"/>
          <w:sz w:val="18"/>
          <w:szCs w:val="18"/>
          <w:color w:val="auto"/>
        </w:rPr>
      </w:pPr>
      <w:r>
        <w:rPr>
          <w:rFonts w:ascii="Arial" w:cs="Arial" w:eastAsia="Arial" w:hAnsi="Arial"/>
          <w:sz w:val="18"/>
          <w:szCs w:val="18"/>
          <w:color w:val="auto"/>
        </w:rPr>
        <w:t>The Grantee understands and agrees that the Grantee may not sell or otherwise transfer or dispose of the Shares for a period of time following the effective date of a public offering by the Company as described in Section 9(f) of the Plan.</w:t>
      </w:r>
    </w:p>
    <w:p>
      <w:pPr>
        <w:spacing w:after="0" w:line="62" w:lineRule="exact"/>
        <w:rPr>
          <w:rFonts w:ascii="Arial" w:cs="Arial" w:eastAsia="Arial" w:hAnsi="Arial"/>
          <w:sz w:val="18"/>
          <w:szCs w:val="18"/>
          <w:color w:val="auto"/>
        </w:rPr>
      </w:pPr>
    </w:p>
    <w:p>
      <w:pPr>
        <w:ind w:left="-60" w:right="100" w:firstLine="464"/>
        <w:spacing w:after="0" w:line="277" w:lineRule="auto"/>
        <w:tabs>
          <w:tab w:leader="none" w:pos="576"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Repurchase Right</w:t>
      </w:r>
      <w:r>
        <w:rPr>
          <w:rFonts w:ascii="Arial" w:cs="Arial" w:eastAsia="Arial" w:hAnsi="Arial"/>
          <w:sz w:val="18"/>
          <w:szCs w:val="18"/>
          <w:color w:val="auto"/>
        </w:rPr>
        <w:t>. Upon a Termination Event, the Company shall have the right to repurchase Shares of Restricted Stock that are unvested as of the date of such Termination Event as set forth in Section 9(c) of the Plan.</w:t>
      </w:r>
    </w:p>
    <w:p>
      <w:pPr>
        <w:spacing w:after="0" w:line="62" w:lineRule="exact"/>
        <w:rPr>
          <w:rFonts w:ascii="Arial" w:cs="Arial" w:eastAsia="Arial" w:hAnsi="Arial"/>
          <w:sz w:val="18"/>
          <w:szCs w:val="18"/>
          <w:color w:val="auto"/>
        </w:rPr>
      </w:pPr>
    </w:p>
    <w:p>
      <w:pPr>
        <w:ind w:left="-60" w:right="40" w:firstLine="464"/>
        <w:spacing w:after="0" w:line="277" w:lineRule="auto"/>
        <w:tabs>
          <w:tab w:leader="none" w:pos="576"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 The Shares (whether or not vested) shall be subject to certain transfer restrictions and other limitations including, without limitation, the provisions contained in Section 9 of the Plan.</w:t>
      </w:r>
    </w:p>
    <w:p>
      <w:pPr>
        <w:spacing w:after="0" w:line="62" w:lineRule="exact"/>
        <w:rPr>
          <w:rFonts w:ascii="Arial" w:cs="Arial" w:eastAsia="Arial" w:hAnsi="Arial"/>
          <w:sz w:val="18"/>
          <w:szCs w:val="18"/>
          <w:color w:val="auto"/>
        </w:rPr>
      </w:pPr>
    </w:p>
    <w:p>
      <w:pPr>
        <w:ind w:left="-60" w:right="40" w:firstLine="464"/>
        <w:spacing w:after="0" w:line="277" w:lineRule="auto"/>
        <w:tabs>
          <w:tab w:leader="none" w:pos="576"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Restricted Stock Award shall be subject to and governed by all the terms and conditions of the Plan.</w:t>
      </w:r>
    </w:p>
    <w:p>
      <w:pPr>
        <w:spacing w:after="0" w:line="62" w:lineRule="exact"/>
        <w:rPr>
          <w:rFonts w:ascii="Arial" w:cs="Arial" w:eastAsia="Arial" w:hAnsi="Arial"/>
          <w:sz w:val="18"/>
          <w:szCs w:val="18"/>
          <w:color w:val="auto"/>
        </w:rPr>
      </w:pPr>
    </w:p>
    <w:p>
      <w:pPr>
        <w:ind w:left="580" w:hanging="176"/>
        <w:spacing w:after="0"/>
        <w:tabs>
          <w:tab w:leader="none" w:pos="58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60" w:right="60" w:firstLine="921"/>
        <w:spacing w:after="0" w:line="259" w:lineRule="auto"/>
        <w:tabs>
          <w:tab w:leader="none" w:pos="1097"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Record Owner; Dividends</w:t>
      </w:r>
      <w:r>
        <w:rPr>
          <w:rFonts w:ascii="Arial" w:cs="Arial" w:eastAsia="Arial" w:hAnsi="Arial"/>
          <w:sz w:val="18"/>
          <w:szCs w:val="18"/>
          <w:color w:val="auto"/>
        </w:rPr>
        <w:t xml:space="preserve">. The Grantee and any Permitted Transferees, during the duration of this Agreement, shall be considered the record owners of and shall be entitled to vote the Shares if and to the extent the Shares are entitled to voting rights. The Grantee and any Permitted Transferees shall be entitled to receive all dividends and any other distributions declared on the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is under no duty to declare any such dividends or to make any such distribution.</w:t>
      </w:r>
    </w:p>
    <w:p>
      <w:pPr>
        <w:spacing w:after="0" w:line="78" w:lineRule="exact"/>
        <w:rPr>
          <w:rFonts w:ascii="Arial" w:cs="Arial" w:eastAsia="Arial" w:hAnsi="Arial"/>
          <w:sz w:val="18"/>
          <w:szCs w:val="18"/>
          <w:color w:val="auto"/>
        </w:rPr>
      </w:pPr>
    </w:p>
    <w:p>
      <w:pPr>
        <w:ind w:left="-60" w:right="20" w:firstLine="921"/>
        <w:spacing w:after="0" w:line="259" w:lineRule="auto"/>
        <w:tabs>
          <w:tab w:leader="none" w:pos="1108"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 The Grantee shall consult with the Grantee’s tax advisor to determine whether it would be appropriate for the Grantee to make an election under Section 83(b) of the Code with respect to this Award. Any such election must be filed with the Internal Revenue Service within 30 days of the date of this Award. If the Grantee makes an election under Section 83(b) of the Code, the Grantee shall give prompt notice to the Company (and provide a copy of such election to the Company).</w:t>
      </w:r>
    </w:p>
    <w:p>
      <w:pPr>
        <w:spacing w:after="0" w:line="78" w:lineRule="exact"/>
        <w:rPr>
          <w:rFonts w:ascii="Arial" w:cs="Arial" w:eastAsia="Arial" w:hAnsi="Arial"/>
          <w:sz w:val="18"/>
          <w:szCs w:val="18"/>
          <w:color w:val="auto"/>
        </w:rPr>
      </w:pPr>
    </w:p>
    <w:p>
      <w:pPr>
        <w:ind w:left="-60" w:right="80" w:firstLine="921"/>
        <w:spacing w:after="0" w:line="308" w:lineRule="auto"/>
        <w:tabs>
          <w:tab w:leader="none" w:pos="1097" w:val="left"/>
        </w:tabs>
        <w:numPr>
          <w:ilvl w:val="1"/>
          <w:numId w:val="275"/>
        </w:numPr>
        <w:rPr>
          <w:rFonts w:ascii="Arial" w:cs="Arial" w:eastAsia="Arial" w:hAnsi="Arial"/>
          <w:sz w:val="17"/>
          <w:szCs w:val="17"/>
          <w:color w:val="auto"/>
        </w:rPr>
      </w:pPr>
      <w:r>
        <w:rPr>
          <w:rFonts w:ascii="Arial" w:cs="Arial" w:eastAsia="Arial" w:hAnsi="Arial"/>
          <w:sz w:val="17"/>
          <w:szCs w:val="17"/>
          <w:u w:val="single" w:color="auto"/>
          <w:color w:val="auto"/>
        </w:rPr>
        <w:t>Equitable Relief</w:t>
      </w:r>
      <w:r>
        <w:rPr>
          <w:rFonts w:ascii="Arial" w:cs="Arial" w:eastAsia="Arial" w:hAnsi="Arial"/>
          <w:sz w:val="17"/>
          <w:szCs w:val="17"/>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00" w:top="273" w:right="279" w:bottom="1440" w:gutter="0" w:footer="0" w:header="0"/>
        </w:sectPr>
      </w:pPr>
    </w:p>
    <w:bookmarkStart w:id="381" w:name="page382"/>
    <w:bookmarkEnd w:id="381"/>
    <w:p>
      <w:pPr>
        <w:ind w:left="-20" w:right="120" w:firstLine="921"/>
        <w:spacing w:after="0" w:line="342" w:lineRule="auto"/>
        <w:tabs>
          <w:tab w:leader="none" w:pos="1148" w:val="left"/>
        </w:tabs>
        <w:numPr>
          <w:ilvl w:val="1"/>
          <w:numId w:val="27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and Modifications</w:t>
      </w:r>
      <w:r>
        <w:rPr>
          <w:rFonts w:ascii="Arial" w:cs="Arial" w:eastAsia="Arial" w:hAnsi="Arial"/>
          <w:sz w:val="16"/>
          <w:szCs w:val="16"/>
          <w:color w:val="auto"/>
        </w:rPr>
        <w:t>. This Agreement may not be orally changed, modified or terminated, nor shall any oral waiver of any of its terms be effective. This Agreement may be changed, modified or terminated only by an agreement in writing signed by the Company and the Grantee.</w:t>
      </w:r>
    </w:p>
    <w:p>
      <w:pPr>
        <w:spacing w:after="0" w:line="15" w:lineRule="exact"/>
        <w:rPr>
          <w:rFonts w:ascii="Arial" w:cs="Arial" w:eastAsia="Arial" w:hAnsi="Arial"/>
          <w:sz w:val="16"/>
          <w:szCs w:val="16"/>
          <w:color w:val="auto"/>
        </w:rPr>
      </w:pPr>
    </w:p>
    <w:p>
      <w:pPr>
        <w:jc w:val="both"/>
        <w:ind w:left="-20" w:right="600" w:firstLine="921"/>
        <w:spacing w:after="0" w:line="259" w:lineRule="auto"/>
        <w:tabs>
          <w:tab w:leader="none" w:pos="1137"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Massachusetts, without regard to conflict of law principles that would result in the application of any law other than the law of the Commonwealth of Massachusetts.</w:t>
      </w:r>
    </w:p>
    <w:p>
      <w:pPr>
        <w:spacing w:after="0" w:line="78" w:lineRule="exact"/>
        <w:rPr>
          <w:rFonts w:ascii="Arial" w:cs="Arial" w:eastAsia="Arial" w:hAnsi="Arial"/>
          <w:sz w:val="18"/>
          <w:szCs w:val="18"/>
          <w:color w:val="auto"/>
        </w:rPr>
      </w:pPr>
    </w:p>
    <w:p>
      <w:pPr>
        <w:ind w:left="-20" w:right="800" w:firstLine="921"/>
        <w:spacing w:after="0" w:line="277" w:lineRule="auto"/>
        <w:tabs>
          <w:tab w:leader="none" w:pos="1118"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62" w:lineRule="exact"/>
        <w:rPr>
          <w:rFonts w:ascii="Arial" w:cs="Arial" w:eastAsia="Arial" w:hAnsi="Arial"/>
          <w:sz w:val="18"/>
          <w:szCs w:val="18"/>
          <w:color w:val="auto"/>
        </w:rPr>
      </w:pPr>
    </w:p>
    <w:p>
      <w:pPr>
        <w:ind w:left="-20" w:right="540" w:firstLine="921"/>
        <w:spacing w:after="0" w:line="277" w:lineRule="auto"/>
        <w:tabs>
          <w:tab w:leader="none" w:pos="1148"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Saving Clause</w:t>
      </w:r>
      <w:r>
        <w:rPr>
          <w:rFonts w:ascii="Arial" w:cs="Arial" w:eastAsia="Arial" w:hAnsi="Arial"/>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62" w:lineRule="exact"/>
        <w:rPr>
          <w:rFonts w:ascii="Arial" w:cs="Arial" w:eastAsia="Arial" w:hAnsi="Arial"/>
          <w:sz w:val="18"/>
          <w:szCs w:val="18"/>
          <w:color w:val="auto"/>
        </w:rPr>
      </w:pPr>
    </w:p>
    <w:p>
      <w:pPr>
        <w:ind w:left="-20" w:right="60" w:firstLine="921"/>
        <w:spacing w:after="0" w:line="259" w:lineRule="auto"/>
        <w:tabs>
          <w:tab w:leader="none" w:pos="1148"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w:t>
      </w:r>
    </w:p>
    <w:p>
      <w:pPr>
        <w:spacing w:after="0" w:line="78" w:lineRule="exact"/>
        <w:rPr>
          <w:rFonts w:ascii="Arial" w:cs="Arial" w:eastAsia="Arial" w:hAnsi="Arial"/>
          <w:sz w:val="18"/>
          <w:szCs w:val="18"/>
          <w:color w:val="auto"/>
        </w:rPr>
      </w:pPr>
    </w:p>
    <w:p>
      <w:pPr>
        <w:ind w:left="-20" w:firstLine="921"/>
        <w:spacing w:after="0" w:line="264" w:lineRule="auto"/>
        <w:tabs>
          <w:tab w:leader="none" w:pos="1108"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Benefit and Binding Effect</w:t>
      </w:r>
      <w:r>
        <w:rPr>
          <w:rFonts w:ascii="Arial" w:cs="Arial" w:eastAsia="Arial" w:hAnsi="Arial"/>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73" w:lineRule="exact"/>
        <w:rPr>
          <w:rFonts w:ascii="Arial" w:cs="Arial" w:eastAsia="Arial" w:hAnsi="Arial"/>
          <w:sz w:val="18"/>
          <w:szCs w:val="18"/>
          <w:color w:val="auto"/>
        </w:rPr>
      </w:pPr>
    </w:p>
    <w:p>
      <w:pPr>
        <w:ind w:left="-20" w:right="360" w:firstLine="921"/>
        <w:spacing w:after="0" w:line="277" w:lineRule="auto"/>
        <w:tabs>
          <w:tab w:leader="none" w:pos="1108"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62" w:lineRule="exact"/>
        <w:rPr>
          <w:rFonts w:ascii="Arial" w:cs="Arial" w:eastAsia="Arial" w:hAnsi="Arial"/>
          <w:sz w:val="18"/>
          <w:szCs w:val="18"/>
          <w:color w:val="auto"/>
        </w:rPr>
      </w:pPr>
    </w:p>
    <w:p>
      <w:pPr>
        <w:ind w:left="-20" w:right="740" w:firstLine="921"/>
        <w:spacing w:after="0" w:line="277" w:lineRule="auto"/>
        <w:tabs>
          <w:tab w:leader="none" w:pos="1148"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62" w:lineRule="exact"/>
        <w:rPr>
          <w:rFonts w:ascii="Arial" w:cs="Arial" w:eastAsia="Arial" w:hAnsi="Arial"/>
          <w:sz w:val="18"/>
          <w:szCs w:val="18"/>
          <w:color w:val="auto"/>
        </w:rPr>
      </w:pPr>
    </w:p>
    <w:p>
      <w:pPr>
        <w:ind w:left="620" w:hanging="176"/>
        <w:spacing w:after="0"/>
        <w:tabs>
          <w:tab w:leader="none" w:pos="62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540" w:firstLine="921"/>
        <w:spacing w:after="0" w:line="264" w:lineRule="auto"/>
        <w:tabs>
          <w:tab w:leader="none" w:pos="1138" w:val="left"/>
        </w:tabs>
        <w:numPr>
          <w:ilvl w:val="1"/>
          <w:numId w:val="277"/>
        </w:numPr>
        <w:rPr>
          <w:rFonts w:ascii="Arial" w:cs="Arial" w:eastAsia="Arial" w:hAnsi="Arial"/>
          <w:sz w:val="18"/>
          <w:szCs w:val="18"/>
          <w:color w:val="auto"/>
        </w:rPr>
      </w:pPr>
      <w:r>
        <w:rPr>
          <w:rFonts w:ascii="Arial" w:cs="Arial" w:eastAsia="Arial" w:hAnsi="Arial"/>
          <w:sz w:val="18"/>
          <w:szCs w:val="18"/>
          <w:color w:val="auto"/>
        </w:rPr>
        <w:t>Except as provided below, any dispute arising out of or relating to the Plan or the Shares, this Agreement, or the breach, termination or validity of the Plan, the Shares or this Agreement, shall be finally settled by binding arbitration conducted expeditiously in accordance with the J.A.M.S./Endispute Comprehensive Arbitration Rules and Procedures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74" w:right="259" w:bottom="1440" w:gutter="0" w:footer="0" w:header="0"/>
        </w:sectPr>
      </w:pPr>
    </w:p>
    <w:bookmarkStart w:id="382" w:name="page383"/>
    <w:bookmarkEnd w:id="382"/>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J.A.M.S. Rules</w:t>
      </w:r>
      <w:r>
        <w:rPr>
          <w:rFonts w:ascii="Arial" w:cs="Arial" w:eastAsia="Arial" w:hAnsi="Arial"/>
          <w:sz w:val="18"/>
          <w:szCs w:val="18"/>
          <w:color w:val="auto"/>
        </w:rPr>
        <w:t>”). The arbitration shall be governed by the United States Arbitration Act, 9 U.S.C. Sections 1—16, and judgment upon the award rendered by the arbitrators may be entered by any court having jurisdiction thereof. The place of arbitration shall be Boston, MA.</w:t>
      </w:r>
    </w:p>
    <w:p>
      <w:pPr>
        <w:spacing w:after="0" w:line="62" w:lineRule="exact"/>
        <w:rPr>
          <w:sz w:val="20"/>
          <w:szCs w:val="20"/>
          <w:color w:val="auto"/>
        </w:rPr>
      </w:pPr>
    </w:p>
    <w:p>
      <w:pPr>
        <w:ind w:firstLine="921"/>
        <w:spacing w:after="0" w:line="270" w:lineRule="auto"/>
        <w:tabs>
          <w:tab w:leader="none" w:pos="1168"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69" w:lineRule="exact"/>
        <w:rPr>
          <w:rFonts w:ascii="Arial" w:cs="Arial" w:eastAsia="Arial" w:hAnsi="Arial"/>
          <w:sz w:val="17"/>
          <w:szCs w:val="17"/>
          <w:color w:val="auto"/>
        </w:rPr>
      </w:pPr>
    </w:p>
    <w:p>
      <w:pPr>
        <w:jc w:val="both"/>
        <w:ind w:right="180" w:firstLine="921"/>
        <w:spacing w:after="0" w:line="259" w:lineRule="auto"/>
        <w:tabs>
          <w:tab w:leader="none" w:pos="115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Company, the Grantee, each party to the Agreement and any other holder of Shares issued pursuant to this Agreement (each, a “</w:t>
      </w:r>
      <w:r>
        <w:rPr>
          <w:rFonts w:ascii="Arial" w:cs="Arial" w:eastAsia="Arial" w:hAnsi="Arial"/>
          <w:sz w:val="18"/>
          <w:szCs w:val="18"/>
          <w:u w:val="single" w:color="auto"/>
          <w:color w:val="auto"/>
        </w:rPr>
        <w:t>Party</w:t>
      </w:r>
      <w:r>
        <w:rPr>
          <w:rFonts w:ascii="Arial" w:cs="Arial" w:eastAsia="Arial" w:hAnsi="Arial"/>
          <w:sz w:val="18"/>
          <w:szCs w:val="18"/>
          <w:color w:val="auto"/>
        </w:rPr>
        <w:t>”) covenants and agrees that such party will participate in the arbitration in good faith. This Section 6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78" w:lineRule="exact"/>
        <w:rPr>
          <w:rFonts w:ascii="Arial" w:cs="Arial" w:eastAsia="Arial" w:hAnsi="Arial"/>
          <w:sz w:val="18"/>
          <w:szCs w:val="18"/>
          <w:color w:val="auto"/>
        </w:rPr>
      </w:pPr>
    </w:p>
    <w:p>
      <w:pPr>
        <w:ind w:right="20" w:firstLine="921"/>
        <w:spacing w:after="0" w:line="270" w:lineRule="auto"/>
        <w:tabs>
          <w:tab w:leader="none" w:pos="1168" w:val="left"/>
        </w:tabs>
        <w:numPr>
          <w:ilvl w:val="0"/>
          <w:numId w:val="278"/>
        </w:numPr>
        <w:rPr>
          <w:rFonts w:ascii="Arial" w:cs="Arial" w:eastAsia="Arial" w:hAnsi="Arial"/>
          <w:sz w:val="17"/>
          <w:szCs w:val="17"/>
          <w:color w:val="auto"/>
        </w:rPr>
      </w:pPr>
      <w:r>
        <w:rPr>
          <w:rFonts w:ascii="Arial" w:cs="Arial" w:eastAsia="Arial" w:hAnsi="Arial"/>
          <w:sz w:val="17"/>
          <w:szCs w:val="17"/>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3" w:right="259" w:bottom="1440" w:gutter="0" w:footer="0" w:header="0"/>
        </w:sectPr>
      </w:pPr>
    </w:p>
    <w:bookmarkStart w:id="383" w:name="page384"/>
    <w:bookmarkEnd w:id="383"/>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Restricted Stock Agreement is hereby accepted and the terms and conditions thereof are hereby agreed to by the undersigned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581025</wp:posOffset>
            </wp:positionV>
            <wp:extent cx="289877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872490</wp:posOffset>
            </wp:positionV>
            <wp:extent cx="289877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undersigned hereby acknowledges receiving and reviewing a copy of the Plan, including, without limitation, Section 9 thereof and understands that the Shares granted hereby are subject to the terms of the Plan and of this Agreement. This Agreement is hereby accepted, and the terms and conditions of the Plan, the Award Notice and this Agreement, SPECIFICALLY INCLUDING THE ARBITRATION PROVISIONS SET FORTH IN SECTION 6 OF THIS AGREEMENT, are hereby agreed to, by the undersigned as of the date first above written.</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581025</wp:posOffset>
            </wp:positionV>
            <wp:extent cx="289877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200"/>
          </w:cols>
          <w:pgMar w:left="240" w:top="274" w:right="459" w:bottom="1440" w:gutter="0" w:footer="0" w:header="0"/>
        </w:sectPr>
      </w:pPr>
    </w:p>
    <w:bookmarkStart w:id="384" w:name="page385"/>
    <w:bookmarkEnd w:id="384"/>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center"/>
        <w:ind w:left="260" w:right="1780"/>
        <w:spacing w:after="0" w:line="257"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406 PROMULGATED UNDER THE SECURITIES ACT OF 1933, AS AMENDED.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LICENSE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Exclusive License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effective as of November 4, 2016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p>
    <w:p>
      <w:pPr>
        <w:spacing w:after="0" w:line="117" w:lineRule="exact"/>
        <w:rPr>
          <w:sz w:val="20"/>
          <w:szCs w:val="20"/>
          <w:color w:val="auto"/>
        </w:rPr>
      </w:pPr>
    </w:p>
    <w:p>
      <w:pPr>
        <w:ind w:left="1500" w:right="320"/>
        <w:spacing w:after="0" w:line="266" w:lineRule="auto"/>
        <w:rPr>
          <w:sz w:val="20"/>
          <w:szCs w:val="20"/>
          <w:color w:val="auto"/>
        </w:rPr>
      </w:pPr>
      <w:r>
        <w:rPr>
          <w:rFonts w:ascii="Arial" w:cs="Arial" w:eastAsia="Arial" w:hAnsi="Arial"/>
          <w:sz w:val="18"/>
          <w:szCs w:val="18"/>
          <w:b w:val="1"/>
          <w:bCs w:val="1"/>
          <w:color w:val="auto"/>
        </w:rPr>
        <w:t>UNIVERSITY HEALTH NETWORK</w:t>
      </w:r>
      <w:r>
        <w:rPr>
          <w:rFonts w:ascii="Arial" w:cs="Arial" w:eastAsia="Arial" w:hAnsi="Arial"/>
          <w:sz w:val="18"/>
          <w:szCs w:val="18"/>
          <w:color w:val="auto"/>
        </w:rPr>
        <w:t>, an Ontario corporation incorporated by special statute under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University Health Network</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Act, 1997, </w:t>
      </w:r>
      <w:r>
        <w:rPr>
          <w:rFonts w:ascii="Arial" w:cs="Arial" w:eastAsia="Arial" w:hAnsi="Arial"/>
          <w:sz w:val="18"/>
          <w:szCs w:val="18"/>
          <w:color w:val="auto"/>
        </w:rPr>
        <w:t>having a principal office at 190 Elizabeth Street, R. Fraser Elliott Building—Room 1S-417, Toronto, Ontario M5G 2C4</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UHN</w:t>
      </w:r>
      <w:r>
        <w:rPr>
          <w:rFonts w:ascii="Arial" w:cs="Arial" w:eastAsia="Arial" w:hAnsi="Arial"/>
          <w:sz w:val="18"/>
          <w:szCs w:val="18"/>
          <w:color w:val="auto"/>
        </w:rPr>
        <w:t>”)</w:t>
      </w:r>
    </w:p>
    <w:p>
      <w:pPr>
        <w:spacing w:after="0" w:line="7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w:t>
      </w:r>
    </w:p>
    <w:p>
      <w:pPr>
        <w:spacing w:after="0" w:line="113"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AvroBio</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 a Delaware corporation, with offices at 400 Technology Square, 10</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Cambridge, MA 02139 (“</w:t>
      </w:r>
      <w:r>
        <w:rPr>
          <w:rFonts w:ascii="Arial" w:cs="Arial" w:eastAsia="Arial" w:hAnsi="Arial"/>
          <w:sz w:val="18"/>
          <w:szCs w:val="18"/>
          <w:b w:val="1"/>
          <w:bCs w:val="1"/>
          <w:color w:val="auto"/>
        </w:rPr>
        <w:t>Avro</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UHN and Avro may be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UHN principal investigator Dr. Jeffrey Medin (the “</w:t>
      </w:r>
      <w:r>
        <w:rPr>
          <w:rFonts w:ascii="Arial" w:cs="Arial" w:eastAsia="Arial" w:hAnsi="Arial"/>
          <w:sz w:val="18"/>
          <w:szCs w:val="18"/>
          <w:b w:val="1"/>
          <w:bCs w:val="1"/>
          <w:color w:val="auto"/>
        </w:rPr>
        <w:t>Principal Investigator</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as further defined below) has created, conceived or developed compositions and methods for use in the treatment of Fabry disease.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UHN owns and controls certain intellectual property rights relating to the treatment of Fabry disease.</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Avro wishes to license from UHN rights under such intellectual property rights so as to allow Avro to research, develop, manufacture and commercialize products in accordance with the following terms and conditions.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UHN and Avro entered into an option agreement, dated as of January 27, 2016, pursuant to which UHN exclusively optioned to Avro the right to exclusively license all UHN owned or controlled intellectual property rights relating to UHN developed compositions and methods for use in the treatment of Fabry disease (the “</w:t>
      </w:r>
      <w:r>
        <w:rPr>
          <w:rFonts w:ascii="Arial" w:cs="Arial" w:eastAsia="Arial" w:hAnsi="Arial"/>
          <w:sz w:val="18"/>
          <w:szCs w:val="18"/>
          <w:b w:val="1"/>
          <w:bCs w:val="1"/>
          <w:color w:val="auto"/>
        </w:rPr>
        <w:t>Option Agreement</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parties wish to enter into this Agreement in accordance with the terms and conditions set forth herein.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40" w:type="dxa"/>
            <w:vAlign w:val="bottom"/>
          </w:tcPr>
          <w:p>
            <w:pPr>
              <w:ind w:left="2760"/>
              <w:spacing w:after="0"/>
              <w:rPr>
                <w:sz w:val="20"/>
                <w:szCs w:val="20"/>
                <w:color w:val="auto"/>
              </w:rPr>
            </w:pPr>
            <w:r>
              <w:rPr>
                <w:rFonts w:ascii="Arial" w:cs="Arial" w:eastAsia="Arial" w:hAnsi="Arial"/>
                <w:sz w:val="18"/>
                <w:szCs w:val="18"/>
                <w:b w:val="1"/>
                <w:bCs w:val="1"/>
                <w:color w:val="auto"/>
              </w:rPr>
              <w:t>ARTICLE 1 - INTERPRETATION</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1.1</w:t>
            </w:r>
          </w:p>
        </w:tc>
        <w:tc>
          <w:tcPr>
            <w:tcW w:w="10660" w:type="dxa"/>
            <w:vAlign w:val="bottom"/>
            <w:gridSpan w:val="2"/>
          </w:tcPr>
          <w:p>
            <w:pPr>
              <w:ind w:left="340"/>
              <w:spacing w:after="0"/>
              <w:rPr>
                <w:sz w:val="20"/>
                <w:szCs w:val="20"/>
                <w:color w:val="auto"/>
              </w:rPr>
            </w:pPr>
            <w:r>
              <w:rPr>
                <w:rFonts w:ascii="Arial" w:cs="Arial" w:eastAsia="Arial" w:hAnsi="Arial"/>
                <w:sz w:val="18"/>
                <w:szCs w:val="18"/>
                <w:b w:val="1"/>
                <w:bCs w:val="1"/>
                <w:color w:val="auto"/>
                <w:w w:val="92"/>
              </w:rPr>
              <w:t>Defined Terms</w:t>
            </w:r>
            <w:r>
              <w:rPr>
                <w:rFonts w:ascii="Arial" w:cs="Arial" w:eastAsia="Arial" w:hAnsi="Arial"/>
                <w:sz w:val="18"/>
                <w:szCs w:val="18"/>
                <w:color w:val="auto"/>
                <w:w w:val="92"/>
              </w:rPr>
              <w:t>. For the purposes of this Agreement, the following terms shall have the respective meanings set out below and grammatical</w:t>
            </w:r>
          </w:p>
        </w:tc>
      </w:tr>
      <w:tr>
        <w:trPr>
          <w:trHeight w:val="230"/>
        </w:trPr>
        <w:tc>
          <w:tcPr>
            <w:tcW w:w="580" w:type="dxa"/>
            <w:vAlign w:val="bottom"/>
          </w:tcPr>
          <w:p>
            <w:pPr>
              <w:spacing w:after="0"/>
              <w:rPr>
                <w:sz w:val="20"/>
                <w:szCs w:val="20"/>
                <w:color w:val="auto"/>
              </w:rPr>
            </w:pPr>
          </w:p>
        </w:tc>
        <w:tc>
          <w:tcPr>
            <w:tcW w:w="10660" w:type="dxa"/>
            <w:vAlign w:val="bottom"/>
            <w:gridSpan w:val="2"/>
          </w:tcPr>
          <w:p>
            <w:pPr>
              <w:ind w:left="340"/>
              <w:spacing w:after="0"/>
              <w:rPr>
                <w:sz w:val="20"/>
                <w:szCs w:val="20"/>
                <w:color w:val="auto"/>
              </w:rPr>
            </w:pPr>
            <w:r>
              <w:rPr>
                <w:rFonts w:ascii="Arial" w:cs="Arial" w:eastAsia="Arial" w:hAnsi="Arial"/>
                <w:sz w:val="18"/>
                <w:szCs w:val="18"/>
                <w:color w:val="auto"/>
              </w:rPr>
              <w:t>variations of such terms shall have corresponding meanings:</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1.1.1</w:t>
            </w:r>
          </w:p>
        </w:tc>
        <w:tc>
          <w:tcPr>
            <w:tcW w:w="9640" w:type="dxa"/>
            <w:vAlign w:val="bottom"/>
          </w:tcPr>
          <w:p>
            <w:pPr>
              <w:ind w:left="3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Affiliate</w:t>
            </w:r>
            <w:r>
              <w:rPr>
                <w:rFonts w:ascii="Arial" w:cs="Arial" w:eastAsia="Arial" w:hAnsi="Arial"/>
                <w:sz w:val="18"/>
                <w:szCs w:val="18"/>
                <w:color w:val="auto"/>
                <w:w w:val="91"/>
              </w:rPr>
              <w:t>” means, with respect to any Person, a Person directly or indirectly controlled by, controlling, or under common control</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w w:val="92"/>
              </w:rPr>
              <w:t>with such Person. For the purposes of this definition, except as otherwise expressly set out in this Agreement, “control” means</w:t>
            </w:r>
          </w:p>
        </w:tc>
      </w:tr>
    </w:tbl>
    <w:p>
      <w:pPr>
        <w:ind w:left="1940" w:right="60" w:hanging="1"/>
        <w:spacing w:after="0" w:line="261" w:lineRule="auto"/>
        <w:tabs>
          <w:tab w:leader="none" w:pos="218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direct or indirect beneficial ownership of at least fifty percent (50%) of the voting stock of such Person or (b) with the power to direct the management and policies of such entities.</w:t>
      </w:r>
    </w:p>
    <w:p>
      <w:pPr>
        <w:sectPr>
          <w:pgSz w:w="11900" w:h="16838" w:orient="portrait"/>
          <w:cols w:equalWidth="0" w:num="1">
            <w:col w:w="11420"/>
          </w:cols>
          <w:pgMar w:left="240" w:top="121" w:right="239" w:bottom="1440" w:gutter="0" w:footer="0" w:header="0"/>
        </w:sectPr>
      </w:pPr>
    </w:p>
    <w:bookmarkStart w:id="385" w:name="page386"/>
    <w:bookmarkEnd w:id="385"/>
    <w:tbl>
      <w:tblPr>
        <w:tblLayout w:type="fixed"/>
        <w:tblInd w:w="0" w:type="dxa"/>
        <w:tblCellMar>
          <w:top w:w="0" w:type="dxa"/>
          <w:left w:w="0" w:type="dxa"/>
          <w:bottom w:w="0" w:type="dxa"/>
          <w:right w:w="0" w:type="dxa"/>
        </w:tblCellMar>
      </w:tblPr>
      <w:tr>
        <w:trPr>
          <w:trHeight w:val="220"/>
        </w:trPr>
        <w:tc>
          <w:tcPr>
            <w:tcW w:w="740" w:type="dxa"/>
            <w:vAlign w:val="bottom"/>
          </w:tcPr>
          <w:p>
            <w:pPr>
              <w:spacing w:after="0"/>
              <w:rPr>
                <w:sz w:val="20"/>
                <w:szCs w:val="20"/>
                <w:color w:val="auto"/>
              </w:rPr>
            </w:pPr>
            <w:r>
              <w:rPr>
                <w:rFonts w:ascii="Arial" w:cs="Arial" w:eastAsia="Arial" w:hAnsi="Arial"/>
                <w:sz w:val="18"/>
                <w:szCs w:val="18"/>
                <w:b w:val="1"/>
                <w:bCs w:val="1"/>
                <w:color w:val="auto"/>
              </w:rPr>
              <w:t>1.1.2</w:t>
            </w:r>
          </w:p>
        </w:tc>
        <w:tc>
          <w:tcPr>
            <w:tcW w:w="9740" w:type="dxa"/>
            <w:vAlign w:val="bottom"/>
          </w:tcPr>
          <w:p>
            <w:pPr>
              <w:ind w:left="2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Agreement</w:t>
            </w:r>
            <w:r>
              <w:rPr>
                <w:rFonts w:ascii="Arial" w:cs="Arial" w:eastAsia="Arial" w:hAnsi="Arial"/>
                <w:sz w:val="18"/>
                <w:szCs w:val="18"/>
                <w:color w:val="auto"/>
                <w:w w:val="91"/>
              </w:rPr>
              <w:t>” means this Exclusive License Agreement, and all of its Schedules, and the terms “herein”, “hereunder”, “hereto” and</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such similar expressions shall refer to this Agreement.</w:t>
            </w:r>
          </w:p>
        </w:tc>
      </w:tr>
      <w:tr>
        <w:trPr>
          <w:trHeight w:val="338"/>
        </w:trPr>
        <w:tc>
          <w:tcPr>
            <w:tcW w:w="740" w:type="dxa"/>
            <w:vAlign w:val="bottom"/>
          </w:tcPr>
          <w:p>
            <w:pPr>
              <w:spacing w:after="0"/>
              <w:rPr>
                <w:sz w:val="20"/>
                <w:szCs w:val="20"/>
                <w:color w:val="auto"/>
              </w:rPr>
            </w:pPr>
            <w:r>
              <w:rPr>
                <w:rFonts w:ascii="Arial" w:cs="Arial" w:eastAsia="Arial" w:hAnsi="Arial"/>
                <w:sz w:val="18"/>
                <w:szCs w:val="18"/>
                <w:b w:val="1"/>
                <w:bCs w:val="1"/>
                <w:color w:val="auto"/>
              </w:rPr>
              <w:t>1.1.3</w:t>
            </w:r>
          </w:p>
        </w:tc>
        <w:tc>
          <w:tcPr>
            <w:tcW w:w="974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Avro Insurance</w:t>
            </w:r>
            <w:r>
              <w:rPr>
                <w:rFonts w:ascii="Arial" w:cs="Arial" w:eastAsia="Arial" w:hAnsi="Arial"/>
                <w:sz w:val="18"/>
                <w:szCs w:val="18"/>
                <w:color w:val="auto"/>
              </w:rPr>
              <w:t>” shall have the meaning provided in Section 13.1.</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1.1.4</w:t>
            </w:r>
          </w:p>
        </w:tc>
        <w:tc>
          <w:tcPr>
            <w:tcW w:w="9740" w:type="dxa"/>
            <w:vAlign w:val="bottom"/>
          </w:tcPr>
          <w:p>
            <w:pPr>
              <w:ind w:left="28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Calendar Year</w:t>
            </w:r>
            <w:r>
              <w:rPr>
                <w:rFonts w:ascii="Arial" w:cs="Arial" w:eastAsia="Arial" w:hAnsi="Arial"/>
                <w:sz w:val="18"/>
                <w:szCs w:val="18"/>
                <w:color w:val="auto"/>
                <w:w w:val="97"/>
              </w:rPr>
              <w:t>” means each twelve (12) month period beginning on January 1 and each subsequent anniversary thereof;</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provided, however, that (a) the first Calendar Year of this Agreement will commence on the Effective Date and end on</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December 31 of the same year, and (b) the last Calendar Year of this Agreement will commence on January 1 of the Calendar Year</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in which this Agreement terminates or expires and end on the date of expiration or termination of this Agreement.</w:t>
            </w:r>
          </w:p>
        </w:tc>
      </w:tr>
      <w:tr>
        <w:trPr>
          <w:trHeight w:val="338"/>
        </w:trPr>
        <w:tc>
          <w:tcPr>
            <w:tcW w:w="740" w:type="dxa"/>
            <w:vAlign w:val="bottom"/>
          </w:tcPr>
          <w:p>
            <w:pPr>
              <w:spacing w:after="0"/>
              <w:rPr>
                <w:sz w:val="20"/>
                <w:szCs w:val="20"/>
                <w:color w:val="auto"/>
              </w:rPr>
            </w:pPr>
            <w:r>
              <w:rPr>
                <w:rFonts w:ascii="Arial" w:cs="Arial" w:eastAsia="Arial" w:hAnsi="Arial"/>
                <w:sz w:val="18"/>
                <w:szCs w:val="18"/>
                <w:b w:val="1"/>
                <w:bCs w:val="1"/>
                <w:color w:val="auto"/>
              </w:rPr>
              <w:t>1.1.5</w:t>
            </w:r>
          </w:p>
        </w:tc>
        <w:tc>
          <w:tcPr>
            <w:tcW w:w="974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shall have the meaning provided in Section 12.1.</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1.1.6</w:t>
            </w:r>
          </w:p>
        </w:tc>
        <w:tc>
          <w:tcPr>
            <w:tcW w:w="9740" w:type="dxa"/>
            <w:vAlign w:val="bottom"/>
          </w:tcPr>
          <w:p>
            <w:pPr>
              <w:ind w:left="28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Clinical Trial Application</w:t>
            </w:r>
            <w:r>
              <w:rPr>
                <w:rFonts w:ascii="Arial" w:cs="Arial" w:eastAsia="Arial" w:hAnsi="Arial"/>
                <w:sz w:val="18"/>
                <w:szCs w:val="18"/>
                <w:color w:val="auto"/>
                <w:w w:val="98"/>
              </w:rPr>
              <w:t>” or “</w:t>
            </w:r>
            <w:r>
              <w:rPr>
                <w:rFonts w:ascii="Arial" w:cs="Arial" w:eastAsia="Arial" w:hAnsi="Arial"/>
                <w:sz w:val="18"/>
                <w:szCs w:val="18"/>
                <w:b w:val="1"/>
                <w:bCs w:val="1"/>
                <w:color w:val="auto"/>
                <w:w w:val="98"/>
              </w:rPr>
              <w:t>CTA</w:t>
            </w:r>
            <w:r>
              <w:rPr>
                <w:rFonts w:ascii="Arial" w:cs="Arial" w:eastAsia="Arial" w:hAnsi="Arial"/>
                <w:sz w:val="18"/>
                <w:szCs w:val="18"/>
                <w:color w:val="auto"/>
                <w:w w:val="98"/>
              </w:rPr>
              <w:t>” has the meaning accorded this term in accordance with the requirements of Health</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6"/>
              </w:rPr>
              <w:t>Canada, including all amendments and supplements to such application, or any IND or other equivalent filing with any other</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Regulatory Authority.</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1.1.7</w:t>
            </w: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Clinical Trial Data</w:t>
            </w:r>
            <w:r>
              <w:rPr>
                <w:rFonts w:ascii="Arial" w:cs="Arial" w:eastAsia="Arial" w:hAnsi="Arial"/>
                <w:sz w:val="18"/>
                <w:szCs w:val="18"/>
                <w:color w:val="auto"/>
                <w:w w:val="95"/>
              </w:rPr>
              <w:t>” means all Patient Data generated from the one or more of the clinical trial sites (including UHN, Calgary</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and Halifax), but excludes Sample Processing Data. For greater certainty, investigator suspected adverse events are not separately</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identified within the Clinical Trial Data, but are reviewed in accordance with the Clinical Trial Protocol and reported to Avro in</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accordance with obligations as outlined in Sections 2.4.4 to 2.4.6.</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1.1.8</w:t>
            </w: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Clinical Trial Protocol</w:t>
            </w:r>
            <w:r>
              <w:rPr>
                <w:rFonts w:ascii="Arial" w:cs="Arial" w:eastAsia="Arial" w:hAnsi="Arial"/>
                <w:sz w:val="18"/>
                <w:szCs w:val="18"/>
                <w:color w:val="auto"/>
                <w:w w:val="92"/>
              </w:rPr>
              <w:t>” means the protocol governing the UHN Planned Trial. The Clinical Trial Protocol may be amended from</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4"/>
              </w:rPr>
              <w:t>time to time by agreement of the Parties subject to funding being available to support the costs of changes as required by the</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amendment.</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1.1.9</w:t>
            </w:r>
          </w:p>
        </w:tc>
        <w:tc>
          <w:tcPr>
            <w:tcW w:w="9740" w:type="dxa"/>
            <w:vAlign w:val="bottom"/>
          </w:tcPr>
          <w:p>
            <w:pPr>
              <w:ind w:left="2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Combination Product</w:t>
            </w:r>
            <w:r>
              <w:rPr>
                <w:rFonts w:ascii="Arial" w:cs="Arial" w:eastAsia="Arial" w:hAnsi="Arial"/>
                <w:sz w:val="18"/>
                <w:szCs w:val="18"/>
                <w:color w:val="auto"/>
                <w:w w:val="93"/>
              </w:rPr>
              <w:t>” means a Licensed Product sold or used in combination with one or more other products which are not</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Licensed Products.</w:t>
            </w:r>
          </w:p>
        </w:tc>
      </w:tr>
      <w:tr>
        <w:trPr>
          <w:trHeight w:val="319"/>
        </w:trPr>
        <w:tc>
          <w:tcPr>
            <w:tcW w:w="740" w:type="dxa"/>
            <w:vAlign w:val="bottom"/>
          </w:tcPr>
          <w:p>
            <w:pPr>
              <w:spacing w:after="0"/>
              <w:rPr>
                <w:sz w:val="20"/>
                <w:szCs w:val="20"/>
                <w:color w:val="auto"/>
              </w:rPr>
            </w:pPr>
            <w:r>
              <w:rPr>
                <w:rFonts w:ascii="Arial" w:cs="Arial" w:eastAsia="Arial" w:hAnsi="Arial"/>
                <w:sz w:val="18"/>
                <w:szCs w:val="18"/>
                <w:b w:val="1"/>
                <w:bCs w:val="1"/>
                <w:color w:val="auto"/>
              </w:rPr>
              <w:t>1.1.10</w:t>
            </w:r>
          </w:p>
        </w:tc>
        <w:tc>
          <w:tcPr>
            <w:tcW w:w="9740" w:type="dxa"/>
            <w:vAlign w:val="bottom"/>
          </w:tcPr>
          <w:p>
            <w:pPr>
              <w:ind w:left="2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Confidential Information</w:t>
            </w:r>
            <w:r>
              <w:rPr>
                <w:rFonts w:ascii="Arial" w:cs="Arial" w:eastAsia="Arial" w:hAnsi="Arial"/>
                <w:sz w:val="18"/>
                <w:szCs w:val="18"/>
                <w:color w:val="auto"/>
                <w:w w:val="93"/>
              </w:rPr>
              <w:t>” of a Party means any and all confidential or proprietary information of and disclosed by or on behalf</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1"/>
              </w:rPr>
              <w:t>of a Party and/or any of its Affiliates (a “</w:t>
            </w:r>
            <w:r>
              <w:rPr>
                <w:rFonts w:ascii="Arial" w:cs="Arial" w:eastAsia="Arial" w:hAnsi="Arial"/>
                <w:sz w:val="18"/>
                <w:szCs w:val="18"/>
                <w:b w:val="1"/>
                <w:bCs w:val="1"/>
                <w:color w:val="auto"/>
                <w:w w:val="91"/>
              </w:rPr>
              <w:t>Disclosing Party</w:t>
            </w:r>
            <w:r>
              <w:rPr>
                <w:rFonts w:ascii="Arial" w:cs="Arial" w:eastAsia="Arial" w:hAnsi="Arial"/>
                <w:sz w:val="18"/>
                <w:szCs w:val="18"/>
                <w:color w:val="auto"/>
                <w:w w:val="91"/>
              </w:rPr>
              <w:t>”) which has or does come into the possession or knowledge of the other</w:t>
            </w:r>
          </w:p>
        </w:tc>
      </w:tr>
      <w:tr>
        <w:trPr>
          <w:trHeight w:val="234"/>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Party and/or any of its Affiliates (a “</w:t>
            </w:r>
            <w:r>
              <w:rPr>
                <w:rFonts w:ascii="Arial" w:cs="Arial" w:eastAsia="Arial" w:hAnsi="Arial"/>
                <w:sz w:val="18"/>
                <w:szCs w:val="18"/>
                <w:b w:val="1"/>
                <w:bCs w:val="1"/>
                <w:color w:val="auto"/>
                <w:w w:val="92"/>
              </w:rPr>
              <w:t>Receiving Party</w:t>
            </w:r>
            <w:r>
              <w:rPr>
                <w:rFonts w:ascii="Arial" w:cs="Arial" w:eastAsia="Arial" w:hAnsi="Arial"/>
                <w:sz w:val="18"/>
                <w:szCs w:val="18"/>
                <w:color w:val="auto"/>
                <w:w w:val="92"/>
              </w:rPr>
              <w:t>”) in connection with or as a result of entering into this Agreement and which</w:t>
            </w:r>
          </w:p>
        </w:tc>
      </w:tr>
    </w:tbl>
    <w:p>
      <w:pPr>
        <w:ind w:left="1020"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(a) marked as confidential or identified as confidential at the time of disclosure, or (b) given the nature of the information or circumstances of disclosure, would be recognized as confidential or proprietary by a reasonable person, in each case including information concerning the Disclosing Party’s past, present and future business, research and development, technology, customers and suppliers.</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0"/>
          </w:cols>
          <w:pgMar w:left="1160" w:top="269" w:right="239"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Information shall not be considered “Confidential Information” to the extent that the information:</w:t>
            </w:r>
          </w:p>
        </w:tc>
      </w:tr>
      <w:tr>
        <w:trPr>
          <w:trHeight w:val="324"/>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(a) is part of the public domain at the time of disclosure,</w:t>
            </w:r>
          </w:p>
        </w:tc>
      </w:tr>
      <w:tr>
        <w:trPr>
          <w:trHeight w:val="310"/>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7"/>
              </w:rPr>
              <w:t>(b) subsequently becomes part of the public domain through no act or fault of the Receiving Party or its Representatives in</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violation of this Agreement,</w:t>
            </w:r>
          </w:p>
        </w:tc>
      </w:tr>
      <w:tr>
        <w:trPr>
          <w:trHeight w:val="324"/>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4"/>
              </w:rPr>
              <w:t>(c) can be demonstrated by the Receiving Party’s written records or other credible evidence to have been known or otherwise</w:t>
            </w:r>
          </w:p>
        </w:tc>
      </w:tr>
      <w:tr>
        <w:trPr>
          <w:trHeight w:val="324"/>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(d) available to the Receiving Party prior to the disclosure by the Disclosing Party,</w:t>
            </w:r>
          </w:p>
        </w:tc>
      </w:tr>
      <w:tr>
        <w:trPr>
          <w:trHeight w:val="310"/>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7"/>
              </w:rPr>
              <w:t>(e) can be demonstrated by the Receiving Party’s written records or other credible evidence, to have been provided to the</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9"/>
              </w:rPr>
              <w:t>Receiving Party, without restriction, by a Third Party who is not under a duty of confidentiality respecting the information</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disclosed,</w:t>
            </w:r>
          </w:p>
        </w:tc>
      </w:tr>
      <w:tr>
        <w:trPr>
          <w:trHeight w:val="310"/>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(f) can be demonstrated by the Receiving Party’s written records, or other credible evidence, to have been independently developed</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by or on behalf of the Receiving Party without use of or reference to the disclosed Confidential Information, or</w:t>
            </w:r>
          </w:p>
        </w:tc>
      </w:tr>
      <w:tr>
        <w:trPr>
          <w:trHeight w:val="324"/>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(g) is identified in writing by the Disclosing Party as no longer constituting Confidential information.</w:t>
            </w:r>
          </w:p>
        </w:tc>
      </w:tr>
      <w:tr>
        <w:trPr>
          <w:trHeight w:val="338"/>
        </w:trPr>
        <w:tc>
          <w:tcPr>
            <w:tcW w:w="740" w:type="dxa"/>
            <w:vAlign w:val="bottom"/>
          </w:tcPr>
          <w:p>
            <w:pPr>
              <w:spacing w:after="0"/>
              <w:rPr>
                <w:sz w:val="20"/>
                <w:szCs w:val="20"/>
                <w:color w:val="auto"/>
              </w:rPr>
            </w:pPr>
            <w:r>
              <w:rPr>
                <w:rFonts w:ascii="Arial" w:cs="Arial" w:eastAsia="Arial" w:hAnsi="Arial"/>
                <w:sz w:val="18"/>
                <w:szCs w:val="18"/>
                <w:b w:val="1"/>
                <w:bCs w:val="1"/>
                <w:color w:val="auto"/>
              </w:rPr>
              <w:t>1.1.11</w:t>
            </w:r>
          </w:p>
        </w:tc>
        <w:tc>
          <w:tcPr>
            <w:tcW w:w="974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shall have the meaning provided in Section 1.1.10.</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1.1.12</w:t>
            </w:r>
          </w:p>
        </w:tc>
        <w:tc>
          <w:tcPr>
            <w:tcW w:w="9740" w:type="dxa"/>
            <w:vAlign w:val="bottom"/>
          </w:tcPr>
          <w:p>
            <w:pPr>
              <w:ind w:left="2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Exclusively Licensed Know-How</w:t>
            </w:r>
            <w:r>
              <w:rPr>
                <w:rFonts w:ascii="Arial" w:cs="Arial" w:eastAsia="Arial" w:hAnsi="Arial"/>
                <w:sz w:val="18"/>
                <w:szCs w:val="18"/>
                <w:color w:val="auto"/>
                <w:w w:val="94"/>
              </w:rPr>
              <w:t>” means (a) any and all Fabry Know-How, (b) any and all Licensed Trial Related Data, and</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(c) the Clinical Trial Protocol.</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1.1.13</w:t>
            </w:r>
          </w:p>
        </w:tc>
        <w:tc>
          <w:tcPr>
            <w:tcW w:w="9740" w:type="dxa"/>
            <w:vAlign w:val="bottom"/>
          </w:tcPr>
          <w:p>
            <w:pPr>
              <w:ind w:left="28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Fabry Know-How</w:t>
            </w:r>
            <w:r>
              <w:rPr>
                <w:rFonts w:ascii="Arial" w:cs="Arial" w:eastAsia="Arial" w:hAnsi="Arial"/>
                <w:sz w:val="18"/>
                <w:szCs w:val="18"/>
                <w:color w:val="auto"/>
                <w:w w:val="98"/>
              </w:rPr>
              <w:t>” means any and all Know-How (A) existing as of the Effective Date that (i) was created, conceived or</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4"/>
              </w:rPr>
              <w:t>developed by (1) the Principal Investigator; (2) by UHN employees or agents under the direction or supervision of the Principal</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Investigator, or (3) the UHN CRO; (ii) is owned or controlled by UHN and (iii) is listed or otherwise defined in Schedule “A”, or</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3"/>
              </w:rPr>
              <w:t>Schedule “B”, or (B) existing as of the Effective Date or during the Term that was (i) created, conceived or developed by one or</w:t>
            </w:r>
          </w:p>
        </w:tc>
      </w:tr>
    </w:tbl>
    <w:p>
      <w:pPr>
        <w:ind w:left="102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more third party(ies) in collaboration with UHN or the Principal Investigator (or UHN employees or agents of UHN under the direction or supervision of the Principal Investigator) in connection with the UHN Planned Trial and for which UHN has been granted exclusive rights pursuant to a Fabry Trial Team Agreement. In the event that there exists as of the Effective Date other Know-How which is (a) relevant to the Field of Use, (b) created, conceived or developed by (1) the Principal Investigator, (2) by UHN employees or agents under the direction or supervision of the Principal Investigator, or (3) the UHN CRO, and (c) owned or controlled by UHN and is not Improved Therapies Know-How, the Parties will update Schedule A and/or Schedule B accordingly. For greater certainty Fabry Know-How does not include Fabry Patents, Improved Therapies Patents or Improvement Patents or any Patent Rights in the SRA Intellectual Property.</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1160" w:top="274" w:right="239" w:bottom="1440" w:gutter="0" w:footer="0" w:header="0"/>
        </w:sectPr>
      </w:pPr>
    </w:p>
    <w:bookmarkStart w:id="387" w:name="page388"/>
    <w:bookmarkEnd w:id="387"/>
    <w:p>
      <w:pPr>
        <w:ind w:left="1020" w:right="80" w:hanging="1025"/>
        <w:spacing w:after="0" w:line="281" w:lineRule="auto"/>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Fabry Non-Exclusive Know-How</w:t>
      </w:r>
      <w:r>
        <w:rPr>
          <w:rFonts w:ascii="Arial" w:cs="Arial" w:eastAsia="Arial" w:hAnsi="Arial"/>
          <w:sz w:val="17"/>
          <w:szCs w:val="17"/>
          <w:color w:val="auto"/>
        </w:rPr>
        <w:t>” means any and all Know-How existing as of the Effective Date or during the Term that was created, conceived or developed by one or more third party(ies) in collaboration with the Principal Investigator (or UHN employees or agents of UHN under the direction or supervision of the Principal Investigator) in connection with the UHN Planned Trial and for which UHN has been granted non-exclusive rights pursuant to a Fabry Trial Team Agreement.</w:t>
      </w:r>
    </w:p>
    <w:p>
      <w:pPr>
        <w:spacing w:after="0" w:line="70" w:lineRule="exact"/>
        <w:rPr>
          <w:sz w:val="20"/>
          <w:szCs w:val="20"/>
          <w:color w:val="auto"/>
        </w:rPr>
      </w:pPr>
    </w:p>
    <w:p>
      <w:pPr>
        <w:ind w:left="1020" w:right="40" w:hanging="1025"/>
        <w:spacing w:after="0" w:line="286" w:lineRule="auto"/>
        <w:tabs>
          <w:tab w:leader="none" w:pos="100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Fabry Patents</w:t>
      </w:r>
      <w:r>
        <w:rPr>
          <w:rFonts w:ascii="Arial" w:cs="Arial" w:eastAsia="Arial" w:hAnsi="Arial"/>
          <w:sz w:val="16"/>
          <w:szCs w:val="16"/>
          <w:color w:val="auto"/>
        </w:rPr>
        <w:t>” means (a) the patents and patent applications listed on Schedule “C”, (b) any Canadian or U.S. or other foreign patent application corresponding or claiming priority to the patents and applications listed in Schedule “C”, and all patents issuing therefrom, (c) all divisionals, continuations and continuations-in part applications to the patents and applications listed in Schedule “C”, and all patents issuing therefrom, with the proviso that any continuations-in-part applications and/or patents shall only apply to claims that are directed to subject matter specifically described in any patent or patent application described in clauses (a) or (b);</w:t>
      </w:r>
    </w:p>
    <w:p>
      <w:pPr>
        <w:spacing w:after="0" w:line="2" w:lineRule="exact"/>
        <w:rPr>
          <w:sz w:val="20"/>
          <w:szCs w:val="20"/>
          <w:color w:val="auto"/>
        </w:rPr>
      </w:pPr>
    </w:p>
    <w:p>
      <w:pPr>
        <w:ind w:left="1020" w:right="180" w:hanging="1"/>
        <w:spacing w:after="0" w:line="273" w:lineRule="auto"/>
        <w:tabs>
          <w:tab w:leader="none" w:pos="127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all foreign counterparts of any of the patents or applications in clauses (a), (b), and (c) (including, without limitation, any European Supplementary Protection Certificates or equivalents), and all patents issuing therefrom; and (e) all patents of addition, reissues, renewals, and/or extensions of any of the patents or patent applications set out in any of clauses (a), (b), (c), or (d), but excluding any patents or patent applications listed as “Excluded Patents” on Schedule C.</w:t>
      </w:r>
    </w:p>
    <w:p>
      <w:pPr>
        <w:spacing w:after="0" w:line="7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Fabry Vector</w:t>
      </w:r>
      <w:r>
        <w:rPr>
          <w:rFonts w:ascii="Arial" w:cs="Arial" w:eastAsia="Arial" w:hAnsi="Arial"/>
          <w:sz w:val="16"/>
          <w:szCs w:val="16"/>
          <w:color w:val="auto"/>
        </w:rPr>
        <w:t>” means the Lentiviral a-Gal A expression vector utilized in the UHN Planned Trial.</w:t>
      </w:r>
    </w:p>
    <w:p>
      <w:pPr>
        <w:spacing w:after="0" w:line="131" w:lineRule="exact"/>
        <w:rPr>
          <w:sz w:val="20"/>
          <w:szCs w:val="20"/>
          <w:color w:val="auto"/>
        </w:rPr>
      </w:pPr>
    </w:p>
    <w:p>
      <w:pPr>
        <w:ind w:left="1020" w:right="1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Fabry Trial Team</w:t>
      </w:r>
      <w:r>
        <w:rPr>
          <w:rFonts w:ascii="Arial" w:cs="Arial" w:eastAsia="Arial" w:hAnsi="Arial"/>
          <w:sz w:val="18"/>
          <w:szCs w:val="18"/>
          <w:color w:val="auto"/>
        </w:rPr>
        <w:t>” means the principal investigators in their appointment and capacity as investigators of their respective Fabry Trial Team Institution(s).</w:t>
      </w:r>
    </w:p>
    <w:p>
      <w:pPr>
        <w:spacing w:after="0" w:line="67" w:lineRule="exact"/>
        <w:rPr>
          <w:sz w:val="20"/>
          <w:szCs w:val="20"/>
          <w:color w:val="auto"/>
        </w:rPr>
      </w:pPr>
    </w:p>
    <w:p>
      <w:pPr>
        <w:ind w:left="1020" w:right="20" w:hanging="1025"/>
        <w:spacing w:after="0" w:line="256" w:lineRule="auto"/>
        <w:tabs>
          <w:tab w:leader="none" w:pos="100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Fabry Trial Team Institution</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means each of the institutions involved in the UHN Planned Trial. As of the Effective Date, the Fabry Trial Team Institutions include Hamilton Regional Laboratory Medicine Program (“Hamilton Service”), Hamilton Health Sciences Corporation (“Hamilton Clinical”), Universite de Sherbrooke (“Sherbrooke”), The Governors of the University of Calgary in conjunction with Alberta Health Services (collectively “Calgary”), London Health Sciences Centre (“London”), and Nova Scotia Health Authority (“Halifax”). The list of Fabry Trial Team Institutions(s) may be amended by agreement of the Parties.</w:t>
      </w:r>
    </w:p>
    <w:p>
      <w:pPr>
        <w:spacing w:after="0" w:line="93" w:lineRule="exact"/>
        <w:rPr>
          <w:sz w:val="20"/>
          <w:szCs w:val="20"/>
          <w:color w:val="auto"/>
        </w:rPr>
      </w:pPr>
    </w:p>
    <w:p>
      <w:pPr>
        <w:ind w:left="1020" w:right="140" w:hanging="1025"/>
        <w:spacing w:after="0" w:line="261" w:lineRule="auto"/>
        <w:tabs>
          <w:tab w:leader="none" w:pos="100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Fabry Trial Team Agreement</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means any agreement(s) to be entered into between Fabry Trial Team Institutions, UHN, and Avro governing, among other items, the transfer of certain Exclusively Licensed Know-How and Non-Exclusively Licensed Know-How from the Fabry Trial Team Institutions to UHN and Avro. The Fabry Trial Team Agreement(s) may be amended from time to time by agreement of the Parties.</w:t>
      </w:r>
    </w:p>
    <w:p>
      <w:pPr>
        <w:spacing w:after="0" w:line="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w:t>
      </w:r>
      <w:r>
        <w:rPr>
          <w:rFonts w:ascii="Arial" w:cs="Arial" w:eastAsia="Arial" w:hAnsi="Arial"/>
          <w:sz w:val="16"/>
          <w:szCs w:val="16"/>
          <w:color w:val="auto"/>
        </w:rPr>
        <w:t>” means the United States Food and Drug Administration and any successor agency thereto.</w:t>
      </w:r>
    </w:p>
    <w:p>
      <w:pPr>
        <w:spacing w:after="0" w:line="13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Field of Use</w:t>
      </w:r>
      <w:r>
        <w:rPr>
          <w:rFonts w:ascii="Arial" w:cs="Arial" w:eastAsia="Arial" w:hAnsi="Arial"/>
          <w:sz w:val="16"/>
          <w:szCs w:val="16"/>
          <w:color w:val="auto"/>
        </w:rPr>
        <w:t>” means Fabry disease.</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00"/>
          </w:cols>
          <w:pgMar w:left="1160" w:top="269" w:right="239" w:bottom="1440" w:gutter="0" w:footer="0" w:header="0"/>
        </w:sectPr>
      </w:pPr>
    </w:p>
    <w:bookmarkStart w:id="388" w:name="page389"/>
    <w:bookmarkEnd w:id="388"/>
    <w:tbl>
      <w:tblPr>
        <w:tblLayout w:type="fixed"/>
        <w:tblInd w:w="0" w:type="dxa"/>
        <w:tblCellMar>
          <w:top w:w="0" w:type="dxa"/>
          <w:left w:w="0" w:type="dxa"/>
          <w:bottom w:w="0" w:type="dxa"/>
          <w:right w:w="0" w:type="dxa"/>
        </w:tblCellMar>
      </w:tblPr>
      <w:tr>
        <w:trPr>
          <w:trHeight w:val="220"/>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1.1.22</w:t>
            </w:r>
          </w:p>
        </w:tc>
        <w:tc>
          <w:tcPr>
            <w:tcW w:w="976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First Commercial Sale</w:t>
            </w:r>
            <w:r>
              <w:rPr>
                <w:rFonts w:ascii="Arial" w:cs="Arial" w:eastAsia="Arial" w:hAnsi="Arial"/>
                <w:sz w:val="18"/>
                <w:szCs w:val="18"/>
                <w:color w:val="auto"/>
                <w:w w:val="95"/>
              </w:rPr>
              <w:t>” means, with respect to a Licensed Product and a country, the first arms-length commercial sale for</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4"/>
              </w:rPr>
              <w:t>monetary value of such Licensed Product to a Third Party in such country after Regulatory Approval allowing for the marketing</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5"/>
              </w:rPr>
              <w:t>and sale of such Licensed Product has been obtained in such country. Sales prior to receipt of Regulatory Approval for such</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3"/>
              </w:rPr>
              <w:t>Licensed Product, such as so-called “treatment IND sales,” “named patient sales”, “Health Canada Special Access Programme</w:t>
            </w:r>
          </w:p>
        </w:tc>
      </w:tr>
      <w:tr>
        <w:trPr>
          <w:trHeight w:val="230"/>
        </w:trPr>
        <w:tc>
          <w:tcPr>
            <w:tcW w:w="7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sales” and “compassionate use sales” shall not be construed as a First Commercial Sale.</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1.1.23</w:t>
            </w: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Gross Revenue</w:t>
            </w:r>
            <w:r>
              <w:rPr>
                <w:rFonts w:ascii="Arial" w:cs="Arial" w:eastAsia="Arial" w:hAnsi="Arial"/>
                <w:sz w:val="18"/>
                <w:szCs w:val="18"/>
                <w:color w:val="auto"/>
                <w:w w:val="92"/>
              </w:rPr>
              <w:t>” means the gross amount received by each of: (a) Avro and/or its Affiliates, and (b) any permitted Sublicensee,</w:t>
            </w:r>
          </w:p>
        </w:tc>
      </w:tr>
      <w:tr>
        <w:trPr>
          <w:trHeight w:val="230"/>
        </w:trPr>
        <w:tc>
          <w:tcPr>
            <w:tcW w:w="7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where such gross amount is received in respect of the sale or transfer or other disposition of a Licensed Product to a Third Party.</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1.1.24</w:t>
            </w:r>
          </w:p>
        </w:tc>
        <w:tc>
          <w:tcPr>
            <w:tcW w:w="9760" w:type="dxa"/>
            <w:vAlign w:val="bottom"/>
          </w:tcPr>
          <w:p>
            <w:pPr>
              <w:ind w:left="2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IL-12 Agreement</w:t>
            </w:r>
            <w:r>
              <w:rPr>
                <w:rFonts w:ascii="Arial" w:cs="Arial" w:eastAsia="Arial" w:hAnsi="Arial"/>
                <w:sz w:val="18"/>
                <w:szCs w:val="18"/>
                <w:color w:val="auto"/>
                <w:w w:val="94"/>
              </w:rPr>
              <w:t>” means the Exclusive License Agreement, dated January 27, 2016, by and between Avro and UHN (and as</w:t>
            </w:r>
          </w:p>
        </w:tc>
      </w:tr>
      <w:tr>
        <w:trPr>
          <w:trHeight w:val="230"/>
        </w:trPr>
        <w:tc>
          <w:tcPr>
            <w:tcW w:w="7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further amended or restated from time to time).</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1.1.25</w:t>
            </w: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Improvements</w:t>
            </w:r>
            <w:r>
              <w:rPr>
                <w:rFonts w:ascii="Arial" w:cs="Arial" w:eastAsia="Arial" w:hAnsi="Arial"/>
                <w:sz w:val="18"/>
                <w:szCs w:val="18"/>
                <w:color w:val="auto"/>
                <w:w w:val="92"/>
              </w:rPr>
              <w:t>” means any and all discoveries, derivatives, adaptations, changes, inventions, enhancements and modifications</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0"/>
              </w:rPr>
              <w:t>(whether patentable or not) of the Fabry Patents or Fabry Know-How that are created, conceived, developed or reduced to practice</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5"/>
              </w:rPr>
              <w:t>either (a) prior to the Effective Date or during the Option Term, by (i) the Principal Investigator (ii) any employees or agents of</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UHN under the direction or supervision of the Principal Investigator or (iii) the UHN CRO, where same are owned or controlled by</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3"/>
              </w:rPr>
              <w:t>UHN and relevant to the Field of Use, or (b) arising from the UHN Planned Trial; but, in each case ((a)-(b)), are not (i) Improved</w:t>
            </w:r>
          </w:p>
        </w:tc>
      </w:tr>
      <w:tr>
        <w:trPr>
          <w:trHeight w:val="230"/>
        </w:trPr>
        <w:tc>
          <w:tcPr>
            <w:tcW w:w="7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Therapies or (ii) in connection with or in performance of an SRA.</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1.1.26</w:t>
            </w:r>
          </w:p>
        </w:tc>
        <w:tc>
          <w:tcPr>
            <w:tcW w:w="9760" w:type="dxa"/>
            <w:vAlign w:val="bottom"/>
          </w:tcPr>
          <w:p>
            <w:pPr>
              <w:ind w:left="28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Improved Therapies</w:t>
            </w:r>
            <w:r>
              <w:rPr>
                <w:rFonts w:ascii="Arial" w:cs="Arial" w:eastAsia="Arial" w:hAnsi="Arial"/>
                <w:sz w:val="18"/>
                <w:szCs w:val="18"/>
                <w:color w:val="auto"/>
                <w:w w:val="99"/>
              </w:rPr>
              <w:t>” means any and all discoveries, derivatives, adaptations, changes, inventions, enhancements or</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5"/>
              </w:rPr>
              <w:t>modifications (whether patentable or not) of the Fabry Patents or Fabry Know-How that are created, conceived, developed or</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1"/>
              </w:rPr>
              <w:t>reduced to practice prior to the Effective Date or during the Option Term by the Principal Investigator (or any employees or agents</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5"/>
              </w:rPr>
              <w:t>of UHN under the direction or supervision of the Principal Investigator) and relevant to the Field of Use, where the technology</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1"/>
              </w:rPr>
              <w:t>advancement relates to a new product or a method relating thereto which is distinct from the technology encompassed by the UHN</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3"/>
              </w:rPr>
              <w:t>Planned Trial and requires the submission of a new IND or foreign equivalent thereof. For clarity, addition of TMPK to the Fabry</w:t>
            </w:r>
          </w:p>
        </w:tc>
      </w:tr>
      <w:tr>
        <w:trPr>
          <w:trHeight w:val="230"/>
        </w:trPr>
        <w:tc>
          <w:tcPr>
            <w:tcW w:w="7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Vector is NOT considered a new product.</w:t>
            </w:r>
          </w:p>
        </w:tc>
      </w:tr>
      <w:tr>
        <w:trPr>
          <w:trHeight w:val="338"/>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1.1.27</w:t>
            </w:r>
          </w:p>
        </w:tc>
        <w:tc>
          <w:tcPr>
            <w:tcW w:w="97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Improved Therapies Know-How</w:t>
            </w:r>
            <w:r>
              <w:rPr>
                <w:rFonts w:ascii="Arial" w:cs="Arial" w:eastAsia="Arial" w:hAnsi="Arial"/>
                <w:sz w:val="18"/>
                <w:szCs w:val="18"/>
                <w:color w:val="auto"/>
              </w:rPr>
              <w:t>” means any and all Know-How that exists within any of the Improved Therapies.</w:t>
            </w:r>
          </w:p>
        </w:tc>
      </w:tr>
      <w:tr>
        <w:trPr>
          <w:trHeight w:val="338"/>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1.1.28</w:t>
            </w:r>
          </w:p>
        </w:tc>
        <w:tc>
          <w:tcPr>
            <w:tcW w:w="97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Improved Therapies Patents</w:t>
            </w:r>
            <w:r>
              <w:rPr>
                <w:rFonts w:ascii="Arial" w:cs="Arial" w:eastAsia="Arial" w:hAnsi="Arial"/>
                <w:sz w:val="18"/>
                <w:szCs w:val="18"/>
                <w:color w:val="auto"/>
              </w:rPr>
              <w:t>” means any and all Patent Rights that claim or cover any of the Improved Therapies.</w:t>
            </w:r>
          </w:p>
        </w:tc>
      </w:tr>
      <w:tr>
        <w:trPr>
          <w:trHeight w:val="338"/>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1.1.29</w:t>
            </w:r>
          </w:p>
        </w:tc>
        <w:tc>
          <w:tcPr>
            <w:tcW w:w="97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Improvements Know-How</w:t>
            </w:r>
            <w:r>
              <w:rPr>
                <w:rFonts w:ascii="Arial" w:cs="Arial" w:eastAsia="Arial" w:hAnsi="Arial"/>
                <w:sz w:val="18"/>
                <w:szCs w:val="18"/>
                <w:color w:val="auto"/>
              </w:rPr>
              <w:t>” means any and all Know-How that exists within any of the Improvements.</w:t>
            </w:r>
          </w:p>
        </w:tc>
      </w:tr>
      <w:tr>
        <w:trPr>
          <w:trHeight w:val="338"/>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1.1.30</w:t>
            </w:r>
          </w:p>
        </w:tc>
        <w:tc>
          <w:tcPr>
            <w:tcW w:w="97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Improvements Patents</w:t>
            </w:r>
            <w:r>
              <w:rPr>
                <w:rFonts w:ascii="Arial" w:cs="Arial" w:eastAsia="Arial" w:hAnsi="Arial"/>
                <w:sz w:val="18"/>
                <w:szCs w:val="18"/>
                <w:color w:val="auto"/>
              </w:rPr>
              <w:t>” means Patent Rights that claim or cover any of the Improvements.</w:t>
            </w:r>
          </w:p>
        </w:tc>
      </w:tr>
      <w:tr>
        <w:trPr>
          <w:trHeight w:val="365"/>
        </w:trPr>
        <w:tc>
          <w:tcPr>
            <w:tcW w:w="740" w:type="dxa"/>
            <w:vAlign w:val="bottom"/>
          </w:tcPr>
          <w:p>
            <w:pPr>
              <w:spacing w:after="0"/>
              <w:rPr>
                <w:sz w:val="24"/>
                <w:szCs w:val="24"/>
                <w:color w:val="auto"/>
              </w:rPr>
            </w:pPr>
          </w:p>
        </w:tc>
        <w:tc>
          <w:tcPr>
            <w:tcW w:w="9760" w:type="dxa"/>
            <w:vAlign w:val="bottom"/>
          </w:tcPr>
          <w:p>
            <w:pPr>
              <w:ind w:left="6660"/>
              <w:spacing w:after="0"/>
              <w:rPr>
                <w:sz w:val="20"/>
                <w:szCs w:val="20"/>
                <w:color w:val="auto"/>
              </w:rPr>
            </w:pPr>
            <w:r>
              <w:rPr>
                <w:rFonts w:ascii="Arial" w:cs="Arial" w:eastAsia="Arial" w:hAnsi="Arial"/>
                <w:sz w:val="18"/>
                <w:szCs w:val="18"/>
                <w:color w:val="auto"/>
                <w:w w:val="94"/>
              </w:rPr>
              <w:t>*** Confidential Treatment Requested ***</w:t>
            </w:r>
          </w:p>
        </w:tc>
      </w:tr>
      <w:tr>
        <w:trPr>
          <w:trHeight w:val="675"/>
        </w:trPr>
        <w:tc>
          <w:tcPr>
            <w:tcW w:w="740" w:type="dxa"/>
            <w:vAlign w:val="bottom"/>
          </w:tcPr>
          <w:p>
            <w:pPr>
              <w:spacing w:after="0"/>
              <w:rPr>
                <w:sz w:val="24"/>
                <w:szCs w:val="24"/>
                <w:color w:val="auto"/>
              </w:rPr>
            </w:pPr>
          </w:p>
        </w:tc>
        <w:tc>
          <w:tcPr>
            <w:tcW w:w="9760" w:type="dxa"/>
            <w:vAlign w:val="bottom"/>
          </w:tcPr>
          <w:p>
            <w:pPr>
              <w:ind w:left="4000"/>
              <w:spacing w:after="0"/>
              <w:rPr>
                <w:sz w:val="20"/>
                <w:szCs w:val="20"/>
                <w:color w:val="auto"/>
              </w:rPr>
            </w:pPr>
            <w:r>
              <w:rPr>
                <w:rFonts w:ascii="Arial" w:cs="Arial" w:eastAsia="Arial" w:hAnsi="Arial"/>
                <w:sz w:val="18"/>
                <w:szCs w:val="18"/>
                <w:color w:val="auto"/>
              </w:rPr>
              <w:t>5</w:t>
            </w:r>
          </w:p>
        </w:tc>
      </w:tr>
    </w:tbl>
    <w:p>
      <w:pPr>
        <w:ind w:left="4000"/>
        <w:spacing w:after="0"/>
        <w:rPr>
          <w:sz w:val="20"/>
          <w:szCs w:val="20"/>
          <w:color w:val="auto"/>
        </w:rPr>
        <w:sectPr>
          <w:pgSz w:w="11900" w:h="16838" w:orient="portrait"/>
          <w:cols w:equalWidth="0" w:num="1">
            <w:col w:w="10500"/>
          </w:cols>
          <w:pgMar w:left="116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89" w:name="page390"/>
    <w:bookmarkEnd w:id="389"/>
    <w:p>
      <w:pPr>
        <w:ind w:left="1020" w:right="10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means with respect to a product, an Investigational New Drug Application filed with the FDA with respect to such product pursuant to 21 C.F.R. § 312 before the commencement of human clinical trials involving such product.</w:t>
      </w:r>
    </w:p>
    <w:p>
      <w:pPr>
        <w:spacing w:after="0" w:line="67" w:lineRule="exact"/>
        <w:rPr>
          <w:sz w:val="20"/>
          <w:szCs w:val="20"/>
          <w:color w:val="auto"/>
        </w:rPr>
      </w:pPr>
    </w:p>
    <w:p>
      <w:pPr>
        <w:ind w:left="1020" w:right="40" w:hanging="1025"/>
        <w:spacing w:after="0" w:line="292" w:lineRule="auto"/>
        <w:tabs>
          <w:tab w:leader="none" w:pos="1000" w:val="left"/>
        </w:tabs>
        <w:rPr>
          <w:sz w:val="20"/>
          <w:szCs w:val="20"/>
          <w:color w:val="auto"/>
        </w:rPr>
      </w:pPr>
      <w:r>
        <w:rPr>
          <w:rFonts w:ascii="Arial" w:cs="Arial" w:eastAsia="Arial" w:hAnsi="Arial"/>
          <w:sz w:val="18"/>
          <w:szCs w:val="18"/>
          <w:b w:val="1"/>
          <w:bCs w:val="1"/>
          <w:color w:val="auto"/>
        </w:rPr>
        <w:t>1.1.32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Know-How</w:t>
      </w:r>
      <w:r>
        <w:rPr>
          <w:rFonts w:ascii="Arial" w:cs="Arial" w:eastAsia="Arial" w:hAnsi="Arial"/>
          <w:sz w:val="16"/>
          <w:szCs w:val="16"/>
          <w:color w:val="auto"/>
        </w:rPr>
        <w:t>” means any and all commercial, technical, regulatory, scientific and other know-how, information, knowledge, technology, methods, processes, practices, standard operating procedures, formulae, instructions, skills, techniques, procedures, assay protocols, experiences, ideas, technical assistance, designs, drawings, assembly procedures, specifications, data and results (including biological, chemical, pharmacological, toxicological, pharmaceutical, physical and analytical, pre-clinical, clinical, safety, regulatory, manufacturing and quality control data and know-how, including study designs and protocols), in all cases now known or hereafter developed, whether or not confidential or proprietary, in written, electronic or any other form. Know-How shall exclude Patent Rights (including rights in the Fabry Patents, Improved Therapies Patents, and Improvement Patents).</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w:t>
      </w:r>
      <w:r>
        <w:rPr>
          <w:rFonts w:ascii="Arial" w:cs="Arial" w:eastAsia="Arial" w:hAnsi="Arial"/>
          <w:sz w:val="16"/>
          <w:szCs w:val="16"/>
          <w:color w:val="auto"/>
        </w:rPr>
        <w:t>” shall have the meaning provided in Section 2.1.</w:t>
      </w:r>
    </w:p>
    <w:p>
      <w:pPr>
        <w:spacing w:after="0" w:line="131" w:lineRule="exact"/>
        <w:rPr>
          <w:sz w:val="20"/>
          <w:szCs w:val="20"/>
          <w:color w:val="auto"/>
        </w:rPr>
      </w:pPr>
    </w:p>
    <w:p>
      <w:pPr>
        <w:ind w:left="1020" w:right="50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Patents</w:t>
      </w:r>
      <w:r>
        <w:rPr>
          <w:rFonts w:ascii="Arial" w:cs="Arial" w:eastAsia="Arial" w:hAnsi="Arial"/>
          <w:sz w:val="18"/>
          <w:szCs w:val="18"/>
          <w:color w:val="auto"/>
        </w:rPr>
        <w:t>” means: (a) any and all Fabry Patents, (b) any and all Optioned Improvement Patents, and (b) any and all Patent Rights within the Licensed SRA IP.</w:t>
      </w:r>
    </w:p>
    <w:p>
      <w:pPr>
        <w:spacing w:after="0" w:line="67" w:lineRule="exact"/>
        <w:rPr>
          <w:sz w:val="20"/>
          <w:szCs w:val="20"/>
          <w:color w:val="auto"/>
        </w:rPr>
      </w:pPr>
    </w:p>
    <w:p>
      <w:pPr>
        <w:ind w:left="1020" w:right="80" w:hanging="1025"/>
        <w:spacing w:after="0" w:line="289" w:lineRule="auto"/>
        <w:tabs>
          <w:tab w:leader="none" w:pos="1000" w:val="left"/>
        </w:tabs>
        <w:rPr>
          <w:sz w:val="20"/>
          <w:szCs w:val="20"/>
          <w:color w:val="auto"/>
        </w:rPr>
      </w:pPr>
      <w:r>
        <w:rPr>
          <w:rFonts w:ascii="Arial" w:cs="Arial" w:eastAsia="Arial" w:hAnsi="Arial"/>
          <w:sz w:val="18"/>
          <w:szCs w:val="18"/>
          <w:b w:val="1"/>
          <w:bCs w:val="1"/>
          <w:color w:val="auto"/>
        </w:rPr>
        <w:t>1.1.35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Product</w:t>
      </w:r>
      <w:r>
        <w:rPr>
          <w:rFonts w:ascii="Arial" w:cs="Arial" w:eastAsia="Arial" w:hAnsi="Arial"/>
          <w:sz w:val="16"/>
          <w:szCs w:val="16"/>
          <w:color w:val="auto"/>
        </w:rPr>
        <w:t>” means any product in the Field of Use that (a) the manufacture, use or sale of which, but for the licenses granted herein, would infringe a Valid Claim in the Licensed Patents, or (b) incorporates, uses, or practices the Exclusively Licensed Know-How or Non-Exclusively Licensed Know-How. For greater certainty and clarity, a product in the Field of Use that</w:t>
      </w:r>
    </w:p>
    <w:p>
      <w:pPr>
        <w:spacing w:after="0" w:line="2" w:lineRule="exact"/>
        <w:rPr>
          <w:sz w:val="20"/>
          <w:szCs w:val="20"/>
          <w:color w:val="auto"/>
        </w:rPr>
      </w:pPr>
    </w:p>
    <w:p>
      <w:pPr>
        <w:ind w:left="1020" w:right="1080" w:hanging="1"/>
        <w:spacing w:after="0" w:line="261" w:lineRule="auto"/>
        <w:tabs>
          <w:tab w:leader="none" w:pos="123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incorporates, uses or practices any preclinical data or clinical data within the Exclusively Licensed Know-How or Non-Exclusively Licensed Know-How, or (ii) [***] shall be considered a Licensed Product.</w:t>
      </w:r>
    </w:p>
    <w:p>
      <w:pPr>
        <w:spacing w:after="0" w:line="85" w:lineRule="exact"/>
        <w:rPr>
          <w:sz w:val="20"/>
          <w:szCs w:val="20"/>
          <w:color w:val="auto"/>
        </w:rPr>
      </w:pPr>
    </w:p>
    <w:p>
      <w:pPr>
        <w:ind w:left="1020" w:right="1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1.1.36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SRA IP</w:t>
      </w:r>
      <w:r>
        <w:rPr>
          <w:rFonts w:ascii="Arial" w:cs="Arial" w:eastAsia="Arial" w:hAnsi="Arial"/>
          <w:sz w:val="18"/>
          <w:szCs w:val="18"/>
          <w:color w:val="auto"/>
        </w:rPr>
        <w:t>” means any and all SRA IP for which the Parties have agreed to incorporate such SRA IP into this Agreement per Section 3.1 (as such IP is further listed in Schedule “D” (as may be amended from time to time)).</w:t>
      </w:r>
    </w:p>
    <w:p>
      <w:pPr>
        <w:spacing w:after="0" w:line="67" w:lineRule="exact"/>
        <w:rPr>
          <w:sz w:val="20"/>
          <w:szCs w:val="20"/>
          <w:color w:val="auto"/>
        </w:rPr>
      </w:pPr>
    </w:p>
    <w:p>
      <w:pPr>
        <w:ind w:left="1020" w:right="3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Technology</w:t>
      </w:r>
      <w:r>
        <w:rPr>
          <w:rFonts w:ascii="Arial" w:cs="Arial" w:eastAsia="Arial" w:hAnsi="Arial"/>
          <w:sz w:val="18"/>
          <w:szCs w:val="18"/>
          <w:color w:val="auto"/>
        </w:rPr>
        <w:t>” means any and all Licensed Patents, Exclusively Licensed Know-How and Non-Exclusively Licensed Know-How.</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 Transfer Fee</w:t>
      </w:r>
      <w:r>
        <w:rPr>
          <w:rFonts w:ascii="Arial" w:cs="Arial" w:eastAsia="Arial" w:hAnsi="Arial"/>
          <w:sz w:val="16"/>
          <w:szCs w:val="16"/>
          <w:color w:val="auto"/>
        </w:rPr>
        <w:t>” shall have the meaning provided in Section 16.4.2.</w:t>
      </w:r>
    </w:p>
    <w:p>
      <w:pPr>
        <w:spacing w:after="0" w:line="13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Trial Related Data</w:t>
      </w:r>
      <w:r>
        <w:rPr>
          <w:rFonts w:ascii="Arial" w:cs="Arial" w:eastAsia="Arial" w:hAnsi="Arial"/>
          <w:sz w:val="16"/>
          <w:szCs w:val="16"/>
          <w:color w:val="auto"/>
        </w:rPr>
        <w:t>” means any and all information, data, results and reports (i) owned and controlled by UHN, or</w:t>
      </w:r>
    </w:p>
    <w:p>
      <w:pPr>
        <w:spacing w:after="0" w:line="27" w:lineRule="exact"/>
        <w:rPr>
          <w:sz w:val="20"/>
          <w:szCs w:val="20"/>
          <w:color w:val="auto"/>
        </w:rPr>
      </w:pPr>
    </w:p>
    <w:p>
      <w:pPr>
        <w:ind w:left="1020" w:right="180" w:hanging="1"/>
        <w:spacing w:after="0" w:line="254" w:lineRule="auto"/>
        <w:tabs>
          <w:tab w:leader="none" w:pos="128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for which UHN has been granted rights and/or permission pursuant to a Fabry Trial Team Agreement and (ii) relating to the UHN Planned Trial, including Patient Data, regulatory documents (including Clinical Trial Applications, Q&amp;As, investigator brochures), manufacturing data (including supplier agreements and batch records) and such other relevant data relating to the use of the Licensed Products in the conduct of the UHN Planned Trial.</w:t>
      </w:r>
    </w:p>
    <w:p>
      <w:pPr>
        <w:spacing w:after="0" w:line="122" w:lineRule="exact"/>
        <w:rPr>
          <w:rFonts w:ascii="Arial" w:cs="Arial" w:eastAsia="Arial" w:hAnsi="Arial"/>
          <w:sz w:val="18"/>
          <w:szCs w:val="18"/>
          <w:color w:val="auto"/>
        </w:rPr>
      </w:pPr>
    </w:p>
    <w:p>
      <w:pPr>
        <w:ind w:left="7720" w:hanging="323"/>
        <w:spacing w:after="0"/>
        <w:tabs>
          <w:tab w:leader="none" w:pos="7720" w:val="left"/>
        </w:tabs>
        <w:numPr>
          <w:ilvl w:val="1"/>
          <w:numId w:val="282"/>
        </w:numPr>
        <w:rPr>
          <w:rFonts w:ascii="Arial" w:cs="Arial" w:eastAsia="Arial" w:hAnsi="Arial"/>
          <w:sz w:val="16"/>
          <w:szCs w:val="16"/>
          <w:color w:val="auto"/>
        </w:rPr>
      </w:pPr>
      <w:r>
        <w:rPr>
          <w:rFonts w:ascii="Arial" w:cs="Arial" w:eastAsia="Arial" w:hAnsi="Arial"/>
          <w:sz w:val="16"/>
          <w:szCs w:val="16"/>
          <w:color w:val="auto"/>
        </w:rPr>
        <w:t>Confidential Treatment Requested ***</w:t>
      </w:r>
    </w:p>
    <w:p>
      <w:pPr>
        <w:spacing w:after="0" w:line="200" w:lineRule="exact"/>
        <w:rPr>
          <w:sz w:val="20"/>
          <w:szCs w:val="20"/>
          <w:color w:val="auto"/>
        </w:rPr>
      </w:pPr>
    </w:p>
    <w:p>
      <w:pPr>
        <w:spacing w:after="0" w:line="29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00"/>
          </w:cols>
          <w:pgMar w:left="1160" w:top="270" w:right="239" w:bottom="1440" w:gutter="0" w:footer="0" w:header="0"/>
        </w:sectPr>
      </w:pPr>
    </w:p>
    <w:bookmarkStart w:id="390" w:name="page391"/>
    <w:bookmarkEnd w:id="390"/>
    <w:p>
      <w:pPr>
        <w:spacing w:after="0"/>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Net Revenues</w:t>
      </w:r>
      <w:r>
        <w:rPr>
          <w:rFonts w:ascii="Arial" w:cs="Arial" w:eastAsia="Arial" w:hAnsi="Arial"/>
          <w:sz w:val="16"/>
          <w:szCs w:val="16"/>
          <w:color w:val="auto"/>
        </w:rPr>
        <w:t>” means, the Gross Revenue net of any of the following:</w:t>
      </w:r>
    </w:p>
    <w:p>
      <w:pPr>
        <w:spacing w:after="0" w:line="121" w:lineRule="exact"/>
        <w:rPr>
          <w:sz w:val="20"/>
          <w:szCs w:val="20"/>
          <w:color w:val="auto"/>
        </w:rPr>
      </w:pPr>
    </w:p>
    <w:p>
      <w:pPr>
        <w:ind w:left="1020" w:right="720" w:firstLine="8"/>
        <w:spacing w:after="0" w:line="277" w:lineRule="auto"/>
        <w:tabs>
          <w:tab w:leader="none" w:pos="126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normal, customary and actual quantity, trade or cash allowance/discounts, credits or volume discounts, and other price reductions with respect to Licensed Products;</w:t>
      </w:r>
    </w:p>
    <w:p>
      <w:pPr>
        <w:spacing w:after="0" w:line="62" w:lineRule="exact"/>
        <w:rPr>
          <w:rFonts w:ascii="Arial" w:cs="Arial" w:eastAsia="Arial" w:hAnsi="Arial"/>
          <w:sz w:val="18"/>
          <w:szCs w:val="18"/>
          <w:color w:val="auto"/>
        </w:rPr>
      </w:pPr>
    </w:p>
    <w:p>
      <w:pPr>
        <w:ind w:left="1020" w:right="280" w:firstLine="8"/>
        <w:spacing w:after="0" w:line="277" w:lineRule="auto"/>
        <w:tabs>
          <w:tab w:leader="none" w:pos="127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credits, rebates or allowances because of billing errors, damaged, outdated, obsolete, nonconforming, rejected, re-worked or recalled goods or services or returns with respect to Licensed Product(s);</w:t>
      </w:r>
    </w:p>
    <w:p>
      <w:pPr>
        <w:spacing w:after="0" w:line="62" w:lineRule="exact"/>
        <w:rPr>
          <w:rFonts w:ascii="Arial" w:cs="Arial" w:eastAsia="Arial" w:hAnsi="Arial"/>
          <w:sz w:val="18"/>
          <w:szCs w:val="18"/>
          <w:color w:val="auto"/>
        </w:rPr>
      </w:pPr>
    </w:p>
    <w:p>
      <w:pPr>
        <w:ind w:left="1020" w:right="540" w:firstLine="8"/>
        <w:spacing w:after="0" w:line="277" w:lineRule="auto"/>
        <w:tabs>
          <w:tab w:leader="none" w:pos="126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freight, postage, shipping and insurance charges incurred in transporting the Licensed Product(s) to the Third Party or its designee; and</w:t>
      </w:r>
    </w:p>
    <w:p>
      <w:pPr>
        <w:spacing w:after="0" w:line="62" w:lineRule="exact"/>
        <w:rPr>
          <w:rFonts w:ascii="Arial" w:cs="Arial" w:eastAsia="Arial" w:hAnsi="Arial"/>
          <w:sz w:val="18"/>
          <w:szCs w:val="18"/>
          <w:color w:val="auto"/>
        </w:rPr>
      </w:pPr>
    </w:p>
    <w:p>
      <w:pPr>
        <w:ind w:left="1020" w:right="540" w:firstLine="8"/>
        <w:spacing w:after="0" w:line="342" w:lineRule="auto"/>
        <w:tabs>
          <w:tab w:leader="none" w:pos="1275"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taxes including sales, use, value-added, and other direct taxes, customs, duties, tariffs, surcharges, or other governmental charges (other than income taxes) levied on, absorbed or otherwise imposed on sales of Licensed Product(s);</w:t>
      </w:r>
    </w:p>
    <w:p>
      <w:pPr>
        <w:spacing w:after="0" w:line="16" w:lineRule="exact"/>
        <w:rPr>
          <w:sz w:val="20"/>
          <w:szCs w:val="20"/>
          <w:color w:val="auto"/>
        </w:rPr>
      </w:pPr>
    </w:p>
    <w:p>
      <w:pPr>
        <w:ind w:left="1020" w:right="540"/>
        <w:spacing w:after="0" w:line="277" w:lineRule="auto"/>
        <w:rPr>
          <w:sz w:val="20"/>
          <w:szCs w:val="20"/>
          <w:color w:val="auto"/>
        </w:rPr>
      </w:pPr>
      <w:r>
        <w:rPr>
          <w:rFonts w:ascii="Arial" w:cs="Arial" w:eastAsia="Arial" w:hAnsi="Arial"/>
          <w:sz w:val="18"/>
          <w:szCs w:val="18"/>
          <w:color w:val="auto"/>
        </w:rPr>
        <w:t>with (a) - (d) to be as determined from the books and records of Avro and/or its Affiliate(s) and/or permitted Sublicensee(s), maintained in accordance with generally accepted accounting principles.</w:t>
      </w:r>
    </w:p>
    <w:p>
      <w:pPr>
        <w:spacing w:after="0" w:line="62" w:lineRule="exact"/>
        <w:rPr>
          <w:sz w:val="20"/>
          <w:szCs w:val="20"/>
          <w:color w:val="auto"/>
        </w:rPr>
      </w:pPr>
    </w:p>
    <w:p>
      <w:pPr>
        <w:ind w:left="1020" w:right="80" w:firstLine="379"/>
        <w:spacing w:after="0" w:line="264" w:lineRule="auto"/>
        <w:rPr>
          <w:sz w:val="20"/>
          <w:szCs w:val="20"/>
          <w:color w:val="auto"/>
        </w:rPr>
      </w:pPr>
      <w:r>
        <w:rPr>
          <w:rFonts w:ascii="Arial" w:cs="Arial" w:eastAsia="Arial" w:hAnsi="Arial"/>
          <w:sz w:val="18"/>
          <w:szCs w:val="18"/>
          <w:color w:val="auto"/>
        </w:rPr>
        <w:t>For the avoidance of doubt, transfers of a Licensed Product between any of Avro, an Affiliate or a Sublicensee for sale by the transferee shall not be considered Net Revenues hereunder. Net Sales shall not include transfers or dispositions for charitable, promotional, preclinical, clinical, regulatory, or governmental purposes.</w:t>
      </w:r>
    </w:p>
    <w:p>
      <w:pPr>
        <w:spacing w:after="0" w:line="73" w:lineRule="exact"/>
        <w:rPr>
          <w:sz w:val="20"/>
          <w:szCs w:val="20"/>
          <w:color w:val="auto"/>
        </w:rPr>
      </w:pPr>
    </w:p>
    <w:p>
      <w:pPr>
        <w:jc w:val="both"/>
        <w:ind w:left="1020" w:right="20" w:firstLine="379"/>
        <w:spacing w:after="0" w:line="286" w:lineRule="auto"/>
        <w:rPr>
          <w:sz w:val="20"/>
          <w:szCs w:val="20"/>
          <w:color w:val="auto"/>
        </w:rPr>
      </w:pPr>
      <w:r>
        <w:rPr>
          <w:rFonts w:ascii="Arial" w:cs="Arial" w:eastAsia="Arial" w:hAnsi="Arial"/>
          <w:sz w:val="17"/>
          <w:szCs w:val="17"/>
          <w:color w:val="auto"/>
        </w:rPr>
        <w:t>In the event that a Licensed Product is sold as a Combination Product, Net Revenues, for the purposes of determining royalty payments on the Combination Product, means the gross amount collected for the Combination Product less the deductions set forth in clauses (a)—(d) above, multiplied by a proration factor that is determined as follows:</w:t>
      </w:r>
    </w:p>
    <w:p>
      <w:pPr>
        <w:spacing w:after="0" w:line="57" w:lineRule="exact"/>
        <w:rPr>
          <w:sz w:val="20"/>
          <w:szCs w:val="20"/>
          <w:color w:val="auto"/>
        </w:rPr>
      </w:pPr>
    </w:p>
    <w:p>
      <w:pPr>
        <w:ind w:left="1020" w:right="200" w:firstLine="379"/>
        <w:spacing w:after="0" w:line="257" w:lineRule="auto"/>
        <w:rPr>
          <w:sz w:val="20"/>
          <w:szCs w:val="20"/>
          <w:color w:val="auto"/>
        </w:rPr>
      </w:pPr>
      <w:r>
        <w:rPr>
          <w:rFonts w:ascii="Arial" w:cs="Arial" w:eastAsia="Arial" w:hAnsi="Arial"/>
          <w:sz w:val="18"/>
          <w:szCs w:val="18"/>
          <w:color w:val="auto"/>
        </w:rPr>
        <w:t>If all components of the Combination Product were sold separately during the same or immediately preceding Quarterly Period, the proration factor shall be determined by the formula [A / (A+B)], where A is the average gross sales price of all Licensed Product components (as applicable) during such period when sold separately from the other component(s), and B is the average gross sales price of the other component(s) during such period when sold separately from the Licensed Product components (as applicable); or</w:t>
      </w:r>
    </w:p>
    <w:p>
      <w:pPr>
        <w:spacing w:after="0" w:line="80" w:lineRule="exact"/>
        <w:rPr>
          <w:sz w:val="20"/>
          <w:szCs w:val="20"/>
          <w:color w:val="auto"/>
        </w:rPr>
      </w:pPr>
    </w:p>
    <w:p>
      <w:pPr>
        <w:ind w:left="1020" w:right="20" w:firstLine="379"/>
        <w:spacing w:after="0" w:line="264" w:lineRule="auto"/>
        <w:rPr>
          <w:sz w:val="20"/>
          <w:szCs w:val="20"/>
          <w:color w:val="auto"/>
        </w:rPr>
      </w:pPr>
      <w:r>
        <w:rPr>
          <w:rFonts w:ascii="Arial" w:cs="Arial" w:eastAsia="Arial" w:hAnsi="Arial"/>
          <w:sz w:val="18"/>
          <w:szCs w:val="18"/>
          <w:color w:val="auto"/>
        </w:rPr>
        <w:t>If all components of the Combination Product were not sold or provided separately during the same or immediately preceding Quarterly Period, the proration factor shall be determined by the Parties in good faith negotiations based on the reasonably estimated commercial value or relative value contributed by each component.</w:t>
      </w:r>
    </w:p>
    <w:p>
      <w:pPr>
        <w:spacing w:after="0" w:line="83" w:lineRule="exact"/>
        <w:rPr>
          <w:sz w:val="20"/>
          <w:szCs w:val="20"/>
          <w:color w:val="auto"/>
        </w:rPr>
      </w:pPr>
    </w:p>
    <w:p>
      <w:pPr>
        <w:ind w:left="1020" w:right="8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1.1.41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Non-Exclusively Licensed Know-How</w:t>
      </w:r>
      <w:r>
        <w:rPr>
          <w:rFonts w:ascii="Arial" w:cs="Arial" w:eastAsia="Arial" w:hAnsi="Arial"/>
          <w:sz w:val="18"/>
          <w:szCs w:val="18"/>
          <w:color w:val="auto"/>
        </w:rPr>
        <w:t>” means (a) Fabry Non-Exclusive Know-How (b) any and all Improvements Know-How, and (c) any and all Know-How within the Licensed SRA IP.</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Notice</w:t>
      </w:r>
      <w:r>
        <w:rPr>
          <w:rFonts w:ascii="Arial" w:cs="Arial" w:eastAsia="Arial" w:hAnsi="Arial"/>
          <w:sz w:val="16"/>
          <w:szCs w:val="16"/>
          <w:color w:val="auto"/>
        </w:rPr>
        <w:t>(</w:t>
      </w:r>
      <w:r>
        <w:rPr>
          <w:rFonts w:ascii="Arial" w:cs="Arial" w:eastAsia="Arial" w:hAnsi="Arial"/>
          <w:sz w:val="16"/>
          <w:szCs w:val="16"/>
          <w:b w:val="1"/>
          <w:bCs w:val="1"/>
          <w:color w:val="auto"/>
        </w:rPr>
        <w:t>s</w:t>
      </w:r>
      <w:r>
        <w:rPr>
          <w:rFonts w:ascii="Arial" w:cs="Arial" w:eastAsia="Arial" w:hAnsi="Arial"/>
          <w:sz w:val="16"/>
          <w:szCs w:val="16"/>
          <w:color w:val="auto"/>
        </w:rPr>
        <w:t>)” shall have the meaning provided in Section 15.1.</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0"/>
          </w:cols>
          <w:pgMar w:left="1160" w:top="270" w:right="239" w:bottom="1440" w:gutter="0" w:footer="0" w:header="0"/>
        </w:sectPr>
      </w:pPr>
    </w:p>
    <w:bookmarkStart w:id="391" w:name="page392"/>
    <w:bookmarkEnd w:id="391"/>
    <w:tbl>
      <w:tblPr>
        <w:tblLayout w:type="fixed"/>
        <w:tblInd w:w="0" w:type="dxa"/>
        <w:tblCellMar>
          <w:top w:w="0" w:type="dxa"/>
          <w:left w:w="0" w:type="dxa"/>
          <w:bottom w:w="0" w:type="dxa"/>
          <w:right w:w="0" w:type="dxa"/>
        </w:tblCellMar>
      </w:tblPr>
      <w:tr>
        <w:trPr>
          <w:trHeight w:val="220"/>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1.1.43</w:t>
            </w:r>
          </w:p>
        </w:tc>
        <w:tc>
          <w:tcPr>
            <w:tcW w:w="9740" w:type="dxa"/>
            <w:vAlign w:val="bottom"/>
          </w:tcPr>
          <w:p>
            <w:pPr>
              <w:ind w:left="2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Option Term</w:t>
            </w:r>
            <w:r>
              <w:rPr>
                <w:rFonts w:ascii="Arial" w:cs="Arial" w:eastAsia="Arial" w:hAnsi="Arial"/>
                <w:sz w:val="18"/>
                <w:szCs w:val="18"/>
                <w:color w:val="auto"/>
                <w:w w:val="91"/>
              </w:rPr>
              <w:t>” means the period commencing on the Effective Date and ending on the [***] anniversary thereof, unless extended</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by the Parties in writing.</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1.1.44</w:t>
            </w: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Optioned Improvements Patents</w:t>
            </w:r>
            <w:r>
              <w:rPr>
                <w:rFonts w:ascii="Arial" w:cs="Arial" w:eastAsia="Arial" w:hAnsi="Arial"/>
                <w:sz w:val="18"/>
                <w:szCs w:val="18"/>
                <w:color w:val="auto"/>
                <w:w w:val="90"/>
              </w:rPr>
              <w:t>” means any and all Improvement Patents which the Parties have agreed to incorporate into this</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Agreement per Section 3.2.1, as further listed in Schedule “E” (or as may be amended from time to time).</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1.1.45</w:t>
            </w:r>
          </w:p>
        </w:tc>
        <w:tc>
          <w:tcPr>
            <w:tcW w:w="9740" w:type="dxa"/>
            <w:vAlign w:val="bottom"/>
          </w:tcPr>
          <w:p>
            <w:pPr>
              <w:ind w:left="28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Patent Rights</w:t>
            </w:r>
            <w:r>
              <w:rPr>
                <w:rFonts w:ascii="Arial" w:cs="Arial" w:eastAsia="Arial" w:hAnsi="Arial"/>
                <w:sz w:val="18"/>
                <w:szCs w:val="18"/>
                <w:color w:val="auto"/>
                <w:w w:val="98"/>
              </w:rPr>
              <w:t>” means all rights in, to and under any patent applications or patents, whether domestic or foreign, or any</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7"/>
              </w:rPr>
              <w:t>equivalent thereof, including all direct or indirect divisionals, continuations, continuations-in-part, reissues, reexaminations,</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supplemental protection certificates or extensions thereof, and any patent that issues on any of the foregoing.</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1.1.46</w:t>
            </w: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Patient Data</w:t>
            </w:r>
            <w:r>
              <w:rPr>
                <w:rFonts w:ascii="Arial" w:cs="Arial" w:eastAsia="Arial" w:hAnsi="Arial"/>
                <w:sz w:val="18"/>
                <w:szCs w:val="18"/>
                <w:color w:val="auto"/>
                <w:w w:val="95"/>
              </w:rPr>
              <w:t>” means any and all anonymized and de-identified clinical data, information, results and reports arising from the</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performance of the UHN Planned Trial (including, for clarity, all raw data, cleaned data, final data, data summaries, ‘Case Report</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Forms’ or such similar documents for the UHN Planned Trial).</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1.1.47</w:t>
            </w: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Person</w:t>
            </w:r>
            <w:r>
              <w:rPr>
                <w:rFonts w:ascii="Arial" w:cs="Arial" w:eastAsia="Arial" w:hAnsi="Arial"/>
                <w:sz w:val="18"/>
                <w:szCs w:val="18"/>
                <w:color w:val="auto"/>
                <w:w w:val="92"/>
              </w:rPr>
              <w:t>” includes any individual, corporation or other incorporated organization, sole proprietorship, partnership, unincorporated</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89"/>
              </w:rPr>
              <w:t>association, unincorporated syndicate, unincorporated organization, trust, body corporate and a natural person in his or her capacity</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as trustee, executor, administrator or other legal representative.</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1.1.48</w:t>
            </w: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Phase 1 Clinical Trial</w:t>
            </w:r>
            <w:r>
              <w:rPr>
                <w:rFonts w:ascii="Arial" w:cs="Arial" w:eastAsia="Arial" w:hAnsi="Arial"/>
                <w:sz w:val="18"/>
                <w:szCs w:val="18"/>
                <w:color w:val="auto"/>
                <w:w w:val="95"/>
              </w:rPr>
              <w:t>” means a human clinical trial of a Licensed Product that would satisfy the requirements of 21 C.F.R.</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312.21(a) or corresponding foreign regulations.</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1.1.49</w:t>
            </w: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Phase 2 Clinical Trial</w:t>
            </w:r>
            <w:r>
              <w:rPr>
                <w:rFonts w:ascii="Arial" w:cs="Arial" w:eastAsia="Arial" w:hAnsi="Arial"/>
                <w:sz w:val="18"/>
                <w:szCs w:val="18"/>
                <w:color w:val="auto"/>
                <w:w w:val="95"/>
              </w:rPr>
              <w:t>” means a human clinical trial of a Licensed Product that would satisfy the requirements of 21 C.F.R.</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312.21(b) or corresponding foreign regulations.</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1.1.50</w:t>
            </w: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Phase 3 Clinical Trial</w:t>
            </w:r>
            <w:r>
              <w:rPr>
                <w:rFonts w:ascii="Arial" w:cs="Arial" w:eastAsia="Arial" w:hAnsi="Arial"/>
                <w:sz w:val="18"/>
                <w:szCs w:val="18"/>
                <w:color w:val="auto"/>
                <w:w w:val="95"/>
              </w:rPr>
              <w:t>” means a human clinical trial of a Licensed Product that would satisfy the requirements of 21 C.F.R.</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312.21(c) or corresponding foreign regulations.</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1.1.51</w:t>
            </w: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Phase 2/3 Clinical Trial</w:t>
            </w:r>
            <w:r>
              <w:rPr>
                <w:rFonts w:ascii="Arial" w:cs="Arial" w:eastAsia="Arial" w:hAnsi="Arial"/>
                <w:sz w:val="18"/>
                <w:szCs w:val="18"/>
                <w:color w:val="auto"/>
                <w:w w:val="95"/>
              </w:rPr>
              <w:t>” means a human clinical trial of a Licensed Product that is not a Phase 2 Clinical Trial or a Phase 3</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Clinical Trial, but some combination thereof.</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1.1.52</w:t>
            </w:r>
          </w:p>
        </w:tc>
        <w:tc>
          <w:tcPr>
            <w:tcW w:w="9740" w:type="dxa"/>
            <w:vAlign w:val="bottom"/>
          </w:tcPr>
          <w:p>
            <w:pPr>
              <w:ind w:left="2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Pivotal Trial</w:t>
            </w:r>
            <w:r>
              <w:rPr>
                <w:rFonts w:ascii="Arial" w:cs="Arial" w:eastAsia="Arial" w:hAnsi="Arial"/>
                <w:sz w:val="18"/>
                <w:szCs w:val="18"/>
                <w:color w:val="auto"/>
                <w:w w:val="91"/>
              </w:rPr>
              <w:t>” means, with respect to any Licensed Product, a clinical trial that at the time of commencement, is intended by Avro</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to be the basis for Regulatory Approval with respect to clinical trials for such Licensed Product.</w:t>
            </w:r>
          </w:p>
        </w:tc>
      </w:tr>
      <w:tr>
        <w:trPr>
          <w:trHeight w:val="338"/>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1.1.53</w:t>
            </w:r>
          </w:p>
        </w:tc>
        <w:tc>
          <w:tcPr>
            <w:tcW w:w="9740" w:type="dxa"/>
            <w:vAlign w:val="bottom"/>
          </w:tcPr>
          <w:p>
            <w:pPr>
              <w:ind w:left="28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Principal Investigator</w:t>
            </w:r>
            <w:r>
              <w:rPr>
                <w:rFonts w:ascii="Arial" w:cs="Arial" w:eastAsia="Arial" w:hAnsi="Arial"/>
                <w:sz w:val="18"/>
                <w:szCs w:val="18"/>
                <w:color w:val="auto"/>
                <w:w w:val="96"/>
              </w:rPr>
              <w:t>” shall mean Dr. Jeffrey Medin in his appointment and capacity as affiliate scientist. For purposes of</w:t>
            </w:r>
          </w:p>
        </w:tc>
      </w:tr>
    </w:tbl>
    <w:p>
      <w:pPr>
        <w:ind w:left="1020" w:right="5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clarity, Dr. Medin shall not be considered a Principal Investigator under this Agreement as it pertains to his appointment and scientific research activities at the Medical College of Wisconsin.</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00"/>
          </w:cols>
          <w:pgMar w:left="1160" w:top="270" w:right="239" w:bottom="1440" w:gutter="0" w:footer="0" w:header="0"/>
        </w:sectPr>
      </w:pPr>
    </w:p>
    <w:bookmarkStart w:id="392" w:name="page393"/>
    <w:bookmarkEnd w:id="392"/>
    <w:p>
      <w:pPr>
        <w:ind w:left="1020" w:right="480" w:hanging="1025"/>
        <w:spacing w:after="0" w:line="261" w:lineRule="auto"/>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1.1.54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Quarterly Period</w:t>
      </w:r>
      <w:r>
        <w:rPr>
          <w:rFonts w:ascii="Arial" w:cs="Arial" w:eastAsia="Arial" w:hAnsi="Arial"/>
          <w:sz w:val="18"/>
          <w:szCs w:val="18"/>
          <w:color w:val="auto"/>
        </w:rPr>
        <w:t>” means each successive three (3) calendar month period during the Term ending March 31, June 30, September 30 and December 31. The first and last Quarterly Periods may be less than three (3) calendar months and will commence on the Effective Date of this Agreement and terminate on the date this Agreement expires or is earlier terminated, respectively.</w:t>
      </w:r>
    </w:p>
    <w:p>
      <w:pPr>
        <w:spacing w:after="0" w:line="8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Receiving Party</w:t>
      </w:r>
      <w:r>
        <w:rPr>
          <w:rFonts w:ascii="Arial" w:cs="Arial" w:eastAsia="Arial" w:hAnsi="Arial"/>
          <w:sz w:val="16"/>
          <w:szCs w:val="16"/>
          <w:color w:val="auto"/>
        </w:rPr>
        <w:t>” shall have the meaning provided in Section 1.1.10.</w:t>
      </w:r>
    </w:p>
    <w:p>
      <w:pPr>
        <w:spacing w:after="0" w:line="131" w:lineRule="exact"/>
        <w:rPr>
          <w:sz w:val="20"/>
          <w:szCs w:val="20"/>
          <w:color w:val="auto"/>
        </w:rPr>
      </w:pPr>
    </w:p>
    <w:p>
      <w:pPr>
        <w:ind w:left="1020" w:right="18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1.1.56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those clearances or approvals of a Regulatory Authority, with respect to any jurisdiction, that are legally required for the marketing or sale of Licensed Products in such jurisdiction.</w:t>
      </w:r>
    </w:p>
    <w:p>
      <w:pPr>
        <w:spacing w:after="0" w:line="67" w:lineRule="exact"/>
        <w:rPr>
          <w:sz w:val="20"/>
          <w:szCs w:val="20"/>
          <w:color w:val="auto"/>
        </w:rPr>
      </w:pPr>
    </w:p>
    <w:p>
      <w:pPr>
        <w:ind w:left="1020" w:right="180" w:hanging="1025"/>
        <w:spacing w:after="0" w:line="347" w:lineRule="auto"/>
        <w:tabs>
          <w:tab w:leader="none" w:pos="1000" w:val="left"/>
        </w:tabs>
        <w:rPr>
          <w:sz w:val="20"/>
          <w:szCs w:val="20"/>
          <w:color w:val="auto"/>
        </w:rPr>
      </w:pPr>
      <w:r>
        <w:rPr>
          <w:rFonts w:ascii="Arial" w:cs="Arial" w:eastAsia="Arial" w:hAnsi="Arial"/>
          <w:sz w:val="18"/>
          <w:szCs w:val="18"/>
          <w:b w:val="1"/>
          <w:bCs w:val="1"/>
          <w:color w:val="auto"/>
        </w:rPr>
        <w:t>1.1.57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Regulatory Authority</w:t>
      </w:r>
      <w:r>
        <w:rPr>
          <w:rFonts w:ascii="Arial" w:cs="Arial" w:eastAsia="Arial" w:hAnsi="Arial"/>
          <w:sz w:val="16"/>
          <w:szCs w:val="16"/>
          <w:color w:val="auto"/>
        </w:rPr>
        <w:t>” means any applicable government regulatory authority involved in granting clearances or approvals for the manufacturing or marketing of a Licensed Product, including, in the United States, the FDA, and in Canada, Health Canada.</w:t>
      </w:r>
    </w:p>
    <w:p>
      <w:pPr>
        <w:spacing w:after="0" w:line="22" w:lineRule="exact"/>
        <w:rPr>
          <w:sz w:val="20"/>
          <w:szCs w:val="20"/>
          <w:color w:val="auto"/>
        </w:rPr>
      </w:pPr>
    </w:p>
    <w:p>
      <w:pPr>
        <w:ind w:left="1020" w:right="100" w:hanging="1025"/>
        <w:spacing w:after="0" w:line="298" w:lineRule="auto"/>
        <w:tabs>
          <w:tab w:leader="none" w:pos="1000" w:val="left"/>
        </w:tabs>
        <w:rPr>
          <w:sz w:val="20"/>
          <w:szCs w:val="20"/>
          <w:color w:val="auto"/>
        </w:rPr>
      </w:pPr>
      <w:r>
        <w:rPr>
          <w:rFonts w:ascii="Arial" w:cs="Arial" w:eastAsia="Arial" w:hAnsi="Arial"/>
          <w:sz w:val="18"/>
          <w:szCs w:val="18"/>
          <w:b w:val="1"/>
          <w:bCs w:val="1"/>
          <w:color w:val="auto"/>
        </w:rPr>
        <w:t>1.1.58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Regulatory Exclusivity</w:t>
      </w:r>
      <w:r>
        <w:rPr>
          <w:rFonts w:ascii="Arial" w:cs="Arial" w:eastAsia="Arial" w:hAnsi="Arial"/>
          <w:sz w:val="16"/>
          <w:szCs w:val="16"/>
          <w:color w:val="auto"/>
        </w:rPr>
        <w:t>” means any exclusive marketing rights or data exclusivity rights conferred by any regulatory authority with respect to a Licensed Product other than patents, including, without limitation, rights conferred in the United States under the Hatch-Waxman Act or the FDA Modernization Act of 1997 (including pediatric exclusivity), orphan drug exclusivity, rights conferred in Canada under the Patented Medicines (Notice of Compliance) Regulation, the data protection provisions contained in the Food and Drug Regulations (Canada) or rights similar thereto outside the United States or Canada.</w:t>
      </w:r>
    </w:p>
    <w:p>
      <w:pPr>
        <w:spacing w:after="0" w:line="60" w:lineRule="exact"/>
        <w:rPr>
          <w:sz w:val="20"/>
          <w:szCs w:val="20"/>
          <w:color w:val="auto"/>
        </w:rPr>
      </w:pPr>
    </w:p>
    <w:p>
      <w:pPr>
        <w:ind w:left="1020" w:right="80" w:hanging="1025"/>
        <w:spacing w:after="0" w:line="281" w:lineRule="auto"/>
        <w:tabs>
          <w:tab w:leader="none" w:pos="1000" w:val="left"/>
        </w:tabs>
        <w:rPr>
          <w:sz w:val="20"/>
          <w:szCs w:val="20"/>
          <w:color w:val="auto"/>
        </w:rPr>
      </w:pPr>
      <w:r>
        <w:rPr>
          <w:rFonts w:ascii="Arial" w:cs="Arial" w:eastAsia="Arial" w:hAnsi="Arial"/>
          <w:sz w:val="18"/>
          <w:szCs w:val="18"/>
          <w:b w:val="1"/>
          <w:bCs w:val="1"/>
          <w:color w:val="auto"/>
        </w:rPr>
        <w:t>1.1.59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Regulatory Filing</w:t>
      </w:r>
      <w:r>
        <w:rPr>
          <w:rFonts w:ascii="Arial" w:cs="Arial" w:eastAsia="Arial" w:hAnsi="Arial"/>
          <w:sz w:val="17"/>
          <w:szCs w:val="17"/>
          <w:color w:val="auto"/>
        </w:rPr>
        <w:t>” means any documentation comprising or relating to or supporting any filing or application with any Regulatory Authority with respect to the UHN Planned Trial, including any documents submitted to any Regulatory Authority and all supporting data, including CTAs and INDs, and all correspondence with any Regulatory Authority with respect to the UHN Planned Trial (including minutes of any meetings, telephone conferences or discussions with any Regulatory Authority).</w:t>
      </w:r>
    </w:p>
    <w:p>
      <w:pPr>
        <w:spacing w:after="0" w:line="7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1.1.60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Representatives</w:t>
      </w:r>
      <w:r>
        <w:rPr>
          <w:rFonts w:ascii="Arial" w:cs="Arial" w:eastAsia="Arial" w:hAnsi="Arial"/>
          <w:sz w:val="16"/>
          <w:szCs w:val="16"/>
          <w:color w:val="auto"/>
        </w:rPr>
        <w:t>” shall have the meaning provided in Section 9.1.</w:t>
      </w:r>
    </w:p>
    <w:p>
      <w:pPr>
        <w:spacing w:after="0" w:line="131" w:lineRule="exact"/>
        <w:rPr>
          <w:sz w:val="20"/>
          <w:szCs w:val="20"/>
          <w:color w:val="auto"/>
        </w:rPr>
      </w:pPr>
    </w:p>
    <w:p>
      <w:pPr>
        <w:ind w:left="1020" w:right="60" w:hanging="1025"/>
        <w:spacing w:after="0" w:line="256" w:lineRule="auto"/>
        <w:tabs>
          <w:tab w:leader="none" w:pos="1000" w:val="left"/>
        </w:tabs>
        <w:rPr>
          <w:sz w:val="20"/>
          <w:szCs w:val="20"/>
          <w:color w:val="auto"/>
        </w:rPr>
      </w:pPr>
      <w:r>
        <w:rPr>
          <w:rFonts w:ascii="Arial" w:cs="Arial" w:eastAsia="Arial" w:hAnsi="Arial"/>
          <w:sz w:val="18"/>
          <w:szCs w:val="18"/>
          <w:b w:val="1"/>
          <w:bCs w:val="1"/>
          <w:color w:val="auto"/>
        </w:rPr>
        <w:t>1.1.61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Reviewed Sample Processing Data</w:t>
      </w:r>
      <w:r>
        <w:rPr>
          <w:rFonts w:ascii="Arial" w:cs="Arial" w:eastAsia="Arial" w:hAnsi="Arial"/>
          <w:sz w:val="18"/>
          <w:szCs w:val="18"/>
          <w:color w:val="auto"/>
        </w:rPr>
        <w:t>” means Sample Processing Data which UHN and/or UHN CRO have had in their possession for [***], irrespective of whether UHN Principal Investigator has reviewed such data. For greater certainty, the intent is that all Sample Processing Data is being sent by the Fabry Trial Team Institutions to UHN and UHN Principal Investigator concurrently. For greater certainty, investigator suspected adverse events are not separately identified within the Reviewed Sample Processing Data, but are reviewed in accordance with the Clinical Trial Protocol and reported to Avro in accordance with obligations as outlined in Sections 2.4.4 to 2.4.6.</w:t>
      </w:r>
    </w:p>
    <w:p>
      <w:pPr>
        <w:spacing w:after="0" w:line="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1.1.62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Royalties</w:t>
      </w:r>
      <w:r>
        <w:rPr>
          <w:rFonts w:ascii="Arial" w:cs="Arial" w:eastAsia="Arial" w:hAnsi="Arial"/>
          <w:sz w:val="16"/>
          <w:szCs w:val="16"/>
          <w:color w:val="auto"/>
        </w:rPr>
        <w:t>” shall have the meaning provided in Section 4.5.</w:t>
      </w:r>
    </w:p>
    <w:p>
      <w:pPr>
        <w:spacing w:after="0" w:line="131" w:lineRule="exact"/>
        <w:rPr>
          <w:sz w:val="20"/>
          <w:szCs w:val="20"/>
          <w:color w:val="auto"/>
        </w:rPr>
      </w:pPr>
    </w:p>
    <w:p>
      <w:pPr>
        <w:ind w:left="1020" w:right="160" w:hanging="1025"/>
        <w:spacing w:after="0" w:line="313" w:lineRule="auto"/>
        <w:tabs>
          <w:tab w:leader="none" w:pos="1000" w:val="left"/>
        </w:tabs>
        <w:rPr>
          <w:sz w:val="20"/>
          <w:szCs w:val="20"/>
          <w:color w:val="auto"/>
        </w:rPr>
      </w:pPr>
      <w:r>
        <w:rPr>
          <w:rFonts w:ascii="Arial" w:cs="Arial" w:eastAsia="Arial" w:hAnsi="Arial"/>
          <w:sz w:val="18"/>
          <w:szCs w:val="18"/>
          <w:b w:val="1"/>
          <w:bCs w:val="1"/>
          <w:color w:val="auto"/>
        </w:rPr>
        <w:t>1.1.63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Royalty Term</w:t>
      </w:r>
      <w:r>
        <w:rPr>
          <w:rFonts w:ascii="Arial" w:cs="Arial" w:eastAsia="Arial" w:hAnsi="Arial"/>
          <w:sz w:val="17"/>
          <w:szCs w:val="17"/>
          <w:color w:val="auto"/>
        </w:rPr>
        <w:t>” means, on a Licensed Product-by-Licensed Product basis, the period commencing on the First Commercial Sale of the Licensed Product and continuing on a country-by-country basis as to each Licensed Product until the</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00"/>
          </w:cols>
          <w:pgMar w:left="1160" w:top="269" w:right="239" w:bottom="1440" w:gutter="0" w:footer="0" w:header="0"/>
        </w:sectPr>
      </w:pPr>
    </w:p>
    <w:bookmarkStart w:id="393" w:name="page394"/>
    <w:bookmarkEnd w:id="393"/>
    <w:p>
      <w:pPr>
        <w:jc w:val="both"/>
        <w:ind w:left="102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later of (a) the expiration or termination of the last to expire Valid Claim within the Licensed Technology that covers such Licensed Product in such country, or (b) expiration of Regulatory Exclusivity for such Licensed Product in such country, or (c) ten (10) years from the date of First Commercial Sale of such Licensed Product in such country.</w:t>
      </w:r>
    </w:p>
    <w:p>
      <w:pPr>
        <w:spacing w:after="0" w:line="83" w:lineRule="exact"/>
        <w:rPr>
          <w:sz w:val="20"/>
          <w:szCs w:val="20"/>
          <w:color w:val="auto"/>
        </w:rPr>
      </w:pPr>
    </w:p>
    <w:p>
      <w:pPr>
        <w:ind w:left="1020" w:right="20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1.1.64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Sample Processing Data</w:t>
      </w:r>
      <w:r>
        <w:rPr>
          <w:rFonts w:ascii="Arial" w:cs="Arial" w:eastAsia="Arial" w:hAnsi="Arial"/>
          <w:sz w:val="18"/>
          <w:szCs w:val="18"/>
          <w:color w:val="auto"/>
        </w:rPr>
        <w:t>” means all Patient Data generated from testing patient samples by or on behalf of UHN in connection with the UHN Planned Trial and pursuant to the Clinical Trial Protocol.</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1.1.65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A Financing</w:t>
      </w:r>
      <w:r>
        <w:rPr>
          <w:rFonts w:ascii="Arial" w:cs="Arial" w:eastAsia="Arial" w:hAnsi="Arial"/>
          <w:sz w:val="16"/>
          <w:szCs w:val="16"/>
          <w:color w:val="auto"/>
        </w:rPr>
        <w:t>” means Avro’s Series A financing dated as of July 21, 2016.</w:t>
      </w:r>
    </w:p>
    <w:p>
      <w:pPr>
        <w:spacing w:after="0" w:line="13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B Financing</w:t>
      </w:r>
      <w:r>
        <w:rPr>
          <w:rFonts w:ascii="Arial" w:cs="Arial" w:eastAsia="Arial" w:hAnsi="Arial"/>
          <w:sz w:val="16"/>
          <w:szCs w:val="16"/>
          <w:color w:val="auto"/>
        </w:rPr>
        <w:t>” shall be Avro’s next round of financing after the Series A Financing.</w:t>
      </w:r>
    </w:p>
    <w:p>
      <w:pPr>
        <w:spacing w:after="0" w:line="13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Sponsored Research Agreement</w:t>
      </w:r>
      <w:r>
        <w:rPr>
          <w:rFonts w:ascii="Arial" w:cs="Arial" w:eastAsia="Arial" w:hAnsi="Arial"/>
          <w:sz w:val="16"/>
          <w:szCs w:val="16"/>
          <w:color w:val="auto"/>
        </w:rPr>
        <w:t>” or “</w:t>
      </w:r>
      <w:r>
        <w:rPr>
          <w:rFonts w:ascii="Arial" w:cs="Arial" w:eastAsia="Arial" w:hAnsi="Arial"/>
          <w:sz w:val="16"/>
          <w:szCs w:val="16"/>
          <w:b w:val="1"/>
          <w:bCs w:val="1"/>
          <w:color w:val="auto"/>
        </w:rPr>
        <w:t>SRA</w:t>
      </w:r>
      <w:r>
        <w:rPr>
          <w:rFonts w:ascii="Arial" w:cs="Arial" w:eastAsia="Arial" w:hAnsi="Arial"/>
          <w:sz w:val="16"/>
          <w:szCs w:val="16"/>
          <w:color w:val="auto"/>
        </w:rPr>
        <w:t>” means an agreement between UHN and Avro, by which Avro provides financial</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support to conduct specific and defined research at UHN that relates to the Field of Use, and the Parties agree is intended to fall</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under this Agreement. Sponsored Research Agreements will include the research activities to be conducted, a budget for the</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conduct of the research activities, the UHN investigator under whose direction or supervision the research is to be conducted</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SRA Investigator</w:t>
      </w:r>
      <w:r>
        <w:rPr>
          <w:rFonts w:ascii="Arial" w:cs="Arial" w:eastAsia="Arial" w:hAnsi="Arial"/>
          <w:sz w:val="16"/>
          <w:szCs w:val="16"/>
          <w:color w:val="auto"/>
        </w:rPr>
        <w:t>”), and appropriate UHN overhead charges per UHN policies and practices (which may be subject to a reduced</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overhead rate for UHN “spin-out” companies per UHN policy and practice).</w:t>
      </w:r>
    </w:p>
    <w:p>
      <w:pPr>
        <w:spacing w:after="0" w:line="112" w:lineRule="exact"/>
        <w:rPr>
          <w:sz w:val="20"/>
          <w:szCs w:val="20"/>
          <w:color w:val="auto"/>
        </w:rPr>
      </w:pPr>
    </w:p>
    <w:p>
      <w:pPr>
        <w:ind w:left="1020" w:right="200" w:hanging="1025"/>
        <w:spacing w:after="0" w:line="261" w:lineRule="auto"/>
        <w:tabs>
          <w:tab w:leader="none" w:pos="1000" w:val="left"/>
        </w:tabs>
        <w:rPr>
          <w:sz w:val="20"/>
          <w:szCs w:val="20"/>
          <w:color w:val="auto"/>
        </w:rPr>
      </w:pPr>
      <w:r>
        <w:rPr>
          <w:rFonts w:ascii="Arial" w:cs="Arial" w:eastAsia="Arial" w:hAnsi="Arial"/>
          <w:sz w:val="18"/>
          <w:szCs w:val="18"/>
          <w:b w:val="1"/>
          <w:bCs w:val="1"/>
          <w:color w:val="auto"/>
        </w:rPr>
        <w:t>1.1.68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SRA Intellectual Property</w:t>
      </w:r>
      <w:r>
        <w:rPr>
          <w:rFonts w:ascii="Arial" w:cs="Arial" w:eastAsia="Arial" w:hAnsi="Arial"/>
          <w:sz w:val="18"/>
          <w:szCs w:val="18"/>
          <w:color w:val="auto"/>
        </w:rPr>
        <w:t>” or “</w:t>
      </w:r>
      <w:r>
        <w:rPr>
          <w:rFonts w:ascii="Arial" w:cs="Arial" w:eastAsia="Arial" w:hAnsi="Arial"/>
          <w:sz w:val="18"/>
          <w:szCs w:val="18"/>
          <w:b w:val="1"/>
          <w:bCs w:val="1"/>
          <w:color w:val="auto"/>
        </w:rPr>
        <w:t>SRA IP</w:t>
      </w:r>
      <w:r>
        <w:rPr>
          <w:rFonts w:ascii="Arial" w:cs="Arial" w:eastAsia="Arial" w:hAnsi="Arial"/>
          <w:sz w:val="18"/>
          <w:szCs w:val="18"/>
          <w:color w:val="auto"/>
        </w:rPr>
        <w:t>” means any and all inventions, improvements, discoveries, and Know-How that are created, conceived, developed or reduced to practice in connection with or in performance of an SRA by the SRA Investigator or one or more employees or agents of UHN under the direction or supervision of the SRA Investigator, and any Patent Rights, copyrights or other intellectual property rights related thereto.</w:t>
      </w:r>
    </w:p>
    <w:p>
      <w:pPr>
        <w:spacing w:after="0" w:line="8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Sublicensee</w:t>
      </w:r>
      <w:r>
        <w:rPr>
          <w:rFonts w:ascii="Arial" w:cs="Arial" w:eastAsia="Arial" w:hAnsi="Arial"/>
          <w:sz w:val="16"/>
          <w:szCs w:val="16"/>
          <w:color w:val="auto"/>
        </w:rPr>
        <w:t>(</w:t>
      </w:r>
      <w:r>
        <w:rPr>
          <w:rFonts w:ascii="Arial" w:cs="Arial" w:eastAsia="Arial" w:hAnsi="Arial"/>
          <w:sz w:val="16"/>
          <w:szCs w:val="16"/>
          <w:b w:val="1"/>
          <w:bCs w:val="1"/>
          <w:color w:val="auto"/>
        </w:rPr>
        <w:t>s</w:t>
      </w:r>
      <w:r>
        <w:rPr>
          <w:rFonts w:ascii="Arial" w:cs="Arial" w:eastAsia="Arial" w:hAnsi="Arial"/>
          <w:sz w:val="16"/>
          <w:szCs w:val="16"/>
          <w:color w:val="auto"/>
        </w:rPr>
        <w:t>)” means any non-Affiliate sublicensee of the rights granted by Avro pursuant to Section 2.3.</w:t>
      </w:r>
    </w:p>
    <w:p>
      <w:pPr>
        <w:spacing w:after="0" w:line="131" w:lineRule="exact"/>
        <w:rPr>
          <w:sz w:val="20"/>
          <w:szCs w:val="20"/>
          <w:color w:val="auto"/>
        </w:rPr>
      </w:pPr>
    </w:p>
    <w:p>
      <w:pPr>
        <w:ind w:left="1020" w:right="100" w:hanging="1025"/>
        <w:spacing w:after="0" w:line="286" w:lineRule="auto"/>
        <w:tabs>
          <w:tab w:leader="none" w:pos="1000" w:val="left"/>
        </w:tabs>
        <w:rPr>
          <w:sz w:val="20"/>
          <w:szCs w:val="20"/>
          <w:color w:val="auto"/>
        </w:rPr>
      </w:pPr>
      <w:r>
        <w:rPr>
          <w:rFonts w:ascii="Arial" w:cs="Arial" w:eastAsia="Arial" w:hAnsi="Arial"/>
          <w:sz w:val="18"/>
          <w:szCs w:val="18"/>
          <w:b w:val="1"/>
          <w:bCs w:val="1"/>
          <w:color w:val="auto"/>
        </w:rPr>
        <w:t>1.1.70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Sublicensing Revenue</w:t>
      </w:r>
      <w:r>
        <w:rPr>
          <w:rFonts w:ascii="Arial" w:cs="Arial" w:eastAsia="Arial" w:hAnsi="Arial"/>
          <w:sz w:val="16"/>
          <w:szCs w:val="16"/>
          <w:color w:val="auto"/>
        </w:rPr>
        <w:t>” means, all consideration received by Avro or its Affiliate(s) from Sublicensees in consideration for sublicensing of Licensed Technology to such Sublicensees by Avro or its Affiliate(s), but excluding (a) amounts for research, development, or commercialization activities with respect to the Licensed Products or Licensed Technology (including, without limitation, payment for FTEs), (b) any loans, equity or debt investments in Avro or its Affiliates, (c) payments by Sublicensees for payment or reimbursement of patent filing, prosecution, defense, enforcement and maintenance and other related expenses, and</w:t>
      </w:r>
    </w:p>
    <w:p>
      <w:pPr>
        <w:spacing w:after="0" w:line="2" w:lineRule="exact"/>
        <w:rPr>
          <w:sz w:val="20"/>
          <w:szCs w:val="20"/>
          <w:color w:val="auto"/>
        </w:rPr>
      </w:pPr>
    </w:p>
    <w:p>
      <w:pPr>
        <w:jc w:val="both"/>
        <w:ind w:left="1020" w:right="240" w:hanging="1"/>
        <w:spacing w:after="0" w:line="273" w:lineRule="auto"/>
        <w:tabs>
          <w:tab w:leader="none" w:pos="1275" w:val="left"/>
        </w:tabs>
        <w:numPr>
          <w:ilvl w:val="0"/>
          <w:numId w:val="284"/>
        </w:numPr>
        <w:rPr>
          <w:rFonts w:ascii="Arial" w:cs="Arial" w:eastAsia="Arial" w:hAnsi="Arial"/>
          <w:sz w:val="17"/>
          <w:szCs w:val="17"/>
          <w:color w:val="auto"/>
        </w:rPr>
      </w:pPr>
      <w:r>
        <w:rPr>
          <w:rFonts w:ascii="Arial" w:cs="Arial" w:eastAsia="Arial" w:hAnsi="Arial"/>
          <w:sz w:val="17"/>
          <w:szCs w:val="17"/>
          <w:color w:val="auto"/>
        </w:rPr>
        <w:t>monies received as flow through royalty payments pursuant to Section 4.5. Notwithstanding the foregoing, exclusions under any of (a) and (b) are only excluded to the extent such remuneration is a bona fide payment in respect of such matters, and is not being made in order to reallocate what is otherwise intended to be upfront payments, milestones and royalties. For clarity, a License Transfer Fee shall not be deemed to be Sublicensing Revenue.</w:t>
      </w:r>
    </w:p>
    <w:p>
      <w:pPr>
        <w:spacing w:after="0" w:line="109" w:lineRule="exact"/>
        <w:rPr>
          <w:rFonts w:ascii="Arial" w:cs="Arial" w:eastAsia="Arial" w:hAnsi="Arial"/>
          <w:sz w:val="17"/>
          <w:szCs w:val="17"/>
          <w:color w:val="auto"/>
        </w:rPr>
      </w:pPr>
    </w:p>
    <w:p>
      <w:pPr>
        <w:ind w:left="7720" w:hanging="323"/>
        <w:spacing w:after="0"/>
        <w:tabs>
          <w:tab w:leader="none" w:pos="772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Confidential Treatment Requested ***</w:t>
      </w:r>
    </w:p>
    <w:p>
      <w:pPr>
        <w:spacing w:after="0" w:line="200" w:lineRule="exact"/>
        <w:rPr>
          <w:sz w:val="20"/>
          <w:szCs w:val="20"/>
          <w:color w:val="auto"/>
        </w:rPr>
      </w:pPr>
    </w:p>
    <w:p>
      <w:pPr>
        <w:spacing w:after="0" w:line="29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00"/>
          </w:cols>
          <w:pgMar w:left="1160" w:top="274" w:right="239" w:bottom="1440" w:gutter="0" w:footer="0" w:header="0"/>
        </w:sectPr>
      </w:pPr>
    </w:p>
    <w:bookmarkStart w:id="394" w:name="page395"/>
    <w:bookmarkEnd w:id="394"/>
    <w:p>
      <w:pPr>
        <w:ind w:left="920"/>
        <w:spacing w:after="0"/>
        <w:tabs>
          <w:tab w:leader="none" w:pos="1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Sublicensing Fee</w:t>
      </w:r>
      <w:r>
        <w:rPr>
          <w:rFonts w:ascii="Arial" w:cs="Arial" w:eastAsia="Arial" w:hAnsi="Arial"/>
          <w:sz w:val="16"/>
          <w:szCs w:val="16"/>
          <w:color w:val="auto"/>
        </w:rPr>
        <w:t>” shall have the meaning provided in Section 4.6.</w:t>
      </w:r>
    </w:p>
    <w:p>
      <w:pPr>
        <w:spacing w:after="0" w:line="131"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1.1.72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shall have the meaning provided in Section 11.1.</w:t>
      </w:r>
    </w:p>
    <w:p>
      <w:pPr>
        <w:spacing w:after="0" w:line="131"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1.1.73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the world.</w:t>
      </w:r>
    </w:p>
    <w:p>
      <w:pPr>
        <w:spacing w:after="0" w:line="131"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1.1.74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 Person other than a Party or its Affiliates.</w:t>
      </w:r>
    </w:p>
    <w:p>
      <w:pPr>
        <w:spacing w:after="0" w:line="131"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1.1.75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TMPK</w:t>
      </w:r>
      <w:r>
        <w:rPr>
          <w:rFonts w:ascii="Arial" w:cs="Arial" w:eastAsia="Arial" w:hAnsi="Arial"/>
          <w:sz w:val="18"/>
          <w:szCs w:val="18"/>
          <w:color w:val="auto"/>
        </w:rPr>
        <w:t>” [***].</w:t>
      </w:r>
    </w:p>
    <w:p>
      <w:pPr>
        <w:spacing w:after="0" w:line="131" w:lineRule="exact"/>
        <w:rPr>
          <w:sz w:val="20"/>
          <w:szCs w:val="20"/>
          <w:color w:val="auto"/>
        </w:rPr>
      </w:pPr>
    </w:p>
    <w:p>
      <w:pPr>
        <w:ind w:left="1940" w:right="80" w:hanging="1025"/>
        <w:spacing w:after="0" w:line="282" w:lineRule="auto"/>
        <w:tabs>
          <w:tab w:leader="none" w:pos="1920" w:val="left"/>
        </w:tabs>
        <w:rPr>
          <w:sz w:val="20"/>
          <w:szCs w:val="20"/>
          <w:color w:val="auto"/>
        </w:rPr>
      </w:pPr>
      <w:r>
        <w:rPr>
          <w:rFonts w:ascii="Arial" w:cs="Arial" w:eastAsia="Arial" w:hAnsi="Arial"/>
          <w:sz w:val="18"/>
          <w:szCs w:val="18"/>
          <w:b w:val="1"/>
          <w:bCs w:val="1"/>
          <w:color w:val="auto"/>
        </w:rPr>
        <w:t>1.1.76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UHN CRO</w:t>
      </w:r>
      <w:r>
        <w:rPr>
          <w:rFonts w:ascii="Arial" w:cs="Arial" w:eastAsia="Arial" w:hAnsi="Arial"/>
          <w:sz w:val="18"/>
          <w:szCs w:val="18"/>
          <w:color w:val="auto"/>
        </w:rPr>
        <w:t>” means a contract research organization acting on behalf of UHN for purposes of providing management services for the UHN Planned Trial. As of the Effective Date, the UHN CRO is Ozmosis Research Inc. (“Ozmosis”).</w:t>
      </w:r>
    </w:p>
    <w:p>
      <w:pPr>
        <w:spacing w:after="0" w:line="67"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1.1.77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UHN Indemnitees</w:t>
      </w:r>
      <w:r>
        <w:rPr>
          <w:rFonts w:ascii="Arial" w:cs="Arial" w:eastAsia="Arial" w:hAnsi="Arial"/>
          <w:sz w:val="16"/>
          <w:szCs w:val="16"/>
          <w:color w:val="auto"/>
        </w:rPr>
        <w:t>” shall have the meaning provided in Section 12.1.</w:t>
      </w:r>
    </w:p>
    <w:p>
      <w:pPr>
        <w:spacing w:after="0" w:line="131" w:lineRule="exact"/>
        <w:rPr>
          <w:sz w:val="20"/>
          <w:szCs w:val="20"/>
          <w:color w:val="auto"/>
        </w:rPr>
      </w:pPr>
    </w:p>
    <w:p>
      <w:pPr>
        <w:ind w:left="1940" w:right="60" w:hanging="1025"/>
        <w:spacing w:after="0" w:line="277" w:lineRule="auto"/>
        <w:tabs>
          <w:tab w:leader="none" w:pos="1920" w:val="left"/>
        </w:tabs>
        <w:rPr>
          <w:sz w:val="20"/>
          <w:szCs w:val="20"/>
          <w:color w:val="auto"/>
        </w:rPr>
      </w:pPr>
      <w:r>
        <w:rPr>
          <w:rFonts w:ascii="Arial" w:cs="Arial" w:eastAsia="Arial" w:hAnsi="Arial"/>
          <w:sz w:val="18"/>
          <w:szCs w:val="18"/>
          <w:b w:val="1"/>
          <w:bCs w:val="1"/>
          <w:color w:val="auto"/>
        </w:rPr>
        <w:t>1.1.78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UHN Planned Trial</w:t>
      </w:r>
      <w:r>
        <w:rPr>
          <w:rFonts w:ascii="Arial" w:cs="Arial" w:eastAsia="Arial" w:hAnsi="Arial"/>
          <w:sz w:val="17"/>
          <w:szCs w:val="17"/>
          <w:color w:val="auto"/>
        </w:rPr>
        <w:t>” is the Phase 1 Clinical Trial entitled Clinical Pilot Study of Autologous Stem Cell Transplantation of CD34+ Cells Engineered to Express Alpha-Galactosidase A in Patients with Fabry Disease and is conducted under the direction or supervision of the Principal Investigator. For purposes of this Agreement, the UHN Planned Trial is currently described in the Clinical Trial Protocol as a clinical trial that will enroll and dose six (6) patients and will consist of four phases, the screening phase, the pre-treatment phase, the treatment phase and a five year follow-up phase.</w:t>
      </w:r>
    </w:p>
    <w:p>
      <w:pPr>
        <w:spacing w:after="0" w:line="74" w:lineRule="exact"/>
        <w:rPr>
          <w:sz w:val="20"/>
          <w:szCs w:val="20"/>
          <w:color w:val="auto"/>
        </w:rPr>
      </w:pPr>
    </w:p>
    <w:p>
      <w:pPr>
        <w:ind w:left="1940" w:right="60" w:hanging="1025"/>
        <w:spacing w:after="0" w:line="290" w:lineRule="auto"/>
        <w:tabs>
          <w:tab w:leader="none" w:pos="1920" w:val="left"/>
        </w:tabs>
        <w:rPr>
          <w:sz w:val="20"/>
          <w:szCs w:val="20"/>
          <w:color w:val="auto"/>
        </w:rPr>
      </w:pPr>
      <w:r>
        <w:rPr>
          <w:rFonts w:ascii="Arial" w:cs="Arial" w:eastAsia="Arial" w:hAnsi="Arial"/>
          <w:sz w:val="18"/>
          <w:szCs w:val="18"/>
          <w:b w:val="1"/>
          <w:bCs w:val="1"/>
          <w:color w:val="auto"/>
        </w:rPr>
        <w:t>1.1.79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on a country-by-country basis, (a) a claim of an issued and unexpired patent which has not been revoked or held unenforceable or invalid by a decision of a court or other governmental agency of competent jurisdiction, unappealable or unappealed within the time allowed for appeal, and which has not been admitted to be invalid or unenforceable through reissue or disclaimer or otherwise, or (b) a claim of a pending patent application that was filed and has been prosecuted in good faith and has not been (i) cancelled, withdrawn, abandoned or finally disallowed without the possibility of appeal or refiling of such application, or (ii) (A) pending for more than [***] since such claim was first presented or (B) is the result of amending another claim pending for more than [***] (either in the same application or in another application in the same jurisdiction) so as to add or delete an obvious limitation, so as to make a trivial or nonsubstantive change, or so as to change a matter of form; except that any claim that becomes invalid pursuant to (ii)(A), or (ii)(B), and later issues, shall be considered a Valid Claim from the date of issuance.</w:t>
      </w:r>
    </w:p>
    <w:p>
      <w:pPr>
        <w:spacing w:after="0" w:line="65" w:lineRule="exact"/>
        <w:rPr>
          <w:sz w:val="20"/>
          <w:szCs w:val="20"/>
          <w:color w:val="auto"/>
        </w:rPr>
      </w:pPr>
    </w:p>
    <w:p>
      <w:pPr>
        <w:ind w:left="1940" w:right="140" w:hanging="1025"/>
        <w:spacing w:after="0" w:line="282" w:lineRule="auto"/>
        <w:tabs>
          <w:tab w:leader="none" w:pos="1920" w:val="left"/>
        </w:tabs>
        <w:rPr>
          <w:sz w:val="20"/>
          <w:szCs w:val="20"/>
          <w:color w:val="auto"/>
        </w:rPr>
      </w:pPr>
      <w:r>
        <w:rPr>
          <w:rFonts w:ascii="Arial" w:cs="Arial" w:eastAsia="Arial" w:hAnsi="Arial"/>
          <w:sz w:val="18"/>
          <w:szCs w:val="18"/>
          <w:b w:val="1"/>
          <w:bCs w:val="1"/>
          <w:color w:val="auto"/>
        </w:rPr>
        <w:t>1.1.80</w:t>
      </w:r>
      <w:r>
        <w:rPr>
          <w:sz w:val="20"/>
          <w:szCs w:val="20"/>
          <w:color w:val="auto"/>
        </w:rPr>
        <w:tab/>
      </w:r>
      <w:r>
        <w:rPr>
          <w:rFonts w:ascii="Arial" w:cs="Arial" w:eastAsia="Arial" w:hAnsi="Arial"/>
          <w:sz w:val="18"/>
          <w:szCs w:val="18"/>
          <w:b w:val="1"/>
          <w:bCs w:val="1"/>
          <w:color w:val="auto"/>
        </w:rPr>
        <w:t>Other Defined Terms</w:t>
      </w:r>
      <w:r>
        <w:rPr>
          <w:rFonts w:ascii="Arial" w:cs="Arial" w:eastAsia="Arial" w:hAnsi="Arial"/>
          <w:sz w:val="18"/>
          <w:szCs w:val="18"/>
          <w:color w:val="auto"/>
        </w:rPr>
        <w:t>. All other defined terms in this Agreement shall have the meanings as otherwise specifically set out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body of this Agreement.</w:t>
      </w:r>
    </w:p>
    <w:p>
      <w:pPr>
        <w:spacing w:after="0" w:line="67" w:lineRule="exact"/>
        <w:rPr>
          <w:sz w:val="20"/>
          <w:szCs w:val="20"/>
          <w:color w:val="auto"/>
        </w:rPr>
      </w:pPr>
    </w:p>
    <w:p>
      <w:pPr>
        <w:ind w:left="920" w:right="120" w:hanging="904"/>
        <w:spacing w:after="0" w:line="289" w:lineRule="auto"/>
        <w:tabs>
          <w:tab w:leader="none" w:pos="9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Sections and Headings</w:t>
      </w:r>
      <w:r>
        <w:rPr>
          <w:rFonts w:ascii="Arial" w:cs="Arial" w:eastAsia="Arial" w:hAnsi="Arial"/>
          <w:sz w:val="17"/>
          <w:szCs w:val="17"/>
          <w:color w:val="auto"/>
        </w:rPr>
        <w:t>. The division of this Agreement into Articles, Sections and Subsections and the insertion of headings are for reference</w:t>
      </w:r>
      <w:r>
        <w:rPr>
          <w:rFonts w:ascii="Arial" w:cs="Arial" w:eastAsia="Arial" w:hAnsi="Arial"/>
          <w:sz w:val="17"/>
          <w:szCs w:val="17"/>
          <w:b w:val="1"/>
          <w:bCs w:val="1"/>
          <w:color w:val="auto"/>
        </w:rPr>
        <w:t xml:space="preserve"> </w:t>
      </w:r>
      <w:r>
        <w:rPr>
          <w:rFonts w:ascii="Arial" w:cs="Arial" w:eastAsia="Arial" w:hAnsi="Arial"/>
          <w:sz w:val="17"/>
          <w:szCs w:val="17"/>
          <w:color w:val="auto"/>
        </w:rPr>
        <w:t>purposes only and shall not affect the interpretation of this Agreement. Unless otherwise indicated, any reference to a particular Article, Section, clause or Schedule refers to the specified Article, Section or clause of, or Schedule to, this Agreement.</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395" w:name="page396"/>
    <w:bookmarkEnd w:id="395"/>
    <w:tbl>
      <w:tblPr>
        <w:tblLayout w:type="fixed"/>
        <w:tblInd w:w="0" w:type="dxa"/>
        <w:tblCellMar>
          <w:top w:w="0" w:type="dxa"/>
          <w:left w:w="0" w:type="dxa"/>
          <w:bottom w:w="0" w:type="dxa"/>
          <w:right w:w="0" w:type="dxa"/>
        </w:tblCellMar>
      </w:tblPr>
      <w:tr>
        <w:trPr>
          <w:trHeight w:val="220"/>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1.3</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Number</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Gender and Persons</w:t>
            </w:r>
            <w:r>
              <w:rPr>
                <w:rFonts w:ascii="Arial" w:cs="Arial" w:eastAsia="Arial" w:hAnsi="Arial"/>
                <w:sz w:val="18"/>
                <w:szCs w:val="18"/>
                <w:color w:val="auto"/>
                <w:w w:val="91"/>
              </w:rPr>
              <w:t>. In this Agreement, words importing the singular number shall include the plural and vice versa, words importing</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8"/>
              </w:rPr>
              <w:t>gender shall include all genders and words importing persons shall include individuals, corporations, partnerships, associations, trusts,</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unincorporated organizations, governmental bodies and other legal or business entities.</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1.4</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Currency</w:t>
            </w:r>
            <w:r>
              <w:rPr>
                <w:rFonts w:ascii="Arial" w:cs="Arial" w:eastAsia="Arial" w:hAnsi="Arial"/>
                <w:sz w:val="18"/>
                <w:szCs w:val="18"/>
                <w:color w:val="auto"/>
              </w:rPr>
              <w:t>. All monetary amounts in this Agreement are in Canadian funds.</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1.5</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Schedules</w:t>
            </w:r>
            <w:r>
              <w:rPr>
                <w:rFonts w:ascii="Arial" w:cs="Arial" w:eastAsia="Arial" w:hAnsi="Arial"/>
                <w:sz w:val="18"/>
                <w:szCs w:val="18"/>
                <w:color w:val="auto"/>
              </w:rPr>
              <w:t>. The following Schedules are annexed to and form part of this Agreement:</w:t>
            </w:r>
          </w:p>
        </w:tc>
      </w:tr>
      <w:tr>
        <w:trPr>
          <w:trHeight w:val="324"/>
        </w:trPr>
        <w:tc>
          <w:tcPr>
            <w:tcW w:w="580" w:type="dxa"/>
            <w:vAlign w:val="bottom"/>
          </w:tcPr>
          <w:p>
            <w:pPr>
              <w:spacing w:after="0"/>
              <w:rPr>
                <w:sz w:val="24"/>
                <w:szCs w:val="24"/>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Schedule “A” and Schedule “B” Fabry Know-How (as may be updated from time to time as dictated herein)</w:t>
            </w:r>
          </w:p>
        </w:tc>
      </w:tr>
      <w:tr>
        <w:trPr>
          <w:trHeight w:val="324"/>
        </w:trPr>
        <w:tc>
          <w:tcPr>
            <w:tcW w:w="580" w:type="dxa"/>
            <w:vAlign w:val="bottom"/>
          </w:tcPr>
          <w:p>
            <w:pPr>
              <w:spacing w:after="0"/>
              <w:rPr>
                <w:sz w:val="24"/>
                <w:szCs w:val="24"/>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Schedule “C” - Fabry Patents (as may be updated from time to time)</w:t>
            </w:r>
          </w:p>
        </w:tc>
      </w:tr>
      <w:tr>
        <w:trPr>
          <w:trHeight w:val="310"/>
        </w:trPr>
        <w:tc>
          <w:tcPr>
            <w:tcW w:w="580" w:type="dxa"/>
            <w:vAlign w:val="bottom"/>
          </w:tcPr>
          <w:p>
            <w:pPr>
              <w:spacing w:after="0"/>
              <w:rPr>
                <w:sz w:val="24"/>
                <w:szCs w:val="24"/>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1"/>
              </w:rPr>
              <w:t>Schedule “D” - Licensed SRA IP (as may be updated from time to time) Schedule “E”—Optioned Improvement Patents (as may be updated from</w:t>
            </w:r>
          </w:p>
        </w:tc>
      </w:tr>
      <w:tr>
        <w:trPr>
          <w:trHeight w:val="230"/>
        </w:trPr>
        <w:tc>
          <w:tcPr>
            <w:tcW w:w="580" w:type="dxa"/>
            <w:vAlign w:val="bottom"/>
          </w:tcPr>
          <w:p>
            <w:pPr>
              <w:spacing w:after="0"/>
              <w:rPr>
                <w:sz w:val="20"/>
                <w:szCs w:val="20"/>
                <w:color w:val="auto"/>
              </w:rPr>
            </w:pPr>
          </w:p>
        </w:tc>
        <w:tc>
          <w:tcPr>
            <w:tcW w:w="1340" w:type="dxa"/>
            <w:vAlign w:val="bottom"/>
          </w:tcPr>
          <w:p>
            <w:pPr>
              <w:ind w:left="340"/>
              <w:spacing w:after="0"/>
              <w:rPr>
                <w:sz w:val="20"/>
                <w:szCs w:val="20"/>
                <w:color w:val="auto"/>
              </w:rPr>
            </w:pPr>
            <w:r>
              <w:rPr>
                <w:rFonts w:ascii="Arial" w:cs="Arial" w:eastAsia="Arial" w:hAnsi="Arial"/>
                <w:sz w:val="18"/>
                <w:szCs w:val="18"/>
                <w:color w:val="auto"/>
                <w:w w:val="94"/>
              </w:rPr>
              <w:t>time to time).</w:t>
            </w:r>
          </w:p>
        </w:tc>
        <w:tc>
          <w:tcPr>
            <w:tcW w:w="9500" w:type="dxa"/>
            <w:vAlign w:val="bottom"/>
          </w:tcPr>
          <w:p>
            <w:pPr>
              <w:spacing w:after="0"/>
              <w:rPr>
                <w:sz w:val="20"/>
                <w:szCs w:val="20"/>
                <w:color w:val="auto"/>
              </w:rPr>
            </w:pP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1.6</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2"/>
              </w:rPr>
              <w:t>Accounting Principles</w:t>
            </w:r>
            <w:r>
              <w:rPr>
                <w:rFonts w:ascii="Arial" w:cs="Arial" w:eastAsia="Arial" w:hAnsi="Arial"/>
                <w:sz w:val="18"/>
                <w:szCs w:val="18"/>
                <w:color w:val="auto"/>
                <w:w w:val="92"/>
              </w:rPr>
              <w:t>. Any reference in this Agreement to “generally accepted accounting principles” refers to generally accepted accounting</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1"/>
              </w:rPr>
              <w:t>principles as approved from time to time by the Canadian Institute of Chartered Accountants or any successor institute, U.S. generally accepted</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accounting principles, or International Financial Reporting Standards.</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1.7</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5"/>
              </w:rPr>
              <w:t>Best of Knowledge</w:t>
            </w:r>
            <w:r>
              <w:rPr>
                <w:rFonts w:ascii="Arial" w:cs="Arial" w:eastAsia="Arial" w:hAnsi="Arial"/>
                <w:sz w:val="18"/>
                <w:szCs w:val="18"/>
                <w:color w:val="auto"/>
                <w:w w:val="95"/>
              </w:rPr>
              <w:t>. “To the best of the knowledge” or “to the knowledge”, unless otherwise qualified hereunder means a statement of the</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0"/>
              </w:rPr>
              <w:t>declaring Party’s knowledge of the actual facts or circumstances to which such phrase relates without having made any inquiries or investigations</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in connection with such facts and/or circumstances.</w:t>
            </w:r>
          </w:p>
        </w:tc>
      </w:tr>
      <w:tr>
        <w:trPr>
          <w:trHeight w:val="648"/>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500" w:type="dxa"/>
            <w:vAlign w:val="bottom"/>
          </w:tcPr>
          <w:p>
            <w:pPr>
              <w:ind w:left="2400"/>
              <w:spacing w:after="0"/>
              <w:rPr>
                <w:sz w:val="20"/>
                <w:szCs w:val="20"/>
                <w:color w:val="auto"/>
              </w:rPr>
            </w:pPr>
            <w:r>
              <w:rPr>
                <w:rFonts w:ascii="Arial" w:cs="Arial" w:eastAsia="Arial" w:hAnsi="Arial"/>
                <w:sz w:val="18"/>
                <w:szCs w:val="18"/>
                <w:b w:val="1"/>
                <w:bCs w:val="1"/>
                <w:color w:val="auto"/>
              </w:rPr>
              <w:t>ARTICLE 2 - GRANT OF RIGHTS</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2.1</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License Grant</w:t>
            </w:r>
            <w:r>
              <w:rPr>
                <w:rFonts w:ascii="Arial" w:cs="Arial" w:eastAsia="Arial" w:hAnsi="Arial"/>
                <w:sz w:val="18"/>
                <w:szCs w:val="18"/>
                <w:color w:val="auto"/>
              </w:rPr>
              <w:t>. UHN hereby grants to Avro and its Affiliates during the Term (collectively, the “</w:t>
            </w:r>
            <w:r>
              <w:rPr>
                <w:rFonts w:ascii="Arial" w:cs="Arial" w:eastAsia="Arial" w:hAnsi="Arial"/>
                <w:sz w:val="18"/>
                <w:szCs w:val="18"/>
                <w:b w:val="1"/>
                <w:bCs w:val="1"/>
                <w:color w:val="auto"/>
              </w:rPr>
              <w:t>License</w:t>
            </w:r>
            <w:r>
              <w:rPr>
                <w:rFonts w:ascii="Arial" w:cs="Arial" w:eastAsia="Arial" w:hAnsi="Arial"/>
                <w:sz w:val="18"/>
                <w:szCs w:val="18"/>
                <w:color w:val="auto"/>
              </w:rPr>
              <w:t>”).</w:t>
            </w:r>
          </w:p>
        </w:tc>
      </w:tr>
      <w:tr>
        <w:trPr>
          <w:trHeight w:val="323"/>
        </w:trPr>
        <w:tc>
          <w:tcPr>
            <w:tcW w:w="580" w:type="dxa"/>
            <w:vAlign w:val="bottom"/>
          </w:tcPr>
          <w:p>
            <w:pPr>
              <w:spacing w:after="0"/>
              <w:rPr>
                <w:sz w:val="24"/>
                <w:szCs w:val="24"/>
                <w:color w:val="auto"/>
              </w:rPr>
            </w:pPr>
          </w:p>
        </w:tc>
        <w:tc>
          <w:tcPr>
            <w:tcW w:w="1340" w:type="dxa"/>
            <w:vAlign w:val="bottom"/>
          </w:tcPr>
          <w:p>
            <w:pPr>
              <w:ind w:left="340"/>
              <w:spacing w:after="0"/>
              <w:rPr>
                <w:sz w:val="20"/>
                <w:szCs w:val="20"/>
                <w:color w:val="auto"/>
              </w:rPr>
            </w:pPr>
            <w:r>
              <w:rPr>
                <w:rFonts w:ascii="Arial" w:cs="Arial" w:eastAsia="Arial" w:hAnsi="Arial"/>
                <w:sz w:val="18"/>
                <w:szCs w:val="18"/>
                <w:b w:val="1"/>
                <w:bCs w:val="1"/>
                <w:color w:val="auto"/>
              </w:rPr>
              <w:t>2.1.1</w:t>
            </w:r>
          </w:p>
        </w:tc>
        <w:tc>
          <w:tcPr>
            <w:tcW w:w="9500" w:type="dxa"/>
            <w:vAlign w:val="bottom"/>
          </w:tcPr>
          <w:p>
            <w:pPr>
              <w:ind w:left="20"/>
              <w:spacing w:after="0"/>
              <w:rPr>
                <w:sz w:val="20"/>
                <w:szCs w:val="20"/>
                <w:color w:val="auto"/>
              </w:rPr>
            </w:pPr>
            <w:r>
              <w:rPr>
                <w:rFonts w:ascii="Arial" w:cs="Arial" w:eastAsia="Arial" w:hAnsi="Arial"/>
                <w:sz w:val="18"/>
                <w:szCs w:val="18"/>
                <w:color w:val="auto"/>
                <w:w w:val="94"/>
              </w:rPr>
              <w:t>an exclusive (subject to Section 2.2), royalty-bearing, transferable (as set forth in Section 16.4) license, with the further right to</w:t>
            </w:r>
          </w:p>
        </w:tc>
      </w:tr>
      <w:tr>
        <w:trPr>
          <w:trHeight w:val="216"/>
        </w:trPr>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00" w:type="dxa"/>
            <w:vAlign w:val="bottom"/>
          </w:tcPr>
          <w:p>
            <w:pPr>
              <w:ind w:left="20"/>
              <w:spacing w:after="0"/>
              <w:rPr>
                <w:sz w:val="20"/>
                <w:szCs w:val="20"/>
                <w:color w:val="auto"/>
              </w:rPr>
            </w:pPr>
            <w:r>
              <w:rPr>
                <w:rFonts w:ascii="Arial" w:cs="Arial" w:eastAsia="Arial" w:hAnsi="Arial"/>
                <w:sz w:val="18"/>
                <w:szCs w:val="18"/>
                <w:color w:val="auto"/>
                <w:w w:val="95"/>
              </w:rPr>
              <w:t>grant sublicenses subject to Section 2.3, under the Exclusively Licensed Know-How and Licensed Patents, to research, have</w:t>
            </w:r>
          </w:p>
        </w:tc>
      </w:tr>
      <w:tr>
        <w:trPr>
          <w:trHeight w:val="216"/>
        </w:trPr>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00" w:type="dxa"/>
            <w:vAlign w:val="bottom"/>
          </w:tcPr>
          <w:p>
            <w:pPr>
              <w:ind w:left="20"/>
              <w:spacing w:after="0"/>
              <w:rPr>
                <w:sz w:val="20"/>
                <w:szCs w:val="20"/>
                <w:color w:val="auto"/>
              </w:rPr>
            </w:pPr>
            <w:r>
              <w:rPr>
                <w:rFonts w:ascii="Arial" w:cs="Arial" w:eastAsia="Arial" w:hAnsi="Arial"/>
                <w:sz w:val="18"/>
                <w:szCs w:val="18"/>
                <w:color w:val="auto"/>
                <w:w w:val="89"/>
              </w:rPr>
              <w:t>researched, develop, have developed, make, have made, use, have used, sell, have sold, offer for sale, have offered for sale, import,</w:t>
            </w:r>
          </w:p>
        </w:tc>
      </w:tr>
      <w:tr>
        <w:trPr>
          <w:trHeight w:val="230"/>
        </w:trPr>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500" w:type="dxa"/>
            <w:vAlign w:val="bottom"/>
          </w:tcPr>
          <w:p>
            <w:pPr>
              <w:ind w:left="20"/>
              <w:spacing w:after="0"/>
              <w:rPr>
                <w:sz w:val="20"/>
                <w:szCs w:val="20"/>
                <w:color w:val="auto"/>
              </w:rPr>
            </w:pPr>
            <w:r>
              <w:rPr>
                <w:rFonts w:ascii="Arial" w:cs="Arial" w:eastAsia="Arial" w:hAnsi="Arial"/>
                <w:sz w:val="18"/>
                <w:szCs w:val="18"/>
                <w:color w:val="auto"/>
              </w:rPr>
              <w:t>have imported, export and have exported Licensed Products in the Field of Use for the Territory.</w:t>
            </w:r>
          </w:p>
        </w:tc>
      </w:tr>
      <w:tr>
        <w:trPr>
          <w:trHeight w:val="323"/>
        </w:trPr>
        <w:tc>
          <w:tcPr>
            <w:tcW w:w="580" w:type="dxa"/>
            <w:vAlign w:val="bottom"/>
          </w:tcPr>
          <w:p>
            <w:pPr>
              <w:spacing w:after="0"/>
              <w:rPr>
                <w:sz w:val="24"/>
                <w:szCs w:val="24"/>
                <w:color w:val="auto"/>
              </w:rPr>
            </w:pPr>
          </w:p>
        </w:tc>
        <w:tc>
          <w:tcPr>
            <w:tcW w:w="1340" w:type="dxa"/>
            <w:vAlign w:val="bottom"/>
          </w:tcPr>
          <w:p>
            <w:pPr>
              <w:ind w:left="340"/>
              <w:spacing w:after="0"/>
              <w:rPr>
                <w:sz w:val="20"/>
                <w:szCs w:val="20"/>
                <w:color w:val="auto"/>
              </w:rPr>
            </w:pPr>
            <w:r>
              <w:rPr>
                <w:rFonts w:ascii="Arial" w:cs="Arial" w:eastAsia="Arial" w:hAnsi="Arial"/>
                <w:sz w:val="18"/>
                <w:szCs w:val="18"/>
                <w:b w:val="1"/>
                <w:bCs w:val="1"/>
                <w:color w:val="auto"/>
              </w:rPr>
              <w:t>2.1.2</w:t>
            </w:r>
          </w:p>
        </w:tc>
        <w:tc>
          <w:tcPr>
            <w:tcW w:w="9500" w:type="dxa"/>
            <w:vAlign w:val="bottom"/>
          </w:tcPr>
          <w:p>
            <w:pPr>
              <w:ind w:left="20"/>
              <w:spacing w:after="0"/>
              <w:rPr>
                <w:sz w:val="20"/>
                <w:szCs w:val="20"/>
                <w:color w:val="auto"/>
              </w:rPr>
            </w:pPr>
            <w:r>
              <w:rPr>
                <w:rFonts w:ascii="Arial" w:cs="Arial" w:eastAsia="Arial" w:hAnsi="Arial"/>
                <w:sz w:val="18"/>
                <w:szCs w:val="18"/>
                <w:color w:val="auto"/>
                <w:w w:val="96"/>
              </w:rPr>
              <w:t>a non-exclusive, royalty-bearing, transferable (as set forth in Section 16.4) license, with the further right to grant sublicenses</w:t>
            </w:r>
          </w:p>
        </w:tc>
      </w:tr>
      <w:tr>
        <w:trPr>
          <w:trHeight w:val="216"/>
        </w:trPr>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00" w:type="dxa"/>
            <w:vAlign w:val="bottom"/>
          </w:tcPr>
          <w:p>
            <w:pPr>
              <w:ind w:left="20"/>
              <w:spacing w:after="0"/>
              <w:rPr>
                <w:sz w:val="20"/>
                <w:szCs w:val="20"/>
                <w:color w:val="auto"/>
              </w:rPr>
            </w:pPr>
            <w:r>
              <w:rPr>
                <w:rFonts w:ascii="Arial" w:cs="Arial" w:eastAsia="Arial" w:hAnsi="Arial"/>
                <w:sz w:val="18"/>
                <w:szCs w:val="18"/>
                <w:color w:val="auto"/>
                <w:w w:val="92"/>
              </w:rPr>
              <w:t>subject to Section 2.3, under the Non-Exclusively Licensed Know-How, to research, have researched, develop, have developed,</w:t>
            </w:r>
          </w:p>
        </w:tc>
      </w:tr>
      <w:tr>
        <w:trPr>
          <w:trHeight w:val="216"/>
        </w:trPr>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00" w:type="dxa"/>
            <w:vAlign w:val="bottom"/>
          </w:tcPr>
          <w:p>
            <w:pPr>
              <w:ind w:left="20"/>
              <w:spacing w:after="0"/>
              <w:rPr>
                <w:sz w:val="20"/>
                <w:szCs w:val="20"/>
                <w:color w:val="auto"/>
              </w:rPr>
            </w:pPr>
            <w:r>
              <w:rPr>
                <w:rFonts w:ascii="Arial" w:cs="Arial" w:eastAsia="Arial" w:hAnsi="Arial"/>
                <w:sz w:val="18"/>
                <w:szCs w:val="18"/>
                <w:color w:val="auto"/>
                <w:w w:val="93"/>
              </w:rPr>
              <w:t>make, have made, use, have used, sell, have sold, offer for sale, have offered for sale, import, have imported, export and have</w:t>
            </w:r>
          </w:p>
        </w:tc>
      </w:tr>
      <w:tr>
        <w:trPr>
          <w:trHeight w:val="230"/>
        </w:trPr>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500" w:type="dxa"/>
            <w:vAlign w:val="bottom"/>
          </w:tcPr>
          <w:p>
            <w:pPr>
              <w:ind w:left="20"/>
              <w:spacing w:after="0"/>
              <w:rPr>
                <w:sz w:val="20"/>
                <w:szCs w:val="20"/>
                <w:color w:val="auto"/>
              </w:rPr>
            </w:pPr>
            <w:r>
              <w:rPr>
                <w:rFonts w:ascii="Arial" w:cs="Arial" w:eastAsia="Arial" w:hAnsi="Arial"/>
                <w:sz w:val="18"/>
                <w:szCs w:val="18"/>
                <w:color w:val="auto"/>
              </w:rPr>
              <w:t>exported Licensed Products in the Field of Use for the Territory.</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2.2</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UHN Retention of Rights</w:t>
            </w:r>
            <w:r>
              <w:rPr>
                <w:rFonts w:ascii="Arial" w:cs="Arial" w:eastAsia="Arial" w:hAnsi="Arial"/>
                <w:sz w:val="18"/>
                <w:szCs w:val="18"/>
                <w:color w:val="auto"/>
              </w:rPr>
              <w:t>.</w:t>
            </w:r>
          </w:p>
        </w:tc>
      </w:tr>
      <w:tr>
        <w:trPr>
          <w:trHeight w:val="338"/>
        </w:trPr>
        <w:tc>
          <w:tcPr>
            <w:tcW w:w="580" w:type="dxa"/>
            <w:vAlign w:val="bottom"/>
          </w:tcPr>
          <w:p>
            <w:pPr>
              <w:spacing w:after="0"/>
              <w:rPr>
                <w:sz w:val="24"/>
                <w:szCs w:val="24"/>
                <w:color w:val="auto"/>
              </w:rPr>
            </w:pPr>
          </w:p>
        </w:tc>
        <w:tc>
          <w:tcPr>
            <w:tcW w:w="1340" w:type="dxa"/>
            <w:vAlign w:val="bottom"/>
          </w:tcPr>
          <w:p>
            <w:pPr>
              <w:ind w:left="340"/>
              <w:spacing w:after="0"/>
              <w:rPr>
                <w:sz w:val="20"/>
                <w:szCs w:val="20"/>
                <w:color w:val="auto"/>
              </w:rPr>
            </w:pPr>
            <w:r>
              <w:rPr>
                <w:rFonts w:ascii="Arial" w:cs="Arial" w:eastAsia="Arial" w:hAnsi="Arial"/>
                <w:sz w:val="18"/>
                <w:szCs w:val="18"/>
                <w:b w:val="1"/>
                <w:bCs w:val="1"/>
                <w:color w:val="auto"/>
              </w:rPr>
              <w:t>2.2.1</w:t>
            </w:r>
          </w:p>
        </w:tc>
        <w:tc>
          <w:tcPr>
            <w:tcW w:w="9500" w:type="dxa"/>
            <w:vAlign w:val="bottom"/>
          </w:tcPr>
          <w:p>
            <w:pPr>
              <w:ind w:left="20"/>
              <w:spacing w:after="0"/>
              <w:rPr>
                <w:sz w:val="20"/>
                <w:szCs w:val="20"/>
                <w:color w:val="auto"/>
              </w:rPr>
            </w:pPr>
            <w:r>
              <w:rPr>
                <w:rFonts w:ascii="Arial" w:cs="Arial" w:eastAsia="Arial" w:hAnsi="Arial"/>
                <w:sz w:val="18"/>
                <w:szCs w:val="18"/>
                <w:color w:val="auto"/>
                <w:w w:val="92"/>
              </w:rPr>
              <w:t>The License granted to Avro under Section 2.1 is subject to UHN’s retention of its rights to use the Licensed Technology without</w:t>
            </w:r>
          </w:p>
        </w:tc>
      </w:tr>
    </w:tbl>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 for (a) the conduct of the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396" w:name="page397"/>
    <w:bookmarkEnd w:id="396"/>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8"/>
              </w:rPr>
              <w:t>UHN Planned Trial, (b) research conducted for noncommercial or academic purposes, (c) clinical trials of an academic or</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noncommercial nature, and (d) the right to grant non-exclusive licenses to Third Party non-profit academic or research institutes</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for the same purposes of items (a), (b) and (c), and subject to the terms and conditions outlined in Sections 3.2.1, and 3.2.2, and</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Articles 9 and 10.</w:t>
            </w:r>
          </w:p>
        </w:tc>
      </w:tr>
      <w:tr>
        <w:trPr>
          <w:trHeight w:val="310"/>
        </w:trPr>
        <w:tc>
          <w:tcPr>
            <w:tcW w:w="680" w:type="dxa"/>
            <w:vAlign w:val="bottom"/>
          </w:tcPr>
          <w:p>
            <w:pPr>
              <w:spacing w:after="0"/>
              <w:rPr>
                <w:sz w:val="24"/>
                <w:szCs w:val="24"/>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In addition, UHN is responsible for conducting the UHN Planned Trial, and will (itself or with collaborating institutions) enroll</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and dose at least [***] patients in the UHN Planned Trial with a [***] follow-up phase pursuant to its retained rights and subject to</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Section 2.4; provided, however, that UHN shall not be deemed to be in breach of the foregoing obligation in the event that UHN</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discontinues the UHN Planned Trial due to events outside of the reasonable control of UHN (i.e., actions taken by Regulatory</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Authorities, due to a material safety issue of a Licensed Product, or due to Avro’s uncured breach of its payment obligations in the</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4"/>
              </w:rPr>
              <w:t>Letter Agreement). In the event that UHN (i) does not enroll or dose any of the [***] patients in the UHN Planned Trial, (ii) does</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not complete the [***] follow-up phase for any such patients in the UHN Planned Trial, or (iii) otherwise discontinues or winds</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down the UHN Planned Trial for any reason, then UHN will promptly (and in any event within [***]) refund to Avro all monies</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paid in advance by Avro to UHN pursuant to the Letter Agreement for services or activities not performed (if any), other than any</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8"/>
              </w:rPr>
              <w:t>reasonable, non-cancellable Trial Costs (as defined in the Letter Agreement) incurred by UHN for the UHN Planned Trial.</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2.2.2</w:t>
            </w: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If Avro elects to proceed on its own with a Phase 1 Clinical Trial with respect to the first Licensed Product (“</w:t>
            </w:r>
            <w:r>
              <w:rPr>
                <w:rFonts w:ascii="Arial" w:cs="Arial" w:eastAsia="Arial" w:hAnsi="Arial"/>
                <w:sz w:val="18"/>
                <w:szCs w:val="18"/>
                <w:b w:val="1"/>
                <w:bCs w:val="1"/>
                <w:color w:val="auto"/>
                <w:w w:val="92"/>
              </w:rPr>
              <w:t>Avro Clinical Trial</w:t>
            </w:r>
            <w:r>
              <w:rPr>
                <w:rFonts w:ascii="Arial" w:cs="Arial" w:eastAsia="Arial" w:hAnsi="Arial"/>
                <w:sz w:val="18"/>
                <w:szCs w:val="18"/>
                <w:color w:val="auto"/>
                <w:w w:val="92"/>
              </w:rPr>
              <w:t>”),</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Avro will consult with the Dr. Jeffrey Medin, and at his request, Dr. Medin will be included as an author on resulting</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publication(s), and subject to restrictions on publications as outlined in Section 2.2.4. For clarity, the obligation in the preceding</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9"/>
              </w:rPr>
              <w:t>sentence applies only to the first Phase 1 Clinical Study of the first Licensed Product conducted by Avro and is limited to</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Dr. Jeffrey Medin.</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2.2.3</w:t>
            </w: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UHN agrees to keep Avro informed of any clinical research or development conducted (or contemplated to be conducted) by or on</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4"/>
              </w:rPr>
              <w:t>behalf of UHN with respect to the UHN Planned Trial involving the Licensed Technology as soon as reasonably practicable to</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ensure that UHN does not diminish or conflict with any licenses, options or other rights in Licensed Technology or Licensed</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Products granted to Avro, and to enable Avro and its Affiliates and Sublicensees to comply with their regulatory obligations. For</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certainty and clarity, clinical research or development conducted (or contemplated to be conducted) by or on behalf of UHN</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includes clinical research or development conducted pursuant to the rights retained under Section 2.2.1.</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2.2.4</w:t>
            </w: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The UHN Principal Investigator, on behalf of UHN, retains the right to publish the final results of the UHN Planned Trial in a peer-</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reviewed journal or publication prior to any publication of the final results of the Avro Clinical Trial in a peer-review journal or</w:t>
            </w:r>
          </w:p>
        </w:tc>
      </w:tr>
    </w:tbl>
    <w:p>
      <w:pPr>
        <w:ind w:left="1020"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publication; provided that such right of publication priority in favor of the UHN Principal Investigator, on behalf of UHN, shall expire upon the earlier of (a) the termination or discontinuation of the UHN Planned Trial for any reason, or (b) [***] after the last dose for the last patient has been administered for the Avro Clinical Trial.</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00"/>
          </w:cols>
          <w:pgMar w:left="1160" w:top="274" w:right="239" w:bottom="1440" w:gutter="0" w:footer="0" w:header="0"/>
        </w:sectPr>
      </w:pPr>
    </w:p>
    <w:bookmarkStart w:id="397" w:name="page398"/>
    <w:bookmarkEnd w:id="397"/>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2.2.5</w:t>
            </w: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Avro acknowledges and agrees that (a) its rights to the Licensed Technology further to the License are restricted in accordance with</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the terms and provisions of this Agreement, and (b) subject to the terms and conditions of Section 3.2 and this Section 2.2, UHN</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retains all rights to use, develop and commercially exploit the Licensed Technology outside the scope of the License.</w:t>
            </w:r>
          </w:p>
        </w:tc>
      </w:tr>
      <w:tr>
        <w:trPr>
          <w:trHeight w:val="319"/>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2.3</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Sublicenses</w:t>
            </w:r>
            <w:r>
              <w:rPr>
                <w:rFonts w:ascii="Arial" w:cs="Arial" w:eastAsia="Arial" w:hAnsi="Arial"/>
                <w:sz w:val="18"/>
                <w:szCs w:val="18"/>
                <w:color w:val="auto"/>
                <w:w w:val="91"/>
              </w:rPr>
              <w:t>. Avro and any of its Affiliates shall have the right to grant sublicense(s) through multiple tiers to the licenses and rights granted to it</w:t>
            </w:r>
          </w:p>
        </w:tc>
      </w:tr>
      <w:tr>
        <w:trPr>
          <w:trHeight w:val="234"/>
        </w:trPr>
        <w:tc>
          <w:tcPr>
            <w:tcW w:w="580" w:type="dxa"/>
            <w:vAlign w:val="bottom"/>
          </w:tcPr>
          <w:p>
            <w:pPr>
              <w:spacing w:after="0"/>
              <w:rPr>
                <w:sz w:val="20"/>
                <w:szCs w:val="20"/>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under this Agreement to any Sublicensee (the “</w:t>
            </w:r>
            <w:r>
              <w:rPr>
                <w:rFonts w:ascii="Arial" w:cs="Arial" w:eastAsia="Arial" w:hAnsi="Arial"/>
                <w:sz w:val="18"/>
                <w:szCs w:val="18"/>
                <w:b w:val="1"/>
                <w:bCs w:val="1"/>
                <w:color w:val="auto"/>
              </w:rPr>
              <w:t>Sublicense</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provided, however, that:</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2.3.1</w:t>
            </w: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the Sublicense shall not have any terms which are inconsistent with this Agreement, including for clarity publication rights under</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Section 2.2.4;</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2.3.2</w:t>
            </w: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Sublicensee(s) shall be required to make records available to UHN in accordance with the obligations outlined in Sections 4.11 and</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4.12; and</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2.3.3</w:t>
            </w:r>
          </w:p>
        </w:tc>
        <w:tc>
          <w:tcPr>
            <w:tcW w:w="9800" w:type="dxa"/>
            <w:vAlign w:val="bottom"/>
          </w:tcPr>
          <w:p>
            <w:pPr>
              <w:ind w:left="340"/>
              <w:spacing w:after="0"/>
              <w:rPr>
                <w:sz w:val="20"/>
                <w:szCs w:val="20"/>
                <w:color w:val="auto"/>
              </w:rPr>
            </w:pPr>
            <w:r>
              <w:rPr>
                <w:rFonts w:ascii="Arial" w:cs="Arial" w:eastAsia="Arial" w:hAnsi="Arial"/>
                <w:sz w:val="18"/>
                <w:szCs w:val="18"/>
                <w:color w:val="auto"/>
                <w:w w:val="98"/>
              </w:rPr>
              <w:t>unless otherwise indemnified by Avro or its Affiliate directly, the Sublicense shall provide that the Sublicensee will directly</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indemnify UHN on terms at least as favourable as those in Article 12 unless approved otherwise in writing by UHN.</w:t>
            </w:r>
          </w:p>
        </w:tc>
      </w:tr>
      <w:tr>
        <w:trPr>
          <w:trHeight w:val="310"/>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Upon termination of this Agreement for any reason, provided that a Sublicensee is not in material breach of its Sublicense, UHN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5"/>
              </w:rPr>
              <w:t>shall grant to such Sublicensee license rights and terms equivalent to the sublicense rights and terms which Avro previously</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granted to such Sublicensee.</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2.4</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rPr>
              <w:t>Know-How Transfer and Right of Reference</w:t>
            </w:r>
            <w:r>
              <w:rPr>
                <w:rFonts w:ascii="Arial" w:cs="Arial" w:eastAsia="Arial" w:hAnsi="Arial"/>
                <w:sz w:val="18"/>
                <w:szCs w:val="18"/>
                <w:color w:val="auto"/>
              </w:rPr>
              <w:t>.</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2.4.1</w:t>
            </w:r>
          </w:p>
        </w:tc>
        <w:tc>
          <w:tcPr>
            <w:tcW w:w="9800" w:type="dxa"/>
            <w:vAlign w:val="bottom"/>
          </w:tcPr>
          <w:p>
            <w:pPr>
              <w:ind w:left="340"/>
              <w:spacing w:after="0"/>
              <w:rPr>
                <w:sz w:val="20"/>
                <w:szCs w:val="20"/>
                <w:color w:val="auto"/>
              </w:rPr>
            </w:pPr>
            <w:r>
              <w:rPr>
                <w:rFonts w:ascii="Arial" w:cs="Arial" w:eastAsia="Arial" w:hAnsi="Arial"/>
                <w:sz w:val="18"/>
                <w:szCs w:val="18"/>
                <w:color w:val="auto"/>
                <w:w w:val="99"/>
              </w:rPr>
              <w:t>UHN shall, at Avro’s sole cost and expense, provide Avro with access to all of the Exclusively Licensed Know-How and</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Non-Exclusively Licensed Know-How as same arises, and as soon as reasonably practicable after the Effective Date with respect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to any then-existing Exclusively Licensed Know-How and Non-Exclusively Licensed Know-How in UHN’s and/or UHN’s CRO’s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7"/>
              </w:rPr>
              <w:t>possession or control, in conjunction with the exercise by the Avro of its rights under the License. The Parties will (a) work</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8"/>
              </w:rPr>
              <w:t>collaboratively together to facilitate the process for transferring the Exclusively Licensed Know-How and Non-Exclusively</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Licensed Know-How and (b) use reasonable best efforts to meet the proposed timelines as set out in Schedule “A” and any</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89"/>
              </w:rPr>
              <w:t>amendment to the timelines shall be agreed to as between the Parties, each acting reasonably. The Parties will use reasonable best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5"/>
              </w:rPr>
              <w:t>efforts to transfer all other Exclusively Licensed Know-How and Non-Exclusively Licensed Know-How in accordance with this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Section 2.4 or as otherwise reasonably agreed by the Parties. Details regarding transfer of Exclusively Licensed Know-How and</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9"/>
              </w:rPr>
              <w:t>Non-Exclusively Licensed Know-How in the possession of the Fabry Trial Team shall be governed by Fabry Trial Team</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Agreements. For the avoidance of doubt, the licenses with respect to the Exclusively Licensed Know-How and Non-Exclusively</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5"/>
              </w:rPr>
              <w:t>Licensed Know-How in the possession of the Fabry Trial Team shall be governed by this Agreement (including Section 2.1).</w:t>
            </w:r>
          </w:p>
        </w:tc>
      </w:tr>
      <w:tr>
        <w:trPr>
          <w:trHeight w:val="338"/>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2.4.2</w:t>
            </w: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Subject to UHN’s retention of rights further to Section 2.2, UHN hereby grants Avro an exclusive right of reference in the Field of</w:t>
            </w:r>
          </w:p>
        </w:tc>
      </w:tr>
    </w:tbl>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to any CTAs and other Regulatory Filings owned or controlled by UHN as of the Effective Date or during</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9" w:right="239" w:bottom="1440" w:gutter="0" w:footer="0" w:header="0"/>
        </w:sectPr>
      </w:pPr>
    </w:p>
    <w:bookmarkStart w:id="398" w:name="page399"/>
    <w:bookmarkEnd w:id="398"/>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2"/>
              </w:rPr>
              <w:t>the Term for Licensed Products to enable Avro to obtain Regulatory Approval of Licensed Products in the Territory or otherwise</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2"/>
              </w:rPr>
              <w:t>for any purpose in conjunction with the exercise by Avro of the License and its rights under this Agreement. Upon Avro’s written</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3"/>
              </w:rPr>
              <w:t>request, UHN shall deliver to any Regulatory Authority an original letter authorizing Avro to reference and incorporate any such</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2"/>
              </w:rPr>
              <w:t>CTAs or other Regulatory Filings owned or controlled by UHN; provided that, such letter shall be reasonably acceptable to Avro</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1"/>
              </w:rPr>
              <w:t>and shall be signed by the appropriate representative of UHN so that it is received by the applicable Regulatory Authority as soon</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5"/>
              </w:rPr>
              <w:t>as reasonably practicable (but in no event later than [***] after Avro’s written request). UHN shall provide Avro with a copy of</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4"/>
              </w:rPr>
              <w:t>such letter as transmitted to such Regulatory Authority no later than [***] after such transmission and provide to Avro proof of</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3"/>
              </w:rPr>
              <w:t>delivery of such letter. In the case of Indiana University acting as a contract manufacturer on behalf of UHN, to the extent UHN</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0"/>
              </w:rPr>
              <w:t>has such rights as set forth in its agreements with Indiana University, UHN hereby grants to Avro an exclusive right of reference to</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3"/>
              </w:rPr>
              <w:t>the DMF of Indiana University for Licensed Products to enable Avro to obtain Regulatory Approval of Licensed Products in the</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2"/>
              </w:rPr>
              <w:t>Territory or otherwise for any purpose in conjunction with the exercise by Avro of the License and its rights under this Agreement</w:t>
            </w:r>
          </w:p>
        </w:tc>
      </w:tr>
      <w:tr>
        <w:trPr>
          <w:trHeight w:val="230"/>
        </w:trPr>
        <w:tc>
          <w:tcPr>
            <w:tcW w:w="680" w:type="dxa"/>
            <w:vAlign w:val="bottom"/>
          </w:tcPr>
          <w:p>
            <w:pPr>
              <w:spacing w:after="0"/>
              <w:rPr>
                <w:sz w:val="20"/>
                <w:szCs w:val="20"/>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3"/>
              </w:rPr>
              <w:t>(taking into account that the DMF may contain confidential information of Indiana University that may not be shared with Avro).</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2.4.3</w:t>
            </w:r>
          </w:p>
        </w:tc>
        <w:tc>
          <w:tcPr>
            <w:tcW w:w="9760" w:type="dxa"/>
            <w:vAlign w:val="bottom"/>
          </w:tcPr>
          <w:p>
            <w:pPr>
              <w:ind w:left="340"/>
              <w:spacing w:after="0"/>
              <w:rPr>
                <w:sz w:val="20"/>
                <w:szCs w:val="20"/>
                <w:color w:val="auto"/>
              </w:rPr>
            </w:pPr>
            <w:r>
              <w:rPr>
                <w:rFonts w:ascii="Arial" w:cs="Arial" w:eastAsia="Arial" w:hAnsi="Arial"/>
                <w:sz w:val="18"/>
                <w:szCs w:val="18"/>
                <w:color w:val="auto"/>
                <w:w w:val="91"/>
              </w:rPr>
              <w:t>UHN shall, at Avro’s sole cost and expense, provide Avro with access to copies of all Regulatory Filings created for, submitted to</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4"/>
              </w:rPr>
              <w:t>or received from an applicable Regulatory Authority relating to the Licensed Products and all data contained therein, and any</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89"/>
              </w:rPr>
              <w:t>amendments, supplements, correspondence or further submissions (including adverse events and product complaints) to any of the</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2"/>
              </w:rPr>
              <w:t>foregoing, as well as the contents of any minutes from meetings (whether in person or by audio conference or videoconference)</w:t>
            </w:r>
          </w:p>
        </w:tc>
      </w:tr>
      <w:tr>
        <w:trPr>
          <w:trHeight w:val="230"/>
        </w:trPr>
        <w:tc>
          <w:tcPr>
            <w:tcW w:w="680" w:type="dxa"/>
            <w:vAlign w:val="bottom"/>
          </w:tcPr>
          <w:p>
            <w:pPr>
              <w:spacing w:after="0"/>
              <w:rPr>
                <w:sz w:val="20"/>
                <w:szCs w:val="20"/>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with Regulatory Authorities, in each case relating to the Licensed Products.</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2.4.4</w:t>
            </w:r>
          </w:p>
        </w:tc>
        <w:tc>
          <w:tcPr>
            <w:tcW w:w="9760" w:type="dxa"/>
            <w:vAlign w:val="bottom"/>
          </w:tcPr>
          <w:p>
            <w:pPr>
              <w:ind w:left="340"/>
              <w:spacing w:after="0"/>
              <w:rPr>
                <w:sz w:val="20"/>
                <w:szCs w:val="20"/>
                <w:color w:val="auto"/>
              </w:rPr>
            </w:pPr>
            <w:r>
              <w:rPr>
                <w:rFonts w:ascii="Arial" w:cs="Arial" w:eastAsia="Arial" w:hAnsi="Arial"/>
                <w:sz w:val="18"/>
                <w:szCs w:val="18"/>
                <w:color w:val="auto"/>
                <w:w w:val="92"/>
              </w:rPr>
              <w:t>For each patient in the UHN Planned Trial who goes off-study after having been subject to treatment, UHN shall provide to Avro,</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1"/>
              </w:rPr>
              <w:t>at Avro’s sole cost and expense, all Patient Data relating to said patient as soon as reasonably practicable after such information</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3"/>
              </w:rPr>
              <w:t>becomes available to UHN and/or UHN CRO after the date upon which such patient goes off-study, including all related Patient</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1"/>
              </w:rPr>
              <w:t>Data and the reason such patient went off-study. Details regarding transfer of off study Patient Data from the Fabry Trial Team to</w:t>
            </w:r>
          </w:p>
        </w:tc>
      </w:tr>
      <w:tr>
        <w:trPr>
          <w:trHeight w:val="230"/>
        </w:trPr>
        <w:tc>
          <w:tcPr>
            <w:tcW w:w="680" w:type="dxa"/>
            <w:vAlign w:val="bottom"/>
          </w:tcPr>
          <w:p>
            <w:pPr>
              <w:spacing w:after="0"/>
              <w:rPr>
                <w:sz w:val="20"/>
                <w:szCs w:val="20"/>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UHN and/or UHN CRO shall be governed by the Fabry Trial Team Agreements.</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2.4.5</w:t>
            </w:r>
          </w:p>
        </w:tc>
        <w:tc>
          <w:tcPr>
            <w:tcW w:w="9760" w:type="dxa"/>
            <w:vAlign w:val="bottom"/>
          </w:tcPr>
          <w:p>
            <w:pPr>
              <w:ind w:left="340"/>
              <w:spacing w:after="0"/>
              <w:rPr>
                <w:sz w:val="20"/>
                <w:szCs w:val="20"/>
                <w:color w:val="auto"/>
              </w:rPr>
            </w:pPr>
            <w:r>
              <w:rPr>
                <w:rFonts w:ascii="Arial" w:cs="Arial" w:eastAsia="Arial" w:hAnsi="Arial"/>
                <w:sz w:val="18"/>
                <w:szCs w:val="18"/>
                <w:color w:val="auto"/>
                <w:w w:val="95"/>
              </w:rPr>
              <w:t>For each patient in the UHN Planned Trial, UHN and/or UHN CRO shall provide to Avro, at Avro’s sole cost and expense, all</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1"/>
              </w:rPr>
              <w:t>Patient Data relating to said patient as soon as reasonably practicable upon such Patient Data becoming available to UHN and/or</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3"/>
              </w:rPr>
              <w:t>UHN CRO. Similarly, with respect to Sample Processing Data, provision of Reviewed Sample Processing Data by UHN and/or</w:t>
            </w:r>
          </w:p>
        </w:tc>
      </w:tr>
      <w:tr>
        <w:trPr>
          <w:trHeight w:val="230"/>
        </w:trPr>
        <w:tc>
          <w:tcPr>
            <w:tcW w:w="680" w:type="dxa"/>
            <w:vAlign w:val="bottom"/>
          </w:tcPr>
          <w:p>
            <w:pPr>
              <w:spacing w:after="0"/>
              <w:rPr>
                <w:sz w:val="20"/>
                <w:szCs w:val="20"/>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3"/>
              </w:rPr>
              <w:t>UHN CRO to Avro within [***] of data becoming Reviewed Sample Processing Data shall be considered as soon as reasonably</w:t>
            </w:r>
          </w:p>
        </w:tc>
      </w:tr>
    </w:tbl>
    <w:p>
      <w:pPr>
        <w:ind w:left="1020"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practicable. In the event that any adverse event is determined to be a serious and unexpected adverse reaction event relating to the treatment (“SUSAR”) in accordance with the process as outlined in the Clinical Trial Protocol, UHN shall provide such information to Avro within [***] of the decision to report such SUSAR to the relevant regulatory authority (or such other time period as the Parties may agree). Promptly following the disclosure of</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00"/>
          </w:cols>
          <w:pgMar w:left="1160" w:top="273" w:right="239" w:bottom="1440" w:gutter="0" w:footer="0" w:header="0"/>
        </w:sectPr>
      </w:pPr>
    </w:p>
    <w:bookmarkStart w:id="399" w:name="page400"/>
    <w:bookmarkEnd w:id="399"/>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9"/>
              </w:rPr>
              <w:t>a SUSAR to Avro, at Avro’s request, the UNH CRO shall provide all Patient Data with respect to such SUSAR and other</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information that is reasonably requested by Avro to Avro or its designee(s), in each case for patient care purposes or to enable Avro</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or its Affiliates or Sublicensees to comply with any applicable laws, rules or regulations, and the UHN CRO shall discuss and</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answer all reasonable questions from Avro or its designee(s) relating thereto. Details regarding transfer of Clinical Trial Data,</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7"/>
              </w:rPr>
              <w:t>Sample Processing Data, and SUSAR data from the Fabry Trial Team to UHN shall be governed by the Fabry Trial Team</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4"/>
              </w:rPr>
              <w:t>Agreements. Similarly, to the extent Avro or an Affiliate or Sublicensee is conducting a clinical trial (including a Phase I Clinical</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Trial or a Pivotal Trial) relating to Fabry disease with the same vector in accordance with the Clinical Trial Protocol while the</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UHN Planned Trial is ongoing, and in the event that any adverse event is determined to be a SUSAR in accordance with the</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8"/>
              </w:rPr>
              <w:t>process as outlined in the Clinical Trial Protocol, Avro shall provide such information to UHN within [***] of the decision to</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report such SUSAR to the relevant regulatory authority (or such other time period as the Parties may agree). Promptly following</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the disclosure of a SUSAR to UHN, at UHN’s request, Avro shall provide all patient data with respect to such SUSAR and other</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information that is reasonably requested by UHN to UHN, in each case for patient care purposes or to enable UHN to comply with</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any applicable laws, rules or regulations, and Avro shall discuss and answer all reasonable questions from UHN relating thereto.</w:t>
            </w:r>
          </w:p>
        </w:tc>
      </w:tr>
      <w:tr>
        <w:trPr>
          <w:trHeight w:val="319"/>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2.4.6</w:t>
            </w: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At Avro’s request, UHN and/or UHN CRO and Avro shall work jointly with an external contractor, at Avro’s sole cost and expense,</w:t>
            </w:r>
          </w:p>
        </w:tc>
      </w:tr>
      <w:tr>
        <w:trPr>
          <w:trHeight w:val="220"/>
        </w:trPr>
        <w:tc>
          <w:tcPr>
            <w:tcW w:w="68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4"/>
              </w:rPr>
              <w:t>to prepare monthly reports to provide to Avro for Clinical Trial Data (“</w:t>
            </w:r>
            <w:r>
              <w:rPr>
                <w:rFonts w:ascii="Arial" w:cs="Arial" w:eastAsia="Arial" w:hAnsi="Arial"/>
                <w:sz w:val="18"/>
                <w:szCs w:val="18"/>
                <w:b w:val="1"/>
                <w:bCs w:val="1"/>
                <w:color w:val="auto"/>
                <w:w w:val="94"/>
              </w:rPr>
              <w:t>Monthly Clinical Trial Report</w:t>
            </w:r>
            <w:r>
              <w:rPr>
                <w:rFonts w:ascii="Arial" w:cs="Arial" w:eastAsia="Arial" w:hAnsi="Arial"/>
                <w:sz w:val="18"/>
                <w:szCs w:val="18"/>
                <w:color w:val="auto"/>
                <w:w w:val="94"/>
              </w:rPr>
              <w:t>”). UHN and/or UHN CRO</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shall provide such Monthly Clinical Trial Report to Avro within [***] after the end of each calendar month. The Parties shall work</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together to ensure such Monthly Clinical Trial Report is in a form acceptable to Avro. Subject to the approval of the requisite</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Research Ethics Board, UHN shall ensure that all informed consent form(s) under which any Patient Data will be obtained permit</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(a) UHN to provide such Patient Data to Avro and its Affiliates and Sublicensees, and (b) Avro and its Affiliates and Sublicensees</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to use such Patient Data in accordance with the terms of this Agreement.</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2.4.7</w:t>
            </w: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In accordance with applicable laws and in a manner consistent with good clinical practice, UHN shall maintain, and shall cause its</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investigators and collaborating institutions (including the Fabry Trial Team) to maintain, complete and accurate records relating to</w:t>
            </w:r>
          </w:p>
        </w:tc>
      </w:tr>
    </w:tbl>
    <w:p>
      <w:pPr>
        <w:ind w:left="10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CTA, Regulatory Filings and the Patient Data to be provided to Avro. UHN, its investigators and collaborating institutions</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(including the Fabry Trial Team), as applicable, shall retain such records relating to CTA and Regulatory Filings for a period of at</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least [***] after the date of delivery of such information or reports to Avro (the “</w:t>
      </w:r>
      <w:r>
        <w:rPr>
          <w:rFonts w:ascii="Arial" w:cs="Arial" w:eastAsia="Arial" w:hAnsi="Arial"/>
          <w:sz w:val="17"/>
          <w:szCs w:val="17"/>
          <w:b w:val="1"/>
          <w:bCs w:val="1"/>
          <w:color w:val="auto"/>
        </w:rPr>
        <w:t>Data Retention Period</w:t>
      </w:r>
      <w:r>
        <w:rPr>
          <w:rFonts w:ascii="Arial" w:cs="Arial" w:eastAsia="Arial" w:hAnsi="Arial"/>
          <w:sz w:val="17"/>
          <w:szCs w:val="17"/>
          <w:color w:val="auto"/>
        </w:rPr>
        <w:t>”). During the Data</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Retention Period, Avro shall have the right, at its sole expense, during normal business hours, to provide a qualified person</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Auditor</w:t>
      </w:r>
      <w:r>
        <w:rPr>
          <w:rFonts w:ascii="Arial" w:cs="Arial" w:eastAsia="Arial" w:hAnsi="Arial"/>
          <w:sz w:val="16"/>
          <w:szCs w:val="16"/>
          <w:color w:val="auto"/>
        </w:rPr>
        <w:t>”) to inspect such records of UHN, and its investigators and collaborating institutions (including the Fabry Trial Team),</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as applicable, for the purposes of verifying the accuracy of any information or reports delivered to Avro hereunder and UHN’s</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compliance with the terms hereof; provided that, Avro shall give UHN and/or its investigators and collaborating institutions</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(including the Fabry Trial Team), as applicable, reasonable prior written notice (which shall be at least [***]) prior to Auditor</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conducting any such audit. UHN may require Avro to enter into an additional,</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00"/>
          </w:cols>
          <w:pgMar w:left="1160" w:top="274" w:right="239" w:bottom="1440" w:gutter="0" w:footer="0" w:header="0"/>
        </w:sectPr>
      </w:pPr>
    </w:p>
    <w:bookmarkStart w:id="400" w:name="page401"/>
    <w:bookmarkEnd w:id="400"/>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customary nondisclosure agreement(s) prior to undertaking any such inspection as required by law or UHN policy or collaborating</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institution policy (as applicable). Any and all books, records, reports and other documents of UHN that are inspected by Auditor</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pursuant to this Section 2.4.7 shall be deemed UHN Confidential Information. The Parties will comply with all applicable federal,</w:t>
            </w:r>
          </w:p>
        </w:tc>
      </w:tr>
      <w:tr>
        <w:trPr>
          <w:trHeight w:val="212"/>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state and provincial privacy legislation including (as applicable) the Personal Information Protection and Electronic Documents</w:t>
            </w:r>
          </w:p>
        </w:tc>
      </w:tr>
      <w:tr>
        <w:trPr>
          <w:trHeight w:val="220"/>
        </w:trPr>
        <w:tc>
          <w:tcPr>
            <w:tcW w:w="68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Act, S.C. 2000, c. 5 (“</w:t>
            </w:r>
            <w:r>
              <w:rPr>
                <w:rFonts w:ascii="Arial" w:cs="Arial" w:eastAsia="Arial" w:hAnsi="Arial"/>
                <w:sz w:val="18"/>
                <w:szCs w:val="18"/>
                <w:b w:val="1"/>
                <w:bCs w:val="1"/>
                <w:color w:val="auto"/>
                <w:w w:val="96"/>
              </w:rPr>
              <w:t>PIPEDA</w:t>
            </w:r>
            <w:r>
              <w:rPr>
                <w:rFonts w:ascii="Arial" w:cs="Arial" w:eastAsia="Arial" w:hAnsi="Arial"/>
                <w:sz w:val="18"/>
                <w:szCs w:val="18"/>
                <w:color w:val="auto"/>
                <w:w w:val="96"/>
              </w:rPr>
              <w:t>”) and the Personal Health Information Protection Act, 2004, S.O. 2004, c. 3 (“</w:t>
            </w:r>
            <w:r>
              <w:rPr>
                <w:rFonts w:ascii="Arial" w:cs="Arial" w:eastAsia="Arial" w:hAnsi="Arial"/>
                <w:sz w:val="18"/>
                <w:szCs w:val="18"/>
                <w:b w:val="1"/>
                <w:bCs w:val="1"/>
                <w:color w:val="auto"/>
                <w:w w:val="96"/>
              </w:rPr>
              <w:t>PHIPA</w:t>
            </w:r>
            <w:r>
              <w:rPr>
                <w:rFonts w:ascii="Arial" w:cs="Arial" w:eastAsia="Arial" w:hAnsi="Arial"/>
                <w:sz w:val="18"/>
                <w:szCs w:val="18"/>
                <w:color w:val="auto"/>
                <w:w w:val="96"/>
              </w:rPr>
              <w:t>”). In the</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conduct of such audits, Auditor may be given access to personal information in order to validate case report forms through source</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documentation. Auditor shall not copy documents containing personal information or take notes of personal information. In the</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event that personal information about a UHN Planned Trial (or other clinical trial) subject is transferred to Avro and its employees</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or agents, Avro and its employees and agents shall only use the information for purposes authorized in writing by UHN or required</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by law; and shall appropriately protect the information against loss, theft, unauthorized access, copying, or modification; not</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publish the information in a form that could reasonably permit identification of the individual; not contact or attempt to contact the</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individual; and notify UHN and/or others as may be directed, immediately in writing upon becoming aware of any breach of this</w:t>
            </w:r>
          </w:p>
        </w:tc>
      </w:tr>
      <w:tr>
        <w:trPr>
          <w:trHeight w:val="230"/>
        </w:trPr>
        <w:tc>
          <w:tcPr>
            <w:tcW w:w="68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9"/>
              </w:rPr>
              <w:t>Section 2.4. Avro shall ensure that their employees and agents comply with the terms and conditions of this Section 2.4.</w:t>
            </w:r>
          </w:p>
        </w:tc>
      </w:tr>
      <w:tr>
        <w:trPr>
          <w:trHeight w:val="310"/>
        </w:trPr>
        <w:tc>
          <w:tcPr>
            <w:tcW w:w="680" w:type="dxa"/>
            <w:vAlign w:val="bottom"/>
          </w:tcPr>
          <w:p>
            <w:pPr>
              <w:spacing w:after="0"/>
              <w:rPr>
                <w:sz w:val="24"/>
                <w:szCs w:val="24"/>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The report from the audit shall be deemed Avro Confidential Information. Avro may exercise the rights under this Section 2.4.7</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only once during any Calendar Year. During the Data Retention Period, UHN shall, to the extent practicable, cause its investigators</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and collaborating institutions to comply with the terms of this Section 2.4.7. If such audit reveals that UHN or its investigators or</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collaborating institutions, as applicable, failed to provide information or data that should have been provided to Avro hereunder, or</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that any element of the information or reports delivered to Avro hereunder were incomplete or inaccurate, UHN promptly shall</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provide such missing information or data to Avro and/or complete and correct such information or reports and provide corrected</w:t>
            </w:r>
          </w:p>
        </w:tc>
      </w:tr>
      <w:tr>
        <w:trPr>
          <w:trHeight w:val="230"/>
        </w:trPr>
        <w:tc>
          <w:tcPr>
            <w:tcW w:w="68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information or reports to Avro.</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2.4.8</w:t>
            </w: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UHN and Avro will use reasonable best efforts to execute the Fabry Trial Team Agreements in a form mutually agreed by UHN</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and Avro within [***] after the Effective Date. Each Party acknowledges that delays by one or more Fabry Trial Team</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Institution(s) is outside of the control of each of the Parties. The Parties further acknowledge that after using reasonable best efforts</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to present a draft Fabry Trial Team Agreement to the Fabry Trial Team Institution(s), the Parties can only act reasonably in</w:t>
            </w:r>
          </w:p>
        </w:tc>
      </w:tr>
      <w:tr>
        <w:trPr>
          <w:trHeight w:val="230"/>
        </w:trPr>
        <w:tc>
          <w:tcPr>
            <w:tcW w:w="68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considering any revisions requested by the Fabry Trial Team Institution(s).</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2.4.9</w:t>
            </w:r>
          </w:p>
        </w:tc>
        <w:tc>
          <w:tcPr>
            <w:tcW w:w="9800" w:type="dxa"/>
            <w:vAlign w:val="bottom"/>
          </w:tcPr>
          <w:p>
            <w:pPr>
              <w:ind w:left="340"/>
              <w:spacing w:after="0"/>
              <w:rPr>
                <w:sz w:val="20"/>
                <w:szCs w:val="20"/>
                <w:color w:val="auto"/>
              </w:rPr>
            </w:pPr>
            <w:r>
              <w:rPr>
                <w:rFonts w:ascii="Arial" w:cs="Arial" w:eastAsia="Arial" w:hAnsi="Arial"/>
                <w:sz w:val="18"/>
                <w:szCs w:val="18"/>
                <w:color w:val="auto"/>
                <w:w w:val="95"/>
              </w:rPr>
              <w:t>UHN will ensure clinical trial site agreements with any investigator or collaborating institution (including the Fabry Trial Team)</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relating to the UHN Planned Trial are consistent with UHN’s obligations, and, subject to the terms of any executed Fabry Trial</w:t>
            </w:r>
          </w:p>
        </w:tc>
      </w:tr>
      <w:tr>
        <w:trPr>
          <w:trHeight w:val="230"/>
        </w:trPr>
        <w:tc>
          <w:tcPr>
            <w:tcW w:w="68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Team Agreement(s), will not diminish or conflict with any licenses, options or other rights in Licensed Technology or Licensed</w:t>
            </w:r>
          </w:p>
        </w:tc>
      </w:tr>
    </w:tbl>
    <w:p>
      <w:pPr>
        <w:ind w:left="1020" w:right="1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Products granted to Avro, under this Article 2, including the License granted under Section 2.1 and the obligations outlined in this Section 2.4.</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00"/>
          </w:cols>
          <w:pgMar w:left="1160" w:top="274" w:right="239" w:bottom="1440" w:gutter="0" w:footer="0" w:header="0"/>
        </w:sectPr>
      </w:pPr>
    </w:p>
    <w:bookmarkStart w:id="401" w:name="page402"/>
    <w:bookmarkEnd w:id="401"/>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1360" w:type="dxa"/>
            <w:vAlign w:val="bottom"/>
          </w:tcPr>
          <w:p>
            <w:pPr>
              <w:ind w:left="340"/>
              <w:spacing w:after="0"/>
              <w:rPr>
                <w:sz w:val="20"/>
                <w:szCs w:val="20"/>
                <w:color w:val="auto"/>
              </w:rPr>
            </w:pPr>
            <w:r>
              <w:rPr>
                <w:rFonts w:ascii="Arial" w:cs="Arial" w:eastAsia="Arial" w:hAnsi="Arial"/>
                <w:sz w:val="18"/>
                <w:szCs w:val="18"/>
                <w:b w:val="1"/>
                <w:bCs w:val="1"/>
                <w:color w:val="auto"/>
              </w:rPr>
              <w:t>2.4.10</w:t>
            </w:r>
          </w:p>
        </w:tc>
        <w:tc>
          <w:tcPr>
            <w:tcW w:w="9480" w:type="dxa"/>
            <w:vAlign w:val="bottom"/>
            <w:gridSpan w:val="2"/>
          </w:tcPr>
          <w:p>
            <w:pPr>
              <w:spacing w:after="0"/>
              <w:rPr>
                <w:sz w:val="20"/>
                <w:szCs w:val="20"/>
                <w:color w:val="auto"/>
              </w:rPr>
            </w:pPr>
            <w:r>
              <w:rPr>
                <w:rFonts w:ascii="Arial" w:cs="Arial" w:eastAsia="Arial" w:hAnsi="Arial"/>
                <w:sz w:val="18"/>
                <w:szCs w:val="18"/>
                <w:color w:val="auto"/>
                <w:w w:val="93"/>
              </w:rPr>
              <w:t>Notwithstanding anything herein to the contrary, all costs or expenses to be incurred by Avro, and the design and content of the</w:t>
            </w:r>
          </w:p>
        </w:tc>
      </w:tr>
      <w:tr>
        <w:trPr>
          <w:trHeight w:val="216"/>
        </w:trPr>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2"/>
              </w:rPr>
              <w:t>related deliverables to be delivered to Avro, pursuant to this Section 2.4 must be pre-approved by Avro in writing, and will be paid</w:t>
            </w:r>
          </w:p>
        </w:tc>
      </w:tr>
      <w:tr>
        <w:trPr>
          <w:trHeight w:val="216"/>
        </w:trPr>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3"/>
              </w:rPr>
              <w:t>pursuant to Section 4.4. For clarity, the costs or expenses to be incurred by Avro pursuant to this Section 2.4 shall be limited to</w:t>
            </w:r>
          </w:p>
        </w:tc>
      </w:tr>
      <w:tr>
        <w:trPr>
          <w:trHeight w:val="230"/>
        </w:trPr>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reasonable, documented costs and expenses incurred by third parties only.</w:t>
            </w:r>
          </w:p>
        </w:tc>
      </w:tr>
      <w:tr>
        <w:trPr>
          <w:trHeight w:val="648"/>
        </w:trPr>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780" w:type="dxa"/>
            <w:vAlign w:val="bottom"/>
          </w:tcPr>
          <w:p>
            <w:pPr>
              <w:ind w:left="260"/>
              <w:spacing w:after="0"/>
              <w:rPr>
                <w:sz w:val="20"/>
                <w:szCs w:val="20"/>
                <w:color w:val="auto"/>
              </w:rPr>
            </w:pPr>
            <w:r>
              <w:rPr>
                <w:rFonts w:ascii="Arial" w:cs="Arial" w:eastAsia="Arial" w:hAnsi="Arial"/>
                <w:sz w:val="18"/>
                <w:szCs w:val="18"/>
                <w:b w:val="1"/>
                <w:bCs w:val="1"/>
                <w:color w:val="auto"/>
              </w:rPr>
              <w:t>ARTICLE 3 - SRA IP &amp; FURTHER OPTIONS</w:t>
            </w:r>
          </w:p>
        </w:tc>
      </w:tr>
      <w:tr>
        <w:trPr>
          <w:trHeight w:val="445"/>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3.1</w:t>
            </w:r>
          </w:p>
        </w:tc>
        <w:tc>
          <w:tcPr>
            <w:tcW w:w="10840" w:type="dxa"/>
            <w:vAlign w:val="bottom"/>
            <w:gridSpan w:val="3"/>
          </w:tcPr>
          <w:p>
            <w:pPr>
              <w:ind w:left="340"/>
              <w:spacing w:after="0"/>
              <w:rPr>
                <w:sz w:val="20"/>
                <w:szCs w:val="20"/>
                <w:color w:val="auto"/>
              </w:rPr>
            </w:pPr>
            <w:r>
              <w:rPr>
                <w:rFonts w:ascii="Arial" w:cs="Arial" w:eastAsia="Arial" w:hAnsi="Arial"/>
                <w:sz w:val="18"/>
                <w:szCs w:val="18"/>
                <w:b w:val="1"/>
                <w:bCs w:val="1"/>
                <w:color w:val="auto"/>
                <w:w w:val="90"/>
              </w:rPr>
              <w:t>SRA &amp; Related Intellectual Property</w:t>
            </w:r>
            <w:r>
              <w:rPr>
                <w:rFonts w:ascii="Arial" w:cs="Arial" w:eastAsia="Arial" w:hAnsi="Arial"/>
                <w:sz w:val="18"/>
                <w:szCs w:val="18"/>
                <w:color w:val="auto"/>
                <w:w w:val="90"/>
              </w:rPr>
              <w:t>. The Parties contemplate the execution of one or more Sponsored Research Agreement(s). Each SRA will</w:t>
            </w:r>
          </w:p>
        </w:tc>
      </w:tr>
      <w:tr>
        <w:trPr>
          <w:trHeight w:val="216"/>
        </w:trPr>
        <w:tc>
          <w:tcPr>
            <w:tcW w:w="580" w:type="dxa"/>
            <w:vAlign w:val="bottom"/>
          </w:tcPr>
          <w:p>
            <w:pPr>
              <w:spacing w:after="0"/>
              <w:rPr>
                <w:sz w:val="18"/>
                <w:szCs w:val="18"/>
                <w:color w:val="auto"/>
              </w:rPr>
            </w:pPr>
          </w:p>
        </w:tc>
        <w:tc>
          <w:tcPr>
            <w:tcW w:w="10840" w:type="dxa"/>
            <w:vAlign w:val="bottom"/>
            <w:gridSpan w:val="3"/>
          </w:tcPr>
          <w:p>
            <w:pPr>
              <w:ind w:left="340"/>
              <w:spacing w:after="0"/>
              <w:rPr>
                <w:sz w:val="20"/>
                <w:szCs w:val="20"/>
                <w:color w:val="auto"/>
              </w:rPr>
            </w:pPr>
            <w:r>
              <w:rPr>
                <w:rFonts w:ascii="Arial" w:cs="Arial" w:eastAsia="Arial" w:hAnsi="Arial"/>
                <w:sz w:val="18"/>
                <w:szCs w:val="18"/>
                <w:color w:val="auto"/>
                <w:w w:val="93"/>
              </w:rPr>
              <w:t>include and incorporate appropriate provisions in respect of Avro rights and entitlements to SRA IP, including any agreement of the Parties to</w:t>
            </w:r>
          </w:p>
        </w:tc>
      </w:tr>
      <w:tr>
        <w:trPr>
          <w:trHeight w:val="216"/>
        </w:trPr>
        <w:tc>
          <w:tcPr>
            <w:tcW w:w="580" w:type="dxa"/>
            <w:vAlign w:val="bottom"/>
          </w:tcPr>
          <w:p>
            <w:pPr>
              <w:spacing w:after="0"/>
              <w:rPr>
                <w:sz w:val="18"/>
                <w:szCs w:val="18"/>
                <w:color w:val="auto"/>
              </w:rPr>
            </w:pPr>
          </w:p>
        </w:tc>
        <w:tc>
          <w:tcPr>
            <w:tcW w:w="10840" w:type="dxa"/>
            <w:vAlign w:val="bottom"/>
            <w:gridSpan w:val="3"/>
          </w:tcPr>
          <w:p>
            <w:pPr>
              <w:ind w:left="340"/>
              <w:spacing w:after="0"/>
              <w:rPr>
                <w:sz w:val="20"/>
                <w:szCs w:val="20"/>
                <w:color w:val="auto"/>
              </w:rPr>
            </w:pPr>
            <w:r>
              <w:rPr>
                <w:rFonts w:ascii="Arial" w:cs="Arial" w:eastAsia="Arial" w:hAnsi="Arial"/>
                <w:sz w:val="18"/>
                <w:szCs w:val="18"/>
                <w:color w:val="auto"/>
                <w:w w:val="96"/>
              </w:rPr>
              <w:t>incorporate any such SRA IP (in whole or in part) into this Agreement as Licensed SRA IP. In such an event, the Parties shall execute all</w:t>
            </w:r>
          </w:p>
        </w:tc>
      </w:tr>
      <w:tr>
        <w:trPr>
          <w:trHeight w:val="230"/>
        </w:trPr>
        <w:tc>
          <w:tcPr>
            <w:tcW w:w="580" w:type="dxa"/>
            <w:vAlign w:val="bottom"/>
          </w:tcPr>
          <w:p>
            <w:pPr>
              <w:spacing w:after="0"/>
              <w:rPr>
                <w:sz w:val="20"/>
                <w:szCs w:val="20"/>
                <w:color w:val="auto"/>
              </w:rPr>
            </w:pPr>
          </w:p>
        </w:tc>
        <w:tc>
          <w:tcPr>
            <w:tcW w:w="10840" w:type="dxa"/>
            <w:vAlign w:val="bottom"/>
            <w:gridSpan w:val="3"/>
          </w:tcPr>
          <w:p>
            <w:pPr>
              <w:ind w:left="340"/>
              <w:spacing w:after="0"/>
              <w:rPr>
                <w:sz w:val="20"/>
                <w:szCs w:val="20"/>
                <w:color w:val="auto"/>
              </w:rPr>
            </w:pPr>
            <w:r>
              <w:rPr>
                <w:rFonts w:ascii="Arial" w:cs="Arial" w:eastAsia="Arial" w:hAnsi="Arial"/>
                <w:sz w:val="18"/>
                <w:szCs w:val="18"/>
                <w:color w:val="auto"/>
              </w:rPr>
              <w:t>appropriate documentation to record such inclusion as Licensed SRA IP and shall further update Schedule “D” as required.</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3.2</w:t>
            </w:r>
          </w:p>
        </w:tc>
        <w:tc>
          <w:tcPr>
            <w:tcW w:w="10840" w:type="dxa"/>
            <w:vAlign w:val="bottom"/>
            <w:gridSpan w:val="3"/>
          </w:tcPr>
          <w:p>
            <w:pPr>
              <w:ind w:left="340"/>
              <w:spacing w:after="0"/>
              <w:rPr>
                <w:sz w:val="20"/>
                <w:szCs w:val="20"/>
                <w:color w:val="auto"/>
              </w:rPr>
            </w:pPr>
            <w:r>
              <w:rPr>
                <w:rFonts w:ascii="Arial" w:cs="Arial" w:eastAsia="Arial" w:hAnsi="Arial"/>
                <w:sz w:val="18"/>
                <w:szCs w:val="18"/>
                <w:b w:val="1"/>
                <w:bCs w:val="1"/>
                <w:color w:val="auto"/>
              </w:rPr>
              <w:t>Option Related to Improvements and Improved Therapies</w:t>
            </w:r>
          </w:p>
        </w:tc>
      </w:tr>
      <w:tr>
        <w:trPr>
          <w:trHeight w:val="297"/>
        </w:trPr>
        <w:tc>
          <w:tcPr>
            <w:tcW w:w="58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Arial" w:cs="Arial" w:eastAsia="Arial" w:hAnsi="Arial"/>
                <w:sz w:val="18"/>
                <w:szCs w:val="18"/>
                <w:b w:val="1"/>
                <w:bCs w:val="1"/>
                <w:color w:val="auto"/>
              </w:rPr>
              <w:t>3.2.1</w:t>
            </w:r>
          </w:p>
        </w:tc>
        <w:tc>
          <w:tcPr>
            <w:tcW w:w="9480" w:type="dxa"/>
            <w:vAlign w:val="bottom"/>
            <w:gridSpan w:val="2"/>
          </w:tcPr>
          <w:p>
            <w:pPr>
              <w:spacing w:after="0"/>
              <w:rPr>
                <w:sz w:val="20"/>
                <w:szCs w:val="20"/>
                <w:color w:val="auto"/>
              </w:rPr>
            </w:pPr>
            <w:r>
              <w:rPr>
                <w:rFonts w:ascii="Arial" w:cs="Arial" w:eastAsia="Arial" w:hAnsi="Arial"/>
                <w:sz w:val="18"/>
                <w:szCs w:val="18"/>
                <w:b w:val="1"/>
                <w:bCs w:val="1"/>
                <w:color w:val="auto"/>
                <w:w w:val="93"/>
              </w:rPr>
              <w:t>Improvements Option</w:t>
            </w:r>
            <w:r>
              <w:rPr>
                <w:rFonts w:ascii="Arial" w:cs="Arial" w:eastAsia="Arial" w:hAnsi="Arial"/>
                <w:sz w:val="18"/>
                <w:szCs w:val="18"/>
                <w:color w:val="auto"/>
                <w:w w:val="93"/>
              </w:rPr>
              <w:t>. During the Option Term, and subject to any Third Party rights of (i) University of Wisconsin that exist as</w:t>
            </w:r>
          </w:p>
        </w:tc>
      </w:tr>
      <w:tr>
        <w:trPr>
          <w:trHeight w:val="20"/>
        </w:trPr>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3"/>
              </w:rPr>
              <w:t>of the Effective Date or that may arise during the Option Term, or (ii) that may arise as a result of UHN’s exercise of its retained</w:t>
            </w:r>
          </w:p>
        </w:tc>
      </w:tr>
    </w:tbl>
    <w:p>
      <w:pPr>
        <w:ind w:left="1940"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pursuant to Section 2.2.1, UHN hereby grants to Avro and its Affiliates an exclusive option to obtain an exclusive license under any or all of UHN’s interests in the Improvement Patents to research, have researched, develop, have developed, make, have made, use, have used, sell, have sold, offer for sale, have offered for sale, import, have imported, export and have exported Licensed Products in the Field of Use for the Territory (the “</w:t>
      </w:r>
      <w:r>
        <w:rPr>
          <w:rFonts w:ascii="Arial" w:cs="Arial" w:eastAsia="Arial" w:hAnsi="Arial"/>
          <w:sz w:val="16"/>
          <w:szCs w:val="16"/>
          <w:b w:val="1"/>
          <w:bCs w:val="1"/>
          <w:color w:val="auto"/>
        </w:rPr>
        <w:t>Option</w:t>
      </w:r>
      <w:r>
        <w:rPr>
          <w:rFonts w:ascii="Arial" w:cs="Arial" w:eastAsia="Arial" w:hAnsi="Arial"/>
          <w:sz w:val="16"/>
          <w:szCs w:val="16"/>
          <w:color w:val="auto"/>
        </w:rPr>
        <w:t>”). From time to time during the Option Term, or upon Avro’s written request during the Option Term, UHN shall (a) promptly inform Avro of the preparation or filing of any Improvements Patents, (b) provide to Avro a summary of all Improvements created, conceived, developed or reduced to practice during the Option Term that are incorporated into said Improvements Patents, and (c) afford Avro a reasonable opportunity during business hours to speak with UHN personnel (including the Principal Investigator) regarding the Improvements Patents in order to permit Avro to determine whether to exercise the Option. Within [***] of Avro’s receipt of information from UHN regarding an Improvement Patent(s), Avro may (in its sole discretion) provide Notice to UHN of its intention to exercise the Option with respect to such Improvements Patent(s), such that such Improvements Patents become Optioned Improvements Patents. On UHN’s receipt of such Notice, the Parties shall promptly (and in any event prior to the expiration of the Option Term) execute an amendment to this Agreement to include such Improvements Patents as Optioned Improvements Patents on the existing terms and conditions set forth in this Agreement (which includes, without limitation, the reimbursement of UHN patent costs and expenses). For clarity, Avro will have the right to exercise the Option from time to time during the Option Term as and when notified of such Improvements Patents in accordance with the terms of this Section 3.2.1. If UHN does not receive a Notice during the time period specified above from Avro of its intent to exercise the Option with respect to such disclosed Improvement Patents, the option with respect to such disclosed Improvement Patents shall lapse, and the license to any Improvements Know-How associated with such Improvement Patents, shall terminate and UHN will be free to dispose of the disclosed Improvement Patents in its sole and absolute discretion without any further notice or accounting to Avro.</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402" w:name="page403"/>
    <w:bookmarkEnd w:id="402"/>
    <w:tbl>
      <w:tblPr>
        <w:tblLayout w:type="fixed"/>
        <w:tblInd w:w="0" w:type="dxa"/>
        <w:tblCellMar>
          <w:top w:w="0" w:type="dxa"/>
          <w:left w:w="0" w:type="dxa"/>
          <w:bottom w:w="0" w:type="dxa"/>
          <w:right w:w="0" w:type="dxa"/>
        </w:tblCellMar>
      </w:tblPr>
      <w:tr>
        <w:trPr>
          <w:trHeight w:val="207"/>
        </w:trPr>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w w:val="84"/>
              </w:rPr>
              <w:t>3.2.2</w:t>
            </w:r>
          </w:p>
        </w:tc>
        <w:tc>
          <w:tcPr>
            <w:tcW w:w="9280" w:type="dxa"/>
            <w:vAlign w:val="bottom"/>
            <w:gridSpan w:val="2"/>
          </w:tcPr>
          <w:p>
            <w:pPr>
              <w:spacing w:after="0"/>
              <w:rPr>
                <w:sz w:val="20"/>
                <w:szCs w:val="20"/>
                <w:color w:val="auto"/>
              </w:rPr>
            </w:pPr>
            <w:r>
              <w:rPr>
                <w:rFonts w:ascii="Arial" w:cs="Arial" w:eastAsia="Arial" w:hAnsi="Arial"/>
                <w:sz w:val="18"/>
                <w:szCs w:val="18"/>
                <w:b w:val="1"/>
                <w:bCs w:val="1"/>
                <w:color w:val="auto"/>
                <w:w w:val="92"/>
              </w:rPr>
              <w:t xml:space="preserve">Improved Therapies Option. </w:t>
            </w:r>
            <w:r>
              <w:rPr>
                <w:rFonts w:ascii="Arial" w:cs="Arial" w:eastAsia="Arial" w:hAnsi="Arial"/>
                <w:sz w:val="18"/>
                <w:szCs w:val="18"/>
                <w:color w:val="auto"/>
                <w:w w:val="92"/>
              </w:rPr>
              <w:t>During the Option Term, UHN hereby also grants to Avro and its Affiliates an exclusive option to</w:t>
            </w:r>
          </w:p>
        </w:tc>
      </w:tr>
      <w:tr>
        <w:trPr>
          <w:trHeight w:val="20"/>
        </w:trPr>
        <w:tc>
          <w:tcPr>
            <w:tcW w:w="10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negotiate any or all of the following licenses and rights (the “</w:t>
            </w:r>
            <w:r>
              <w:rPr>
                <w:rFonts w:ascii="Arial" w:cs="Arial" w:eastAsia="Arial" w:hAnsi="Arial"/>
                <w:sz w:val="18"/>
                <w:szCs w:val="18"/>
                <w:b w:val="1"/>
                <w:bCs w:val="1"/>
                <w:color w:val="auto"/>
              </w:rPr>
              <w:t>Improved Therapies Option</w:t>
            </w:r>
            <w:r>
              <w:rPr>
                <w:rFonts w:ascii="Arial" w:cs="Arial" w:eastAsia="Arial" w:hAnsi="Arial"/>
                <w:sz w:val="18"/>
                <w:szCs w:val="18"/>
                <w:color w:val="auto"/>
              </w:rPr>
              <w:t>”):</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020" w:right="20"/>
        <w:spacing w:after="0" w:line="297" w:lineRule="auto"/>
        <w:rPr>
          <w:sz w:val="20"/>
          <w:szCs w:val="20"/>
          <w:color w:val="auto"/>
        </w:rPr>
      </w:pPr>
      <w:r>
        <w:rPr>
          <w:rFonts w:ascii="Arial" w:cs="Arial" w:eastAsia="Arial" w:hAnsi="Arial"/>
          <w:sz w:val="16"/>
          <w:szCs w:val="16"/>
          <w:color w:val="auto"/>
        </w:rPr>
        <w:t>(a) subject to any Third Party rights of (i) University of Wisconsin that exist as of the Effective Date or that may arise during the Option Term or (ii) that may arise as a result of UHN’s exercise of its retained rights pursuant to Section 2.2.1, an exclusive license under UHN’s interest in any or all of the Improved Therapies Patents to research, have researched, develop, have developed, make, have made, use, have used, sell, have sold, offer for sale, have offered for sale, import, have imported, export and have exported products or services in the Field of Use for the Territory, to the extent such rights are available in law;</w:t>
      </w:r>
    </w:p>
    <w:p>
      <w:pPr>
        <w:spacing w:after="0" w:line="50" w:lineRule="exact"/>
        <w:rPr>
          <w:sz w:val="20"/>
          <w:szCs w:val="20"/>
          <w:color w:val="auto"/>
        </w:rPr>
      </w:pPr>
    </w:p>
    <w:p>
      <w:pPr>
        <w:ind w:left="1020" w:right="80"/>
        <w:spacing w:after="0" w:line="255" w:lineRule="auto"/>
        <w:rPr>
          <w:sz w:val="20"/>
          <w:szCs w:val="20"/>
          <w:color w:val="auto"/>
        </w:rPr>
      </w:pPr>
      <w:r>
        <w:rPr>
          <w:rFonts w:ascii="Arial" w:cs="Arial" w:eastAsia="Arial" w:hAnsi="Arial"/>
          <w:sz w:val="18"/>
          <w:szCs w:val="18"/>
          <w:color w:val="auto"/>
        </w:rPr>
        <w:t>(b) subject to any Third Party rights (i) of University of Wisconsin that exist as of the Effective Date or that may arise during the Option Term or (ii) that may otherwise arise as a result of UHN’s exercise of its retained rights pursuant to Section 2.2, a non-exclusive license under UHN’s interest in any or all of the Improved Therapies Know-How to research, have researched, develop, have developed, make, have made, use, have used, sell, have sold, offer for sale, have offered for sale, import, have imported, export and have exported products or services in the Field of Use for the Territory, to the extent such rights are available in law;</w:t>
      </w:r>
    </w:p>
    <w:p>
      <w:pPr>
        <w:spacing w:after="0" w:line="85" w:lineRule="exact"/>
        <w:rPr>
          <w:sz w:val="20"/>
          <w:szCs w:val="20"/>
          <w:color w:val="auto"/>
        </w:rPr>
      </w:pPr>
    </w:p>
    <w:p>
      <w:pPr>
        <w:ind w:left="1020" w:right="60"/>
        <w:spacing w:after="0" w:line="268" w:lineRule="auto"/>
        <w:rPr>
          <w:sz w:val="20"/>
          <w:szCs w:val="20"/>
          <w:color w:val="auto"/>
        </w:rPr>
      </w:pPr>
      <w:r>
        <w:rPr>
          <w:rFonts w:ascii="Arial" w:cs="Arial" w:eastAsia="Arial" w:hAnsi="Arial"/>
          <w:sz w:val="17"/>
          <w:szCs w:val="17"/>
          <w:color w:val="auto"/>
        </w:rPr>
        <w:t>From time to time during the Option Term, or upon Avro’s written request during the Option Term, UHN shall (A) promptly inform Avro of the preparation or filing of any Improved Therapies Patents, (B) provide to Avro a summary of all Improvements created, conceived, developed or reduced to practice prior to the Effective Date or during the Option Term that are incorporated into said Improved Therapies Patents and (C) afford Avro a reasonable opportunity during business hours to speak with UHN personnel (including the Principal Investigator) regarding the Improved Therapies Patents and Improved Therapies Know-How in order to permit Avro to determine whether to exercise the Improved Therapies Option. Within [***] of receipt of information from UHN informing Avro of said Improved Therapies Patent(s), Avro may (in its sole discretion) provide Notice to UHN of its intention to exercise any or all of Improved Therapies Option regarding said Improved Therapies Patent(s). On UHN’s receipt of such Notice, the Parties shall negotiate in good faith to enter into a license agreement on terms and conditions to be agreed to by the Parties, including financial terms at least as favourable to UHN as those of this Agreement (which includes, without limitation, the reimbursement of UHN patent costs and expenses). For clarity, Avro will have the right to exercise the Improved Therapies Option within [***] of such disclosure to Avro when any Improved Therapies are disclosed by UHN to Avro in accordance with the terms herein.</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00"/>
          </w:cols>
          <w:pgMar w:left="1160" w:top="256" w:right="239" w:bottom="1440" w:gutter="0" w:footer="0" w:header="0"/>
        </w:sectPr>
      </w:pPr>
    </w:p>
    <w:bookmarkStart w:id="403" w:name="page404"/>
    <w:bookmarkEnd w:id="403"/>
    <w:p>
      <w:pPr>
        <w:ind w:left="920"/>
        <w:spacing w:after="0"/>
        <w:tabs>
          <w:tab w:leader="none" w:pos="1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3.2.3</w:t>
      </w:r>
      <w:r>
        <w:rPr>
          <w:sz w:val="20"/>
          <w:szCs w:val="20"/>
          <w:color w:val="auto"/>
        </w:rPr>
        <w:tab/>
      </w:r>
      <w:r>
        <w:rPr>
          <w:rFonts w:ascii="Arial" w:cs="Arial" w:eastAsia="Arial" w:hAnsi="Arial"/>
          <w:sz w:val="16"/>
          <w:szCs w:val="16"/>
          <w:b w:val="1"/>
          <w:bCs w:val="1"/>
          <w:u w:val="single" w:color="auto"/>
          <w:color w:val="auto"/>
        </w:rPr>
        <w:t>Residual Rights</w:t>
      </w:r>
      <w:r>
        <w:rPr>
          <w:rFonts w:ascii="Arial" w:cs="Arial" w:eastAsia="Arial" w:hAnsi="Arial"/>
          <w:sz w:val="16"/>
          <w:szCs w:val="16"/>
          <w:color w:val="auto"/>
        </w:rPr>
        <w:t>. In the event that:</w:t>
      </w:r>
    </w:p>
    <w:p>
      <w:pPr>
        <w:spacing w:after="0" w:line="121" w:lineRule="exact"/>
        <w:rPr>
          <w:sz w:val="20"/>
          <w:szCs w:val="20"/>
          <w:color w:val="auto"/>
        </w:rPr>
      </w:pPr>
    </w:p>
    <w:p>
      <w:pPr>
        <w:ind w:left="1940" w:right="300" w:firstLine="8"/>
        <w:spacing w:after="0" w:line="277" w:lineRule="auto"/>
        <w:tabs>
          <w:tab w:leader="none" w:pos="218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UHN does not receive the aforementioned Notice from Avro in respect of the Improved Therapies Option during the Option Term, or</w:t>
      </w:r>
    </w:p>
    <w:p>
      <w:pPr>
        <w:spacing w:after="0" w:line="62" w:lineRule="exact"/>
        <w:rPr>
          <w:rFonts w:ascii="Arial" w:cs="Arial" w:eastAsia="Arial" w:hAnsi="Arial"/>
          <w:sz w:val="18"/>
          <w:szCs w:val="18"/>
          <w:color w:val="auto"/>
        </w:rPr>
      </w:pPr>
    </w:p>
    <w:p>
      <w:pPr>
        <w:ind w:left="2200" w:hanging="252"/>
        <w:spacing w:after="0"/>
        <w:tabs>
          <w:tab w:leader="none" w:pos="22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Parties do not execute a license with respect to the Improved Therapies Option, or</w:t>
      </w:r>
    </w:p>
    <w:p>
      <w:pPr>
        <w:spacing w:after="0" w:line="117" w:lineRule="exact"/>
        <w:rPr>
          <w:rFonts w:ascii="Arial" w:cs="Arial" w:eastAsia="Arial" w:hAnsi="Arial"/>
          <w:sz w:val="18"/>
          <w:szCs w:val="18"/>
          <w:color w:val="auto"/>
        </w:rPr>
      </w:pPr>
    </w:p>
    <w:p>
      <w:pPr>
        <w:ind w:left="1940" w:firstLine="8"/>
        <w:spacing w:after="0" w:line="277" w:lineRule="auto"/>
        <w:tabs>
          <w:tab w:leader="none" w:pos="218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Parties do enter into a license with respect to the Improved Therapies Option, but such license is terminated and the rights to exploit the Improved Therapies Patents is subsequently returned to UHN,</w:t>
      </w:r>
    </w:p>
    <w:p>
      <w:pPr>
        <w:spacing w:after="0" w:line="62" w:lineRule="exact"/>
        <w:rPr>
          <w:sz w:val="20"/>
          <w:szCs w:val="20"/>
          <w:color w:val="auto"/>
        </w:rPr>
      </w:pPr>
    </w:p>
    <w:p>
      <w:pPr>
        <w:ind w:left="1940" w:right="40"/>
        <w:spacing w:after="0" w:line="264" w:lineRule="auto"/>
        <w:rPr>
          <w:sz w:val="20"/>
          <w:szCs w:val="20"/>
          <w:color w:val="auto"/>
        </w:rPr>
      </w:pPr>
      <w:r>
        <w:rPr>
          <w:rFonts w:ascii="Arial" w:cs="Arial" w:eastAsia="Arial" w:hAnsi="Arial"/>
          <w:sz w:val="18"/>
          <w:szCs w:val="18"/>
          <w:color w:val="auto"/>
        </w:rPr>
        <w:t>UHN will then have the right to license the Improved Therapies Patents for the purpose of research, development and commercialization of any products or services thereunder in the Field of Use in its sole discretion and without any further notice or accounting to Avro.</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0800" w:type="dxa"/>
            <w:vAlign w:val="bottom"/>
          </w:tcPr>
          <w:p>
            <w:pPr>
              <w:ind w:left="3820"/>
              <w:spacing w:after="0"/>
              <w:rPr>
                <w:sz w:val="20"/>
                <w:szCs w:val="20"/>
                <w:color w:val="auto"/>
              </w:rPr>
            </w:pPr>
            <w:r>
              <w:rPr>
                <w:rFonts w:ascii="Arial" w:cs="Arial" w:eastAsia="Arial" w:hAnsi="Arial"/>
                <w:sz w:val="18"/>
                <w:szCs w:val="18"/>
                <w:b w:val="1"/>
                <w:bCs w:val="1"/>
                <w:color w:val="auto"/>
              </w:rPr>
              <w:t>ARTICLE 4 - CONSIDERATION</w:t>
            </w:r>
          </w:p>
        </w:tc>
      </w:tr>
      <w:tr>
        <w:trPr>
          <w:trHeight w:val="459"/>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4.1</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Payments of funds to UHN shall be made to “University Health Network” and sent to the following address:</w:t>
            </w:r>
          </w:p>
        </w:tc>
      </w:tr>
      <w:tr>
        <w:trPr>
          <w:trHeight w:val="310"/>
        </w:trPr>
        <w:tc>
          <w:tcPr>
            <w:tcW w:w="580" w:type="dxa"/>
            <w:vAlign w:val="bottom"/>
          </w:tcPr>
          <w:p>
            <w:pPr>
              <w:spacing w:after="0"/>
              <w:rPr>
                <w:sz w:val="24"/>
                <w:szCs w:val="24"/>
                <w:color w:val="auto"/>
              </w:rPr>
            </w:pPr>
          </w:p>
        </w:tc>
        <w:tc>
          <w:tcPr>
            <w:tcW w:w="10800" w:type="dxa"/>
            <w:vAlign w:val="bottom"/>
          </w:tcPr>
          <w:p>
            <w:pPr>
              <w:ind w:left="1360"/>
              <w:spacing w:after="0"/>
              <w:rPr>
                <w:sz w:val="20"/>
                <w:szCs w:val="20"/>
                <w:color w:val="auto"/>
              </w:rPr>
            </w:pPr>
            <w:r>
              <w:rPr>
                <w:rFonts w:ascii="Arial" w:cs="Arial" w:eastAsia="Arial" w:hAnsi="Arial"/>
                <w:sz w:val="18"/>
                <w:szCs w:val="18"/>
                <w:color w:val="auto"/>
              </w:rPr>
              <w:t>University Health Network</w:t>
            </w:r>
          </w:p>
        </w:tc>
      </w:tr>
      <w:tr>
        <w:trPr>
          <w:trHeight w:val="216"/>
        </w:trPr>
        <w:tc>
          <w:tcPr>
            <w:tcW w:w="580" w:type="dxa"/>
            <w:vAlign w:val="bottom"/>
          </w:tcPr>
          <w:p>
            <w:pPr>
              <w:spacing w:after="0"/>
              <w:rPr>
                <w:sz w:val="18"/>
                <w:szCs w:val="18"/>
                <w:color w:val="auto"/>
              </w:rPr>
            </w:pPr>
          </w:p>
        </w:tc>
        <w:tc>
          <w:tcPr>
            <w:tcW w:w="10800" w:type="dxa"/>
            <w:vAlign w:val="bottom"/>
          </w:tcPr>
          <w:p>
            <w:pPr>
              <w:ind w:left="1360"/>
              <w:spacing w:after="0"/>
              <w:rPr>
                <w:sz w:val="20"/>
                <w:szCs w:val="20"/>
                <w:color w:val="auto"/>
              </w:rPr>
            </w:pPr>
            <w:r>
              <w:rPr>
                <w:rFonts w:ascii="Arial" w:cs="Arial" w:eastAsia="Arial" w:hAnsi="Arial"/>
                <w:sz w:val="18"/>
                <w:szCs w:val="18"/>
                <w:color w:val="auto"/>
              </w:rPr>
              <w:t>Technology Development &amp; Commercialization</w:t>
            </w:r>
          </w:p>
        </w:tc>
      </w:tr>
      <w:tr>
        <w:trPr>
          <w:trHeight w:val="216"/>
        </w:trPr>
        <w:tc>
          <w:tcPr>
            <w:tcW w:w="580" w:type="dxa"/>
            <w:vAlign w:val="bottom"/>
          </w:tcPr>
          <w:p>
            <w:pPr>
              <w:spacing w:after="0"/>
              <w:rPr>
                <w:sz w:val="18"/>
                <w:szCs w:val="18"/>
                <w:color w:val="auto"/>
              </w:rPr>
            </w:pPr>
          </w:p>
        </w:tc>
        <w:tc>
          <w:tcPr>
            <w:tcW w:w="10800" w:type="dxa"/>
            <w:vAlign w:val="bottom"/>
          </w:tcPr>
          <w:p>
            <w:pPr>
              <w:ind w:left="1360"/>
              <w:spacing w:after="0"/>
              <w:rPr>
                <w:sz w:val="20"/>
                <w:szCs w:val="20"/>
                <w:color w:val="auto"/>
              </w:rPr>
            </w:pPr>
            <w:r>
              <w:rPr>
                <w:rFonts w:ascii="Arial" w:cs="Arial" w:eastAsia="Arial" w:hAnsi="Arial"/>
                <w:sz w:val="18"/>
                <w:szCs w:val="18"/>
                <w:color w:val="auto"/>
              </w:rPr>
              <w:t>College Street - Suite 150</w:t>
            </w:r>
          </w:p>
        </w:tc>
      </w:tr>
      <w:tr>
        <w:trPr>
          <w:trHeight w:val="216"/>
        </w:trPr>
        <w:tc>
          <w:tcPr>
            <w:tcW w:w="580" w:type="dxa"/>
            <w:vAlign w:val="bottom"/>
          </w:tcPr>
          <w:p>
            <w:pPr>
              <w:spacing w:after="0"/>
              <w:rPr>
                <w:sz w:val="18"/>
                <w:szCs w:val="18"/>
                <w:color w:val="auto"/>
              </w:rPr>
            </w:pPr>
          </w:p>
        </w:tc>
        <w:tc>
          <w:tcPr>
            <w:tcW w:w="10800" w:type="dxa"/>
            <w:vAlign w:val="bottom"/>
          </w:tcPr>
          <w:p>
            <w:pPr>
              <w:ind w:left="1360"/>
              <w:spacing w:after="0"/>
              <w:rPr>
                <w:sz w:val="20"/>
                <w:szCs w:val="20"/>
                <w:color w:val="auto"/>
              </w:rPr>
            </w:pPr>
            <w:r>
              <w:rPr>
                <w:rFonts w:ascii="Arial" w:cs="Arial" w:eastAsia="Arial" w:hAnsi="Arial"/>
                <w:sz w:val="18"/>
                <w:szCs w:val="18"/>
                <w:color w:val="auto"/>
              </w:rPr>
              <w:t>Heritage Building - MaRS Centre</w:t>
            </w:r>
          </w:p>
        </w:tc>
      </w:tr>
      <w:tr>
        <w:trPr>
          <w:trHeight w:val="216"/>
        </w:trPr>
        <w:tc>
          <w:tcPr>
            <w:tcW w:w="580" w:type="dxa"/>
            <w:vAlign w:val="bottom"/>
          </w:tcPr>
          <w:p>
            <w:pPr>
              <w:spacing w:after="0"/>
              <w:rPr>
                <w:sz w:val="18"/>
                <w:szCs w:val="18"/>
                <w:color w:val="auto"/>
              </w:rPr>
            </w:pPr>
          </w:p>
        </w:tc>
        <w:tc>
          <w:tcPr>
            <w:tcW w:w="10800" w:type="dxa"/>
            <w:vAlign w:val="bottom"/>
          </w:tcPr>
          <w:p>
            <w:pPr>
              <w:ind w:left="1360"/>
              <w:spacing w:after="0"/>
              <w:rPr>
                <w:sz w:val="20"/>
                <w:szCs w:val="20"/>
                <w:color w:val="auto"/>
              </w:rPr>
            </w:pPr>
            <w:r>
              <w:rPr>
                <w:rFonts w:ascii="Arial" w:cs="Arial" w:eastAsia="Arial" w:hAnsi="Arial"/>
                <w:sz w:val="18"/>
                <w:szCs w:val="18"/>
                <w:color w:val="auto"/>
              </w:rPr>
              <w:t>Toronto, Ontario, Canada, M5G 1L7</w:t>
            </w:r>
          </w:p>
        </w:tc>
      </w:tr>
      <w:tr>
        <w:trPr>
          <w:trHeight w:val="230"/>
        </w:trPr>
        <w:tc>
          <w:tcPr>
            <w:tcW w:w="580" w:type="dxa"/>
            <w:vAlign w:val="bottom"/>
          </w:tcPr>
          <w:p>
            <w:pPr>
              <w:spacing w:after="0"/>
              <w:rPr>
                <w:sz w:val="20"/>
                <w:szCs w:val="20"/>
                <w:color w:val="auto"/>
              </w:rPr>
            </w:pPr>
          </w:p>
        </w:tc>
        <w:tc>
          <w:tcPr>
            <w:tcW w:w="10800" w:type="dxa"/>
            <w:vAlign w:val="bottom"/>
          </w:tcPr>
          <w:p>
            <w:pPr>
              <w:ind w:left="1360"/>
              <w:spacing w:after="0"/>
              <w:rPr>
                <w:sz w:val="20"/>
                <w:szCs w:val="20"/>
                <w:color w:val="auto"/>
              </w:rPr>
            </w:pPr>
            <w:r>
              <w:rPr>
                <w:rFonts w:ascii="Arial" w:cs="Arial" w:eastAsia="Arial" w:hAnsi="Arial"/>
                <w:sz w:val="18"/>
                <w:szCs w:val="18"/>
                <w:color w:val="auto"/>
              </w:rPr>
              <w:t>Attention: tdc@uhnresearch.ca</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4.2</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3"/>
              </w:rPr>
              <w:t>License Maintenance/Upfront Fee</w:t>
            </w:r>
            <w:r>
              <w:rPr>
                <w:rFonts w:ascii="Arial" w:cs="Arial" w:eastAsia="Arial" w:hAnsi="Arial"/>
                <w:sz w:val="18"/>
                <w:szCs w:val="18"/>
                <w:color w:val="auto"/>
                <w:w w:val="93"/>
              </w:rPr>
              <w:t>. Upon execution of this Agreement, and on each anniversary of the Effective Date during the Term, Avro</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1"/>
              </w:rPr>
              <w:t>shall pay UHN (a) a non-refundable and non-creditable (towards any other consideration owing pursuant to this Agreement with the exception of</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4"/>
              </w:rPr>
              <w:t>Section 4.6) license fee payment of [***] until the first sale of a Licensed Product in [***], and (b) a non-refundable, non-creditable, one-time</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2"/>
              </w:rPr>
              <w:t>upfront fee of seventy five thousand Canadian dollars (C$75,000) upon the execution of this Agreement. UHN will maintain [***] of these funds</w:t>
            </w:r>
          </w:p>
        </w:tc>
      </w:tr>
      <w:tr>
        <w:trPr>
          <w:trHeight w:val="212"/>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3"/>
              </w:rPr>
              <w:t>in a separate UHN account, to be maintained in support of UHN’s obligations pursuant to the accompanying letter agreement to be executed</w:t>
            </w:r>
          </w:p>
        </w:tc>
      </w:tr>
      <w:tr>
        <w:trPr>
          <w:trHeight w:val="234"/>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concurrently with this Agreement (the “</w:t>
            </w:r>
            <w:r>
              <w:rPr>
                <w:rFonts w:ascii="Arial" w:cs="Arial" w:eastAsia="Arial" w:hAnsi="Arial"/>
                <w:sz w:val="18"/>
                <w:szCs w:val="18"/>
                <w:b w:val="1"/>
                <w:bCs w:val="1"/>
                <w:color w:val="auto"/>
              </w:rPr>
              <w:t>Letter Agreement</w:t>
            </w:r>
            <w:r>
              <w:rPr>
                <w:rFonts w:ascii="Arial" w:cs="Arial" w:eastAsia="Arial" w:hAnsi="Arial"/>
                <w:sz w:val="18"/>
                <w:szCs w:val="18"/>
                <w:color w:val="auto"/>
              </w:rPr>
              <w:t>”).</w:t>
            </w:r>
          </w:p>
        </w:tc>
      </w:tr>
      <w:tr>
        <w:trPr>
          <w:trHeight w:val="319"/>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4.3</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2"/>
              </w:rPr>
              <w:t>Reimbursement of Past Patent Costs</w:t>
            </w:r>
            <w:r>
              <w:rPr>
                <w:rFonts w:ascii="Arial" w:cs="Arial" w:eastAsia="Arial" w:hAnsi="Arial"/>
                <w:sz w:val="18"/>
                <w:szCs w:val="18"/>
                <w:color w:val="auto"/>
                <w:w w:val="92"/>
              </w:rPr>
              <w:t>. Avro shall reimburse UHN for all previously unreimbursed patent expenses incurred prior to and up to</w:t>
            </w:r>
          </w:p>
        </w:tc>
      </w:tr>
      <w:tr>
        <w:trPr>
          <w:trHeight w:val="220"/>
        </w:trPr>
        <w:tc>
          <w:tcPr>
            <w:tcW w:w="580" w:type="dxa"/>
            <w:vAlign w:val="bottom"/>
          </w:tcPr>
          <w:p>
            <w:pPr>
              <w:spacing w:after="0"/>
              <w:rPr>
                <w:sz w:val="19"/>
                <w:szCs w:val="19"/>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1"/>
              </w:rPr>
              <w:t>the Effective Date in respect of the filing, maintenance and prosecution of the Fabry Patents (the “</w:t>
            </w:r>
            <w:r>
              <w:rPr>
                <w:rFonts w:ascii="Arial" w:cs="Arial" w:eastAsia="Arial" w:hAnsi="Arial"/>
                <w:sz w:val="18"/>
                <w:szCs w:val="18"/>
                <w:b w:val="1"/>
                <w:bCs w:val="1"/>
                <w:color w:val="auto"/>
                <w:w w:val="91"/>
              </w:rPr>
              <w:t>Patent Expenses</w:t>
            </w:r>
            <w:r>
              <w:rPr>
                <w:rFonts w:ascii="Arial" w:cs="Arial" w:eastAsia="Arial" w:hAnsi="Arial"/>
                <w:sz w:val="18"/>
                <w:szCs w:val="18"/>
                <w:color w:val="auto"/>
                <w:w w:val="91"/>
              </w:rPr>
              <w:t>”). For information purposes</w:t>
            </w:r>
          </w:p>
        </w:tc>
      </w:tr>
      <w:tr>
        <w:trPr>
          <w:trHeight w:val="230"/>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only, such costs are estimated to be [***]. All past patent costs are due and payable upon execution of this Agreement.</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4.4</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4"/>
              </w:rPr>
              <w:t>Reimbursement of Addition Costs and Expenses</w:t>
            </w:r>
            <w:r>
              <w:rPr>
                <w:rFonts w:ascii="Arial" w:cs="Arial" w:eastAsia="Arial" w:hAnsi="Arial"/>
                <w:sz w:val="18"/>
                <w:szCs w:val="18"/>
                <w:color w:val="auto"/>
                <w:w w:val="94"/>
              </w:rPr>
              <w:t>. For any third party out-of-pocket costs and expenses that are pre-approved by Avro in</w:t>
            </w:r>
          </w:p>
        </w:tc>
      </w:tr>
    </w:tbl>
    <w:p>
      <w:pPr>
        <w:jc w:val="both"/>
        <w:ind w:left="920" w:right="240"/>
        <w:spacing w:after="0" w:line="255" w:lineRule="auto"/>
        <w:rPr>
          <w:sz w:val="20"/>
          <w:szCs w:val="20"/>
          <w:color w:val="auto"/>
        </w:rPr>
      </w:pPr>
      <w:r>
        <w:rPr>
          <w:rFonts w:ascii="Arial" w:cs="Arial" w:eastAsia="Arial" w:hAnsi="Arial"/>
          <w:sz w:val="18"/>
          <w:szCs w:val="18"/>
          <w:color w:val="auto"/>
        </w:rPr>
        <w:t>writing in accordance with Section 2.4.10, within [***] after [***], the incurring party will invoice Avro for any amounts owed by Avro under Section 2.4 that are not otherwise accounted for in this Section 4. Avro will pay any undisputed amounts within [***] of receipt of the invoice, and any disputed amounts owed by a Party will be paid within [***] of resolution of the dispute.</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69" w:right="239" w:bottom="1440" w:gutter="0" w:footer="0" w:header="0"/>
        </w:sectPr>
      </w:pPr>
    </w:p>
    <w:bookmarkStart w:id="404" w:name="page405"/>
    <w:bookmarkEnd w:id="404"/>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4.5</w:t>
            </w:r>
          </w:p>
        </w:tc>
        <w:tc>
          <w:tcPr>
            <w:tcW w:w="1360" w:type="dxa"/>
            <w:vAlign w:val="bottom"/>
          </w:tcPr>
          <w:p>
            <w:pPr>
              <w:ind w:left="340"/>
              <w:spacing w:after="0"/>
              <w:rPr>
                <w:sz w:val="20"/>
                <w:szCs w:val="20"/>
                <w:color w:val="auto"/>
              </w:rPr>
            </w:pPr>
            <w:r>
              <w:rPr>
                <w:rFonts w:ascii="Arial" w:cs="Arial" w:eastAsia="Arial" w:hAnsi="Arial"/>
                <w:sz w:val="18"/>
                <w:szCs w:val="18"/>
                <w:b w:val="1"/>
                <w:bCs w:val="1"/>
                <w:color w:val="auto"/>
              </w:rPr>
              <w:t>Royalties</w:t>
            </w: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100" w:type="dxa"/>
            <w:vAlign w:val="bottom"/>
          </w:tcPr>
          <w:p>
            <w:pPr>
              <w:spacing w:after="0"/>
              <w:rPr>
                <w:sz w:val="20"/>
                <w:szCs w:val="20"/>
                <w:color w:val="auto"/>
              </w:rPr>
            </w:pPr>
          </w:p>
        </w:tc>
      </w:tr>
      <w:tr>
        <w:trPr>
          <w:trHeight w:val="297"/>
        </w:trPr>
        <w:tc>
          <w:tcPr>
            <w:tcW w:w="58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Arial" w:cs="Arial" w:eastAsia="Arial" w:hAnsi="Arial"/>
                <w:sz w:val="18"/>
                <w:szCs w:val="18"/>
                <w:b w:val="1"/>
                <w:bCs w:val="1"/>
                <w:color w:val="auto"/>
              </w:rPr>
              <w:t>4.5.1</w:t>
            </w:r>
          </w:p>
        </w:tc>
        <w:tc>
          <w:tcPr>
            <w:tcW w:w="9480" w:type="dxa"/>
            <w:vAlign w:val="bottom"/>
            <w:gridSpan w:val="2"/>
          </w:tcPr>
          <w:p>
            <w:pPr>
              <w:spacing w:after="0"/>
              <w:rPr>
                <w:sz w:val="20"/>
                <w:szCs w:val="20"/>
                <w:color w:val="auto"/>
              </w:rPr>
            </w:pPr>
            <w:r>
              <w:rPr>
                <w:rFonts w:ascii="Arial" w:cs="Arial" w:eastAsia="Arial" w:hAnsi="Arial"/>
                <w:sz w:val="18"/>
                <w:szCs w:val="18"/>
                <w:b w:val="1"/>
                <w:bCs w:val="1"/>
                <w:color w:val="auto"/>
                <w:w w:val="96"/>
              </w:rPr>
              <w:t>[***]</w:t>
            </w:r>
            <w:r>
              <w:rPr>
                <w:rFonts w:ascii="Arial" w:cs="Arial" w:eastAsia="Arial" w:hAnsi="Arial"/>
                <w:sz w:val="18"/>
                <w:szCs w:val="18"/>
                <w:color w:val="auto"/>
                <w:w w:val="96"/>
              </w:rPr>
              <w:t>. During the Royalty Term, Avro shall, on a country-by-country and Licensed Product-by-Licensed Product basis, pay to</w:t>
            </w:r>
          </w:p>
        </w:tc>
      </w:tr>
      <w:tr>
        <w:trPr>
          <w:trHeight w:val="20"/>
        </w:trPr>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3"/>
              </w:rPr>
              <w:t xml:space="preserve">UHN a running royalty in the amount of (a) (i) </w:t>
            </w:r>
            <w:r>
              <w:rPr>
                <w:rFonts w:ascii="Arial" w:cs="Arial" w:eastAsia="Arial" w:hAnsi="Arial"/>
                <w:sz w:val="18"/>
                <w:szCs w:val="18"/>
                <w:b w:val="1"/>
                <w:bCs w:val="1"/>
                <w:color w:val="auto"/>
                <w:w w:val="93"/>
              </w:rPr>
              <w:t>[***] percent ([***]%)</w:t>
            </w:r>
            <w:r>
              <w:rPr>
                <w:rFonts w:ascii="Arial" w:cs="Arial" w:eastAsia="Arial" w:hAnsi="Arial"/>
                <w:sz w:val="18"/>
                <w:szCs w:val="18"/>
                <w:color w:val="auto"/>
                <w:w w:val="93"/>
              </w:rPr>
              <w:t xml:space="preserve"> of Net Revenues for annual sales of such Licensed Product</w:t>
            </w:r>
          </w:p>
        </w:tc>
      </w:tr>
      <w:tr>
        <w:trPr>
          <w:trHeight w:val="234"/>
        </w:trPr>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6"/>
              </w:rPr>
              <w:t xml:space="preserve">up to [***], (ii) </w:t>
            </w:r>
            <w:r>
              <w:rPr>
                <w:rFonts w:ascii="Arial" w:cs="Arial" w:eastAsia="Arial" w:hAnsi="Arial"/>
                <w:sz w:val="18"/>
                <w:szCs w:val="18"/>
                <w:b w:val="1"/>
                <w:bCs w:val="1"/>
                <w:color w:val="auto"/>
                <w:w w:val="96"/>
              </w:rPr>
              <w:t>[***] percent ([***]%)</w:t>
            </w:r>
            <w:r>
              <w:rPr>
                <w:rFonts w:ascii="Arial" w:cs="Arial" w:eastAsia="Arial" w:hAnsi="Arial"/>
                <w:sz w:val="18"/>
                <w:szCs w:val="18"/>
                <w:color w:val="auto"/>
                <w:w w:val="96"/>
              </w:rPr>
              <w:t xml:space="preserve"> of Net Revenues for annual sales of such Licensed Product between [***] up to [***], (iii)</w:t>
            </w:r>
          </w:p>
        </w:tc>
      </w:tr>
    </w:tbl>
    <w:p>
      <w:pPr>
        <w:ind w:left="1940" w:right="440" w:hanging="1"/>
        <w:spacing w:after="0" w:line="281" w:lineRule="auto"/>
        <w:tabs>
          <w:tab w:leader="none" w:pos="2375"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percent ([***]%) </w:t>
      </w:r>
      <w:r>
        <w:rPr>
          <w:rFonts w:ascii="Arial" w:cs="Arial" w:eastAsia="Arial" w:hAnsi="Arial"/>
          <w:sz w:val="16"/>
          <w:szCs w:val="16"/>
          <w:color w:val="auto"/>
        </w:rPr>
        <w:t>of Net Revenues for annual sales of such Licensed Product between [***] up to [***], and (iv)</w:t>
      </w:r>
      <w:r>
        <w:rPr>
          <w:rFonts w:ascii="Arial" w:cs="Arial" w:eastAsia="Arial" w:hAnsi="Arial"/>
          <w:sz w:val="16"/>
          <w:szCs w:val="16"/>
          <w:b w:val="1"/>
          <w:bCs w:val="1"/>
          <w:color w:val="auto"/>
        </w:rPr>
        <w:t xml:space="preserve"> [***] percent ([***]%) </w:t>
      </w:r>
      <w:r>
        <w:rPr>
          <w:rFonts w:ascii="Arial" w:cs="Arial" w:eastAsia="Arial" w:hAnsi="Arial"/>
          <w:sz w:val="16"/>
          <w:szCs w:val="16"/>
          <w:color w:val="auto"/>
        </w:rPr>
        <w:t>of Net Revenues for annual sales of such Licensed Product in excess of [***], during the period in which</w:t>
      </w:r>
    </w:p>
    <w:p>
      <w:pPr>
        <w:spacing w:after="0" w:line="1" w:lineRule="exact"/>
        <w:rPr>
          <w:rFonts w:ascii="Arial" w:cs="Arial" w:eastAsia="Arial" w:hAnsi="Arial"/>
          <w:sz w:val="16"/>
          <w:szCs w:val="16"/>
          <w:b w:val="1"/>
          <w:bCs w:val="1"/>
          <w:color w:val="auto"/>
        </w:rPr>
      </w:pPr>
    </w:p>
    <w:p>
      <w:pPr>
        <w:ind w:left="1940" w:right="30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(A) such sale would but for the licenses granted herein infringe any Valid Claims contained in the Licensed Technology in such country, or (B) [***].</w:t>
      </w:r>
    </w:p>
    <w:p>
      <w:pPr>
        <w:spacing w:after="0" w:line="72"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w w:val="84"/>
              </w:rPr>
              <w:t>4.5.2</w:t>
            </w:r>
          </w:p>
        </w:tc>
        <w:tc>
          <w:tcPr>
            <w:tcW w:w="9480" w:type="dxa"/>
            <w:vAlign w:val="bottom"/>
            <w:gridSpan w:val="2"/>
          </w:tcPr>
          <w:p>
            <w:pPr>
              <w:spacing w:after="0"/>
              <w:rPr>
                <w:sz w:val="20"/>
                <w:szCs w:val="20"/>
                <w:color w:val="auto"/>
              </w:rPr>
            </w:pPr>
            <w:r>
              <w:rPr>
                <w:rFonts w:ascii="Arial" w:cs="Arial" w:eastAsia="Arial" w:hAnsi="Arial"/>
                <w:sz w:val="18"/>
                <w:szCs w:val="18"/>
                <w:b w:val="1"/>
                <w:bCs w:val="1"/>
                <w:color w:val="auto"/>
                <w:w w:val="95"/>
              </w:rPr>
              <w:t>[***]</w:t>
            </w:r>
            <w:r>
              <w:rPr>
                <w:rFonts w:ascii="Arial" w:cs="Arial" w:eastAsia="Arial" w:hAnsi="Arial"/>
                <w:sz w:val="18"/>
                <w:szCs w:val="18"/>
                <w:color w:val="auto"/>
                <w:w w:val="95"/>
              </w:rPr>
              <w:t>. During the Royalty Term, Avro shall, on a country-by-country basis and Licensed Product-by-Licensed Product basis, in</w:t>
            </w:r>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4"/>
              </w:rPr>
              <w:t xml:space="preserve">respect of countries in which [***], pay UHN a running royalty in the amount of </w:t>
            </w:r>
            <w:r>
              <w:rPr>
                <w:rFonts w:ascii="Arial" w:cs="Arial" w:eastAsia="Arial" w:hAnsi="Arial"/>
                <w:sz w:val="18"/>
                <w:szCs w:val="18"/>
                <w:b w:val="1"/>
                <w:bCs w:val="1"/>
                <w:color w:val="auto"/>
                <w:w w:val="94"/>
              </w:rPr>
              <w:t>[***] percent ([***]%)</w:t>
            </w:r>
            <w:r>
              <w:rPr>
                <w:rFonts w:ascii="Arial" w:cs="Arial" w:eastAsia="Arial" w:hAnsi="Arial"/>
                <w:sz w:val="18"/>
                <w:szCs w:val="18"/>
                <w:color w:val="auto"/>
                <w:w w:val="94"/>
              </w:rPr>
              <w:t xml:space="preserve"> of Net Revenues for such</w:t>
            </w:r>
          </w:p>
        </w:tc>
      </w:tr>
      <w:tr>
        <w:trPr>
          <w:trHeight w:val="230"/>
        </w:trPr>
        <w:tc>
          <w:tcPr>
            <w:tcW w:w="10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Licensed Product sold in [***].</w:t>
            </w:r>
          </w:p>
        </w:tc>
      </w:tr>
    </w:tbl>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Amounts paid pursuant to this Section 4.5 shall be referred to as “</w:t>
      </w:r>
      <w:r>
        <w:rPr>
          <w:rFonts w:ascii="Arial" w:cs="Arial" w:eastAsia="Arial" w:hAnsi="Arial"/>
          <w:sz w:val="18"/>
          <w:szCs w:val="18"/>
          <w:b w:val="1"/>
          <w:bCs w:val="1"/>
          <w:color w:val="auto"/>
        </w:rPr>
        <w:t>Royalties</w:t>
      </w:r>
      <w:r>
        <w:rPr>
          <w:rFonts w:ascii="Arial" w:cs="Arial" w:eastAsia="Arial" w:hAnsi="Arial"/>
          <w:sz w:val="18"/>
          <w:szCs w:val="18"/>
          <w:color w:val="auto"/>
        </w:rPr>
        <w:t>”.</w:t>
      </w:r>
    </w:p>
    <w:p>
      <w:pPr>
        <w:spacing w:after="0" w:line="121"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Upon expiration of the Royalty Term with respect to a Licensed Product in a country, the license grant shall become fully paid-up, royalty-free, perpetual and irrevocable for such Licensed Product in such country.</w:t>
      </w:r>
    </w:p>
    <w:p>
      <w:pPr>
        <w:spacing w:after="0" w:line="62" w:lineRule="exact"/>
        <w:rPr>
          <w:sz w:val="20"/>
          <w:szCs w:val="20"/>
          <w:color w:val="auto"/>
        </w:rPr>
      </w:pPr>
    </w:p>
    <w:p>
      <w:pPr>
        <w:ind w:left="920"/>
        <w:spacing w:after="0" w:line="270" w:lineRule="auto"/>
        <w:rPr>
          <w:sz w:val="20"/>
          <w:szCs w:val="20"/>
          <w:color w:val="auto"/>
        </w:rPr>
      </w:pPr>
      <w:r>
        <w:rPr>
          <w:rFonts w:ascii="Arial" w:cs="Arial" w:eastAsia="Arial" w:hAnsi="Arial"/>
          <w:sz w:val="17"/>
          <w:szCs w:val="17"/>
          <w:color w:val="auto"/>
        </w:rPr>
        <w:t>To the extent that Avro or any of its Affiliates or Sublicenses obtains licenses to third party patent rights or other intellectual property in order to practice the Patent Rights in Licensed Technology or to research, develop, manufacture or commercialize any Licensed Products and the aggregate royalty burden payable on a Licensed Product is greater than [***] percent ([***]%) (i.e., [***] percent ([***]%) of the total Net Revenues of Licensed Product payable to UHN and any other Third Party), Avro and its Affiliates or Sublicensees may deduct from any royalty due to UHN hereunder [***] percent ([***]%) of the then applicable aggregate royalty burden over said [***] percent ([***]%) (the “</w:t>
      </w:r>
      <w:r>
        <w:rPr>
          <w:rFonts w:ascii="Arial" w:cs="Arial" w:eastAsia="Arial" w:hAnsi="Arial"/>
          <w:sz w:val="17"/>
          <w:szCs w:val="17"/>
          <w:b w:val="1"/>
          <w:bCs w:val="1"/>
          <w:color w:val="auto"/>
        </w:rPr>
        <w:t>Deductible</w:t>
      </w:r>
      <w:r>
        <w:rPr>
          <w:rFonts w:ascii="Arial" w:cs="Arial" w:eastAsia="Arial" w:hAnsi="Arial"/>
          <w:sz w:val="17"/>
          <w:szCs w:val="17"/>
          <w:color w:val="auto"/>
        </w:rPr>
        <w:t xml:space="preserve"> </w:t>
      </w:r>
      <w:r>
        <w:rPr>
          <w:rFonts w:ascii="Arial" w:cs="Arial" w:eastAsia="Arial" w:hAnsi="Arial"/>
          <w:sz w:val="17"/>
          <w:szCs w:val="17"/>
          <w:b w:val="1"/>
          <w:bCs w:val="1"/>
          <w:color w:val="auto"/>
        </w:rPr>
        <w:t>Third Party Royalties</w:t>
      </w:r>
      <w:r>
        <w:rPr>
          <w:rFonts w:ascii="Arial" w:cs="Arial" w:eastAsia="Arial" w:hAnsi="Arial"/>
          <w:sz w:val="17"/>
          <w:szCs w:val="17"/>
          <w:color w:val="auto"/>
        </w:rPr>
        <w:t>”) up to maximum reduction of [***] percent ([***]%) of the running Royalties owed UHN in any Quarterly Period</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(the “</w:t>
      </w:r>
      <w:r>
        <w:rPr>
          <w:rFonts w:ascii="Arial" w:cs="Arial" w:eastAsia="Arial" w:hAnsi="Arial"/>
          <w:sz w:val="17"/>
          <w:szCs w:val="17"/>
          <w:b w:val="1"/>
          <w:bCs w:val="1"/>
          <w:color w:val="auto"/>
        </w:rPr>
        <w:t>Maximum Royalty Reduction</w:t>
      </w:r>
      <w:r>
        <w:rPr>
          <w:rFonts w:ascii="Arial" w:cs="Arial" w:eastAsia="Arial" w:hAnsi="Arial"/>
          <w:sz w:val="17"/>
          <w:szCs w:val="17"/>
          <w:color w:val="auto"/>
        </w:rPr>
        <w:t>”), with any Deductible Third Party Royalties that exceed the Maximum Royalty Reduction in any Quarterly Period carried over into immediately succeeding Quarterly Period(s) until exhausted, however in no event shall the UHN Royalties owed in any such succeeding Quarterly Period(s) be reduced by greater than the Maximum Royalty Reduction.</w:t>
      </w:r>
    </w:p>
    <w:p>
      <w:pPr>
        <w:spacing w:after="0" w:line="74"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If the manufacture, use or sale of any Licensed Product or is covered by more than one of patent rights within the Licensed Technology, multiple royalties shall not be due.</w:t>
      </w:r>
    </w:p>
    <w:p>
      <w:pPr>
        <w:spacing w:after="0" w:line="7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5"/>
          <w:szCs w:val="15"/>
          <w:b w:val="1"/>
          <w:bCs w:val="1"/>
          <w:color w:val="auto"/>
        </w:rPr>
        <w:t>Sublicensing Fee</w:t>
      </w:r>
      <w:r>
        <w:rPr>
          <w:rFonts w:ascii="Arial" w:cs="Arial" w:eastAsia="Arial" w:hAnsi="Arial"/>
          <w:sz w:val="15"/>
          <w:szCs w:val="15"/>
          <w:color w:val="auto"/>
        </w:rPr>
        <w:t>.</w:t>
      </w:r>
    </w:p>
    <w:p>
      <w:pPr>
        <w:spacing w:after="0" w:line="117" w:lineRule="exact"/>
        <w:rPr>
          <w:sz w:val="20"/>
          <w:szCs w:val="20"/>
          <w:color w:val="auto"/>
        </w:rPr>
      </w:pPr>
    </w:p>
    <w:p>
      <w:pPr>
        <w:ind w:left="920" w:right="60"/>
        <w:spacing w:after="0" w:line="261" w:lineRule="auto"/>
        <w:rPr>
          <w:sz w:val="20"/>
          <w:szCs w:val="20"/>
          <w:color w:val="auto"/>
        </w:rPr>
      </w:pPr>
      <w:r>
        <w:rPr>
          <w:rFonts w:ascii="Arial" w:cs="Arial" w:eastAsia="Arial" w:hAnsi="Arial"/>
          <w:sz w:val="18"/>
          <w:szCs w:val="18"/>
          <w:color w:val="auto"/>
        </w:rPr>
        <w:t xml:space="preserve">In further partial consideration of the License, Avro shall pay to UHN </w:t>
      </w:r>
      <w:r>
        <w:rPr>
          <w:rFonts w:ascii="Arial" w:cs="Arial" w:eastAsia="Arial" w:hAnsi="Arial"/>
          <w:sz w:val="18"/>
          <w:szCs w:val="18"/>
          <w:b w:val="1"/>
          <w:bCs w:val="1"/>
          <w:color w:val="auto"/>
        </w:rPr>
        <w:t>[***] percent ([***]%)</w:t>
      </w:r>
      <w:r>
        <w:rPr>
          <w:rFonts w:ascii="Arial" w:cs="Arial" w:eastAsia="Arial" w:hAnsi="Arial"/>
          <w:sz w:val="18"/>
          <w:szCs w:val="18"/>
          <w:color w:val="auto"/>
        </w:rPr>
        <w:t xml:space="preserve"> of all Sublicensing Revenue (the “</w:t>
      </w:r>
      <w:r>
        <w:rPr>
          <w:rFonts w:ascii="Arial" w:cs="Arial" w:eastAsia="Arial" w:hAnsi="Arial"/>
          <w:sz w:val="18"/>
          <w:szCs w:val="18"/>
          <w:b w:val="1"/>
          <w:bCs w:val="1"/>
          <w:color w:val="auto"/>
        </w:rPr>
        <w:t>Sublicensing</w:t>
      </w:r>
      <w:r>
        <w:rPr>
          <w:rFonts w:ascii="Arial" w:cs="Arial" w:eastAsia="Arial" w:hAnsi="Arial"/>
          <w:sz w:val="18"/>
          <w:szCs w:val="18"/>
          <w:color w:val="auto"/>
        </w:rPr>
        <w:t xml:space="preserve"> </w:t>
      </w:r>
      <w:r>
        <w:rPr>
          <w:rFonts w:ascii="Arial" w:cs="Arial" w:eastAsia="Arial" w:hAnsi="Arial"/>
          <w:sz w:val="18"/>
          <w:szCs w:val="18"/>
          <w:b w:val="1"/>
          <w:bCs w:val="1"/>
          <w:color w:val="auto"/>
        </w:rPr>
        <w:t>Fee</w:t>
      </w:r>
      <w:r>
        <w:rPr>
          <w:rFonts w:ascii="Arial" w:cs="Arial" w:eastAsia="Arial" w:hAnsi="Arial"/>
          <w:sz w:val="18"/>
          <w:szCs w:val="18"/>
          <w:color w:val="auto"/>
        </w:rPr>
        <w:t>”). Any amounts paid to UHN further to Section 4.2 (License Maintenance/Upfront Fee) and Article 5 (Milestones) shall be creditable by</w:t>
      </w:r>
      <w:r>
        <w:rPr>
          <w:rFonts w:ascii="Arial" w:cs="Arial" w:eastAsia="Arial" w:hAnsi="Arial"/>
          <w:sz w:val="18"/>
          <w:szCs w:val="18"/>
          <w:b w:val="1"/>
          <w:bCs w:val="1"/>
          <w:color w:val="auto"/>
        </w:rPr>
        <w:t xml:space="preserve"> </w:t>
      </w:r>
      <w:r>
        <w:rPr>
          <w:rFonts w:ascii="Arial" w:cs="Arial" w:eastAsia="Arial" w:hAnsi="Arial"/>
          <w:sz w:val="18"/>
          <w:szCs w:val="18"/>
          <w:color w:val="auto"/>
        </w:rPr>
        <w:t>Avro against amounts due to UHN further to this Section 4.6; however, the payments further to Section 4.2 and Article 5 shall not act as a cap on the payments owed further to this Section 4.6.</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405" w:name="page406"/>
    <w:bookmarkEnd w:id="405"/>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4"/>
              </w:rPr>
              <w:t>To the extent that patent rights, other intellectual property rights or other rights or obligations other than Licensed Technology are licensed,</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3"/>
              </w:rPr>
              <w:t>sublicensed or granted by Avro in addition to the Licensed Technology for which the Sublicensing Revenue is attributable, that portion of the</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1"/>
              </w:rPr>
              <w:t>consideration received by Avro and subject to this Section 4.6 shall be equitably apportioned between the Licensed Technology and those other</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4"/>
              </w:rPr>
              <w:t>rights and obligations, and such apportionment shall be reasonable and in accordance with customary standards in the industry. Avro shall</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3"/>
              </w:rPr>
              <w:t>promptly deliver to UHN a written report setting forth such apportionment. In the event UHN disagrees with the determination made by Avro,</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4"/>
              </w:rPr>
              <w:t>UHN shall so notify Avro within [***] of receipt of Avro’s report and the Parties shall meet to discuss and resolve such disagreement in good</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9"/>
              </w:rPr>
              <w:t>faith. If the Parties are unable to agree in good faith as to such fair market values within [***] then (a) the matter shall be submitted in</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2"/>
              </w:rPr>
              <w:t>accordance with the dispute resolution process set forth in Article 14, and (b) UHN shall not be entitled to terminate this Agreement until a final</w:t>
            </w:r>
          </w:p>
        </w:tc>
      </w:tr>
      <w:tr>
        <w:trPr>
          <w:trHeight w:val="230"/>
        </w:trPr>
        <w:tc>
          <w:tcPr>
            <w:tcW w:w="620" w:type="dxa"/>
            <w:vAlign w:val="bottom"/>
          </w:tcPr>
          <w:p>
            <w:pPr>
              <w:spacing w:after="0"/>
              <w:rPr>
                <w:sz w:val="20"/>
                <w:szCs w:val="20"/>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determination has been made pursuant to Section 14.3.</w:t>
            </w:r>
          </w:p>
        </w:tc>
      </w:tr>
      <w:tr>
        <w:trPr>
          <w:trHeight w:val="323"/>
        </w:trPr>
        <w:tc>
          <w:tcPr>
            <w:tcW w:w="620" w:type="dxa"/>
            <w:vAlign w:val="bottom"/>
          </w:tcPr>
          <w:p>
            <w:pPr>
              <w:spacing w:after="0"/>
              <w:rPr>
                <w:sz w:val="20"/>
                <w:szCs w:val="20"/>
                <w:color w:val="auto"/>
              </w:rPr>
            </w:pPr>
            <w:r>
              <w:rPr>
                <w:rFonts w:ascii="Arial" w:cs="Arial" w:eastAsia="Arial" w:hAnsi="Arial"/>
                <w:sz w:val="18"/>
                <w:szCs w:val="18"/>
                <w:b w:val="1"/>
                <w:bCs w:val="1"/>
                <w:color w:val="auto"/>
              </w:rPr>
              <w:t>4.7</w:t>
            </w: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w w:val="90"/>
              </w:rPr>
              <w:t>Royalty Payments</w:t>
            </w:r>
            <w:r>
              <w:rPr>
                <w:rFonts w:ascii="Arial" w:cs="Arial" w:eastAsia="Arial" w:hAnsi="Arial"/>
                <w:sz w:val="18"/>
                <w:szCs w:val="18"/>
                <w:color w:val="auto"/>
                <w:w w:val="90"/>
              </w:rPr>
              <w:t>. The Royalties described in Section 4.5 shall accrue as of the date of receipt of Gross Revenue (either by Avro, its Affiliate or</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89"/>
              </w:rPr>
              <w:t>Sublicensee, as appropriate) and the Sublicensing Fee described in Section 4.6 shall accrue as of the date of receipt of Sublicensing Revenues by</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2"/>
              </w:rPr>
              <w:t>Avro, and all amounts owing pursuant to Sections 4.5 and 4.6 shall be paid by Avro within [***] after the end of each Quarterly Period in which</w:t>
            </w:r>
          </w:p>
        </w:tc>
      </w:tr>
      <w:tr>
        <w:trPr>
          <w:trHeight w:val="230"/>
        </w:trPr>
        <w:tc>
          <w:tcPr>
            <w:tcW w:w="620" w:type="dxa"/>
            <w:vAlign w:val="bottom"/>
          </w:tcPr>
          <w:p>
            <w:pPr>
              <w:spacing w:after="0"/>
              <w:rPr>
                <w:sz w:val="20"/>
                <w:szCs w:val="20"/>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said revenue/fee accrues.</w:t>
            </w:r>
          </w:p>
        </w:tc>
      </w:tr>
      <w:tr>
        <w:trPr>
          <w:trHeight w:val="323"/>
        </w:trPr>
        <w:tc>
          <w:tcPr>
            <w:tcW w:w="620" w:type="dxa"/>
            <w:vAlign w:val="bottom"/>
          </w:tcPr>
          <w:p>
            <w:pPr>
              <w:spacing w:after="0"/>
              <w:rPr>
                <w:sz w:val="20"/>
                <w:szCs w:val="20"/>
                <w:color w:val="auto"/>
              </w:rPr>
            </w:pPr>
            <w:r>
              <w:rPr>
                <w:rFonts w:ascii="Arial" w:cs="Arial" w:eastAsia="Arial" w:hAnsi="Arial"/>
                <w:sz w:val="18"/>
                <w:szCs w:val="18"/>
                <w:b w:val="1"/>
                <w:bCs w:val="1"/>
                <w:color w:val="auto"/>
              </w:rPr>
              <w:t>4.8</w:t>
            </w: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w w:val="90"/>
              </w:rPr>
              <w:t>Interest</w:t>
            </w:r>
            <w:r>
              <w:rPr>
                <w:rFonts w:ascii="Arial" w:cs="Arial" w:eastAsia="Arial" w:hAnsi="Arial"/>
                <w:sz w:val="18"/>
                <w:szCs w:val="18"/>
                <w:color w:val="auto"/>
                <w:w w:val="90"/>
              </w:rPr>
              <w:t>. All undisputed monies payable to UHN and not paid when due bear interest at the prime rate of interest quoted by the Bank of Canada,</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plus [***] percent ([***]%) per annum until the date paid to UHN. UHN will be entitled to that interest in addition to any other rights or</w:t>
            </w:r>
          </w:p>
        </w:tc>
      </w:tr>
      <w:tr>
        <w:trPr>
          <w:trHeight w:val="230"/>
        </w:trPr>
        <w:tc>
          <w:tcPr>
            <w:tcW w:w="620" w:type="dxa"/>
            <w:vAlign w:val="bottom"/>
          </w:tcPr>
          <w:p>
            <w:pPr>
              <w:spacing w:after="0"/>
              <w:rPr>
                <w:sz w:val="20"/>
                <w:szCs w:val="20"/>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remedies available to it in respect of any payment default.</w:t>
            </w:r>
          </w:p>
        </w:tc>
      </w:tr>
      <w:tr>
        <w:trPr>
          <w:trHeight w:val="323"/>
        </w:trPr>
        <w:tc>
          <w:tcPr>
            <w:tcW w:w="620" w:type="dxa"/>
            <w:vAlign w:val="bottom"/>
          </w:tcPr>
          <w:p>
            <w:pPr>
              <w:spacing w:after="0"/>
              <w:rPr>
                <w:sz w:val="20"/>
                <w:szCs w:val="20"/>
                <w:color w:val="auto"/>
              </w:rPr>
            </w:pPr>
            <w:r>
              <w:rPr>
                <w:rFonts w:ascii="Arial" w:cs="Arial" w:eastAsia="Arial" w:hAnsi="Arial"/>
                <w:sz w:val="18"/>
                <w:szCs w:val="18"/>
                <w:b w:val="1"/>
                <w:bCs w:val="1"/>
                <w:color w:val="auto"/>
              </w:rPr>
              <w:t>4.9</w:t>
            </w: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w w:val="94"/>
              </w:rPr>
              <w:t>Withholdings</w:t>
            </w:r>
            <w:r>
              <w:rPr>
                <w:rFonts w:ascii="Arial" w:cs="Arial" w:eastAsia="Arial" w:hAnsi="Arial"/>
                <w:sz w:val="18"/>
                <w:szCs w:val="18"/>
                <w:color w:val="auto"/>
                <w:w w:val="94"/>
              </w:rPr>
              <w:t>. In the event that Avro is required by any law to withhold and/or make payments to tax authorities in respect of any payments</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4"/>
              </w:rPr>
              <w:t>payable by Avro to UHN under this Agreement, the liability of Avro under this Agreement shall be to that extent satisfied, and such amounts</w:t>
            </w:r>
          </w:p>
        </w:tc>
      </w:tr>
      <w:tr>
        <w:trPr>
          <w:trHeight w:val="230"/>
        </w:trPr>
        <w:tc>
          <w:tcPr>
            <w:tcW w:w="620" w:type="dxa"/>
            <w:vAlign w:val="bottom"/>
          </w:tcPr>
          <w:p>
            <w:pPr>
              <w:spacing w:after="0"/>
              <w:rPr>
                <w:sz w:val="20"/>
                <w:szCs w:val="20"/>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0"/>
              </w:rPr>
              <w:t>shall be deemed to have been paid to UHN on their due dates, provided that Avro shall provide UHN with acceptable evidence of such payments.</w:t>
            </w:r>
          </w:p>
        </w:tc>
      </w:tr>
      <w:tr>
        <w:trPr>
          <w:trHeight w:val="323"/>
        </w:trPr>
        <w:tc>
          <w:tcPr>
            <w:tcW w:w="620" w:type="dxa"/>
            <w:vAlign w:val="bottom"/>
          </w:tcPr>
          <w:p>
            <w:pPr>
              <w:spacing w:after="0"/>
              <w:rPr>
                <w:sz w:val="20"/>
                <w:szCs w:val="20"/>
                <w:color w:val="auto"/>
              </w:rPr>
            </w:pPr>
            <w:r>
              <w:rPr>
                <w:rFonts w:ascii="Arial" w:cs="Arial" w:eastAsia="Arial" w:hAnsi="Arial"/>
                <w:sz w:val="18"/>
                <w:szCs w:val="18"/>
                <w:b w:val="1"/>
                <w:bCs w:val="1"/>
                <w:color w:val="auto"/>
              </w:rPr>
              <w:t>4.10</w:t>
            </w: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w w:val="92"/>
              </w:rPr>
              <w:t>Royalty Report</w:t>
            </w:r>
            <w:r>
              <w:rPr>
                <w:rFonts w:ascii="Arial" w:cs="Arial" w:eastAsia="Arial" w:hAnsi="Arial"/>
                <w:sz w:val="18"/>
                <w:szCs w:val="18"/>
                <w:color w:val="auto"/>
                <w:w w:val="92"/>
              </w:rPr>
              <w:t>. After the First Commercial Sale of a Licensed Product, Avro shall prepare a report (the “</w:t>
            </w:r>
            <w:r>
              <w:rPr>
                <w:rFonts w:ascii="Arial" w:cs="Arial" w:eastAsia="Arial" w:hAnsi="Arial"/>
                <w:sz w:val="18"/>
                <w:szCs w:val="18"/>
                <w:b w:val="1"/>
                <w:bCs w:val="1"/>
                <w:color w:val="auto"/>
                <w:w w:val="92"/>
              </w:rPr>
              <w:t>Royalty Report</w:t>
            </w:r>
            <w:r>
              <w:rPr>
                <w:rFonts w:ascii="Arial" w:cs="Arial" w:eastAsia="Arial" w:hAnsi="Arial"/>
                <w:sz w:val="18"/>
                <w:szCs w:val="18"/>
                <w:color w:val="auto"/>
                <w:w w:val="92"/>
              </w:rPr>
              <w:t>”) at the end of each</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89"/>
              </w:rPr>
              <w:t>Quarterly Period, setting out the Gross Revenue, the Net Revenue (including an itemized statement of any permitted discounts, refunds and taxes</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0"/>
              </w:rPr>
              <w:t>deducted), the Sublicensing Revenue, and the number of Licensed Products sold, along with calculations of any Royalties and Sublicensing Fee</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3"/>
              </w:rPr>
              <w:t>that are payable to UHN. Royalty Reports shall be due within [***] of the end of the relevant Quarterly Period. If no payments are due for any</w:t>
            </w:r>
          </w:p>
        </w:tc>
      </w:tr>
      <w:tr>
        <w:trPr>
          <w:trHeight w:val="230"/>
        </w:trPr>
        <w:tc>
          <w:tcPr>
            <w:tcW w:w="620" w:type="dxa"/>
            <w:vAlign w:val="bottom"/>
          </w:tcPr>
          <w:p>
            <w:pPr>
              <w:spacing w:after="0"/>
              <w:rPr>
                <w:sz w:val="20"/>
                <w:szCs w:val="20"/>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Quarterly Period, then the Royalty Report shall so state.</w:t>
            </w:r>
          </w:p>
        </w:tc>
      </w:tr>
      <w:tr>
        <w:trPr>
          <w:trHeight w:val="323"/>
        </w:trPr>
        <w:tc>
          <w:tcPr>
            <w:tcW w:w="620" w:type="dxa"/>
            <w:vAlign w:val="bottom"/>
          </w:tcPr>
          <w:p>
            <w:pPr>
              <w:spacing w:after="0"/>
              <w:rPr>
                <w:sz w:val="20"/>
                <w:szCs w:val="20"/>
                <w:color w:val="auto"/>
              </w:rPr>
            </w:pPr>
            <w:r>
              <w:rPr>
                <w:rFonts w:ascii="Arial" w:cs="Arial" w:eastAsia="Arial" w:hAnsi="Arial"/>
                <w:sz w:val="18"/>
                <w:szCs w:val="18"/>
                <w:b w:val="1"/>
                <w:bCs w:val="1"/>
                <w:color w:val="auto"/>
              </w:rPr>
              <w:t>4.11</w:t>
            </w: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w w:val="96"/>
              </w:rPr>
              <w:t>Complete Records</w:t>
            </w:r>
            <w:r>
              <w:rPr>
                <w:rFonts w:ascii="Arial" w:cs="Arial" w:eastAsia="Arial" w:hAnsi="Arial"/>
                <w:sz w:val="18"/>
                <w:szCs w:val="18"/>
                <w:color w:val="auto"/>
                <w:w w:val="96"/>
              </w:rPr>
              <w:t>. Avro shall keep true and accurate records and books of account (in accordance with generally accepted accounting</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0"/>
              </w:rPr>
              <w:t>principles) containing all data reasonably required for the computing and verification of Gross Revenues, Net Revenues, Sublicensing Revenues</w:t>
            </w:r>
          </w:p>
        </w:tc>
      </w:tr>
      <w:tr>
        <w:trPr>
          <w:trHeight w:val="230"/>
        </w:trPr>
        <w:tc>
          <w:tcPr>
            <w:tcW w:w="620" w:type="dxa"/>
            <w:vAlign w:val="bottom"/>
          </w:tcPr>
          <w:p>
            <w:pPr>
              <w:spacing w:after="0"/>
              <w:rPr>
                <w:sz w:val="20"/>
                <w:szCs w:val="20"/>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3"/>
              </w:rPr>
              <w:t>and Royalties and Sublicensing Fee. Avro shall contractually require all Avro Affiliates and Sublicensees to keep same and provide a copy of</w:t>
            </w:r>
          </w:p>
        </w:tc>
      </w:tr>
    </w:tbl>
    <w:p>
      <w:pPr>
        <w:ind w:left="920" w:right="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same to Avro for purposes of inspection pursuant to Section 4.12. Such records shall be maintained and accessible to UHN for at least [***] from the date of the payment to which such records are relevant.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406" w:name="page407"/>
    <w:bookmarkEnd w:id="406"/>
    <w:tbl>
      <w:tblPr>
        <w:tblLayout w:type="fixed"/>
        <w:tblInd w:w="0" w:type="dxa"/>
        <w:tblCellMar>
          <w:top w:w="0" w:type="dxa"/>
          <w:left w:w="0" w:type="dxa"/>
          <w:bottom w:w="0" w:type="dxa"/>
          <w:right w:w="0" w:type="dxa"/>
        </w:tblCellMar>
      </w:tblPr>
      <w:tr>
        <w:trPr>
          <w:trHeight w:val="220"/>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4.12</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w w:val="91"/>
              </w:rPr>
              <w:t>Inspection of Records</w:t>
            </w:r>
            <w:r>
              <w:rPr>
                <w:rFonts w:ascii="Arial" w:cs="Arial" w:eastAsia="Arial" w:hAnsi="Arial"/>
                <w:sz w:val="18"/>
                <w:szCs w:val="18"/>
                <w:color w:val="auto"/>
                <w:w w:val="91"/>
              </w:rPr>
              <w:t>. The records specified in this Agreement shall be available for inspection by UHN or their duly appointed auditor, but not</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more than once per Calendar Year, upon reasonable written notice and during normal business hours at the principal place of business of Avro,</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for the sole purpose of verifying payments owed under this Agreement. The costs of any such inspection shall be borne by UHN unless the report</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of an auditor shows that the Royalty Report was understated by more than [***] percent ([***]%) in respect of the period under review, in which</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case UHN’s reasonable out of pocket costs of the examination shall be paid by Avro. Avro may require such auditor to enter into a commercially</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reasonable confidentiality agreement with Avro prior to being provided with any such records.</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4.13</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w w:val="92"/>
              </w:rPr>
              <w:t>Discrepancy in Records</w:t>
            </w:r>
            <w:r>
              <w:rPr>
                <w:rFonts w:ascii="Arial" w:cs="Arial" w:eastAsia="Arial" w:hAnsi="Arial"/>
                <w:sz w:val="18"/>
                <w:szCs w:val="18"/>
                <w:color w:val="auto"/>
                <w:w w:val="92"/>
              </w:rPr>
              <w:t>. In the event that the records inspection conducted under Section 4.12 reveals any underpayment of royalties due to</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6"/>
              </w:rPr>
              <w:t>UHN, Avro will promptly pay UHN the full amount of that underpayment together with interest thereon at the rate of interest referred to in</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Section 4.8. In the event that the records inspection conducted under Section 4.12 reveals any overpayment of royalties by Avro, the overpaid</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amount will be credited against future amounts payable to UHN.</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4.14</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w w:val="91"/>
              </w:rPr>
              <w:t>Confidentiality</w:t>
            </w:r>
            <w:r>
              <w:rPr>
                <w:rFonts w:ascii="Arial" w:cs="Arial" w:eastAsia="Arial" w:hAnsi="Arial"/>
                <w:sz w:val="18"/>
                <w:szCs w:val="18"/>
                <w:color w:val="auto"/>
                <w:w w:val="91"/>
              </w:rPr>
              <w:t>. The reports and records provided by Avro and its Affiliates and Sublicensees hereunder further to Sections 4.10, 4.11 and 4.12</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3"/>
              </w:rPr>
              <w:t>shall be regarded as Avro’s (or its Affiliates’ or Sublicensees’, as applicable) Confidential Information and UHN hereby covenants that it shall</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not use or disclose any information included in such reports for any purpose other than determining whether Avro, its Affiliates and Sublicensees</w:t>
            </w:r>
          </w:p>
        </w:tc>
      </w:tr>
    </w:tbl>
    <w:p>
      <w:pPr>
        <w:ind w:left="920"/>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complied with their obligations under this Agreement. UHN further agrees that, until such time as such information is no longer confidential through no fault of UHN, it shall maintain such reports and any information included therein in strict confidence and treat such information in a manner at least as restrictive as its manner of treating its own Confidential Information of similar nature and in any event not less than with a reasonable degree of care. In addition, any summary of the audit report and analysis, and the Royalty Payments amounts received by UHN (both in total, and particularized on a country-by-country basis) shall be considered Confidential Information of Avro for purposes of this Section 4.14.</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6"/>
          <w:szCs w:val="16"/>
          <w:b w:val="1"/>
          <w:bCs w:val="1"/>
          <w:color w:val="auto"/>
        </w:rPr>
        <w:t>Philanthropic Commitment</w:t>
      </w:r>
      <w:r>
        <w:rPr>
          <w:rFonts w:ascii="Arial" w:cs="Arial" w:eastAsia="Arial" w:hAnsi="Arial"/>
          <w:sz w:val="16"/>
          <w:szCs w:val="16"/>
          <w:color w:val="auto"/>
        </w:rPr>
        <w:t>. Avro will donate funds equivalent to</w:t>
      </w:r>
      <w:r>
        <w:rPr>
          <w:rFonts w:ascii="Arial" w:cs="Arial" w:eastAsia="Arial" w:hAnsi="Arial"/>
          <w:sz w:val="16"/>
          <w:szCs w:val="16"/>
          <w:b w:val="1"/>
          <w:bCs w:val="1"/>
          <w:color w:val="auto"/>
        </w:rPr>
        <w:t xml:space="preserve"> [***] ([***]%) </w:t>
      </w:r>
      <w:r>
        <w:rPr>
          <w:rFonts w:ascii="Arial" w:cs="Arial" w:eastAsia="Arial" w:hAnsi="Arial"/>
          <w:sz w:val="16"/>
          <w:szCs w:val="16"/>
          <w:color w:val="auto"/>
        </w:rPr>
        <w:t>of the (a) Royalties payable to UHN under Section 4.5 and</w:t>
      </w:r>
    </w:p>
    <w:p>
      <w:pPr>
        <w:spacing w:after="0" w:line="27" w:lineRule="exact"/>
        <w:rPr>
          <w:sz w:val="20"/>
          <w:szCs w:val="20"/>
          <w:color w:val="auto"/>
        </w:rPr>
      </w:pPr>
    </w:p>
    <w:p>
      <w:pPr>
        <w:ind w:left="1160" w:hanging="247"/>
        <w:spacing w:after="0"/>
        <w:tabs>
          <w:tab w:leader="none" w:pos="11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regulatory milestone payments payable to UHN under Section 5.8 to organizations for the benefit of the Canadian Fabry community;</w:t>
      </w:r>
    </w:p>
    <w:p>
      <w:pPr>
        <w:spacing w:after="0" w:line="20" w:lineRule="exact"/>
        <w:rPr>
          <w:rFonts w:ascii="Arial" w:cs="Arial" w:eastAsia="Arial" w:hAnsi="Arial"/>
          <w:sz w:val="17"/>
          <w:szCs w:val="17"/>
          <w:color w:val="auto"/>
        </w:rPr>
      </w:pPr>
    </w:p>
    <w:p>
      <w:pPr>
        <w:jc w:val="both"/>
        <w:ind w:left="920" w:right="420"/>
        <w:spacing w:after="0" w:line="255" w:lineRule="auto"/>
        <w:rPr>
          <w:rFonts w:ascii="Arial" w:cs="Arial" w:eastAsia="Arial" w:hAnsi="Arial"/>
          <w:sz w:val="17"/>
          <w:szCs w:val="17"/>
          <w:color w:val="auto"/>
        </w:rPr>
      </w:pPr>
      <w:r>
        <w:rPr>
          <w:rFonts w:ascii="Arial" w:cs="Arial" w:eastAsia="Arial" w:hAnsi="Arial"/>
          <w:sz w:val="18"/>
          <w:szCs w:val="18"/>
          <w:color w:val="auto"/>
        </w:rPr>
        <w:t>provided, that, in no event shall such donated amounts exceed [***] in any calendar year. UHN shall direct how such funds will be donated, subject to its consultation with Avro. Upon request by UHN, Avro shall provide all documentation and engage in such actions as reasonably requested by UHN to document and/or memorialize and/or verify any such donation.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320" w:type="dxa"/>
            <w:vAlign w:val="bottom"/>
          </w:tcPr>
          <w:p>
            <w:pPr>
              <w:ind w:left="2980"/>
              <w:spacing w:after="0"/>
              <w:rPr>
                <w:sz w:val="20"/>
                <w:szCs w:val="20"/>
                <w:color w:val="auto"/>
              </w:rPr>
            </w:pPr>
            <w:r>
              <w:rPr>
                <w:rFonts w:ascii="Arial" w:cs="Arial" w:eastAsia="Arial" w:hAnsi="Arial"/>
                <w:sz w:val="18"/>
                <w:szCs w:val="18"/>
                <w:b w:val="1"/>
                <w:bCs w:val="1"/>
                <w:color w:val="auto"/>
              </w:rPr>
              <w:t>ARTICLE 5 - MILESTONES</w:t>
            </w:r>
          </w:p>
        </w:tc>
      </w:tr>
      <w:tr>
        <w:trPr>
          <w:trHeight w:val="445"/>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5.1</w:t>
            </w:r>
          </w:p>
        </w:tc>
        <w:tc>
          <w:tcPr>
            <w:tcW w:w="1034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Performance Milestones to Maintain License</w:t>
            </w:r>
            <w:r>
              <w:rPr>
                <w:rFonts w:ascii="Arial" w:cs="Arial" w:eastAsia="Arial" w:hAnsi="Arial"/>
                <w:sz w:val="18"/>
                <w:szCs w:val="18"/>
                <w:color w:val="auto"/>
                <w:w w:val="91"/>
              </w:rPr>
              <w:t>. Avro, itself or through its Affiliates or Sublicensees, shall be responsible for achieving the</w:t>
            </w:r>
          </w:p>
        </w:tc>
      </w:tr>
      <w:tr>
        <w:trPr>
          <w:trHeight w:val="230"/>
        </w:trPr>
        <w:tc>
          <w:tcPr>
            <w:tcW w:w="580" w:type="dxa"/>
            <w:vAlign w:val="bottom"/>
          </w:tcPr>
          <w:p>
            <w:pPr>
              <w:spacing w:after="0"/>
              <w:rPr>
                <w:sz w:val="20"/>
                <w:szCs w:val="20"/>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following performance milestones in the time periods as noted, for purposes of maintaining the License:</w:t>
            </w:r>
          </w:p>
        </w:tc>
      </w:tr>
      <w:tr>
        <w:trPr>
          <w:trHeight w:val="338"/>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5.1.1</w:t>
            </w:r>
          </w:p>
        </w:tc>
        <w:tc>
          <w:tcPr>
            <w:tcW w:w="9320" w:type="dxa"/>
            <w:vAlign w:val="bottom"/>
          </w:tcPr>
          <w:p>
            <w:pPr>
              <w:ind w:left="340"/>
              <w:spacing w:after="0"/>
              <w:rPr>
                <w:sz w:val="20"/>
                <w:szCs w:val="20"/>
                <w:color w:val="auto"/>
              </w:rPr>
            </w:pPr>
            <w:r>
              <w:rPr>
                <w:rFonts w:ascii="Arial" w:cs="Arial" w:eastAsia="Arial" w:hAnsi="Arial"/>
                <w:sz w:val="18"/>
                <w:szCs w:val="18"/>
                <w:color w:val="auto"/>
              </w:rPr>
              <w:t>[***]; and</w:t>
            </w:r>
          </w:p>
        </w:tc>
      </w:tr>
      <w:tr>
        <w:trPr>
          <w:trHeight w:val="338"/>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5.1.2</w:t>
            </w:r>
          </w:p>
        </w:tc>
        <w:tc>
          <w:tcPr>
            <w:tcW w:w="9320" w:type="dxa"/>
            <w:vAlign w:val="bottom"/>
          </w:tcPr>
          <w:p>
            <w:pPr>
              <w:ind w:left="34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0" w:right="239" w:bottom="1440" w:gutter="0" w:footer="0" w:header="0"/>
        </w:sectPr>
      </w:pPr>
    </w:p>
    <w:bookmarkStart w:id="407" w:name="page408"/>
    <w:bookmarkEnd w:id="407"/>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6"/>
              </w:rPr>
              <w:t>The Parties acknowledge and agree that the Phase 1 Clinical Trial in Section 5.1.1 above may be conducted by UHN (including the UHN</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Planned Trial) or another university or academic institution for purposes of satisfying this performance milestone.</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5.2</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Extension of Performance Milestone</w:t>
            </w:r>
            <w:r>
              <w:rPr>
                <w:rFonts w:ascii="Arial" w:cs="Arial" w:eastAsia="Arial" w:hAnsi="Arial"/>
                <w:sz w:val="18"/>
                <w:szCs w:val="18"/>
                <w:color w:val="auto"/>
                <w:w w:val="91"/>
              </w:rPr>
              <w:t>. The Parties may agree to extend: (a) the timelines for the performance of the Section 5.1 milestones, or</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(b) the Negotiation Period (as defined below in Section 5.3). Any such agreement to extend such timelines shall be in writing.</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5.3</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3"/>
              </w:rPr>
              <w:t>Failure to Fulfill Performance Milestone</w:t>
            </w:r>
            <w:r>
              <w:rPr>
                <w:rFonts w:ascii="Arial" w:cs="Arial" w:eastAsia="Arial" w:hAnsi="Arial"/>
                <w:sz w:val="18"/>
                <w:szCs w:val="18"/>
                <w:color w:val="auto"/>
                <w:w w:val="93"/>
              </w:rPr>
              <w:t>(</w:t>
            </w:r>
            <w:r>
              <w:rPr>
                <w:rFonts w:ascii="Arial" w:cs="Arial" w:eastAsia="Arial" w:hAnsi="Arial"/>
                <w:sz w:val="18"/>
                <w:szCs w:val="18"/>
                <w:b w:val="1"/>
                <w:bCs w:val="1"/>
                <w:color w:val="auto"/>
                <w:w w:val="93"/>
              </w:rPr>
              <w:t>s</w:t>
            </w:r>
            <w:r>
              <w:rPr>
                <w:rFonts w:ascii="Arial" w:cs="Arial" w:eastAsia="Arial" w:hAnsi="Arial"/>
                <w:sz w:val="18"/>
                <w:szCs w:val="18"/>
                <w:color w:val="auto"/>
                <w:w w:val="93"/>
              </w:rPr>
              <w:t>). In the event that Avro is unable to satisfy one or more of the Section 5.1 milestone(s) within the</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2"/>
              </w:rPr>
              <w:t>timeline(s) as noted (or within the timeline(s) as extended pursuant to Section 5.2 or Section 5.4) on the following basis: (a) for reasons beyond</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2"/>
              </w:rPr>
              <w:t>Avro’s reasonable control (including reasons relating to regulatory requirements or events or UHN’s failure to [***]), and (b) despite Avro having</w:t>
            </w:r>
          </w:p>
        </w:tc>
      </w:tr>
      <w:tr>
        <w:trPr>
          <w:trHeight w:val="212"/>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1"/>
              </w:rPr>
              <w:t>used, and continuing to use (during any Negotiation Period as outlined herein) commercially reasonable efforts to develop at least one Licensed</w:t>
            </w:r>
          </w:p>
        </w:tc>
      </w:tr>
      <w:tr>
        <w:trPr>
          <w:trHeight w:val="220"/>
        </w:trPr>
        <w:tc>
          <w:tcPr>
            <w:tcW w:w="580" w:type="dxa"/>
            <w:vAlign w:val="bottom"/>
          </w:tcPr>
          <w:p>
            <w:pPr>
              <w:spacing w:after="0"/>
              <w:rPr>
                <w:sz w:val="19"/>
                <w:szCs w:val="19"/>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6"/>
              </w:rPr>
              <w:t>Product, then UHN and Avro shall negotiate in good faith for up to a period of [***] (“</w:t>
            </w:r>
            <w:r>
              <w:rPr>
                <w:rFonts w:ascii="Arial" w:cs="Arial" w:eastAsia="Arial" w:hAnsi="Arial"/>
                <w:sz w:val="18"/>
                <w:szCs w:val="18"/>
                <w:b w:val="1"/>
                <w:bCs w:val="1"/>
                <w:color w:val="auto"/>
                <w:w w:val="96"/>
              </w:rPr>
              <w:t>Negotiation Period</w:t>
            </w:r>
            <w:r>
              <w:rPr>
                <w:rFonts w:ascii="Arial" w:cs="Arial" w:eastAsia="Arial" w:hAnsi="Arial"/>
                <w:sz w:val="18"/>
                <w:szCs w:val="18"/>
                <w:color w:val="auto"/>
                <w:w w:val="96"/>
              </w:rPr>
              <w:t>”) to reach agreement on revised</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1"/>
              </w:rPr>
              <w:t>timelines and/or revised milestones, during which Negotiation Period UHN shall not terminate this Agreement. Absent either of: (i) an extension,</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6"/>
              </w:rPr>
              <w:t>or revision to the Section 5.1 milestones (such extension or revision not to be unreasonably withheld, conditioned or delayed), or (ii) Avro</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2"/>
              </w:rPr>
              <w:t>otherwise fulfilling the Section 5.1 milestone(s) within the Negotiation Period, UHN may terminate this Agreement for material breach pursuant</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to Section 11.3.3 within its sole and absolute discretion.</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5.4</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2"/>
              </w:rPr>
              <w:t>Regulatory Authority Generated Delay</w:t>
            </w:r>
            <w:r>
              <w:rPr>
                <w:rFonts w:ascii="Arial" w:cs="Arial" w:eastAsia="Arial" w:hAnsi="Arial"/>
                <w:sz w:val="18"/>
                <w:szCs w:val="18"/>
                <w:color w:val="auto"/>
                <w:w w:val="92"/>
              </w:rPr>
              <w:t>. If Avro is unable to meet any milestone timeline as noted in Section 5.1.1 or Section 5.1.2 as a result</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8"/>
              </w:rPr>
              <w:t>of the relevant Regulatory Authority requesting additional information or data or other Regulatory Authority delay, UHN and Avro shall</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4"/>
              </w:rPr>
              <w:t>negotiate in good faith, and acting reasonably, to agree upon the amount of time required to fulfill such request, and the relevant Section 5.1</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milestone shall be extended by such amount of time.</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5.5</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5"/>
              </w:rPr>
              <w:t>Licensed Product Development Milestone Payments</w:t>
            </w:r>
            <w:r>
              <w:rPr>
                <w:rFonts w:ascii="Arial" w:cs="Arial" w:eastAsia="Arial" w:hAnsi="Arial"/>
                <w:sz w:val="18"/>
                <w:szCs w:val="18"/>
                <w:color w:val="auto"/>
                <w:w w:val="95"/>
              </w:rPr>
              <w:t>. UHN shall be paid the following one-time milestone payments for a first Licensed</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9"/>
              </w:rPr>
              <w:t>Product to reach such milestone (irrespective of indication and/or therapeutic area). Avro shall promptly provide Notice to UHN of the</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2"/>
              </w:rPr>
              <w:t>fulfillment of a milestone (whether fulfilled by Avro or its Affiliate or Sublicensee), and each noted milestone payment shall be due and payable</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by Avro within [***] from the date that such milestone is met, subject to the payment deferral terms of Section 5.7:</w:t>
            </w:r>
          </w:p>
        </w:tc>
      </w:tr>
      <w:tr>
        <w:trPr>
          <w:trHeight w:val="338"/>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5.5.1</w:t>
            </w:r>
          </w:p>
        </w:tc>
        <w:tc>
          <w:tcPr>
            <w:tcW w:w="9560" w:type="dxa"/>
            <w:vAlign w:val="bottom"/>
          </w:tcPr>
          <w:p>
            <w:pPr>
              <w:ind w:left="80"/>
              <w:spacing w:after="0"/>
              <w:rPr>
                <w:sz w:val="20"/>
                <w:szCs w:val="20"/>
                <w:color w:val="auto"/>
              </w:rPr>
            </w:pPr>
            <w:r>
              <w:rPr>
                <w:rFonts w:ascii="Arial" w:cs="Arial" w:eastAsia="Arial" w:hAnsi="Arial"/>
                <w:sz w:val="18"/>
                <w:szCs w:val="18"/>
                <w:color w:val="auto"/>
              </w:rPr>
              <w:t>[***]; and</w:t>
            </w:r>
          </w:p>
        </w:tc>
      </w:tr>
      <w:tr>
        <w:trPr>
          <w:trHeight w:val="338"/>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5.5.2</w:t>
            </w:r>
          </w:p>
        </w:tc>
        <w:tc>
          <w:tcPr>
            <w:tcW w:w="956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5.6</w:t>
            </w: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w w:val="93"/>
              </w:rPr>
              <w:t>[Reserved]</w:t>
            </w:r>
            <w:r>
              <w:rPr>
                <w:rFonts w:ascii="Arial" w:cs="Arial" w:eastAsia="Arial" w:hAnsi="Arial"/>
                <w:sz w:val="18"/>
                <w:szCs w:val="18"/>
                <w:color w:val="auto"/>
                <w:w w:val="93"/>
              </w:rPr>
              <w:t>.</w:t>
            </w:r>
          </w:p>
        </w:tc>
        <w:tc>
          <w:tcPr>
            <w:tcW w:w="9560" w:type="dxa"/>
            <w:vAlign w:val="bottom"/>
          </w:tcPr>
          <w:p>
            <w:pPr>
              <w:spacing w:after="0"/>
              <w:rPr>
                <w:sz w:val="24"/>
                <w:szCs w:val="24"/>
                <w:color w:val="auto"/>
              </w:rPr>
            </w:pP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5.7</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2"/>
              </w:rPr>
              <w:t>Payment Deferral</w:t>
            </w:r>
            <w:r>
              <w:rPr>
                <w:rFonts w:ascii="Arial" w:cs="Arial" w:eastAsia="Arial" w:hAnsi="Arial"/>
                <w:sz w:val="18"/>
                <w:szCs w:val="18"/>
                <w:color w:val="auto"/>
                <w:w w:val="92"/>
              </w:rPr>
              <w:t>. In respect of reimbursable patent costs (pursuant to Section 4.3), and milestone payments owed further to Section 5.5, (but</w:t>
            </w:r>
          </w:p>
        </w:tc>
      </w:tr>
    </w:tbl>
    <w:p>
      <w:pPr>
        <w:ind w:left="920" w:right="40"/>
        <w:spacing w:after="0" w:line="32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only for such patent costs directly reimbursable by Avro and such milestones which have been achieved by Avro, and not by any acquirer or Sublicensee who achieves such milestone or is responsible for any such patent cost reimbursement), payment shall remain due as indicated in the</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3" w:right="239" w:bottom="1440" w:gutter="0" w:footer="0" w:header="0"/>
        </w:sectPr>
      </w:pPr>
    </w:p>
    <w:bookmarkStart w:id="408" w:name="page409"/>
    <w:bookmarkEnd w:id="408"/>
    <w:p>
      <w:pPr>
        <w:ind w:left="920"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aforementioned section(s), but the Parties agree that any amount due and payable that exceeds [***] percent ([***]%) of the total amounts (i.e. gross total) of any investment raise(s) and financing(s) (e.g. any of seed financing, Series A Financing, Series B Financing or other series of financing) up to such date for which the relevant milestone and/or patent costs are due shall be deferred to the next investment raise/financing. As such, any outstanding amounts shall become payable upon the next investment raise, again subject to [***] percent ([***]%) cap of the total amount (i.e. gross total) of such investment raise/financing until such time as all unpaid amounts are paid in full. All unpaid amounts will collect interest as further set out in Section 4.8. All unpaid and deferred amounts owed pursuant to this Section 5.7 will become immediately payable upon the earlier to occur of: (a) closing of a merger or acquisition of Avro, (b) sale of substantially all of Avro’s assets (including this Agreement) relating to the Licensed Products to a non-Affiliated Third Party during the term of this Agreement, (c) Avro granting an exclusive sublicense under the Licensed Technology to a Third Party for purposes of commercializing Licensed Products, or (d) upon an initial public offering (IPO) of Avro shares.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5.8</w:t>
            </w:r>
          </w:p>
        </w:tc>
        <w:tc>
          <w:tcPr>
            <w:tcW w:w="1080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Regulatory Approval Milestone Payments</w:t>
            </w:r>
            <w:r>
              <w:rPr>
                <w:rFonts w:ascii="Arial" w:cs="Arial" w:eastAsia="Arial" w:hAnsi="Arial"/>
                <w:sz w:val="18"/>
                <w:szCs w:val="18"/>
                <w:color w:val="auto"/>
                <w:w w:val="91"/>
              </w:rPr>
              <w:t>. UHN shall be paid the following milestone payments in respect of each Licensed Product(s). Avro</w:t>
            </w:r>
          </w:p>
        </w:tc>
      </w:tr>
      <w:tr>
        <w:trPr>
          <w:trHeight w:val="216"/>
        </w:trPr>
        <w:tc>
          <w:tcPr>
            <w:tcW w:w="580" w:type="dxa"/>
            <w:vAlign w:val="bottom"/>
          </w:tcPr>
          <w:p>
            <w:pPr>
              <w:spacing w:after="0"/>
              <w:rPr>
                <w:sz w:val="18"/>
                <w:szCs w:val="18"/>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shall promptly provide Notice to UHN of the fulfillment of a milestone (whether such milestone is achieved by Avro or its Affiliate or</w:t>
            </w:r>
          </w:p>
        </w:tc>
      </w:tr>
      <w:tr>
        <w:trPr>
          <w:trHeight w:val="230"/>
        </w:trPr>
        <w:tc>
          <w:tcPr>
            <w:tcW w:w="580" w:type="dxa"/>
            <w:vAlign w:val="bottom"/>
          </w:tcPr>
          <w:p>
            <w:pPr>
              <w:spacing w:after="0"/>
              <w:rPr>
                <w:sz w:val="20"/>
                <w:szCs w:val="20"/>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Sublicensee). Each noted milestone payment is payable by Avro within [***] from the date that such milestone is met:</w:t>
            </w:r>
          </w:p>
        </w:tc>
      </w:tr>
      <w:tr>
        <w:trPr>
          <w:trHeight w:val="338"/>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5.8.1</w:t>
            </w:r>
          </w:p>
        </w:tc>
        <w:tc>
          <w:tcPr>
            <w:tcW w:w="95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338"/>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5.8.2</w:t>
            </w:r>
          </w:p>
        </w:tc>
        <w:tc>
          <w:tcPr>
            <w:tcW w:w="9520" w:type="dxa"/>
            <w:vAlign w:val="bottom"/>
          </w:tcPr>
          <w:p>
            <w:pPr>
              <w:ind w:left="80"/>
              <w:spacing w:after="0"/>
              <w:rPr>
                <w:sz w:val="20"/>
                <w:szCs w:val="20"/>
                <w:color w:val="auto"/>
              </w:rPr>
            </w:pPr>
            <w:r>
              <w:rPr>
                <w:rFonts w:ascii="Arial" w:cs="Arial" w:eastAsia="Arial" w:hAnsi="Arial"/>
                <w:sz w:val="18"/>
                <w:szCs w:val="18"/>
                <w:color w:val="auto"/>
              </w:rPr>
              <w:t>[***]; and</w:t>
            </w:r>
          </w:p>
        </w:tc>
      </w:tr>
      <w:tr>
        <w:trPr>
          <w:trHeight w:val="338"/>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5.8.3</w:t>
            </w:r>
          </w:p>
        </w:tc>
        <w:tc>
          <w:tcPr>
            <w:tcW w:w="95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5.9</w:t>
            </w: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w w:val="93"/>
              </w:rPr>
              <w:t>[Reserved]</w:t>
            </w:r>
            <w:r>
              <w:rPr>
                <w:rFonts w:ascii="Arial" w:cs="Arial" w:eastAsia="Arial" w:hAnsi="Arial"/>
                <w:sz w:val="18"/>
                <w:szCs w:val="18"/>
                <w:color w:val="auto"/>
                <w:w w:val="93"/>
              </w:rPr>
              <w:t>.</w:t>
            </w:r>
          </w:p>
        </w:tc>
        <w:tc>
          <w:tcPr>
            <w:tcW w:w="9520" w:type="dxa"/>
            <w:vAlign w:val="bottom"/>
          </w:tcPr>
          <w:p>
            <w:pPr>
              <w:spacing w:after="0"/>
              <w:rPr>
                <w:sz w:val="24"/>
                <w:szCs w:val="24"/>
                <w:color w:val="auto"/>
              </w:rPr>
            </w:pPr>
          </w:p>
        </w:tc>
      </w:tr>
      <w:tr>
        <w:trPr>
          <w:trHeight w:val="648"/>
        </w:trPr>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520" w:type="dxa"/>
            <w:vAlign w:val="bottom"/>
          </w:tcPr>
          <w:p>
            <w:pPr>
              <w:ind w:left="1060"/>
              <w:spacing w:after="0"/>
              <w:rPr>
                <w:sz w:val="20"/>
                <w:szCs w:val="20"/>
                <w:color w:val="auto"/>
              </w:rPr>
            </w:pPr>
            <w:r>
              <w:rPr>
                <w:rFonts w:ascii="Arial" w:cs="Arial" w:eastAsia="Arial" w:hAnsi="Arial"/>
                <w:sz w:val="18"/>
                <w:szCs w:val="18"/>
                <w:b w:val="1"/>
                <w:bCs w:val="1"/>
                <w:color w:val="auto"/>
              </w:rPr>
              <w:t>ARTICLE 6 - REPRESENTATIONS, WARRANTIES AND LIABILITY</w:t>
            </w:r>
          </w:p>
        </w:tc>
      </w:tr>
      <w:tr>
        <w:trPr>
          <w:trHeight w:val="459"/>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6.1</w:t>
            </w:r>
          </w:p>
        </w:tc>
        <w:tc>
          <w:tcPr>
            <w:tcW w:w="10800" w:type="dxa"/>
            <w:vAlign w:val="bottom"/>
            <w:gridSpan w:val="2"/>
          </w:tcPr>
          <w:p>
            <w:pPr>
              <w:ind w:left="340"/>
              <w:spacing w:after="0"/>
              <w:rPr>
                <w:sz w:val="20"/>
                <w:szCs w:val="20"/>
                <w:color w:val="auto"/>
              </w:rPr>
            </w:pPr>
            <w:r>
              <w:rPr>
                <w:rFonts w:ascii="Arial" w:cs="Arial" w:eastAsia="Arial" w:hAnsi="Arial"/>
                <w:sz w:val="18"/>
                <w:szCs w:val="18"/>
                <w:b w:val="1"/>
                <w:bCs w:val="1"/>
                <w:color w:val="auto"/>
              </w:rPr>
              <w:t>UHN Reps &amp; Warranties</w:t>
            </w:r>
            <w:r>
              <w:rPr>
                <w:rFonts w:ascii="Arial" w:cs="Arial" w:eastAsia="Arial" w:hAnsi="Arial"/>
                <w:sz w:val="18"/>
                <w:szCs w:val="18"/>
                <w:color w:val="auto"/>
              </w:rPr>
              <w:t>. UHN represents, warrants and covenants to Avro that:</w:t>
            </w:r>
          </w:p>
        </w:tc>
      </w:tr>
      <w:tr>
        <w:trPr>
          <w:trHeight w:val="323"/>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6.1.1</w:t>
            </w:r>
          </w:p>
        </w:tc>
        <w:tc>
          <w:tcPr>
            <w:tcW w:w="9520" w:type="dxa"/>
            <w:vAlign w:val="bottom"/>
          </w:tcPr>
          <w:p>
            <w:pPr>
              <w:ind w:left="80"/>
              <w:spacing w:after="0"/>
              <w:rPr>
                <w:sz w:val="20"/>
                <w:szCs w:val="20"/>
                <w:color w:val="auto"/>
              </w:rPr>
            </w:pPr>
            <w:r>
              <w:rPr>
                <w:rFonts w:ascii="Arial" w:cs="Arial" w:eastAsia="Arial" w:hAnsi="Arial"/>
                <w:sz w:val="18"/>
                <w:szCs w:val="18"/>
                <w:color w:val="auto"/>
                <w:w w:val="95"/>
              </w:rPr>
              <w:t>it is duly incorporated and organized and validly existing under the laws of Ontario, and has all requisite corporate power and</w:t>
            </w:r>
          </w:p>
        </w:tc>
      </w:tr>
      <w:tr>
        <w:trPr>
          <w:trHeight w:val="230"/>
        </w:trPr>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520" w:type="dxa"/>
            <w:vAlign w:val="bottom"/>
          </w:tcPr>
          <w:p>
            <w:pPr>
              <w:ind w:left="80"/>
              <w:spacing w:after="0"/>
              <w:rPr>
                <w:sz w:val="20"/>
                <w:szCs w:val="20"/>
                <w:color w:val="auto"/>
              </w:rPr>
            </w:pPr>
            <w:r>
              <w:rPr>
                <w:rFonts w:ascii="Arial" w:cs="Arial" w:eastAsia="Arial" w:hAnsi="Arial"/>
                <w:sz w:val="18"/>
                <w:szCs w:val="18"/>
                <w:color w:val="auto"/>
              </w:rPr>
              <w:t>authority to enter into and perform its obligations under the Agreement;</w:t>
            </w:r>
          </w:p>
        </w:tc>
      </w:tr>
      <w:tr>
        <w:trPr>
          <w:trHeight w:val="323"/>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6.1.2</w:t>
            </w:r>
          </w:p>
        </w:tc>
        <w:tc>
          <w:tcPr>
            <w:tcW w:w="9520" w:type="dxa"/>
            <w:vAlign w:val="bottom"/>
          </w:tcPr>
          <w:p>
            <w:pPr>
              <w:ind w:left="80"/>
              <w:spacing w:after="0"/>
              <w:rPr>
                <w:sz w:val="20"/>
                <w:szCs w:val="20"/>
                <w:color w:val="auto"/>
              </w:rPr>
            </w:pPr>
            <w:r>
              <w:rPr>
                <w:rFonts w:ascii="Arial" w:cs="Arial" w:eastAsia="Arial" w:hAnsi="Arial"/>
                <w:sz w:val="18"/>
                <w:szCs w:val="18"/>
                <w:color w:val="auto"/>
                <w:w w:val="89"/>
              </w:rPr>
              <w:t>it has taken all necessary corporate action, steps and proceedings to approve or authorize, validly and effectively, the execution and</w:t>
            </w:r>
          </w:p>
        </w:tc>
      </w:tr>
      <w:tr>
        <w:trPr>
          <w:trHeight w:val="230"/>
        </w:trPr>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520" w:type="dxa"/>
            <w:vAlign w:val="bottom"/>
          </w:tcPr>
          <w:p>
            <w:pPr>
              <w:ind w:left="80"/>
              <w:spacing w:after="0"/>
              <w:rPr>
                <w:sz w:val="20"/>
                <w:szCs w:val="20"/>
                <w:color w:val="auto"/>
              </w:rPr>
            </w:pPr>
            <w:r>
              <w:rPr>
                <w:rFonts w:ascii="Arial" w:cs="Arial" w:eastAsia="Arial" w:hAnsi="Arial"/>
                <w:sz w:val="18"/>
                <w:szCs w:val="18"/>
                <w:color w:val="auto"/>
              </w:rPr>
              <w:t>delivery of this Agreement and perform its obligations hereunder;</w:t>
            </w:r>
          </w:p>
        </w:tc>
      </w:tr>
      <w:tr>
        <w:trPr>
          <w:trHeight w:val="338"/>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6.1.3</w:t>
            </w:r>
          </w:p>
        </w:tc>
        <w:tc>
          <w:tcPr>
            <w:tcW w:w="9520" w:type="dxa"/>
            <w:vAlign w:val="bottom"/>
          </w:tcPr>
          <w:p>
            <w:pPr>
              <w:ind w:left="80"/>
              <w:spacing w:after="0"/>
              <w:rPr>
                <w:sz w:val="20"/>
                <w:szCs w:val="20"/>
                <w:color w:val="auto"/>
              </w:rPr>
            </w:pPr>
            <w:r>
              <w:rPr>
                <w:rFonts w:ascii="Arial" w:cs="Arial" w:eastAsia="Arial" w:hAnsi="Arial"/>
                <w:sz w:val="18"/>
                <w:szCs w:val="18"/>
                <w:color w:val="auto"/>
                <w:w w:val="92"/>
              </w:rPr>
              <w:t>the execution and delivery of this Agreement by UHN and the performance of its obligations under the Agreement shall not result</w:t>
            </w:r>
          </w:p>
        </w:tc>
      </w:tr>
    </w:tbl>
    <w:p>
      <w:pPr>
        <w:ind w:left="1940" w:right="40"/>
        <w:spacing w:after="0" w:line="261" w:lineRule="auto"/>
        <w:rPr>
          <w:sz w:val="20"/>
          <w:szCs w:val="20"/>
          <w:color w:val="auto"/>
        </w:rPr>
      </w:pPr>
      <w:r>
        <w:rPr>
          <w:rFonts w:ascii="Arial" w:cs="Arial" w:eastAsia="Arial" w:hAnsi="Arial"/>
          <w:sz w:val="18"/>
          <w:szCs w:val="18"/>
          <w:color w:val="auto"/>
        </w:rPr>
        <w:t>in either a breach or violation of any of the provisions of, or constitute a default under, or conflict with or cause the acceleration of, any obligation of UHN under:</w:t>
      </w:r>
    </w:p>
    <w:p>
      <w:pPr>
        <w:spacing w:after="0" w:line="7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 any agreement to which UHN is a party or is otherwise bound by;</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3" w:right="239" w:bottom="1440" w:gutter="0" w:footer="0" w:header="0"/>
        </w:sectPr>
      </w:pPr>
    </w:p>
    <w:bookmarkStart w:id="409" w:name="page410"/>
    <w:bookmarkEnd w:id="409"/>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(b) any judgment, decree, order or award of any court, governmental body or arbitrator having jurisdiction over UHN;</w:t>
            </w:r>
          </w:p>
        </w:tc>
      </w:tr>
      <w:tr>
        <w:trPr>
          <w:trHeight w:val="324"/>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(c) any license, permit, approval, consent or authorization held by UHN; or</w:t>
            </w:r>
          </w:p>
        </w:tc>
      </w:tr>
      <w:tr>
        <w:trPr>
          <w:trHeight w:val="324"/>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(d) any applicable law, statute, ordinance, regulation or rule;</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6.1.4</w:t>
            </w: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as on the Effective Date, UHN is the sole owner of all right, title and interest in and to the Licensed Patents then listed in Schedules</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“C”; and</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6.1.5</w:t>
            </w: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UHN will disclose all Improved Therapies that exist as of the Effective Date and of which UHN has knowledge, within [***] of</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the Effective Date.</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6.2</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rPr>
              <w:t>Avro Reps &amp; Warranties</w:t>
            </w:r>
            <w:r>
              <w:rPr>
                <w:rFonts w:ascii="Arial" w:cs="Arial" w:eastAsia="Arial" w:hAnsi="Arial"/>
                <w:sz w:val="18"/>
                <w:szCs w:val="18"/>
                <w:color w:val="auto"/>
              </w:rPr>
              <w:t>. Avro represents and warrants to UHN that:</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6.2.1</w:t>
            </w: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it is duly incorporated and organized and validly existing under the laws of the State of Delaware and has all the requisite corporate</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power and authority to enter into and perform its obligations under the Agreement;</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6.2.2</w:t>
            </w:r>
          </w:p>
        </w:tc>
        <w:tc>
          <w:tcPr>
            <w:tcW w:w="9800" w:type="dxa"/>
            <w:vAlign w:val="bottom"/>
          </w:tcPr>
          <w:p>
            <w:pPr>
              <w:ind w:left="340"/>
              <w:spacing w:after="0"/>
              <w:rPr>
                <w:sz w:val="20"/>
                <w:szCs w:val="20"/>
                <w:color w:val="auto"/>
              </w:rPr>
            </w:pPr>
            <w:r>
              <w:rPr>
                <w:rFonts w:ascii="Arial" w:cs="Arial" w:eastAsia="Arial" w:hAnsi="Arial"/>
                <w:sz w:val="18"/>
                <w:szCs w:val="18"/>
                <w:color w:val="auto"/>
                <w:w w:val="89"/>
              </w:rPr>
              <w:t>it has taken all necessary corporate action, steps and proceedings to approve or authorize, validly and effectively, the execution and</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delivery of the Agreement and the performance of its obligations hereunder and to cause all necessary meetings of directors and</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shareholders of Avro to be held for such purposes;</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6.2.3</w:t>
            </w: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the execution and delivery of this Agreement by Avro and the performance of its obligations hereunder shall not result in either a</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breach or violation of any of the provisions of, or constitute a default under, or conflict with or cause the acceleration of, any</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obligation of Avro under:</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200" w:hanging="252"/>
        <w:spacing w:after="0"/>
        <w:tabs>
          <w:tab w:leader="none" w:pos="22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agreement to which Avro is a party or is otherwise bound by;</w:t>
      </w:r>
    </w:p>
    <w:p>
      <w:pPr>
        <w:spacing w:after="0" w:line="117" w:lineRule="exact"/>
        <w:rPr>
          <w:rFonts w:ascii="Arial" w:cs="Arial" w:eastAsia="Arial" w:hAnsi="Arial"/>
          <w:sz w:val="18"/>
          <w:szCs w:val="18"/>
          <w:color w:val="auto"/>
        </w:rPr>
      </w:pPr>
    </w:p>
    <w:p>
      <w:pPr>
        <w:ind w:left="1940" w:right="680" w:firstLine="8"/>
        <w:spacing w:after="0" w:line="277" w:lineRule="auto"/>
        <w:tabs>
          <w:tab w:leader="none" w:pos="219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of the terms and provisions of the organizing documents or bylaws, or resolutions of the board of directors (or any committee thereof), of Avro;</w:t>
      </w:r>
    </w:p>
    <w:p>
      <w:pPr>
        <w:spacing w:after="0" w:line="62" w:lineRule="exact"/>
        <w:rPr>
          <w:rFonts w:ascii="Arial" w:cs="Arial" w:eastAsia="Arial" w:hAnsi="Arial"/>
          <w:sz w:val="18"/>
          <w:szCs w:val="18"/>
          <w:color w:val="auto"/>
        </w:rPr>
      </w:pPr>
    </w:p>
    <w:p>
      <w:pPr>
        <w:ind w:left="2200" w:hanging="252"/>
        <w:spacing w:after="0"/>
        <w:tabs>
          <w:tab w:leader="none" w:pos="22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judgment, decree, order or award of any court, governmental body or arbitrator having jurisdiction over Avro;</w:t>
      </w:r>
    </w:p>
    <w:p>
      <w:pPr>
        <w:spacing w:after="0" w:line="117" w:lineRule="exact"/>
        <w:rPr>
          <w:rFonts w:ascii="Arial" w:cs="Arial" w:eastAsia="Arial" w:hAnsi="Arial"/>
          <w:sz w:val="18"/>
          <w:szCs w:val="18"/>
          <w:color w:val="auto"/>
        </w:rPr>
      </w:pPr>
    </w:p>
    <w:p>
      <w:pPr>
        <w:ind w:left="2200" w:hanging="252"/>
        <w:spacing w:after="0"/>
        <w:tabs>
          <w:tab w:leader="none" w:pos="22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license, permit, approval, consent or authorization held by Avro; and</w:t>
      </w:r>
    </w:p>
    <w:p>
      <w:pPr>
        <w:spacing w:after="0" w:line="117" w:lineRule="exact"/>
        <w:rPr>
          <w:rFonts w:ascii="Arial" w:cs="Arial" w:eastAsia="Arial" w:hAnsi="Arial"/>
          <w:sz w:val="18"/>
          <w:szCs w:val="18"/>
          <w:color w:val="auto"/>
        </w:rPr>
      </w:pPr>
    </w:p>
    <w:p>
      <w:pPr>
        <w:ind w:left="2200" w:hanging="252"/>
        <w:spacing w:after="0"/>
        <w:tabs>
          <w:tab w:leader="none" w:pos="22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applicable law, statute, ordinance, regulation or rule.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6.3</w:t>
            </w:r>
          </w:p>
        </w:tc>
        <w:tc>
          <w:tcPr>
            <w:tcW w:w="10680" w:type="dxa"/>
            <w:vAlign w:val="bottom"/>
            <w:gridSpan w:val="2"/>
          </w:tcPr>
          <w:p>
            <w:pPr>
              <w:ind w:left="340"/>
              <w:spacing w:after="0"/>
              <w:rPr>
                <w:sz w:val="20"/>
                <w:szCs w:val="20"/>
                <w:color w:val="auto"/>
              </w:rPr>
            </w:pPr>
            <w:r>
              <w:rPr>
                <w:rFonts w:ascii="Arial" w:cs="Arial" w:eastAsia="Arial" w:hAnsi="Arial"/>
                <w:sz w:val="18"/>
                <w:szCs w:val="18"/>
                <w:b w:val="1"/>
                <w:bCs w:val="1"/>
                <w:color w:val="auto"/>
              </w:rPr>
              <w:t>Limitations of Liability</w:t>
            </w:r>
            <w:r>
              <w:rPr>
                <w:rFonts w:ascii="Arial" w:cs="Arial" w:eastAsia="Arial" w:hAnsi="Arial"/>
                <w:sz w:val="18"/>
                <w:szCs w:val="18"/>
                <w:color w:val="auto"/>
              </w:rPr>
              <w:t>. EXCEPT AS OTHERWISE EXPRESSLY SET OUT IN THIS AGREEMENT:</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6.3.1</w:t>
            </w:r>
          </w:p>
        </w:tc>
        <w:tc>
          <w:tcPr>
            <w:tcW w:w="9660" w:type="dxa"/>
            <w:vAlign w:val="bottom"/>
          </w:tcPr>
          <w:p>
            <w:pPr>
              <w:ind w:left="340"/>
              <w:spacing w:after="0"/>
              <w:rPr>
                <w:sz w:val="20"/>
                <w:szCs w:val="20"/>
                <w:color w:val="auto"/>
              </w:rPr>
            </w:pPr>
            <w:r>
              <w:rPr>
                <w:rFonts w:ascii="Arial" w:cs="Arial" w:eastAsia="Arial" w:hAnsi="Arial"/>
                <w:sz w:val="18"/>
                <w:szCs w:val="18"/>
                <w:color w:val="auto"/>
              </w:rPr>
              <w:t>EACH PARTY EXPRESSLY DISCLAIMS ANY AND ALL IMPLIED OR EXPRESS WARRANTIES AND MAKES NO</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w w:val="97"/>
              </w:rPr>
              <w:t>EXPRESS OR IMPLIED WARRANTIES OF ANY KIND, INCLUDING WARRANTIES OF MERCHANTABILITY, SAFETY</w:t>
            </w:r>
          </w:p>
        </w:tc>
      </w:tr>
    </w:tbl>
    <w:p>
      <w:pPr>
        <w:ind w:left="1940" w:right="680"/>
        <w:spacing w:after="0" w:line="261" w:lineRule="auto"/>
        <w:rPr>
          <w:sz w:val="20"/>
          <w:szCs w:val="20"/>
          <w:color w:val="auto"/>
        </w:rPr>
      </w:pPr>
      <w:r>
        <w:rPr>
          <w:rFonts w:ascii="Arial" w:cs="Arial" w:eastAsia="Arial" w:hAnsi="Arial"/>
          <w:sz w:val="18"/>
          <w:szCs w:val="18"/>
          <w:color w:val="auto"/>
        </w:rPr>
        <w:t>OR FITNESS FOR ANY PARTICULAR PURPOSE OF THE LICENSED TECHNOLOGY, OR THAT THE LICENSED TECHNOLOGY CAN BE EXPLOITED TO GENERATE REVENUES;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410" w:name="page411"/>
    <w:bookmarkEnd w:id="410"/>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6.3.2</w:t>
            </w:r>
          </w:p>
        </w:tc>
        <w:tc>
          <w:tcPr>
            <w:tcW w:w="9780" w:type="dxa"/>
            <w:vAlign w:val="bottom"/>
          </w:tcPr>
          <w:p>
            <w:pPr>
              <w:ind w:left="340"/>
              <w:spacing w:after="0"/>
              <w:rPr>
                <w:sz w:val="20"/>
                <w:szCs w:val="20"/>
                <w:color w:val="auto"/>
              </w:rPr>
            </w:pPr>
            <w:r>
              <w:rPr>
                <w:rFonts w:ascii="Arial" w:cs="Arial" w:eastAsia="Arial" w:hAnsi="Arial"/>
                <w:sz w:val="18"/>
                <w:szCs w:val="18"/>
                <w:color w:val="auto"/>
              </w:rPr>
              <w:t>UHN DOES NOT WARRANT OR REPRESENT THAT ISSUED PATENTS ARE VALID, OR PENDING PATENT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7"/>
              </w:rPr>
              <w:t>APPLICATIONS WILL ISSUE, OR WHEN ISSUED WILL BE VALID, OR THAT THE PRACTICE OR EXPLOITATION OF</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ANY LICENSED TECHNOLOGY PROVIDED PURSUANT TO THIS AGREEMENT, DOES NOT, OR WILL NOT,</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CONSTITUTE INFRINGEMENT OF RIGHTS OF THIRD PARTIES;</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6.3.3</w:t>
            </w:r>
          </w:p>
        </w:tc>
        <w:tc>
          <w:tcPr>
            <w:tcW w:w="9780" w:type="dxa"/>
            <w:vAlign w:val="bottom"/>
          </w:tcPr>
          <w:p>
            <w:pPr>
              <w:ind w:left="340"/>
              <w:spacing w:after="0"/>
              <w:rPr>
                <w:sz w:val="20"/>
                <w:szCs w:val="20"/>
                <w:color w:val="auto"/>
              </w:rPr>
            </w:pPr>
            <w:r>
              <w:rPr>
                <w:rFonts w:ascii="Arial" w:cs="Arial" w:eastAsia="Arial" w:hAnsi="Arial"/>
                <w:sz w:val="18"/>
                <w:szCs w:val="18"/>
                <w:color w:val="auto"/>
              </w:rPr>
              <w:t>NEITHER PARTY SHALL BE LIABLE TO THE OTHER PARTY FOR ANY INDIRECT, SPECIAL, CONSEQUENTIAL,</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6"/>
              </w:rPr>
              <w:t>EXEMPLARY OR PUNITIVE DAMAGE OR LOSS OF BUSINESS OR LOSS OF PROFITS SUFFERED BY SUCH OTHER</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9"/>
              </w:rPr>
              <w:t>PARTY RESULTING FROM THE USE OR OTHER EXPLOITATION OF THE LICENSED TECHNOLOGY, INCLUDING</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WITHOUT LIMITATION THE SALE OF ANY LICENSED PRODUCTS. FURTHERMORE, UHN MAKES NO</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REPRESENTATION THAT THE LICENSED TECHNOLOGY IS FREE FROM DEFECT OR LIABILITY OF</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INTELLECTUAL PROPERTY INFRINGEMENT.</w:t>
            </w:r>
          </w:p>
        </w:tc>
      </w:tr>
      <w:tr>
        <w:trPr>
          <w:trHeight w:val="648"/>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80" w:type="dxa"/>
            <w:vAlign w:val="bottom"/>
          </w:tcPr>
          <w:p>
            <w:pPr>
              <w:ind w:left="1660"/>
              <w:spacing w:after="0"/>
              <w:rPr>
                <w:sz w:val="20"/>
                <w:szCs w:val="20"/>
                <w:color w:val="auto"/>
              </w:rPr>
            </w:pPr>
            <w:r>
              <w:rPr>
                <w:rFonts w:ascii="Arial" w:cs="Arial" w:eastAsia="Arial" w:hAnsi="Arial"/>
                <w:sz w:val="18"/>
                <w:szCs w:val="18"/>
                <w:b w:val="1"/>
                <w:bCs w:val="1"/>
                <w:color w:val="auto"/>
              </w:rPr>
              <w:t>ARTICLE 7 - FURTHER COVENANTS AND OBLIGATIONS</w:t>
            </w:r>
          </w:p>
        </w:tc>
      </w:tr>
      <w:tr>
        <w:trPr>
          <w:trHeight w:val="459"/>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7.1</w:t>
            </w:r>
          </w:p>
        </w:tc>
        <w:tc>
          <w:tcPr>
            <w:tcW w:w="10800" w:type="dxa"/>
            <w:vAlign w:val="bottom"/>
            <w:gridSpan w:val="2"/>
          </w:tcPr>
          <w:p>
            <w:pPr>
              <w:ind w:left="340"/>
              <w:spacing w:after="0"/>
              <w:rPr>
                <w:sz w:val="20"/>
                <w:szCs w:val="20"/>
                <w:color w:val="auto"/>
              </w:rPr>
            </w:pPr>
            <w:r>
              <w:rPr>
                <w:rFonts w:ascii="Arial" w:cs="Arial" w:eastAsia="Arial" w:hAnsi="Arial"/>
                <w:sz w:val="18"/>
                <w:szCs w:val="18"/>
                <w:b w:val="1"/>
                <w:bCs w:val="1"/>
                <w:color w:val="auto"/>
              </w:rPr>
              <w:t>Avro Covenants/Obligations</w:t>
            </w:r>
            <w:r>
              <w:rPr>
                <w:rFonts w:ascii="Arial" w:cs="Arial" w:eastAsia="Arial" w:hAnsi="Arial"/>
                <w:sz w:val="18"/>
                <w:szCs w:val="18"/>
                <w:color w:val="auto"/>
              </w:rPr>
              <w:t>. Avro covenants and agrees for the benefit of UHN that it shall:</w:t>
            </w:r>
          </w:p>
        </w:tc>
      </w:tr>
      <w:tr>
        <w:trPr>
          <w:trHeight w:val="338"/>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7.1.1</w:t>
            </w:r>
          </w:p>
        </w:tc>
        <w:tc>
          <w:tcPr>
            <w:tcW w:w="9780" w:type="dxa"/>
            <w:vAlign w:val="bottom"/>
          </w:tcPr>
          <w:p>
            <w:pPr>
              <w:ind w:left="340"/>
              <w:spacing w:after="0"/>
              <w:rPr>
                <w:sz w:val="20"/>
                <w:szCs w:val="20"/>
                <w:color w:val="auto"/>
              </w:rPr>
            </w:pPr>
            <w:r>
              <w:rPr>
                <w:rFonts w:ascii="Arial" w:cs="Arial" w:eastAsia="Arial" w:hAnsi="Arial"/>
                <w:sz w:val="18"/>
                <w:szCs w:val="18"/>
                <w:color w:val="auto"/>
                <w:w w:val="96"/>
              </w:rPr>
              <w:t>use reasonable efforts to provide Notice to UHN in the event that the Principal Investigator becomes a shareholder of Avro;</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7.1.2</w:t>
            </w:r>
          </w:p>
        </w:tc>
        <w:tc>
          <w:tcPr>
            <w:tcW w:w="9780" w:type="dxa"/>
            <w:vAlign w:val="bottom"/>
          </w:tcPr>
          <w:p>
            <w:pPr>
              <w:ind w:left="340"/>
              <w:spacing w:after="0"/>
              <w:rPr>
                <w:sz w:val="20"/>
                <w:szCs w:val="20"/>
                <w:color w:val="auto"/>
              </w:rPr>
            </w:pPr>
            <w:r>
              <w:rPr>
                <w:rFonts w:ascii="Arial" w:cs="Arial" w:eastAsia="Arial" w:hAnsi="Arial"/>
                <w:sz w:val="18"/>
                <w:szCs w:val="18"/>
                <w:color w:val="auto"/>
                <w:w w:val="95"/>
              </w:rPr>
              <w:t>not engage the Principal Investigator or other UHN employees for the conduct of research activities utilizing UHN resources</w:t>
            </w:r>
          </w:p>
        </w:tc>
      </w:tr>
      <w:tr>
        <w:trPr>
          <w:trHeight w:val="212"/>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0"/>
              </w:rPr>
              <w:t>and/or facilities absent a Sponsored Research Agreement or such other appropriate agreement, or otherwise the written consent of</w:t>
            </w:r>
          </w:p>
        </w:tc>
      </w:tr>
      <w:tr>
        <w:trPr>
          <w:trHeight w:val="220"/>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8"/>
              </w:rPr>
              <w:t xml:space="preserve">UHN; provided, for clarity, that this Section </w:t>
            </w:r>
            <w:r>
              <w:rPr>
                <w:rFonts w:ascii="Arial" w:cs="Arial" w:eastAsia="Arial" w:hAnsi="Arial"/>
                <w:sz w:val="18"/>
                <w:szCs w:val="18"/>
                <w:b w:val="1"/>
                <w:bCs w:val="1"/>
                <w:color w:val="auto"/>
                <w:w w:val="98"/>
              </w:rPr>
              <w:t>7</w:t>
            </w:r>
            <w:r>
              <w:rPr>
                <w:rFonts w:ascii="Arial" w:cs="Arial" w:eastAsia="Arial" w:hAnsi="Arial"/>
                <w:sz w:val="18"/>
                <w:szCs w:val="18"/>
                <w:color w:val="auto"/>
                <w:w w:val="98"/>
              </w:rPr>
              <w:t>.</w:t>
            </w:r>
            <w:r>
              <w:rPr>
                <w:rFonts w:ascii="Arial" w:cs="Arial" w:eastAsia="Arial" w:hAnsi="Arial"/>
                <w:sz w:val="18"/>
                <w:szCs w:val="18"/>
                <w:b w:val="1"/>
                <w:bCs w:val="1"/>
                <w:color w:val="auto"/>
                <w:w w:val="98"/>
              </w:rPr>
              <w:t>1</w:t>
            </w:r>
            <w:r>
              <w:rPr>
                <w:rFonts w:ascii="Arial" w:cs="Arial" w:eastAsia="Arial" w:hAnsi="Arial"/>
                <w:sz w:val="18"/>
                <w:szCs w:val="18"/>
                <w:color w:val="auto"/>
                <w:w w:val="98"/>
              </w:rPr>
              <w:t>.</w:t>
            </w:r>
            <w:r>
              <w:rPr>
                <w:rFonts w:ascii="Arial" w:cs="Arial" w:eastAsia="Arial" w:hAnsi="Arial"/>
                <w:sz w:val="18"/>
                <w:szCs w:val="18"/>
                <w:b w:val="1"/>
                <w:bCs w:val="1"/>
                <w:color w:val="auto"/>
                <w:w w:val="98"/>
              </w:rPr>
              <w:t>2</w:t>
            </w:r>
            <w:r>
              <w:rPr>
                <w:rFonts w:ascii="Arial" w:cs="Arial" w:eastAsia="Arial" w:hAnsi="Arial"/>
                <w:sz w:val="18"/>
                <w:szCs w:val="18"/>
                <w:color w:val="auto"/>
                <w:w w:val="98"/>
              </w:rPr>
              <w:t xml:space="preserve"> shall apply to the Principal Investigator in his appointment and scientific</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research at UHN only (and not with respect to any other university, hospital, facility, institution or entity);</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7.1.3</w:t>
            </w:r>
          </w:p>
        </w:tc>
        <w:tc>
          <w:tcPr>
            <w:tcW w:w="9780" w:type="dxa"/>
            <w:vAlign w:val="bottom"/>
          </w:tcPr>
          <w:p>
            <w:pPr>
              <w:ind w:left="340"/>
              <w:spacing w:after="0"/>
              <w:rPr>
                <w:sz w:val="20"/>
                <w:szCs w:val="20"/>
                <w:color w:val="auto"/>
              </w:rPr>
            </w:pPr>
            <w:r>
              <w:rPr>
                <w:rFonts w:ascii="Arial" w:cs="Arial" w:eastAsia="Arial" w:hAnsi="Arial"/>
                <w:sz w:val="18"/>
                <w:szCs w:val="18"/>
                <w:color w:val="auto"/>
                <w:w w:val="94"/>
              </w:rPr>
              <w:t>use commercially reasonable efforts to exercise the License granted herein and otherwise exploit the Licensed Technology in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1"/>
              </w:rPr>
              <w:t>accordance with the terms of this Agreement, and with all applicable laws, statutes, ordinances, regulations, guidelines and rules,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1"/>
              </w:rPr>
              <w:t>including all applicable statutes and regulations and applicable guidelines set forth by the Canadian Institutes of Health Research</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(CIHR), National Institutes of Health (NIH) or other governmental agencies where applicable;</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7.1.4</w:t>
            </w:r>
          </w:p>
        </w:tc>
        <w:tc>
          <w:tcPr>
            <w:tcW w:w="9780" w:type="dxa"/>
            <w:vAlign w:val="bottom"/>
          </w:tcPr>
          <w:p>
            <w:pPr>
              <w:ind w:left="340"/>
              <w:spacing w:after="0"/>
              <w:rPr>
                <w:sz w:val="20"/>
                <w:szCs w:val="20"/>
                <w:color w:val="auto"/>
              </w:rPr>
            </w:pPr>
            <w:r>
              <w:rPr>
                <w:rFonts w:ascii="Arial" w:cs="Arial" w:eastAsia="Arial" w:hAnsi="Arial"/>
                <w:sz w:val="18"/>
                <w:szCs w:val="18"/>
                <w:color w:val="auto"/>
                <w:w w:val="90"/>
              </w:rPr>
              <w:t>ensure that all of its employees, representatives, agents, consultants, Sublicensee(s), Affiliate(s) and any other Third Parties having</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0"/>
              </w:rPr>
              <w:t>access to the subject matter of this Agreement are aware of any and all confidentiality obligations, and are legally bound by similar</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obligations;</w:t>
            </w:r>
          </w:p>
        </w:tc>
      </w:tr>
      <w:tr>
        <w:trPr>
          <w:trHeight w:val="338"/>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7.1.5</w:t>
            </w:r>
          </w:p>
        </w:tc>
        <w:tc>
          <w:tcPr>
            <w:tcW w:w="9780" w:type="dxa"/>
            <w:vAlign w:val="bottom"/>
          </w:tcPr>
          <w:p>
            <w:pPr>
              <w:ind w:left="340"/>
              <w:spacing w:after="0"/>
              <w:rPr>
                <w:sz w:val="20"/>
                <w:szCs w:val="20"/>
                <w:color w:val="auto"/>
              </w:rPr>
            </w:pPr>
            <w:r>
              <w:rPr>
                <w:rFonts w:ascii="Arial" w:cs="Arial" w:eastAsia="Arial" w:hAnsi="Arial"/>
                <w:sz w:val="18"/>
                <w:szCs w:val="18"/>
                <w:color w:val="auto"/>
                <w:w w:val="91"/>
              </w:rPr>
              <w:t>cause to be applied to Licensed Product(s) (as appropriate) any markings required by applicable government statutes and laws to</w:t>
            </w:r>
          </w:p>
        </w:tc>
      </w:tr>
    </w:tbl>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maintain continued validity and enforcement of proprietary rights in Licensed Technology (as applicable);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0" w:right="239" w:bottom="1440" w:gutter="0" w:footer="0" w:header="0"/>
        </w:sectPr>
      </w:pPr>
    </w:p>
    <w:bookmarkStart w:id="411" w:name="page412"/>
    <w:bookmarkEnd w:id="411"/>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7.1.6</w:t>
            </w: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ensure that the terms and conditions of any Sublicense are consistent with the terms and conditions of this Agreement; and</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7.1.7</w:t>
            </w: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in addition to any diligence requirements or obligations of this Agreement, use commercially reasonable efforts to develop and</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commercialize one or more Licensed Products.</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7.2</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rPr>
              <w:t>UHN Covenants</w:t>
            </w:r>
            <w:r>
              <w:rPr>
                <w:rFonts w:ascii="Arial" w:cs="Arial" w:eastAsia="Arial" w:hAnsi="Arial"/>
                <w:sz w:val="18"/>
                <w:szCs w:val="18"/>
                <w:color w:val="auto"/>
              </w:rPr>
              <w:t>. UHN covenants and agrees for the benefit of Avro that it shall:</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7.2.1</w:t>
            </w: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ensure that all employees, staff members, students, and any other UHN agents or representatives having access to the subject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matter of this Agreement are aware of any and all obligations under this Agreement, including confidentiality obligations, and have</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agreed to be legally bound by them;</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7.2.2</w:t>
            </w: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use reasonable best efforts to conduct and enroll and dose at least [***] patients in the UHN Planned Trial with a [***] follow-up</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7"/>
              </w:rPr>
              <w:t>phase; provided, however, that UHN shall not be deemed to be in breach of the foregoing obligation in the event that UHN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discontinues the UHN Planned Trial due to events outside of the reasonable control of UHN (i.e., actions taken by Regulatory</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Authorities, due to a material safety issue of a Licensed Product, or due to Avro’s uncured breach of its payment obligations in the</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Letter Agreement); and</w:t>
            </w:r>
          </w:p>
        </w:tc>
      </w:tr>
      <w:tr>
        <w:trPr>
          <w:trHeight w:val="338"/>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7.2.3</w:t>
            </w: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not grant any rights in the Licensed Technology to any Person that would conflict with the rights granted to Avro hereunder.</w:t>
            </w:r>
          </w:p>
        </w:tc>
      </w:tr>
      <w:tr>
        <w:trPr>
          <w:trHeight w:val="648"/>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0" w:type="dxa"/>
            <w:vAlign w:val="bottom"/>
          </w:tcPr>
          <w:p>
            <w:pPr>
              <w:ind w:left="1120"/>
              <w:spacing w:after="0"/>
              <w:rPr>
                <w:sz w:val="20"/>
                <w:szCs w:val="20"/>
                <w:color w:val="auto"/>
              </w:rPr>
            </w:pPr>
            <w:r>
              <w:rPr>
                <w:rFonts w:ascii="Arial" w:cs="Arial" w:eastAsia="Arial" w:hAnsi="Arial"/>
                <w:sz w:val="18"/>
                <w:szCs w:val="18"/>
                <w:b w:val="1"/>
                <w:bCs w:val="1"/>
                <w:color w:val="auto"/>
              </w:rPr>
              <w:t>ARTICLE 8 - MANAGEMENT OF INTELLECTUAL PROPERTY RIGHTS</w:t>
            </w:r>
          </w:p>
        </w:tc>
      </w:tr>
      <w:tr>
        <w:trPr>
          <w:trHeight w:val="445"/>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8.1</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Responsibility for Patent Rights</w:t>
            </w:r>
            <w:r>
              <w:rPr>
                <w:rFonts w:ascii="Arial" w:cs="Arial" w:eastAsia="Arial" w:hAnsi="Arial"/>
                <w:sz w:val="18"/>
                <w:szCs w:val="18"/>
                <w:color w:val="auto"/>
                <w:w w:val="91"/>
              </w:rPr>
              <w:t>. Avro will assume responsibility for the preparing, filing, prosecuting, maintaining and defending in all agency</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2"/>
              </w:rPr>
              <w:t>proceedings (e.g., reissues, reexaminations, oppositions and interferences), using patent counsel reasonably acceptable to UHN, patent rights</w:t>
            </w:r>
          </w:p>
        </w:tc>
      </w:tr>
      <w:tr>
        <w:trPr>
          <w:trHeight w:val="230"/>
        </w:trPr>
        <w:tc>
          <w:tcPr>
            <w:tcW w:w="580" w:type="dxa"/>
            <w:vAlign w:val="bottom"/>
          </w:tcPr>
          <w:p>
            <w:pPr>
              <w:spacing w:after="0"/>
              <w:rPr>
                <w:sz w:val="20"/>
                <w:szCs w:val="20"/>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2"/>
              </w:rPr>
              <w:t>within the Licensed Technology to the extent such patent rights are relevant to the Field of Use, or Avro is otherwise deemed to be responsible</w:t>
            </w:r>
          </w:p>
        </w:tc>
      </w:tr>
    </w:tbl>
    <w:p>
      <w:pPr>
        <w:ind w:left="920"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prosecution in accordance with the terms of a Sponsored Research Agreement (“</w:t>
      </w:r>
      <w:r>
        <w:rPr>
          <w:rFonts w:ascii="Arial" w:cs="Arial" w:eastAsia="Arial" w:hAnsi="Arial"/>
          <w:sz w:val="17"/>
          <w:szCs w:val="17"/>
          <w:b w:val="1"/>
          <w:bCs w:val="1"/>
          <w:color w:val="auto"/>
        </w:rPr>
        <w:t>Field Patent Rights</w:t>
      </w:r>
      <w:r>
        <w:rPr>
          <w:rFonts w:ascii="Arial" w:cs="Arial" w:eastAsia="Arial" w:hAnsi="Arial"/>
          <w:sz w:val="17"/>
          <w:szCs w:val="17"/>
          <w:color w:val="auto"/>
        </w:rPr>
        <w:t>”) during the Term. Avro shall copy UHN on all patent prosecution documents and give UHN reasonable opportunities to advise Avro on such filing, prosecution and maintenance. In the event Avro desires to abandon any patent or patent application within the Field Patent Rights, Avro shall provide UHN with reasonable prior written notice of such intended abandonment or decline of responsibility. If UHN elects to continue such patent or patent application, the Parties shall consult and Avro may elect to retain responsibility therefor. Otherwise, the right to prepare, file, prosecute, maintain and defend the relevant Field Patent Rights, at UHN’s expense, shall revert to UHN. In such event, such UHN paid-for rights shall be removed from the definition of Licensed Patents under this Agreement and the licenses granted to Avro and its Affiliates as to such rights shall terminate. UHN retains its rights to prepare, file, prosecute, and maintain, and defend in all agency proceedings (e.g. reissues, reexaminations, oppositions and interferences), at UHN’s expense, patent rights within the Licensed Technology that are relevant outside the Field of Use (“</w:t>
      </w:r>
      <w:r>
        <w:rPr>
          <w:rFonts w:ascii="Arial" w:cs="Arial" w:eastAsia="Arial" w:hAnsi="Arial"/>
          <w:sz w:val="17"/>
          <w:szCs w:val="17"/>
          <w:b w:val="1"/>
          <w:bCs w:val="1"/>
          <w:color w:val="auto"/>
        </w:rPr>
        <w:t>UHN Patent Rights</w:t>
      </w:r>
      <w:r>
        <w:rPr>
          <w:rFonts w:ascii="Arial" w:cs="Arial" w:eastAsia="Arial" w:hAnsi="Arial"/>
          <w:sz w:val="17"/>
          <w:szCs w:val="17"/>
          <w:color w:val="auto"/>
        </w:rPr>
        <w:t>”). To the extent that patent rights are relevant both inside and outside the Field of Use, during the Option Term the Parties shall work cooperatively to make decisions with respect to preparing, filing, prosecuting, maintaining and defending such patent rights in all agency proceedings such that neither Party’s rights are jeopardized.</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0" w:right="239" w:bottom="1440" w:gutter="0" w:footer="0" w:header="0"/>
        </w:sectPr>
      </w:pPr>
    </w:p>
    <w:bookmarkStart w:id="412" w:name="page413"/>
    <w:bookmarkEnd w:id="412"/>
    <w:tbl>
      <w:tblPr>
        <w:tblLayout w:type="fixed"/>
        <w:tblInd w:w="0" w:type="dxa"/>
        <w:tblCellMar>
          <w:top w:w="0" w:type="dxa"/>
          <w:left w:w="0" w:type="dxa"/>
          <w:bottom w:w="0" w:type="dxa"/>
          <w:right w:w="0" w:type="dxa"/>
        </w:tblCellMar>
      </w:tblPr>
      <w:tr>
        <w:trPr>
          <w:trHeight w:val="220"/>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8.2</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w w:val="92"/>
              </w:rPr>
              <w:t>Patent Extensions and Orange Book Listings</w:t>
            </w:r>
            <w:r>
              <w:rPr>
                <w:rFonts w:ascii="Arial" w:cs="Arial" w:eastAsia="Arial" w:hAnsi="Arial"/>
                <w:sz w:val="18"/>
                <w:szCs w:val="18"/>
                <w:color w:val="auto"/>
                <w:w w:val="92"/>
              </w:rPr>
              <w:t>. If elections with respect to obtaining patent term extensions (including, without limitation, any</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2"/>
              </w:rPr>
              <w:t>available pediatric extensions) or supplemental protection certificates or their equivalents in any country with respect to Field Patent Rights are</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1"/>
              </w:rPr>
              <w:t>available, Avro shall have the sole and exclusive right to make any such elections based on Licensed Products. With respect to data exclusivity</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4"/>
              </w:rPr>
              <w:t>periods (such as those periods listed in the FDA’s Orange Book (including, without limitation, any available pediatric extensions) or periods</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2"/>
              </w:rPr>
              <w:t>under national implementations of Article 10.1(a)(iii) of Directive 2001/EC/83 or orphan exclusivity periods, and all equivalents in any country),</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4"/>
              </w:rPr>
              <w:t>Avro shall have the sole and exclusive right to seek and maintain all such data exclusivity periods available for the Licensed Products. With</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1"/>
              </w:rPr>
              <w:t>respect to all of the rights and activities identified in this Section 8.2, UHN hereby appoints Avro as its agent for such purposes with the authority</w:t>
            </w:r>
          </w:p>
        </w:tc>
      </w:tr>
      <w:tr>
        <w:trPr>
          <w:trHeight w:val="230"/>
        </w:trPr>
        <w:tc>
          <w:tcPr>
            <w:tcW w:w="580" w:type="dxa"/>
            <w:vAlign w:val="bottom"/>
          </w:tcPr>
          <w:p>
            <w:pPr>
              <w:spacing w:after="0"/>
              <w:rPr>
                <w:sz w:val="20"/>
                <w:szCs w:val="20"/>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to act on UHN’s behalf with respect to the Field Patent Rights in a manner consistent with this Agreement.</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8.3</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Notification of Infringement</w:t>
            </w:r>
            <w:r>
              <w:rPr>
                <w:rFonts w:ascii="Arial" w:cs="Arial" w:eastAsia="Arial" w:hAnsi="Arial"/>
                <w:sz w:val="18"/>
                <w:szCs w:val="18"/>
                <w:color w:val="auto"/>
                <w:w w:val="91"/>
              </w:rPr>
              <w:t>. Each Party agrees to provide written notice to the other Party promptly after becoming aware of any infringement</w:t>
            </w:r>
          </w:p>
        </w:tc>
      </w:tr>
      <w:tr>
        <w:trPr>
          <w:trHeight w:val="230"/>
        </w:trPr>
        <w:tc>
          <w:tcPr>
            <w:tcW w:w="580" w:type="dxa"/>
            <w:vAlign w:val="bottom"/>
          </w:tcPr>
          <w:p>
            <w:pPr>
              <w:spacing w:after="0"/>
              <w:rPr>
                <w:sz w:val="20"/>
                <w:szCs w:val="20"/>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of the Field Patent Rights or UHN Patent Rights by a Third Party and of any available evidence thereof.</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8.4</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rPr>
              <w:t>Right to Prosecute Infringements</w:t>
            </w:r>
            <w:r>
              <w:rPr>
                <w:rFonts w:ascii="Arial" w:cs="Arial" w:eastAsia="Arial" w:hAnsi="Arial"/>
                <w:sz w:val="18"/>
                <w:szCs w:val="18"/>
                <w:color w:val="auto"/>
              </w:rPr>
              <w:t>.</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8.4.1</w:t>
            </w:r>
          </w:p>
        </w:tc>
        <w:tc>
          <w:tcPr>
            <w:tcW w:w="9800" w:type="dxa"/>
            <w:vAlign w:val="bottom"/>
          </w:tcPr>
          <w:p>
            <w:pPr>
              <w:ind w:left="340"/>
              <w:spacing w:after="0"/>
              <w:rPr>
                <w:sz w:val="20"/>
                <w:szCs w:val="20"/>
                <w:color w:val="auto"/>
              </w:rPr>
            </w:pPr>
            <w:r>
              <w:rPr>
                <w:rFonts w:ascii="Arial" w:cs="Arial" w:eastAsia="Arial" w:hAnsi="Arial"/>
                <w:sz w:val="18"/>
                <w:szCs w:val="18"/>
                <w:b w:val="1"/>
                <w:bCs w:val="1"/>
                <w:color w:val="auto"/>
                <w:w w:val="93"/>
              </w:rPr>
              <w:t>Avro Right to Prosecute</w:t>
            </w:r>
            <w:r>
              <w:rPr>
                <w:rFonts w:ascii="Arial" w:cs="Arial" w:eastAsia="Arial" w:hAnsi="Arial"/>
                <w:sz w:val="18"/>
                <w:szCs w:val="18"/>
                <w:color w:val="auto"/>
                <w:w w:val="93"/>
              </w:rPr>
              <w:t>. As between the Parties, Avro shall have the first and exclusive right, but not the obligation, under its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5"/>
              </w:rPr>
              <w:t>own control and at its own expense, to prosecute any Third Party infringement of the Field Patent Rights and/or UHN Patent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Rights, subject to Sections 8.5 and 8.6. The total cost of any such infringement action commenced or defended solely by Avro shall</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be borne by Avro.</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8.4.2</w:t>
            </w:r>
          </w:p>
        </w:tc>
        <w:tc>
          <w:tcPr>
            <w:tcW w:w="9800" w:type="dxa"/>
            <w:vAlign w:val="bottom"/>
          </w:tcPr>
          <w:p>
            <w:pPr>
              <w:ind w:left="340"/>
              <w:spacing w:after="0"/>
              <w:rPr>
                <w:sz w:val="20"/>
                <w:szCs w:val="20"/>
                <w:color w:val="auto"/>
              </w:rPr>
            </w:pPr>
            <w:r>
              <w:rPr>
                <w:rFonts w:ascii="Arial" w:cs="Arial" w:eastAsia="Arial" w:hAnsi="Arial"/>
                <w:sz w:val="18"/>
                <w:szCs w:val="18"/>
                <w:b w:val="1"/>
                <w:bCs w:val="1"/>
                <w:color w:val="auto"/>
                <w:w w:val="93"/>
              </w:rPr>
              <w:t>UHN Right to Prosecute</w:t>
            </w:r>
            <w:r>
              <w:rPr>
                <w:rFonts w:ascii="Arial" w:cs="Arial" w:eastAsia="Arial" w:hAnsi="Arial"/>
                <w:sz w:val="18"/>
                <w:szCs w:val="18"/>
                <w:color w:val="auto"/>
                <w:w w:val="93"/>
              </w:rPr>
              <w:t>. If within [***] after having been notified of any alleged infringement that is material and competitive in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the marketplace Avro is unsuccessful in persuading the alleged infringer to desist and shall not have brought and shall not be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diligently prosecuting an infringement action, then UHN shall have the right, but shall not be obligated, under its own control and</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at its own expense, to prosecute any infringement of the Field Patent Rights and/or UHN Patent Rights.</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8.5</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w w:val="93"/>
              </w:rPr>
              <w:t>Declaratory Judgment Actions</w:t>
            </w:r>
            <w:r>
              <w:rPr>
                <w:rFonts w:ascii="Arial" w:cs="Arial" w:eastAsia="Arial" w:hAnsi="Arial"/>
                <w:sz w:val="18"/>
                <w:szCs w:val="18"/>
                <w:color w:val="auto"/>
                <w:w w:val="93"/>
              </w:rPr>
              <w:t>. If a declaratory judgment action is brought naming UHN or Avro or any of its Affiliates or Sublicensees as a</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3"/>
              </w:rPr>
              <w:t>defendant and alleging invalidity, unenforceability or non-infringement of any Field Patent Rights and/or UHN Patent Rights, Avro or UHN, as</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3"/>
              </w:rPr>
              <w:t>the case may be, shall promptly notify the other Party in writing. With regards to the Field Patent Rights, or to the extent litigation of the UHN</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7"/>
              </w:rPr>
              <w:t>Patent Rights remain under UHN’s control, Avro may elect, upon written notice to UHN within [***] after receiving or giving notice of the</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3"/>
              </w:rPr>
              <w:t>commencement of such action, to take over the sole control of such action at its own expense. If Avro does not defend any such action, then</w:t>
            </w:r>
          </w:p>
        </w:tc>
      </w:tr>
      <w:tr>
        <w:trPr>
          <w:trHeight w:val="230"/>
        </w:trPr>
        <w:tc>
          <w:tcPr>
            <w:tcW w:w="580" w:type="dxa"/>
            <w:vAlign w:val="bottom"/>
          </w:tcPr>
          <w:p>
            <w:pPr>
              <w:spacing w:after="0"/>
              <w:rPr>
                <w:sz w:val="20"/>
                <w:szCs w:val="20"/>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UHN shall have the right, but shall not be obligated, to defend such action at UHN’s expense.</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8.6</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Recovery</w:t>
            </w:r>
            <w:r>
              <w:rPr>
                <w:rFonts w:ascii="Arial" w:cs="Arial" w:eastAsia="Arial" w:hAnsi="Arial"/>
                <w:sz w:val="18"/>
                <w:szCs w:val="18"/>
                <w:color w:val="auto"/>
                <w:w w:val="91"/>
              </w:rPr>
              <w:t>. In the event that either Party exercises the rights conferred in this Article 8 and recovers any damages or other sums in such action,</w:t>
            </w:r>
          </w:p>
        </w:tc>
      </w:tr>
    </w:tbl>
    <w:p>
      <w:pPr>
        <w:ind w:left="920" w:righ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damages or other sums recovered shall first be applied to all out-of-pocket costs and expenses incurred by the Parties in connection therewith (including, without limitation, attorneys fees). If such recovery is insufficient to cover all such costs and expenses of both Parties, [***]. If after</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9" w:right="239" w:bottom="1440" w:gutter="0" w:footer="0" w:header="0"/>
        </w:sectPr>
      </w:pPr>
    </w:p>
    <w:bookmarkStart w:id="413" w:name="page414"/>
    <w:bookmarkEnd w:id="413"/>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89"/>
              </w:rPr>
              <w:t>such reimbursement any funds shall remain from such damages or other sums recovered, such funds shall be retained by the Party that controlled</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6"/>
              </w:rPr>
              <w:t>the action or proceeding under this Article 8; provided, however, that (a) if Avro is the Party that controlled such action or proceeding, the</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rPr>
              <w:t>remaining recovery received by Avro shall be shared [***] allocated to Avro, [***]) allocated to UHN, and (b) if UHN is the Party that</w:t>
            </w:r>
          </w:p>
        </w:tc>
      </w:tr>
      <w:tr>
        <w:trPr>
          <w:trHeight w:val="230"/>
        </w:trPr>
        <w:tc>
          <w:tcPr>
            <w:tcW w:w="580" w:type="dxa"/>
            <w:vAlign w:val="bottom"/>
          </w:tcPr>
          <w:p>
            <w:pPr>
              <w:spacing w:after="0"/>
              <w:rPr>
                <w:sz w:val="20"/>
                <w:szCs w:val="20"/>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4"/>
              </w:rPr>
              <w:t>controlled such action or proceeding, the remaining recovery received by UHN shall be shared [***] allocated to UHN, [***] allocated to Avro.</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8.7</w:t>
            </w:r>
          </w:p>
        </w:tc>
        <w:tc>
          <w:tcPr>
            <w:tcW w:w="10840" w:type="dxa"/>
            <w:vAlign w:val="bottom"/>
          </w:tcPr>
          <w:p>
            <w:pPr>
              <w:ind w:left="340"/>
              <w:spacing w:after="0"/>
              <w:rPr>
                <w:sz w:val="20"/>
                <w:szCs w:val="20"/>
                <w:color w:val="auto"/>
              </w:rPr>
            </w:pPr>
            <w:r>
              <w:rPr>
                <w:rFonts w:ascii="Arial" w:cs="Arial" w:eastAsia="Arial" w:hAnsi="Arial"/>
                <w:sz w:val="18"/>
                <w:szCs w:val="18"/>
                <w:b w:val="1"/>
                <w:bCs w:val="1"/>
                <w:color w:val="auto"/>
                <w:w w:val="97"/>
              </w:rPr>
              <w:t>Cooperation</w:t>
            </w:r>
            <w:r>
              <w:rPr>
                <w:rFonts w:ascii="Arial" w:cs="Arial" w:eastAsia="Arial" w:hAnsi="Arial"/>
                <w:sz w:val="18"/>
                <w:szCs w:val="18"/>
                <w:color w:val="auto"/>
                <w:w w:val="97"/>
              </w:rPr>
              <w:t>. Each Party agrees to cooperate in any action under this Article 8 which is controlled by the other Party, including, without</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9"/>
              </w:rPr>
              <w:t>limitation, joining such action as a party plaintiff if necessary or desirable for initiation or continuation of such action; provided that the</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6"/>
              </w:rPr>
              <w:t>controlling Party reimburses the cooperating Party promptly for any reasonable costs and expenses incurred by the cooperating Party in</w:t>
            </w:r>
          </w:p>
        </w:tc>
      </w:tr>
      <w:tr>
        <w:trPr>
          <w:trHeight w:val="230"/>
        </w:trPr>
        <w:tc>
          <w:tcPr>
            <w:tcW w:w="580" w:type="dxa"/>
            <w:vAlign w:val="bottom"/>
          </w:tcPr>
          <w:p>
            <w:pPr>
              <w:spacing w:after="0"/>
              <w:rPr>
                <w:sz w:val="20"/>
                <w:szCs w:val="20"/>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rPr>
              <w:t>connection with providing such assistance.</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8.8</w:t>
            </w:r>
          </w:p>
        </w:tc>
        <w:tc>
          <w:tcPr>
            <w:tcW w:w="10840" w:type="dxa"/>
            <w:vAlign w:val="bottom"/>
          </w:tcPr>
          <w:p>
            <w:pPr>
              <w:ind w:left="340"/>
              <w:spacing w:after="0"/>
              <w:rPr>
                <w:sz w:val="20"/>
                <w:szCs w:val="20"/>
                <w:color w:val="auto"/>
              </w:rPr>
            </w:pPr>
            <w:r>
              <w:rPr>
                <w:rFonts w:ascii="Arial" w:cs="Arial" w:eastAsia="Arial" w:hAnsi="Arial"/>
                <w:sz w:val="18"/>
                <w:szCs w:val="18"/>
                <w:b w:val="1"/>
                <w:bCs w:val="1"/>
                <w:color w:val="auto"/>
                <w:w w:val="98"/>
              </w:rPr>
              <w:t>Patent Certifications</w:t>
            </w:r>
            <w:r>
              <w:rPr>
                <w:rFonts w:ascii="Arial" w:cs="Arial" w:eastAsia="Arial" w:hAnsi="Arial"/>
                <w:sz w:val="18"/>
                <w:szCs w:val="18"/>
                <w:color w:val="auto"/>
                <w:w w:val="98"/>
              </w:rPr>
              <w:t>. UHN shall notify and provide Avro with copies of any allegations of alleged patent invalidity, unenforceability or</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2"/>
              </w:rPr>
              <w:t>non-infringement of a Patent Right pursuant to a Paragraph IV Patent Certification by a Third Party filing an Abbreviated New Drug Application,</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1"/>
              </w:rPr>
              <w:t>an application under §505(b)(2) or any other similar patent certification by a third party, and any foreign equivalent thereof. Such notification and</w:t>
            </w:r>
          </w:p>
        </w:tc>
      </w:tr>
      <w:tr>
        <w:trPr>
          <w:trHeight w:val="230"/>
        </w:trPr>
        <w:tc>
          <w:tcPr>
            <w:tcW w:w="580" w:type="dxa"/>
            <w:vAlign w:val="bottom"/>
          </w:tcPr>
          <w:p>
            <w:pPr>
              <w:spacing w:after="0"/>
              <w:rPr>
                <w:sz w:val="20"/>
                <w:szCs w:val="20"/>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rPr>
              <w:t>copies shall be provided to Avro within [***] after UHN receives such certification.</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8.9</w:t>
            </w:r>
          </w:p>
        </w:tc>
        <w:tc>
          <w:tcPr>
            <w:tcW w:w="10840" w:type="dxa"/>
            <w:vAlign w:val="bottom"/>
          </w:tcPr>
          <w:p>
            <w:pPr>
              <w:ind w:left="340"/>
              <w:spacing w:after="0"/>
              <w:rPr>
                <w:sz w:val="20"/>
                <w:szCs w:val="20"/>
                <w:color w:val="auto"/>
              </w:rPr>
            </w:pPr>
            <w:r>
              <w:rPr>
                <w:rFonts w:ascii="Arial" w:cs="Arial" w:eastAsia="Arial" w:hAnsi="Arial"/>
                <w:sz w:val="18"/>
                <w:szCs w:val="18"/>
                <w:b w:val="1"/>
                <w:bCs w:val="1"/>
                <w:color w:val="auto"/>
                <w:w w:val="94"/>
              </w:rPr>
              <w:t>Patent Challenges</w:t>
            </w:r>
            <w:r>
              <w:rPr>
                <w:rFonts w:ascii="Arial" w:cs="Arial" w:eastAsia="Arial" w:hAnsi="Arial"/>
                <w:sz w:val="18"/>
                <w:szCs w:val="18"/>
                <w:color w:val="auto"/>
                <w:w w:val="94"/>
              </w:rPr>
              <w:t>. UHN will have the right to terminate this Agreement in full upon [***] prior written notice to Avro in the event that Avro or</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2"/>
              </w:rPr>
              <w:t>any of its Affiliates or Sublicensees (to the extent related to rights granted to a Sublicensee under this Agreement) institutes any claim in a legal</w:t>
            </w:r>
          </w:p>
        </w:tc>
      </w:tr>
      <w:tr>
        <w:trPr>
          <w:trHeight w:val="212"/>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0"/>
              </w:rPr>
              <w:t>or administrative proceeding challenging the validity of any Licensed Patents (except as a defense against a claim, action or proceeding asserted</w:t>
            </w:r>
          </w:p>
        </w:tc>
      </w:tr>
      <w:tr>
        <w:trPr>
          <w:trHeight w:val="220"/>
        </w:trPr>
        <w:tc>
          <w:tcPr>
            <w:tcW w:w="580" w:type="dxa"/>
            <w:vAlign w:val="bottom"/>
          </w:tcPr>
          <w:p>
            <w:pPr>
              <w:spacing w:after="0"/>
              <w:rPr>
                <w:sz w:val="19"/>
                <w:szCs w:val="19"/>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5"/>
              </w:rPr>
              <w:t>by UHN against Avro or its Affiliates or Sublicensees) (a “</w:t>
            </w:r>
            <w:r>
              <w:rPr>
                <w:rFonts w:ascii="Arial" w:cs="Arial" w:eastAsia="Arial" w:hAnsi="Arial"/>
                <w:sz w:val="18"/>
                <w:szCs w:val="18"/>
                <w:b w:val="1"/>
                <w:bCs w:val="1"/>
                <w:color w:val="auto"/>
                <w:w w:val="95"/>
              </w:rPr>
              <w:t>Patent Challenge</w:t>
            </w:r>
            <w:r>
              <w:rPr>
                <w:rFonts w:ascii="Arial" w:cs="Arial" w:eastAsia="Arial" w:hAnsi="Arial"/>
                <w:sz w:val="18"/>
                <w:szCs w:val="18"/>
                <w:color w:val="auto"/>
                <w:w w:val="95"/>
              </w:rPr>
              <w:t>”)</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provided, with respect to any such Patent Challenge by any</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1"/>
              </w:rPr>
              <w:t>Sublicensee of Avro, UHN will not have the right to terminate this Agreement under this Section 8.9 if Avro (a) causes such Patent Challenge to</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4"/>
              </w:rPr>
              <w:t>be terminated or dismissed or (b) if permitted in accordance with applicable Law, terminates such Sublicensee’s sublicense to the Licensed</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rPr>
              <w:t>Patents being challenged by the Sublicensee, in each case ((a) and (b)) within [***] of UHN’s notice to Avro under this Section 8.9.</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7"/>
              </w:rPr>
              <w:t>Notwithstanding the foregoing, UHN’s termination right under this Section 8.9 will not apply to any Affiliate of Avro that first becomes an</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3"/>
              </w:rPr>
              <w:t>Affiliate of Avro after the Effective Date of this Agreement in connection with a License Transfer, where such Affiliate of Avro was undertaking</w:t>
            </w:r>
          </w:p>
        </w:tc>
      </w:tr>
      <w:tr>
        <w:trPr>
          <w:trHeight w:val="230"/>
        </w:trPr>
        <w:tc>
          <w:tcPr>
            <w:tcW w:w="580" w:type="dxa"/>
            <w:vAlign w:val="bottom"/>
          </w:tcPr>
          <w:p>
            <w:pPr>
              <w:spacing w:after="0"/>
              <w:rPr>
                <w:sz w:val="20"/>
                <w:szCs w:val="20"/>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rPr>
              <w:t>activities in connection with a Patent Challenge prior to such License Transfer.</w:t>
            </w:r>
          </w:p>
        </w:tc>
      </w:tr>
      <w:tr>
        <w:trPr>
          <w:trHeight w:val="648"/>
        </w:trPr>
        <w:tc>
          <w:tcPr>
            <w:tcW w:w="580" w:type="dxa"/>
            <w:vAlign w:val="bottom"/>
          </w:tcPr>
          <w:p>
            <w:pPr>
              <w:spacing w:after="0"/>
              <w:rPr>
                <w:sz w:val="24"/>
                <w:szCs w:val="24"/>
                <w:color w:val="auto"/>
              </w:rPr>
            </w:pPr>
          </w:p>
        </w:tc>
        <w:tc>
          <w:tcPr>
            <w:tcW w:w="10840" w:type="dxa"/>
            <w:vAlign w:val="bottom"/>
          </w:tcPr>
          <w:p>
            <w:pPr>
              <w:ind w:left="3200"/>
              <w:spacing w:after="0"/>
              <w:rPr>
                <w:sz w:val="20"/>
                <w:szCs w:val="20"/>
                <w:color w:val="auto"/>
              </w:rPr>
            </w:pPr>
            <w:r>
              <w:rPr>
                <w:rFonts w:ascii="Arial" w:cs="Arial" w:eastAsia="Arial" w:hAnsi="Arial"/>
                <w:sz w:val="18"/>
                <w:szCs w:val="18"/>
                <w:b w:val="1"/>
                <w:bCs w:val="1"/>
                <w:color w:val="auto"/>
              </w:rPr>
              <w:t>ARTICLE 9 - CONFIDENTIAL INFORMATION</w:t>
            </w:r>
          </w:p>
        </w:tc>
      </w:tr>
      <w:tr>
        <w:trPr>
          <w:trHeight w:val="445"/>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9.1</w:t>
            </w:r>
          </w:p>
        </w:tc>
        <w:tc>
          <w:tcPr>
            <w:tcW w:w="10840" w:type="dxa"/>
            <w:vAlign w:val="bottom"/>
          </w:tcPr>
          <w:p>
            <w:pPr>
              <w:ind w:left="340"/>
              <w:spacing w:after="0"/>
              <w:rPr>
                <w:sz w:val="20"/>
                <w:szCs w:val="20"/>
                <w:color w:val="auto"/>
              </w:rPr>
            </w:pPr>
            <w:r>
              <w:rPr>
                <w:rFonts w:ascii="Arial" w:cs="Arial" w:eastAsia="Arial" w:hAnsi="Arial"/>
                <w:sz w:val="18"/>
                <w:szCs w:val="18"/>
                <w:b w:val="1"/>
                <w:bCs w:val="1"/>
                <w:color w:val="auto"/>
                <w:w w:val="95"/>
              </w:rPr>
              <w:t>Confidentiality</w:t>
            </w:r>
            <w:r>
              <w:rPr>
                <w:rFonts w:ascii="Arial" w:cs="Arial" w:eastAsia="Arial" w:hAnsi="Arial"/>
                <w:sz w:val="18"/>
                <w:szCs w:val="18"/>
                <w:color w:val="auto"/>
                <w:w w:val="95"/>
              </w:rPr>
              <w:t>. The Receiving Party shall take all reasonable measures, and at least the same measures as it takes in respect of its own</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3"/>
              </w:rPr>
              <w:t>Confidential Information of a similar nature, to keep confidential the Confidential Information of the Disclosing Party. The Receiving Party may</w:t>
            </w:r>
          </w:p>
        </w:tc>
      </w:tr>
      <w:tr>
        <w:trPr>
          <w:trHeight w:val="212"/>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6"/>
              </w:rPr>
              <w:t>disclose such Confidential Information to those of its directors, officers, employees, subcontractors, consultants and agents (collectively,</w:t>
            </w:r>
          </w:p>
        </w:tc>
      </w:tr>
      <w:tr>
        <w:trPr>
          <w:trHeight w:val="234"/>
        </w:trPr>
        <w:tc>
          <w:tcPr>
            <w:tcW w:w="580" w:type="dxa"/>
            <w:vAlign w:val="bottom"/>
          </w:tcPr>
          <w:p>
            <w:pPr>
              <w:spacing w:after="0"/>
              <w:rPr>
                <w:sz w:val="20"/>
                <w:szCs w:val="20"/>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Representatives</w:t>
            </w:r>
            <w:r>
              <w:rPr>
                <w:rFonts w:ascii="Arial" w:cs="Arial" w:eastAsia="Arial" w:hAnsi="Arial"/>
                <w:sz w:val="18"/>
                <w:szCs w:val="18"/>
                <w:color w:val="auto"/>
                <w:w w:val="96"/>
              </w:rPr>
              <w:t>”) having a need to know such information in connection with exercising the Receiving Party’s rights and/or fulfilling the</w:t>
            </w:r>
          </w:p>
        </w:tc>
      </w:tr>
    </w:tbl>
    <w:p>
      <w:pPr>
        <w:ind w:left="920"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Receiving Party’s obligations under this Agreement. With respect to Avro, Representatives also include Affiliates and proposed and actual Sublicensee(s). The Receiving Party will ensure that any of its Representatives having access to the Confidential Information of the Disclosing Party</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3" w:right="239" w:bottom="1440" w:gutter="0" w:footer="0" w:header="0"/>
        </w:sectPr>
      </w:pPr>
    </w:p>
    <w:bookmarkStart w:id="414" w:name="page415"/>
    <w:bookmarkEnd w:id="414"/>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5"/>
              </w:rPr>
              <w:t>are under a legal obligation to maintain such Confidential Information in confidence and are duly informed of this obligation. The Receiving</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3"/>
              </w:rPr>
              <w:t>Party will neither use nor disclose to any other party any of the Confidential Information of the Disclosing Party except as expressly permitted</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4"/>
              </w:rPr>
              <w:t>under this Agreement. The terms of this Agreement are the Confidential Information of both Parties. During the Term, information relating to</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3"/>
              </w:rPr>
              <w:t>Licensed Product(s) in the Field of Use is the Confidential Information of Avro. The confidentiality provisions as outlined in this Article 9 shall</w:t>
            </w:r>
          </w:p>
        </w:tc>
      </w:tr>
      <w:tr>
        <w:trPr>
          <w:trHeight w:val="230"/>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survive expiration or earlier termination of this Agreement for a period of [***].</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9.2</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3"/>
              </w:rPr>
              <w:t>Equitable Relief / Disputes</w:t>
            </w:r>
            <w:r>
              <w:rPr>
                <w:rFonts w:ascii="Arial" w:cs="Arial" w:eastAsia="Arial" w:hAnsi="Arial"/>
                <w:sz w:val="18"/>
                <w:szCs w:val="18"/>
                <w:color w:val="auto"/>
                <w:w w:val="93"/>
              </w:rPr>
              <w:t>. The Parties acknowledge that a breach of this Article 9 by either Party or any of its Representatives may cause</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2"/>
              </w:rPr>
              <w:t>irreparable harm and that, notwithstanding any other term or provision of this Agreement, the non-breaching Party may be entitled to equitable</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2"/>
              </w:rPr>
              <w:t>relief, including injunction and specific performance, as a remedy for any such breach. Such remedies shall not be deemed to be the exclusive</w:t>
            </w:r>
          </w:p>
        </w:tc>
      </w:tr>
      <w:tr>
        <w:trPr>
          <w:trHeight w:val="230"/>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remedies but shall be in addition to all other remedies available at law or equity.</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9.3</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0"/>
              </w:rPr>
              <w:t>Disclosure to Advisors</w:t>
            </w:r>
            <w:r>
              <w:rPr>
                <w:rFonts w:ascii="Arial" w:cs="Arial" w:eastAsia="Arial" w:hAnsi="Arial"/>
                <w:sz w:val="18"/>
                <w:szCs w:val="18"/>
                <w:color w:val="auto"/>
                <w:w w:val="90"/>
              </w:rPr>
              <w:t>. Notwithstanding the confidentiality obligations of this Agreement, each Party shall be permitted to disclose the terms of</w:t>
            </w:r>
          </w:p>
        </w:tc>
      </w:tr>
      <w:tr>
        <w:trPr>
          <w:trHeight w:val="230"/>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this Agreement without the prior written consent of the other Party to those of its [***].</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9.4</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5"/>
              </w:rPr>
              <w:t>Other Permitted Disclosures</w:t>
            </w:r>
            <w:r>
              <w:rPr>
                <w:rFonts w:ascii="Arial" w:cs="Arial" w:eastAsia="Arial" w:hAnsi="Arial"/>
                <w:sz w:val="18"/>
                <w:szCs w:val="18"/>
                <w:color w:val="auto"/>
                <w:w w:val="95"/>
              </w:rPr>
              <w:t>. Notwithstanding the confidentiality obligations of this Agreement, the Receiving Party shall be permitted to</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3"/>
              </w:rPr>
              <w:t>disclose the Confidential Information of the Disclosing Party or any other information associated with the Agreement, without the prior written</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7"/>
              </w:rPr>
              <w:t>consent of the Disclosing Party, (a) to the extent required to be disclosed by law (including access to information laws, securities laws,</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3"/>
              </w:rPr>
              <w:t>regulations and listing requirements in Canada, United States and other jurisdictions) or an order of a court, tribunal, or government agency,</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7"/>
              </w:rPr>
              <w:t>provided that to the extent legally permissible the Receiving Party (i) gives to the Disclosing Party prompt written notice of the required</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4"/>
              </w:rPr>
              <w:t>disclosure of any Confidential Information in order to allow the Disclosing Party reasonable opportunity to seek a confidentiality order or the</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1"/>
              </w:rPr>
              <w:t>like, and (ii) cooperates with efforts of the Disclosing Party (at the Disclosing Party’s expense) in connection therewith; and (b) as required to be</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2"/>
              </w:rPr>
              <w:t>disclosed in connection with the filing with, or approval, certification or endorsement from, any governmental body or medical protocol, in each</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5"/>
              </w:rPr>
              <w:t>case for a Licensed Product(s), provided that the information disclosed pursuant to this clause (b) is not the inventive subject matter of an</w:t>
            </w:r>
          </w:p>
        </w:tc>
      </w:tr>
      <w:tr>
        <w:trPr>
          <w:trHeight w:val="230"/>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unpublished patent application.</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9.5</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5"/>
              </w:rPr>
              <w:t>Press Releases</w:t>
            </w:r>
            <w:r>
              <w:rPr>
                <w:rFonts w:ascii="Arial" w:cs="Arial" w:eastAsia="Arial" w:hAnsi="Arial"/>
                <w:sz w:val="18"/>
                <w:szCs w:val="18"/>
                <w:color w:val="auto"/>
                <w:w w:val="95"/>
              </w:rPr>
              <w:t>. Avro or its Affiliates may prepare and disclose via press release any Patient Data for the UHN Planned Trial (a) after an</w:t>
            </w:r>
          </w:p>
        </w:tc>
      </w:tr>
      <w:tr>
        <w:trPr>
          <w:trHeight w:val="212"/>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0"/>
              </w:rPr>
              <w:t>academic publication, interim report, abstract or presentation of data/results from the UHN Planned Trial has been made or authorized by Dr. Jeff</w:t>
            </w:r>
          </w:p>
        </w:tc>
      </w:tr>
      <w:tr>
        <w:trPr>
          <w:trHeight w:val="220"/>
        </w:trPr>
        <w:tc>
          <w:tcPr>
            <w:tcW w:w="580" w:type="dxa"/>
            <w:vAlign w:val="bottom"/>
          </w:tcPr>
          <w:p>
            <w:pPr>
              <w:spacing w:after="0"/>
              <w:rPr>
                <w:sz w:val="19"/>
                <w:szCs w:val="19"/>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1"/>
              </w:rPr>
              <w:t>Medin or any other clinical trial site (“</w:t>
            </w:r>
            <w:r>
              <w:rPr>
                <w:rFonts w:ascii="Arial" w:cs="Arial" w:eastAsia="Arial" w:hAnsi="Arial"/>
                <w:sz w:val="18"/>
                <w:szCs w:val="18"/>
                <w:b w:val="1"/>
                <w:bCs w:val="1"/>
                <w:color w:val="auto"/>
                <w:w w:val="91"/>
              </w:rPr>
              <w:t>Interim Disclosure</w:t>
            </w:r>
            <w:r>
              <w:rPr>
                <w:rFonts w:ascii="Arial" w:cs="Arial" w:eastAsia="Arial" w:hAnsi="Arial"/>
                <w:sz w:val="18"/>
                <w:szCs w:val="18"/>
                <w:color w:val="auto"/>
                <w:w w:val="91"/>
              </w:rPr>
              <w:t>”) (such publication or presentation subject to Sections 10.1 and 10.2) but restricted as</w:t>
            </w:r>
          </w:p>
        </w:tc>
      </w:tr>
      <w:tr>
        <w:trPr>
          <w:trHeight w:val="230"/>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8"/>
              </w:rPr>
              <w:t>follows: (i) the UHN Planned Trial data and results referred to or otherwise discussed in the press release shall be limited to published</w:t>
            </w:r>
          </w:p>
        </w:tc>
      </w:tr>
    </w:tbl>
    <w:p>
      <w:pPr>
        <w:ind w:left="9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data/results and (ii) the UHN Principal Investigator shall be granted a reasonable opportunity to review and comment on the accuracy of technical and scientific data and conclusions relating to same prior to publication of the press release; or (b) as required by applicable laws, rules or regulations (including a press release corresponding to any securities disclosure, such as pursuant to a Form 8-K), including by the rules or regulations of the United States Securities and Exchange Commission or similar regulatory agency in a country other than the United States or of any stock exchange or listing entity. The intention of Dr. Jeff</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415" w:name="page416"/>
    <w:bookmarkEnd w:id="415"/>
    <w:p>
      <w:pPr>
        <w:ind w:left="920" w:right="1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Medin as of the Effective Date is to publish or present interim data, in one or more forums, as is reasonable in light of the data generated during the UHN Planned Trial. For clarity, the restrictions set forth in this paragraph apply only to the UHN Planned Trial.</w:t>
      </w:r>
    </w:p>
    <w:p>
      <w:pPr>
        <w:spacing w:after="0" w:line="38" w:lineRule="exact"/>
        <w:rPr>
          <w:sz w:val="20"/>
          <w:szCs w:val="20"/>
          <w:color w:val="auto"/>
        </w:rPr>
      </w:pPr>
    </w:p>
    <w:p>
      <w:pPr>
        <w:ind w:left="920" w:right="260"/>
        <w:spacing w:after="0" w:line="312" w:lineRule="auto"/>
        <w:rPr>
          <w:sz w:val="20"/>
          <w:szCs w:val="20"/>
          <w:color w:val="auto"/>
        </w:rPr>
      </w:pPr>
      <w:r>
        <w:rPr>
          <w:rFonts w:ascii="Arial" w:cs="Arial" w:eastAsia="Arial" w:hAnsi="Arial"/>
          <w:sz w:val="16"/>
          <w:szCs w:val="16"/>
          <w:color w:val="auto"/>
        </w:rPr>
        <w:t>Subject to Section 10.2.1, Avro or its Affiliates may prepare and disclose via any press release, publication or presentation any data, results or reports relating to the Licensed Products (including with respect to the Licensed Technology) in Avro’s sole discretion without prior review and/or approval by UHN or Dr. Jeff Medin, other than the Patient Data for the UHN Planned Trial which is addressed by the paragraph above.</w:t>
      </w:r>
    </w:p>
    <w:p>
      <w:pPr>
        <w:spacing w:after="0" w:line="39"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Other than as agreed to by the Parties, UHN shall only issue press releases with respect to the Licensed Technology in accordance with Sections 10.1 and 10.2.2.</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60" w:type="dxa"/>
            <w:vAlign w:val="bottom"/>
          </w:tcPr>
          <w:p>
            <w:pPr>
              <w:ind w:left="2840"/>
              <w:spacing w:after="0"/>
              <w:rPr>
                <w:sz w:val="20"/>
                <w:szCs w:val="20"/>
                <w:color w:val="auto"/>
              </w:rPr>
            </w:pPr>
            <w:r>
              <w:rPr>
                <w:rFonts w:ascii="Arial" w:cs="Arial" w:eastAsia="Arial" w:hAnsi="Arial"/>
                <w:sz w:val="18"/>
                <w:szCs w:val="18"/>
                <w:b w:val="1"/>
                <w:bCs w:val="1"/>
                <w:color w:val="auto"/>
              </w:rPr>
              <w:t>ARTICLE 10 - PUBLICATION</w:t>
            </w:r>
          </w:p>
        </w:tc>
      </w:tr>
      <w:tr>
        <w:trPr>
          <w:trHeight w:val="445"/>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10.1</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w w:val="94"/>
              </w:rPr>
              <w:t>Publications</w:t>
            </w:r>
            <w:r>
              <w:rPr>
                <w:rFonts w:ascii="Arial" w:cs="Arial" w:eastAsia="Arial" w:hAnsi="Arial"/>
                <w:sz w:val="18"/>
                <w:szCs w:val="18"/>
                <w:color w:val="auto"/>
                <w:w w:val="94"/>
              </w:rPr>
              <w:t>. Avro recognizes that, under UHN policies further to its obligations and responsibilities as an academic and teaching/research</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8"/>
              </w:rPr>
              <w:t>hospital affiliated with the University of Toronto, the results of research conducted at UHN (including ongoing research of the Principal</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4"/>
              </w:rPr>
              <w:t>Investigator with respect to the Licensed Technology) and research conducted jointly with other institutions (the UHN Planned Trial) must be</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1"/>
              </w:rPr>
              <w:t>publishable, and as such agrees that the Principal Investigator or the researchers employed by UHN who are engaged in any such research, as</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4"/>
              </w:rPr>
              <w:t>well as their collaborators, shall be permitted to present at symposia, national, or regional professional meetings, and to publish in journals,</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2"/>
              </w:rPr>
              <w:t>theses or dissertations, or otherwise, the methods and results of such research. Avro shall be furnished a copy of any proposed (a) publication</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8"/>
              </w:rPr>
              <w:t>(including publication in conjunction with collaborators under the UHN Planned Trial) at least [***] before submission of such proposed</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1"/>
              </w:rPr>
              <w:t>publication, and (b) public oral presentation/seminar at least [***] before delivery of such presentation/seminar. During that time, Avro shall have</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4"/>
              </w:rPr>
              <w:t>the right to (i) review the material for Confidential Information provided by Avro and (ii) assess the patentability of any invention described in</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5"/>
              </w:rPr>
              <w:t>the material. If Avro decides that a patent application should be filed, the publication or presentation may, at Avro’s request, be delayed an</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9"/>
              </w:rPr>
              <w:t>additional [***]. At Avro’s request, Confidential Information provided by Avro shall be deleted. Publications submitted by UHN to Avro</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1"/>
              </w:rPr>
              <w:t>pursuant to this Section 10.1 shall remain confidential, and may only be made the subject of a press release by Avro or its Affiliates (A) after the</w:t>
            </w:r>
          </w:p>
        </w:tc>
      </w:tr>
      <w:tr>
        <w:trPr>
          <w:trHeight w:val="230"/>
        </w:trPr>
        <w:tc>
          <w:tcPr>
            <w:tcW w:w="620" w:type="dxa"/>
            <w:vAlign w:val="bottom"/>
          </w:tcPr>
          <w:p>
            <w:pPr>
              <w:spacing w:after="0"/>
              <w:rPr>
                <w:sz w:val="20"/>
                <w:szCs w:val="20"/>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date of the first publication or disclosure, or (B) as permitted pursuant to Section 9.5.</w:t>
            </w:r>
          </w:p>
        </w:tc>
      </w:tr>
      <w:tr>
        <w:trPr>
          <w:trHeight w:val="338"/>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10.2</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rPr>
              <w:t>Use of Names / Additional Permitted Disclosures</w:t>
            </w:r>
            <w:r>
              <w:rPr>
                <w:rFonts w:ascii="Arial" w:cs="Arial" w:eastAsia="Arial" w:hAnsi="Arial"/>
                <w:sz w:val="18"/>
                <w:szCs w:val="18"/>
                <w:color w:val="auto"/>
              </w:rPr>
              <w:t>.</w:t>
            </w:r>
          </w:p>
        </w:tc>
      </w:tr>
      <w:tr>
        <w:trPr>
          <w:trHeight w:val="323"/>
        </w:trPr>
        <w:tc>
          <w:tcPr>
            <w:tcW w:w="62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10.2.1</w:t>
            </w:r>
          </w:p>
        </w:tc>
        <w:tc>
          <w:tcPr>
            <w:tcW w:w="9760" w:type="dxa"/>
            <w:vAlign w:val="bottom"/>
          </w:tcPr>
          <w:p>
            <w:pPr>
              <w:ind w:left="280"/>
              <w:spacing w:after="0"/>
              <w:rPr>
                <w:sz w:val="20"/>
                <w:szCs w:val="20"/>
                <w:color w:val="auto"/>
              </w:rPr>
            </w:pPr>
            <w:r>
              <w:rPr>
                <w:rFonts w:ascii="Arial" w:cs="Arial" w:eastAsia="Arial" w:hAnsi="Arial"/>
                <w:sz w:val="18"/>
                <w:szCs w:val="18"/>
                <w:color w:val="auto"/>
                <w:w w:val="95"/>
              </w:rPr>
              <w:t>Avro and its Affiliates and Sublicensees shall not use the name of “University Health Network” or any variation, adaptation, or</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0"/>
              </w:rPr>
              <w:t>abbreviation thereof, or of any of its trustees, officers, faculty, students, employees, clinical staff or agents, or any trademark owned</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by UHN, or any terms of this Agreement in any promotional material or other public announcement or disclosure without the prior</w:t>
            </w:r>
          </w:p>
        </w:tc>
      </w:tr>
    </w:tbl>
    <w:p>
      <w:pPr>
        <w:ind w:left="1940" w:right="160"/>
        <w:spacing w:after="0" w:line="254" w:lineRule="auto"/>
        <w:rPr>
          <w:sz w:val="20"/>
          <w:szCs w:val="20"/>
          <w:color w:val="auto"/>
        </w:rPr>
      </w:pPr>
      <w:r>
        <w:rPr>
          <w:rFonts w:ascii="Arial" w:cs="Arial" w:eastAsia="Arial" w:hAnsi="Arial"/>
          <w:sz w:val="18"/>
          <w:szCs w:val="18"/>
          <w:color w:val="auto"/>
        </w:rPr>
        <w:t>written consent of UHN. The foregoing notwithstanding, without the consent of UHN, Avro may indicate that it is licensed by UHN under the Licensed Technology and identify the inventors (including the Principal Investigator), their affiliation with UHN, and their relationship to Avro, and further, Avro may comply with disclosure requirements of all applicable laws relating to its business, including, without limitation, United States and state securities laws.</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416" w:name="page417"/>
    <w:bookmarkEnd w:id="416"/>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10.2.2</w:t>
            </w:r>
          </w:p>
        </w:tc>
        <w:tc>
          <w:tcPr>
            <w:tcW w:w="9760" w:type="dxa"/>
            <w:vAlign w:val="bottom"/>
          </w:tcPr>
          <w:p>
            <w:pPr>
              <w:ind w:left="280"/>
              <w:spacing w:after="0"/>
              <w:rPr>
                <w:sz w:val="20"/>
                <w:szCs w:val="20"/>
                <w:color w:val="auto"/>
              </w:rPr>
            </w:pPr>
            <w:r>
              <w:rPr>
                <w:rFonts w:ascii="Arial" w:cs="Arial" w:eastAsia="Arial" w:hAnsi="Arial"/>
                <w:sz w:val="18"/>
                <w:szCs w:val="18"/>
                <w:color w:val="auto"/>
                <w:w w:val="91"/>
              </w:rPr>
              <w:t>UHN shall not use the name of Avro or its Affiliates or Sublicensees or any variation, adaptation, or abbreviation thereof, or of any</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8"/>
              </w:rPr>
              <w:t>of their respective Representatives, or any trademark owned by Avro or its Affiliates or Sublicensees, or any terms of this</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Agreement in any promotional material or other public announcement or disclosure without the prior written consent of Avro or its</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4"/>
              </w:rPr>
              <w:t>Affiliates or Sublicensees (as applicable). Notwithstanding any term or provision of this Agreement (including any obligation of</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Confidentiality), without the consent of Avro, UHN may indicate that it has licensed the Licensed Technology to Avro and identify</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3"/>
              </w:rPr>
              <w:t>the inventors (including the Principal Investigator), his affiliation with UHN, his relationship (if any) to Avro, and the achievement</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4"/>
              </w:rPr>
              <w:t>of clinical, regulatory or commercialization milestones hereunder and, to the extent required by applicable law, sums of monies</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7"/>
              </w:rPr>
              <w:t>received by UHN; and further, UHN may comply with disclosure requirements of all applicable laws relating to its business,</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including, without limitation, Provincial and Federal access to information laws.</w:t>
            </w:r>
          </w:p>
        </w:tc>
      </w:tr>
      <w:tr>
        <w:trPr>
          <w:trHeight w:val="648"/>
        </w:trPr>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760" w:type="dxa"/>
            <w:vAlign w:val="bottom"/>
          </w:tcPr>
          <w:p>
            <w:pPr>
              <w:ind w:left="2420"/>
              <w:spacing w:after="0"/>
              <w:rPr>
                <w:sz w:val="20"/>
                <w:szCs w:val="20"/>
                <w:color w:val="auto"/>
              </w:rPr>
            </w:pPr>
            <w:r>
              <w:rPr>
                <w:rFonts w:ascii="Arial" w:cs="Arial" w:eastAsia="Arial" w:hAnsi="Arial"/>
                <w:sz w:val="18"/>
                <w:szCs w:val="18"/>
                <w:b w:val="1"/>
                <w:bCs w:val="1"/>
                <w:color w:val="auto"/>
              </w:rPr>
              <w:t>ARTICLE 11 - TERM &amp; TERMINATION</w:t>
            </w:r>
          </w:p>
        </w:tc>
      </w:tr>
      <w:tr>
        <w:trPr>
          <w:trHeight w:val="445"/>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11.1</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w w:val="91"/>
              </w:rPr>
              <w:t>Term</w:t>
            </w:r>
            <w:r>
              <w:rPr>
                <w:rFonts w:ascii="Arial" w:cs="Arial" w:eastAsia="Arial" w:hAnsi="Arial"/>
                <w:sz w:val="18"/>
                <w:szCs w:val="18"/>
                <w:color w:val="auto"/>
                <w:w w:val="91"/>
              </w:rPr>
              <w:t>. Unless terminated pursuant to Sections 11.2, the term of this Agreement shall commence on the Effective Date and shall remain in effect</w:t>
            </w:r>
          </w:p>
        </w:tc>
      </w:tr>
      <w:tr>
        <w:trPr>
          <w:trHeight w:val="212"/>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2"/>
              </w:rPr>
              <w:t>until the expiration of the Royalty Term for all Licensed Products, unless earlier terminated in accordance with the provisions of this Agreement</w:t>
            </w:r>
          </w:p>
        </w:tc>
      </w:tr>
      <w:tr>
        <w:trPr>
          <w:trHeight w:val="234"/>
        </w:trPr>
        <w:tc>
          <w:tcPr>
            <w:tcW w:w="620" w:type="dxa"/>
            <w:vAlign w:val="bottom"/>
          </w:tcPr>
          <w:p>
            <w:pPr>
              <w:spacing w:after="0"/>
              <w:rPr>
                <w:sz w:val="20"/>
                <w:szCs w:val="20"/>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or otherwise mutually agreed (the “</w:t>
            </w:r>
            <w:r>
              <w:rPr>
                <w:rFonts w:ascii="Arial" w:cs="Arial" w:eastAsia="Arial" w:hAnsi="Arial"/>
                <w:sz w:val="18"/>
                <w:szCs w:val="18"/>
                <w:b w:val="1"/>
                <w:bCs w:val="1"/>
                <w:color w:val="auto"/>
              </w:rPr>
              <w:t>Term</w:t>
            </w:r>
            <w:r>
              <w:rPr>
                <w:rFonts w:ascii="Arial" w:cs="Arial" w:eastAsia="Arial" w:hAnsi="Arial"/>
                <w:sz w:val="18"/>
                <w:szCs w:val="18"/>
                <w:color w:val="auto"/>
              </w:rPr>
              <w:t>”).</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11.2</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w w:val="93"/>
              </w:rPr>
              <w:t>Voluntary Termination by Avro</w:t>
            </w:r>
            <w:r>
              <w:rPr>
                <w:rFonts w:ascii="Arial" w:cs="Arial" w:eastAsia="Arial" w:hAnsi="Arial"/>
                <w:sz w:val="18"/>
                <w:szCs w:val="18"/>
                <w:color w:val="auto"/>
                <w:w w:val="93"/>
              </w:rPr>
              <w:t>. Avro shall have the right to terminate this Agreement, for any reason, upon at least [***] prior written notice</w:t>
            </w:r>
          </w:p>
        </w:tc>
      </w:tr>
      <w:tr>
        <w:trPr>
          <w:trHeight w:val="230"/>
        </w:trPr>
        <w:tc>
          <w:tcPr>
            <w:tcW w:w="620" w:type="dxa"/>
            <w:vAlign w:val="bottom"/>
          </w:tcPr>
          <w:p>
            <w:pPr>
              <w:spacing w:after="0"/>
              <w:rPr>
                <w:sz w:val="20"/>
                <w:szCs w:val="20"/>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to UHN, such notice to state the date at least [***] in the future upon which termination is to be effective.</w:t>
            </w:r>
          </w:p>
        </w:tc>
      </w:tr>
      <w:tr>
        <w:trPr>
          <w:trHeight w:val="338"/>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11.3</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rPr>
              <w:t>Termination for Default</w:t>
            </w:r>
            <w:r>
              <w:rPr>
                <w:rFonts w:ascii="Arial" w:cs="Arial" w:eastAsia="Arial" w:hAnsi="Arial"/>
                <w:sz w:val="18"/>
                <w:szCs w:val="18"/>
                <w:color w:val="auto"/>
              </w:rPr>
              <w:t>.</w:t>
            </w:r>
          </w:p>
        </w:tc>
      </w:tr>
      <w:tr>
        <w:trPr>
          <w:trHeight w:val="323"/>
        </w:trPr>
        <w:tc>
          <w:tcPr>
            <w:tcW w:w="62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11.3.1</w:t>
            </w:r>
          </w:p>
        </w:tc>
        <w:tc>
          <w:tcPr>
            <w:tcW w:w="9760" w:type="dxa"/>
            <w:vAlign w:val="bottom"/>
          </w:tcPr>
          <w:p>
            <w:pPr>
              <w:ind w:left="280"/>
              <w:spacing w:after="0"/>
              <w:rPr>
                <w:sz w:val="20"/>
                <w:szCs w:val="20"/>
                <w:color w:val="auto"/>
              </w:rPr>
            </w:pPr>
            <w:r>
              <w:rPr>
                <w:rFonts w:ascii="Arial" w:cs="Arial" w:eastAsia="Arial" w:hAnsi="Arial"/>
                <w:sz w:val="18"/>
                <w:szCs w:val="18"/>
                <w:b w:val="1"/>
                <w:bCs w:val="1"/>
                <w:color w:val="auto"/>
                <w:w w:val="90"/>
              </w:rPr>
              <w:t>Nonpayment and Insurance</w:t>
            </w:r>
            <w:r>
              <w:rPr>
                <w:rFonts w:ascii="Arial" w:cs="Arial" w:eastAsia="Arial" w:hAnsi="Arial"/>
                <w:sz w:val="18"/>
                <w:szCs w:val="18"/>
                <w:color w:val="auto"/>
                <w:w w:val="90"/>
              </w:rPr>
              <w:t>. In the event Avro fails to pay any undisputed amounts due and payable to UHN hereunder, and fails</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to make such payments within [***] after receiving written notice of such failure, or in the event that Avro fails to have or maintain</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4"/>
              </w:rPr>
              <w:t>insurance as outlined in Section 13.6, UHN may terminate this Agreement upon written notice to Avro, subject to completion of</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0"/>
              </w:rPr>
              <w:t>the dispute resolution process set forth in Section 14.1 and Section 14.2 and a final determination pursuant to mandatory arbitration</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under Section 14.3 and unless otherwise cured further to said process as outlined therein.</w:t>
            </w:r>
          </w:p>
        </w:tc>
      </w:tr>
      <w:tr>
        <w:trPr>
          <w:trHeight w:val="323"/>
        </w:trPr>
        <w:tc>
          <w:tcPr>
            <w:tcW w:w="62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11.3.2</w:t>
            </w:r>
          </w:p>
        </w:tc>
        <w:tc>
          <w:tcPr>
            <w:tcW w:w="9760" w:type="dxa"/>
            <w:vAlign w:val="bottom"/>
          </w:tcPr>
          <w:p>
            <w:pPr>
              <w:ind w:left="280"/>
              <w:spacing w:after="0"/>
              <w:rPr>
                <w:sz w:val="20"/>
                <w:szCs w:val="20"/>
                <w:color w:val="auto"/>
              </w:rPr>
            </w:pPr>
            <w:r>
              <w:rPr>
                <w:rFonts w:ascii="Arial" w:cs="Arial" w:eastAsia="Arial" w:hAnsi="Arial"/>
                <w:sz w:val="18"/>
                <w:szCs w:val="18"/>
                <w:b w:val="1"/>
                <w:bCs w:val="1"/>
                <w:color w:val="auto"/>
                <w:w w:val="93"/>
              </w:rPr>
              <w:t>Material Breach by UHN</w:t>
            </w:r>
            <w:r>
              <w:rPr>
                <w:rFonts w:ascii="Arial" w:cs="Arial" w:eastAsia="Arial" w:hAnsi="Arial"/>
                <w:sz w:val="18"/>
                <w:szCs w:val="18"/>
                <w:color w:val="auto"/>
                <w:w w:val="93"/>
              </w:rPr>
              <w:t>. In the event UHN commits a material breach of its obligations under this Agreement, and fails to cure</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8"/>
              </w:rPr>
              <w:t>that breach within [***] after receiving written notice thereof, Avro may terminate this Agreement immediately upon written</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1"/>
              </w:rPr>
              <w:t>notice to UHN, subject to completion of the dispute resolution process set forth in Section 14.1 and Section 14.2 unless otherwise</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cured further to said process as outlined therein.</w:t>
            </w:r>
          </w:p>
        </w:tc>
      </w:tr>
      <w:tr>
        <w:trPr>
          <w:trHeight w:val="338"/>
        </w:trPr>
        <w:tc>
          <w:tcPr>
            <w:tcW w:w="62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11.3.3</w:t>
            </w:r>
          </w:p>
        </w:tc>
        <w:tc>
          <w:tcPr>
            <w:tcW w:w="9760" w:type="dxa"/>
            <w:vAlign w:val="bottom"/>
          </w:tcPr>
          <w:p>
            <w:pPr>
              <w:ind w:left="280"/>
              <w:spacing w:after="0"/>
              <w:rPr>
                <w:sz w:val="20"/>
                <w:szCs w:val="20"/>
                <w:color w:val="auto"/>
              </w:rPr>
            </w:pPr>
            <w:r>
              <w:rPr>
                <w:rFonts w:ascii="Arial" w:cs="Arial" w:eastAsia="Arial" w:hAnsi="Arial"/>
                <w:sz w:val="18"/>
                <w:szCs w:val="18"/>
                <w:b w:val="1"/>
                <w:bCs w:val="1"/>
                <w:color w:val="auto"/>
                <w:w w:val="91"/>
              </w:rPr>
              <w:t>Material Breach by Avro</w:t>
            </w:r>
            <w:r>
              <w:rPr>
                <w:rFonts w:ascii="Arial" w:cs="Arial" w:eastAsia="Arial" w:hAnsi="Arial"/>
                <w:sz w:val="18"/>
                <w:szCs w:val="18"/>
                <w:color w:val="auto"/>
                <w:w w:val="91"/>
              </w:rPr>
              <w:t>. In the event Avro commits a material breach of its obligations under this Agreement, except for breach</w:t>
            </w:r>
          </w:p>
        </w:tc>
      </w:tr>
    </w:tbl>
    <w:p>
      <w:pPr>
        <w:ind w:left="1940"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described in Section 11.3.1, and fails to cure that breach within [***] after receiving written notice thereof, UHN may terminate this Agreement immediately upon written notice to Avro, subject to completion of the dispute resolution process set forth in Section 14.1 and Section 14.2 unless otherwise cured further to said process as outlined therein.</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0" w:right="239" w:bottom="1440" w:gutter="0" w:footer="0" w:header="0"/>
        </w:sectPr>
      </w:pPr>
    </w:p>
    <w:bookmarkStart w:id="417" w:name="page418"/>
    <w:bookmarkEnd w:id="417"/>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1140" w:type="dxa"/>
            <w:vAlign w:val="bottom"/>
          </w:tcPr>
          <w:p>
            <w:pPr>
              <w:ind w:left="300"/>
              <w:spacing w:after="0"/>
              <w:rPr>
                <w:sz w:val="20"/>
                <w:szCs w:val="20"/>
                <w:color w:val="auto"/>
              </w:rPr>
            </w:pPr>
            <w:r>
              <w:rPr>
                <w:rFonts w:ascii="Arial" w:cs="Arial" w:eastAsia="Arial" w:hAnsi="Arial"/>
                <w:sz w:val="18"/>
                <w:szCs w:val="18"/>
                <w:b w:val="1"/>
                <w:bCs w:val="1"/>
                <w:color w:val="auto"/>
              </w:rPr>
              <w:t>11.3.4</w:t>
            </w:r>
          </w:p>
        </w:tc>
        <w:tc>
          <w:tcPr>
            <w:tcW w:w="9600" w:type="dxa"/>
            <w:vAlign w:val="bottom"/>
          </w:tcPr>
          <w:p>
            <w:pPr>
              <w:ind w:left="180"/>
              <w:spacing w:after="0"/>
              <w:rPr>
                <w:sz w:val="20"/>
                <w:szCs w:val="20"/>
                <w:color w:val="auto"/>
              </w:rPr>
            </w:pPr>
            <w:r>
              <w:rPr>
                <w:rFonts w:ascii="Arial" w:cs="Arial" w:eastAsia="Arial" w:hAnsi="Arial"/>
                <w:sz w:val="18"/>
                <w:szCs w:val="18"/>
                <w:b w:val="1"/>
                <w:bCs w:val="1"/>
                <w:color w:val="auto"/>
                <w:w w:val="95"/>
              </w:rPr>
              <w:t>Modification for Material Breach by UHN of Sections 2.1, 2.4, 6.1, 7.2.2, or 7.2.3 or Article 9</w:t>
            </w:r>
            <w:r>
              <w:rPr>
                <w:rFonts w:ascii="Arial" w:cs="Arial" w:eastAsia="Arial" w:hAnsi="Arial"/>
                <w:sz w:val="18"/>
                <w:szCs w:val="18"/>
                <w:color w:val="auto"/>
                <w:w w:val="95"/>
              </w:rPr>
              <w:t>. Notwithstanding any other</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1"/>
              </w:rPr>
              <w:t>provisions of this Agreement and in addition to the deductions otherwise permitted under this Agreement, (a) if Avro has the right</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2"/>
              </w:rPr>
              <w:t>to terminate this Agreement under Sections 2.1, 2.4, 6.1, 7.2.2, or 7.2.3 or Article 9 as a result of an uncured breach which has a</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5"/>
              </w:rPr>
              <w:t>demonstrable material impact on Avro (including expiration of all applicable cure periods thereunder and final determination</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6"/>
              </w:rPr>
              <w:t>pursuant to mandatory arbitration under Section 14.3), in lieu of exercising such termination right, Avro may elect by written</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2"/>
              </w:rPr>
              <w:t>notice to UHN before the end of such applicable cure period to have this Agreement continue in full force and effect and instead</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5"/>
              </w:rPr>
              <w:t>have, starting immediately after the end of such applicable cure period, each of the following will be reduced by [***] percent</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4"/>
              </w:rPr>
              <w:t>([***]%): any future milestone payments payable under Sections 5.5 or 5.8, any Royalties under Section 4.5, any Sublicensing</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3"/>
              </w:rPr>
              <w:t>Revenue sharing under Section 4.6 and any License Transfer Fee attributable to this Agreement (but not the IL-12 Agreement)</w:t>
            </w:r>
          </w:p>
        </w:tc>
      </w:tr>
      <w:tr>
        <w:trPr>
          <w:trHeight w:val="230"/>
        </w:trPr>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rPr>
              <w:t>under Section 16.4.2.</w:t>
            </w:r>
          </w:p>
        </w:tc>
      </w:tr>
      <w:tr>
        <w:trPr>
          <w:trHeight w:val="323"/>
        </w:trPr>
        <w:tc>
          <w:tcPr>
            <w:tcW w:w="620" w:type="dxa"/>
            <w:vAlign w:val="bottom"/>
          </w:tcPr>
          <w:p>
            <w:pPr>
              <w:spacing w:after="0"/>
              <w:rPr>
                <w:sz w:val="24"/>
                <w:szCs w:val="24"/>
                <w:color w:val="auto"/>
              </w:rPr>
            </w:pPr>
          </w:p>
        </w:tc>
        <w:tc>
          <w:tcPr>
            <w:tcW w:w="1140" w:type="dxa"/>
            <w:vAlign w:val="bottom"/>
          </w:tcPr>
          <w:p>
            <w:pPr>
              <w:ind w:left="300"/>
              <w:spacing w:after="0"/>
              <w:rPr>
                <w:sz w:val="20"/>
                <w:szCs w:val="20"/>
                <w:color w:val="auto"/>
              </w:rPr>
            </w:pPr>
            <w:r>
              <w:rPr>
                <w:rFonts w:ascii="Arial" w:cs="Arial" w:eastAsia="Arial" w:hAnsi="Arial"/>
                <w:sz w:val="18"/>
                <w:szCs w:val="18"/>
                <w:b w:val="1"/>
                <w:bCs w:val="1"/>
                <w:color w:val="auto"/>
              </w:rPr>
              <w:t>11.3.5</w:t>
            </w:r>
          </w:p>
        </w:tc>
        <w:tc>
          <w:tcPr>
            <w:tcW w:w="9600" w:type="dxa"/>
            <w:vAlign w:val="bottom"/>
          </w:tcPr>
          <w:p>
            <w:pPr>
              <w:ind w:left="180"/>
              <w:spacing w:after="0"/>
              <w:rPr>
                <w:sz w:val="20"/>
                <w:szCs w:val="20"/>
                <w:color w:val="auto"/>
              </w:rPr>
            </w:pPr>
            <w:r>
              <w:rPr>
                <w:rFonts w:ascii="Arial" w:cs="Arial" w:eastAsia="Arial" w:hAnsi="Arial"/>
                <w:sz w:val="18"/>
                <w:szCs w:val="18"/>
                <w:b w:val="1"/>
                <w:bCs w:val="1"/>
                <w:color w:val="auto"/>
                <w:w w:val="95"/>
              </w:rPr>
              <w:t>Modification for Material Breach by UHN of Letter Agreement</w:t>
            </w:r>
            <w:r>
              <w:rPr>
                <w:rFonts w:ascii="Arial" w:cs="Arial" w:eastAsia="Arial" w:hAnsi="Arial"/>
                <w:sz w:val="18"/>
                <w:szCs w:val="18"/>
                <w:color w:val="auto"/>
                <w:w w:val="95"/>
              </w:rPr>
              <w:t>,</w:t>
            </w:r>
            <w:r>
              <w:rPr>
                <w:rFonts w:ascii="Arial" w:cs="Arial" w:eastAsia="Arial" w:hAnsi="Arial"/>
                <w:sz w:val="18"/>
                <w:szCs w:val="18"/>
                <w:b w:val="1"/>
                <w:bCs w:val="1"/>
                <w:color w:val="auto"/>
                <w:w w:val="95"/>
              </w:rPr>
              <w:t xml:space="preserve"> Supply Agreement or Purchase Order</w:t>
            </w:r>
            <w:r>
              <w:rPr>
                <w:rFonts w:ascii="Arial" w:cs="Arial" w:eastAsia="Arial" w:hAnsi="Arial"/>
                <w:sz w:val="18"/>
                <w:szCs w:val="18"/>
                <w:color w:val="auto"/>
                <w:w w:val="95"/>
              </w:rPr>
              <w:t>(</w:t>
            </w:r>
            <w:r>
              <w:rPr>
                <w:rFonts w:ascii="Arial" w:cs="Arial" w:eastAsia="Arial" w:hAnsi="Arial"/>
                <w:sz w:val="18"/>
                <w:szCs w:val="18"/>
                <w:b w:val="1"/>
                <w:bCs w:val="1"/>
                <w:color w:val="auto"/>
                <w:w w:val="95"/>
              </w:rPr>
              <w:t>s</w:t>
            </w:r>
            <w:r>
              <w:rPr>
                <w:rFonts w:ascii="Arial" w:cs="Arial" w:eastAsia="Arial" w:hAnsi="Arial"/>
                <w:sz w:val="18"/>
                <w:szCs w:val="18"/>
                <w:color w:val="auto"/>
                <w:w w:val="95"/>
              </w:rPr>
              <w:t>). If UHN or the</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2"/>
              </w:rPr>
              <w:t>Principal Investigator breaches any obligations pursuant to the Letter Agreement, Supply Agreement or Purchase Order(s), and</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3"/>
              </w:rPr>
              <w:t>said breach has a demonstrable material impact on Avro, and is not cured within [***] of notification of said breach, each of the</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8"/>
              </w:rPr>
              <w:t>following will be reduced by [***] percent ([***]%): any future milestone payments payable under Sections 5.5 or 5.8, any</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89"/>
              </w:rPr>
              <w:t>Royalties under Section 4.5, any Sublicensing Revenue sharing under Section 4.6 and any License Transfer Fee attributable to this</w:t>
            </w:r>
          </w:p>
        </w:tc>
      </w:tr>
      <w:tr>
        <w:trPr>
          <w:trHeight w:val="230"/>
        </w:trPr>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rPr>
              <w:t>Agreement (but not the IL-12 Agreement) under Section 16.4.2.</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11.4</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w w:val="95"/>
              </w:rPr>
              <w:t>Bankruptcy</w:t>
            </w:r>
            <w:r>
              <w:rPr>
                <w:rFonts w:ascii="Arial" w:cs="Arial" w:eastAsia="Arial" w:hAnsi="Arial"/>
                <w:sz w:val="18"/>
                <w:szCs w:val="18"/>
                <w:color w:val="auto"/>
                <w:w w:val="95"/>
              </w:rPr>
              <w:t>. UHN may terminate this Agreement upon written notice to Avro if Avro becomes insolvent, is adjudged bankrupt, applies for</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2"/>
              </w:rPr>
              <w:t>judicial or extrajudicial settlement with its creditors, makes an assignment for the benefit of its creditors, voluntarily files for bankruptcy or has a</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5"/>
              </w:rPr>
              <w:t>receiver or trustee (or the like) in bankruptcy appointed by reason of its insolvency, or in the event an involuntary bankruptcy action is filed</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3"/>
              </w:rPr>
              <w:t>against Avro and not dismissed within [***], or if Avro becomes the subject of liquidation or dissolution proceedings or otherwise discontinues</w:t>
            </w:r>
          </w:p>
        </w:tc>
      </w:tr>
      <w:tr>
        <w:trPr>
          <w:trHeight w:val="230"/>
        </w:trPr>
        <w:tc>
          <w:tcPr>
            <w:tcW w:w="620" w:type="dxa"/>
            <w:vAlign w:val="bottom"/>
          </w:tcPr>
          <w:p>
            <w:pPr>
              <w:spacing w:after="0"/>
              <w:rPr>
                <w:sz w:val="20"/>
                <w:szCs w:val="20"/>
                <w:color w:val="auto"/>
              </w:rPr>
            </w:pPr>
          </w:p>
        </w:tc>
        <w:tc>
          <w:tcPr>
            <w:tcW w:w="1140" w:type="dxa"/>
            <w:vAlign w:val="bottom"/>
          </w:tcPr>
          <w:p>
            <w:pPr>
              <w:ind w:left="300"/>
              <w:spacing w:after="0"/>
              <w:rPr>
                <w:sz w:val="20"/>
                <w:szCs w:val="20"/>
                <w:color w:val="auto"/>
              </w:rPr>
            </w:pPr>
            <w:r>
              <w:rPr>
                <w:rFonts w:ascii="Arial" w:cs="Arial" w:eastAsia="Arial" w:hAnsi="Arial"/>
                <w:sz w:val="18"/>
                <w:szCs w:val="18"/>
                <w:color w:val="auto"/>
              </w:rPr>
              <w:t>business.</w:t>
            </w:r>
          </w:p>
        </w:tc>
        <w:tc>
          <w:tcPr>
            <w:tcW w:w="9600" w:type="dxa"/>
            <w:vAlign w:val="bottom"/>
          </w:tcPr>
          <w:p>
            <w:pPr>
              <w:spacing w:after="0"/>
              <w:rPr>
                <w:sz w:val="20"/>
                <w:szCs w:val="20"/>
                <w:color w:val="auto"/>
              </w:rPr>
            </w:pP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11.5</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w w:val="91"/>
              </w:rPr>
              <w:t>Disputed Termination Right</w:t>
            </w:r>
            <w:r>
              <w:rPr>
                <w:rFonts w:ascii="Arial" w:cs="Arial" w:eastAsia="Arial" w:hAnsi="Arial"/>
                <w:sz w:val="18"/>
                <w:szCs w:val="18"/>
                <w:color w:val="auto"/>
                <w:w w:val="91"/>
              </w:rPr>
              <w:t>. If the non-terminating Party disputes in good faith the right of the other Party to terminate this Agreement for any</w:t>
            </w:r>
          </w:p>
        </w:tc>
      </w:tr>
      <w:tr>
        <w:trPr>
          <w:trHeight w:val="230"/>
        </w:trPr>
        <w:tc>
          <w:tcPr>
            <w:tcW w:w="620" w:type="dxa"/>
            <w:vAlign w:val="bottom"/>
          </w:tcPr>
          <w:p>
            <w:pPr>
              <w:spacing w:after="0"/>
              <w:rPr>
                <w:sz w:val="20"/>
                <w:szCs w:val="20"/>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2"/>
              </w:rPr>
              <w:t>reason other than Avro’s right to terminate for convenience pursuant to Section 11.2, and such non-terminating Party provides the terminating</w:t>
            </w:r>
          </w:p>
        </w:tc>
      </w:tr>
    </w:tbl>
    <w:p>
      <w:pPr>
        <w:ind w:left="920" w:right="22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written notice of such dispute within [***] after the terminating Party’s notice, as applicable, then the terminating Party will not have the right to terminate this Agreement unless and until the Parties have followed with the dispute resolution mechanism as outlined in Section 14.1 and Section 14.2 and, as required, final determination pursuant to mandatory arbitration under Section 14.3, after which time the terminating Party has the right to terminate this Agreement in accordance with the terms and conditions set forth herein. It is understood and agreed that</w:t>
      </w:r>
    </w:p>
    <w:p>
      <w:pPr>
        <w:spacing w:after="0" w:line="3" w:lineRule="exact"/>
        <w:rPr>
          <w:sz w:val="20"/>
          <w:szCs w:val="20"/>
          <w:color w:val="auto"/>
        </w:rPr>
      </w:pPr>
    </w:p>
    <w:p>
      <w:pPr>
        <w:ind w:left="920" w:right="40"/>
        <w:spacing w:after="0" w:line="261" w:lineRule="auto"/>
        <w:rPr>
          <w:sz w:val="20"/>
          <w:szCs w:val="20"/>
          <w:color w:val="auto"/>
        </w:rPr>
      </w:pPr>
      <w:r>
        <w:rPr>
          <w:rFonts w:ascii="Arial" w:cs="Arial" w:eastAsia="Arial" w:hAnsi="Arial"/>
          <w:sz w:val="18"/>
          <w:szCs w:val="18"/>
          <w:color w:val="auto"/>
        </w:rPr>
        <w:t>(a) during the pendency of such dispute, all of the terms and conditions of this Agreement will remain in effect, and (b) the non-terminating Party will have the right to cure such breach that is the subject matter of the dispute.</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69" w:right="239" w:bottom="1440" w:gutter="0" w:footer="0" w:header="0"/>
        </w:sectPr>
      </w:pPr>
    </w:p>
    <w:bookmarkStart w:id="418" w:name="page419"/>
    <w:bookmarkEnd w:id="418"/>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11.6</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rPr>
              <w:t>Effects of Early Termination</w:t>
            </w:r>
            <w:r>
              <w:rPr>
                <w:rFonts w:ascii="Arial" w:cs="Arial" w:eastAsia="Arial" w:hAnsi="Arial"/>
                <w:sz w:val="18"/>
                <w:szCs w:val="18"/>
                <w:color w:val="auto"/>
              </w:rPr>
              <w:t>. In the event of the termination of this Agreement:</w:t>
            </w:r>
          </w:p>
        </w:tc>
      </w:tr>
      <w:tr>
        <w:trPr>
          <w:trHeight w:val="323"/>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b w:val="1"/>
                <w:bCs w:val="1"/>
                <w:color w:val="auto"/>
              </w:rPr>
              <w:t>11.6.1</w:t>
            </w:r>
          </w:p>
        </w:tc>
        <w:tc>
          <w:tcPr>
            <w:tcW w:w="9780" w:type="dxa"/>
            <w:vAlign w:val="bottom"/>
          </w:tcPr>
          <w:p>
            <w:pPr>
              <w:ind w:left="300"/>
              <w:spacing w:after="0"/>
              <w:rPr>
                <w:sz w:val="20"/>
                <w:szCs w:val="20"/>
                <w:color w:val="auto"/>
              </w:rPr>
            </w:pPr>
            <w:r>
              <w:rPr>
                <w:rFonts w:ascii="Arial" w:cs="Arial" w:eastAsia="Arial" w:hAnsi="Arial"/>
                <w:sz w:val="18"/>
                <w:szCs w:val="18"/>
                <w:color w:val="auto"/>
                <w:w w:val="95"/>
              </w:rPr>
              <w:t>the License will be terminated, all rights to the Licensed Technology shall revert to UHN, and Avro shall cease and desist any</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5"/>
              </w:rPr>
              <w:t>further use or exploitation of, and otherwise cease to derive any benefit from, the Licensed Technology, and within [***] either</w:t>
            </w:r>
          </w:p>
        </w:tc>
      </w:tr>
      <w:tr>
        <w:trPr>
          <w:trHeight w:val="230"/>
        </w:trPr>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destroy or return to UHN, further to UHN’s instructions all of UHN’s property, including all Licensed Technology;</w:t>
            </w:r>
          </w:p>
        </w:tc>
      </w:tr>
      <w:tr>
        <w:trPr>
          <w:trHeight w:val="323"/>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b w:val="1"/>
                <w:bCs w:val="1"/>
                <w:color w:val="auto"/>
              </w:rPr>
              <w:t>11.6.2</w:t>
            </w:r>
          </w:p>
        </w:tc>
        <w:tc>
          <w:tcPr>
            <w:tcW w:w="9780" w:type="dxa"/>
            <w:vAlign w:val="bottom"/>
          </w:tcPr>
          <w:p>
            <w:pPr>
              <w:ind w:left="300"/>
              <w:spacing w:after="0"/>
              <w:rPr>
                <w:sz w:val="20"/>
                <w:szCs w:val="20"/>
                <w:color w:val="auto"/>
              </w:rPr>
            </w:pPr>
            <w:r>
              <w:rPr>
                <w:rFonts w:ascii="Arial" w:cs="Arial" w:eastAsia="Arial" w:hAnsi="Arial"/>
                <w:sz w:val="18"/>
                <w:szCs w:val="18"/>
                <w:color w:val="auto"/>
                <w:w w:val="91"/>
              </w:rPr>
              <w:t>each Receiving Party shall return to the Disclosing Party or destroy (as directed by a Disclosing Party) all copies of said Disclosing</w:t>
            </w:r>
          </w:p>
        </w:tc>
      </w:tr>
      <w:tr>
        <w:trPr>
          <w:trHeight w:val="230"/>
        </w:trPr>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Party’s Confidential Information in a manner consistent with any applicable laws and regulations;</w:t>
            </w:r>
          </w:p>
        </w:tc>
      </w:tr>
      <w:tr>
        <w:trPr>
          <w:trHeight w:val="323"/>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b w:val="1"/>
                <w:bCs w:val="1"/>
                <w:color w:val="auto"/>
              </w:rPr>
              <w:t>11.6.3</w:t>
            </w:r>
          </w:p>
        </w:tc>
        <w:tc>
          <w:tcPr>
            <w:tcW w:w="9780" w:type="dxa"/>
            <w:vAlign w:val="bottom"/>
          </w:tcPr>
          <w:p>
            <w:pPr>
              <w:ind w:left="300"/>
              <w:spacing w:after="0"/>
              <w:rPr>
                <w:sz w:val="20"/>
                <w:szCs w:val="20"/>
                <w:color w:val="auto"/>
              </w:rPr>
            </w:pPr>
            <w:r>
              <w:rPr>
                <w:rFonts w:ascii="Arial" w:cs="Arial" w:eastAsia="Arial" w:hAnsi="Arial"/>
                <w:sz w:val="18"/>
                <w:szCs w:val="18"/>
                <w:color w:val="auto"/>
              </w:rPr>
              <w:t>Avro shall within [***] of the date of such termination, pay UHN all current amounts then owed to UHN pursuant to this</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2"/>
              </w:rPr>
              <w:t>Agreement. For purposes of certainty and clarity, no term or provision of this Agreement shall be construed to waive the payment</w:t>
            </w:r>
          </w:p>
        </w:tc>
      </w:tr>
      <w:tr>
        <w:trPr>
          <w:trHeight w:val="230"/>
        </w:trPr>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of any monies to UHN accrued at the date of said termination, or arising thereafter;</w:t>
            </w:r>
          </w:p>
        </w:tc>
      </w:tr>
      <w:tr>
        <w:trPr>
          <w:trHeight w:val="323"/>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b w:val="1"/>
                <w:bCs w:val="1"/>
                <w:color w:val="auto"/>
              </w:rPr>
              <w:t>11.6.4</w:t>
            </w:r>
          </w:p>
        </w:tc>
        <w:tc>
          <w:tcPr>
            <w:tcW w:w="9780" w:type="dxa"/>
            <w:vAlign w:val="bottom"/>
          </w:tcPr>
          <w:p>
            <w:pPr>
              <w:ind w:left="300"/>
              <w:spacing w:after="0"/>
              <w:rPr>
                <w:sz w:val="20"/>
                <w:szCs w:val="20"/>
                <w:color w:val="auto"/>
              </w:rPr>
            </w:pPr>
            <w:r>
              <w:rPr>
                <w:rFonts w:ascii="Arial" w:cs="Arial" w:eastAsia="Arial" w:hAnsi="Arial"/>
                <w:sz w:val="18"/>
                <w:szCs w:val="18"/>
                <w:color w:val="auto"/>
                <w:w w:val="90"/>
              </w:rPr>
              <w:t>the Parties shall take all necessary steps in a prudent business manner to wind-down any ongoing activities and to effect the orderly</w:t>
            </w:r>
          </w:p>
        </w:tc>
      </w:tr>
      <w:tr>
        <w:trPr>
          <w:trHeight w:val="230"/>
        </w:trPr>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termination of this Agreement; and</w:t>
            </w:r>
          </w:p>
        </w:tc>
      </w:tr>
      <w:tr>
        <w:trPr>
          <w:trHeight w:val="323"/>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b w:val="1"/>
                <w:bCs w:val="1"/>
                <w:color w:val="auto"/>
              </w:rPr>
              <w:t>11.6.5</w:t>
            </w:r>
          </w:p>
        </w:tc>
        <w:tc>
          <w:tcPr>
            <w:tcW w:w="9780" w:type="dxa"/>
            <w:vAlign w:val="bottom"/>
          </w:tcPr>
          <w:p>
            <w:pPr>
              <w:ind w:left="300"/>
              <w:spacing w:after="0"/>
              <w:rPr>
                <w:sz w:val="20"/>
                <w:szCs w:val="20"/>
                <w:color w:val="auto"/>
              </w:rPr>
            </w:pPr>
            <w:r>
              <w:rPr>
                <w:rFonts w:ascii="Arial" w:cs="Arial" w:eastAsia="Arial" w:hAnsi="Arial"/>
                <w:sz w:val="18"/>
                <w:szCs w:val="18"/>
                <w:color w:val="auto"/>
                <w:w w:val="91"/>
              </w:rPr>
              <w:t>Avro and its Affiliates and Sublicensees may complete and sell any work-in-progress and inventory of Licensed Products that exist</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4"/>
              </w:rPr>
              <w:t>as of the effective date of termination, provided that (a) Avro pays UHN the applicable running royalty or other amounts due on</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1"/>
              </w:rPr>
              <w:t>such sales of Licensed Products in accordance with the terms and conditions of this Agreement, and (b) Avro and its Affiliates and</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3"/>
              </w:rPr>
              <w:t>Sublicensees shall complete and sell all work-in-progress and inventory of Licensed Products within [***] after the effective date</w:t>
            </w:r>
          </w:p>
        </w:tc>
      </w:tr>
      <w:tr>
        <w:trPr>
          <w:trHeight w:val="230"/>
        </w:trPr>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of termination.</w:t>
            </w:r>
          </w:p>
        </w:tc>
      </w:tr>
      <w:tr>
        <w:trPr>
          <w:trHeight w:val="648"/>
        </w:trPr>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80" w:type="dxa"/>
            <w:vAlign w:val="bottom"/>
          </w:tcPr>
          <w:p>
            <w:pPr>
              <w:ind w:left="2620"/>
              <w:spacing w:after="0"/>
              <w:rPr>
                <w:sz w:val="20"/>
                <w:szCs w:val="20"/>
                <w:color w:val="auto"/>
              </w:rPr>
            </w:pPr>
            <w:r>
              <w:rPr>
                <w:rFonts w:ascii="Arial" w:cs="Arial" w:eastAsia="Arial" w:hAnsi="Arial"/>
                <w:sz w:val="18"/>
                <w:szCs w:val="18"/>
                <w:b w:val="1"/>
                <w:bCs w:val="1"/>
                <w:color w:val="auto"/>
              </w:rPr>
              <w:t>ARTICLE 12 - INDEMNIFICATION</w:t>
            </w:r>
          </w:p>
        </w:tc>
      </w:tr>
      <w:tr>
        <w:trPr>
          <w:trHeight w:val="441"/>
        </w:trPr>
        <w:tc>
          <w:tcPr>
            <w:tcW w:w="620" w:type="dxa"/>
            <w:vAlign w:val="bottom"/>
          </w:tcPr>
          <w:p>
            <w:pPr>
              <w:spacing w:after="0"/>
              <w:rPr>
                <w:sz w:val="20"/>
                <w:szCs w:val="20"/>
                <w:color w:val="auto"/>
              </w:rPr>
            </w:pPr>
            <w:r>
              <w:rPr>
                <w:rFonts w:ascii="Arial" w:cs="Arial" w:eastAsia="Arial" w:hAnsi="Arial"/>
                <w:sz w:val="18"/>
                <w:szCs w:val="18"/>
                <w:b w:val="1"/>
                <w:bCs w:val="1"/>
                <w:color w:val="auto"/>
              </w:rPr>
              <w:t>12.1</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w w:val="93"/>
              </w:rPr>
              <w:t>Indemnification</w:t>
            </w:r>
            <w:r>
              <w:rPr>
                <w:rFonts w:ascii="Arial" w:cs="Arial" w:eastAsia="Arial" w:hAnsi="Arial"/>
                <w:sz w:val="18"/>
                <w:szCs w:val="18"/>
                <w:color w:val="auto"/>
                <w:w w:val="93"/>
              </w:rPr>
              <w:t>. Notwithstanding Section 6.3, Avro agrees to indemnify, save harmless, and defend UHN and its directors, officers, research</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1"/>
              </w:rPr>
              <w:t>staff, employees, clinical staff, research trainees, students, and agents (collectively, “</w:t>
            </w:r>
            <w:r>
              <w:rPr>
                <w:rFonts w:ascii="Arial" w:cs="Arial" w:eastAsia="Arial" w:hAnsi="Arial"/>
                <w:sz w:val="18"/>
                <w:szCs w:val="18"/>
                <w:b w:val="1"/>
                <w:bCs w:val="1"/>
                <w:color w:val="auto"/>
                <w:w w:val="91"/>
              </w:rPr>
              <w:t>UHN Indemnitees</w:t>
            </w:r>
            <w:r>
              <w:rPr>
                <w:rFonts w:ascii="Arial" w:cs="Arial" w:eastAsia="Arial" w:hAnsi="Arial"/>
                <w:sz w:val="18"/>
                <w:szCs w:val="18"/>
                <w:color w:val="auto"/>
                <w:w w:val="91"/>
              </w:rPr>
              <w:t>”), against any and all Third Party claims,</w:t>
            </w:r>
          </w:p>
        </w:tc>
      </w:tr>
      <w:tr>
        <w:trPr>
          <w:trHeight w:val="220"/>
        </w:trPr>
        <w:tc>
          <w:tcPr>
            <w:tcW w:w="620" w:type="dxa"/>
            <w:vAlign w:val="bottom"/>
          </w:tcPr>
          <w:p>
            <w:pPr>
              <w:spacing w:after="0"/>
              <w:rPr>
                <w:sz w:val="19"/>
                <w:szCs w:val="19"/>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3"/>
              </w:rPr>
              <w:t>suits, losses, damages, costs, fees, and expenses (including reasonable legal expenses) (collectively, “</w:t>
            </w:r>
            <w:r>
              <w:rPr>
                <w:rFonts w:ascii="Arial" w:cs="Arial" w:eastAsia="Arial" w:hAnsi="Arial"/>
                <w:sz w:val="18"/>
                <w:szCs w:val="18"/>
                <w:b w:val="1"/>
                <w:bCs w:val="1"/>
                <w:color w:val="auto"/>
                <w:w w:val="93"/>
              </w:rPr>
              <w:t>Claims</w:t>
            </w:r>
            <w:r>
              <w:rPr>
                <w:rFonts w:ascii="Arial" w:cs="Arial" w:eastAsia="Arial" w:hAnsi="Arial"/>
                <w:sz w:val="18"/>
                <w:szCs w:val="18"/>
                <w:color w:val="auto"/>
                <w:w w:val="93"/>
              </w:rPr>
              <w:t>”), arising out of (a) any liability</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1"/>
              </w:rPr>
              <w:t>claims with respect to any Licensed Product(s), (b) any Third Party intellectual property infringement or alleged infringement claims with respect</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2"/>
              </w:rPr>
              <w:t>to Licensed Product(s), and (c) any damages, losses, or liabilities whatsoever with respect to death or injury to any person and damage to any</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4"/>
              </w:rPr>
              <w:t>property arising from this Agreement and the License, including, without limitation, the manufacture, design, distribution, and offer for sale of</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4"/>
              </w:rPr>
              <w:t>Licensed Product(s) or otherwise arising from any exploitation of the Licensed Technology, except in each case to the extent caused by the</w:t>
            </w:r>
          </w:p>
        </w:tc>
      </w:tr>
      <w:tr>
        <w:trPr>
          <w:trHeight w:val="230"/>
        </w:trPr>
        <w:tc>
          <w:tcPr>
            <w:tcW w:w="620" w:type="dxa"/>
            <w:vAlign w:val="bottom"/>
          </w:tcPr>
          <w:p>
            <w:pPr>
              <w:spacing w:after="0"/>
              <w:rPr>
                <w:sz w:val="20"/>
                <w:szCs w:val="20"/>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negligence or willful misconduct of UHN Indemnitees or a breach of this Agreement by UHN.</w:t>
            </w:r>
          </w:p>
        </w:tc>
      </w:tr>
      <w:tr>
        <w:trPr>
          <w:trHeight w:val="648"/>
        </w:trPr>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80" w:type="dxa"/>
            <w:vAlign w:val="bottom"/>
          </w:tcPr>
          <w:p>
            <w:pPr>
              <w:ind w:left="2940"/>
              <w:spacing w:after="0"/>
              <w:rPr>
                <w:sz w:val="20"/>
                <w:szCs w:val="20"/>
                <w:color w:val="auto"/>
              </w:rPr>
            </w:pPr>
            <w:r>
              <w:rPr>
                <w:rFonts w:ascii="Arial" w:cs="Arial" w:eastAsia="Arial" w:hAnsi="Arial"/>
                <w:sz w:val="18"/>
                <w:szCs w:val="18"/>
                <w:b w:val="1"/>
                <w:bCs w:val="1"/>
                <w:color w:val="auto"/>
              </w:rPr>
              <w:t>ARTICLE 13 - INSURANCE</w:t>
            </w:r>
          </w:p>
        </w:tc>
      </w:tr>
      <w:tr>
        <w:trPr>
          <w:trHeight w:val="459"/>
        </w:trPr>
        <w:tc>
          <w:tcPr>
            <w:tcW w:w="620" w:type="dxa"/>
            <w:vAlign w:val="bottom"/>
          </w:tcPr>
          <w:p>
            <w:pPr>
              <w:spacing w:after="0"/>
              <w:rPr>
                <w:sz w:val="20"/>
                <w:szCs w:val="20"/>
                <w:color w:val="auto"/>
              </w:rPr>
            </w:pPr>
            <w:r>
              <w:rPr>
                <w:rFonts w:ascii="Arial" w:cs="Arial" w:eastAsia="Arial" w:hAnsi="Arial"/>
                <w:sz w:val="18"/>
                <w:szCs w:val="18"/>
                <w:b w:val="1"/>
                <w:bCs w:val="1"/>
                <w:color w:val="auto"/>
              </w:rPr>
              <w:t>13.1</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w w:val="92"/>
              </w:rPr>
              <w:t>Avro Insurance</w:t>
            </w:r>
            <w:r>
              <w:rPr>
                <w:rFonts w:ascii="Arial" w:cs="Arial" w:eastAsia="Arial" w:hAnsi="Arial"/>
                <w:sz w:val="18"/>
                <w:szCs w:val="18"/>
                <w:color w:val="auto"/>
                <w:w w:val="92"/>
              </w:rPr>
              <w:t>. No later than [***] prior to the earlier of the (a) first use by Avro of Licensed Technology in humans, or (b) first sale by Avro of</w:t>
            </w:r>
          </w:p>
        </w:tc>
      </w:tr>
    </w:tbl>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Licensed Product(s), Avro (at its expense) shall obtain and maintain (as appropriate) general liability, product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0" w:right="239" w:bottom="1440" w:gutter="0" w:footer="0" w:header="0"/>
        </w:sectPr>
      </w:pPr>
    </w:p>
    <w:bookmarkStart w:id="419" w:name="page420"/>
    <w:bookmarkEnd w:id="419"/>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liability and clinical trial liability insurance (the “</w:t>
            </w:r>
            <w:r>
              <w:rPr>
                <w:rFonts w:ascii="Arial" w:cs="Arial" w:eastAsia="Arial" w:hAnsi="Arial"/>
                <w:sz w:val="18"/>
                <w:szCs w:val="18"/>
                <w:b w:val="1"/>
                <w:bCs w:val="1"/>
                <w:color w:val="auto"/>
                <w:w w:val="95"/>
              </w:rPr>
              <w:t>Avro Insurance</w:t>
            </w:r>
            <w:r>
              <w:rPr>
                <w:rFonts w:ascii="Arial" w:cs="Arial" w:eastAsia="Arial" w:hAnsi="Arial"/>
                <w:sz w:val="18"/>
                <w:szCs w:val="18"/>
                <w:color w:val="auto"/>
                <w:w w:val="95"/>
              </w:rPr>
              <w:t>”) of a minimum of [***] per occurrence and [***] annual aggregate, naming</w:t>
            </w:r>
          </w:p>
        </w:tc>
      </w:tr>
      <w:tr>
        <w:trPr>
          <w:trHeight w:val="220"/>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4"/>
              </w:rPr>
              <w:t>UHN as an additional insured. Avro shall provide to UHN a “</w:t>
            </w:r>
            <w:r>
              <w:rPr>
                <w:rFonts w:ascii="Arial" w:cs="Arial" w:eastAsia="Arial" w:hAnsi="Arial"/>
                <w:sz w:val="18"/>
                <w:szCs w:val="18"/>
                <w:b w:val="1"/>
                <w:bCs w:val="1"/>
                <w:color w:val="auto"/>
                <w:w w:val="94"/>
              </w:rPr>
              <w:t>Certificate of Insurance</w:t>
            </w:r>
            <w:r>
              <w:rPr>
                <w:rFonts w:ascii="Arial" w:cs="Arial" w:eastAsia="Arial" w:hAnsi="Arial"/>
                <w:sz w:val="18"/>
                <w:szCs w:val="18"/>
                <w:color w:val="auto"/>
                <w:w w:val="94"/>
              </w:rPr>
              <w:t>” evidencing compliance with this provision within [***]</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prior to such first use. Avro shall, at its own expense, obtain and maintain the Avro Insurance from the initial date required by this Section 13.1</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for the Term and for a period of [***] thereafter. In the alternative, Avro may self-insure subject to prior approval of UHN.</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13.2</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3"/>
              </w:rPr>
              <w:t>Sublicensee Insurance</w:t>
            </w:r>
            <w:r>
              <w:rPr>
                <w:rFonts w:ascii="Arial" w:cs="Arial" w:eastAsia="Arial" w:hAnsi="Arial"/>
                <w:sz w:val="18"/>
                <w:szCs w:val="18"/>
                <w:color w:val="auto"/>
                <w:w w:val="93"/>
              </w:rPr>
              <w:t>. Unless said activities are otherwise covered by Avro Insurance, any Sublicense shall require Sublicensee(s), at the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Sublicensee(s) expense, to obtain and maintain liability insurance at a level commensurate with the Avro Insurance, naming Avro and UHN as</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6"/>
              </w:rPr>
              <w:t>additional insured; provided however, that if the Sublicensee is a substantial multi-national entity which has a policy of self-insuring, then</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Sublicensee may self-insure. Sublicense agreements shall require Sublicensee(s) to provide to Avro and to UHN a Certificate of Insurance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evidencing compliance with this provision prior to the earlier of the first use of the Licensed Technology in humans or first sale of Licensed</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Product(s) under any Sublicense. In no event shall the Sublicensee(s) use the Licensed Technology in humans or engage in the sale of Licensed</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Product(s) under this or any Sublicense agreement prior to the delivery to UHN of the Certificate of Insurance or an indication of self-insurance,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as applicable. The Sublicense shall provide that Sublicensee(s) (at no expense to UHN) shall obtain and maintain from the initial date required by</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this Section 13.2 until the end of the term of the Sublicense and an additional period of [***] thereafter, a policy of appropriate liability insurance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3"/>
              </w:rPr>
              <w:t>(or self-insurance, if applicable) at a level commensurate with the Avro Insurance. In the event that Sublicensee does not have the insurance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coverage required by this Section 13.2, Avro shall terminate said Sublicense or otherwise ensure subject to UHN prior approval, that the activities</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of said Sublicensee are insured by Avro.</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13.3</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1"/>
              </w:rPr>
              <w:t>Qualified Insurance</w:t>
            </w:r>
            <w:r>
              <w:rPr>
                <w:rFonts w:ascii="Arial" w:cs="Arial" w:eastAsia="Arial" w:hAnsi="Arial"/>
                <w:sz w:val="18"/>
                <w:szCs w:val="18"/>
                <w:color w:val="auto"/>
                <w:w w:val="91"/>
              </w:rPr>
              <w:t>. All insurance policies required in accordance with this Article 13 shall be obtained from an insurance company qualified to</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offer protection in the jurisdictions where Licensed Technology is to be exploited or Licensed Product(s) are offered for sale.</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13.4</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Avro shall provide [***] written notice to UHN by registered or certified mail in the event of any modification, cancellation or</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termination of such insurance policy.</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13.5</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5"/>
              </w:rPr>
              <w:t>Copy of Policy</w:t>
            </w:r>
            <w:r>
              <w:rPr>
                <w:rFonts w:ascii="Arial" w:cs="Arial" w:eastAsia="Arial" w:hAnsi="Arial"/>
                <w:sz w:val="18"/>
                <w:szCs w:val="18"/>
                <w:color w:val="auto"/>
                <w:w w:val="95"/>
              </w:rPr>
              <w:t>. Avro shall, on written request, provide UHN with a copy of the insurance policy in force at the time of the request and this</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provision shall survive the termination of this Agreement for a period of [***].</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13.6</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7"/>
              </w:rPr>
              <w:t>Incomplete Insurance</w:t>
            </w:r>
            <w:r>
              <w:rPr>
                <w:rFonts w:ascii="Arial" w:cs="Arial" w:eastAsia="Arial" w:hAnsi="Arial"/>
                <w:sz w:val="18"/>
                <w:szCs w:val="18"/>
                <w:color w:val="auto"/>
                <w:w w:val="97"/>
              </w:rPr>
              <w:t>. In the event Avro does not have the insurance coverage required by this Article 13, or if any portion of the Avro</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Insurance or other required coverage is cancelled and not immediately replaced, Avro shall promptly inform UHN and UHN shall be free to</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terminate this Agreement upon notice to Avro in accordance with Section 11.3.1.</w:t>
            </w:r>
          </w:p>
        </w:tc>
      </w:tr>
      <w:tr>
        <w:trPr>
          <w:trHeight w:val="648"/>
        </w:trPr>
        <w:tc>
          <w:tcPr>
            <w:tcW w:w="620" w:type="dxa"/>
            <w:vAlign w:val="bottom"/>
          </w:tcPr>
          <w:p>
            <w:pPr>
              <w:spacing w:after="0"/>
              <w:rPr>
                <w:sz w:val="24"/>
                <w:szCs w:val="24"/>
                <w:color w:val="auto"/>
              </w:rPr>
            </w:pPr>
          </w:p>
        </w:tc>
        <w:tc>
          <w:tcPr>
            <w:tcW w:w="10800" w:type="dxa"/>
            <w:vAlign w:val="bottom"/>
          </w:tcPr>
          <w:p>
            <w:pPr>
              <w:ind w:left="3480"/>
              <w:spacing w:after="0"/>
              <w:rPr>
                <w:sz w:val="20"/>
                <w:szCs w:val="20"/>
                <w:color w:val="auto"/>
              </w:rPr>
            </w:pPr>
            <w:r>
              <w:rPr>
                <w:rFonts w:ascii="Arial" w:cs="Arial" w:eastAsia="Arial" w:hAnsi="Arial"/>
                <w:sz w:val="18"/>
                <w:szCs w:val="18"/>
                <w:b w:val="1"/>
                <w:bCs w:val="1"/>
                <w:color w:val="auto"/>
              </w:rPr>
              <w:t>ARTICLE 14 - DISPUTE RESOLUTION</w:t>
            </w:r>
          </w:p>
        </w:tc>
      </w:tr>
      <w:tr>
        <w:trPr>
          <w:trHeight w:val="459"/>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14.1</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6"/>
              </w:rPr>
              <w:t>Good Faith Efforts</w:t>
            </w:r>
            <w:r>
              <w:rPr>
                <w:rFonts w:ascii="Arial" w:cs="Arial" w:eastAsia="Arial" w:hAnsi="Arial"/>
                <w:sz w:val="18"/>
                <w:szCs w:val="18"/>
                <w:color w:val="auto"/>
                <w:w w:val="96"/>
              </w:rPr>
              <w:t>. Except as otherwise stated in this Agreement, the Parties agree to use good faith efforts to resolve amicably among</w:t>
            </w:r>
          </w:p>
        </w:tc>
      </w:tr>
    </w:tbl>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themselves any dispute arising out of or relating to this Agreement.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0" w:right="239" w:bottom="1440" w:gutter="0" w:footer="0" w:header="0"/>
        </w:sectPr>
      </w:pPr>
    </w:p>
    <w:bookmarkStart w:id="420" w:name="page421"/>
    <w:bookmarkEnd w:id="420"/>
    <w:tbl>
      <w:tblPr>
        <w:tblLayout w:type="fixed"/>
        <w:tblInd w:w="0" w:type="dxa"/>
        <w:tblCellMar>
          <w:top w:w="0" w:type="dxa"/>
          <w:left w:w="0" w:type="dxa"/>
          <w:bottom w:w="0" w:type="dxa"/>
          <w:right w:w="0" w:type="dxa"/>
        </w:tblCellMar>
      </w:tblPr>
      <w:tr>
        <w:trPr>
          <w:trHeight w:val="220"/>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14.2</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w w:val="95"/>
              </w:rPr>
              <w:t>Referral for Resolution</w:t>
            </w:r>
            <w:r>
              <w:rPr>
                <w:rFonts w:ascii="Arial" w:cs="Arial" w:eastAsia="Arial" w:hAnsi="Arial"/>
                <w:sz w:val="18"/>
                <w:szCs w:val="18"/>
                <w:color w:val="auto"/>
                <w:w w:val="95"/>
              </w:rPr>
              <w:t>. If the Parties are unable to resolve the dispute under Section 14.1 within [***] of written notice of one Party to the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4"/>
              </w:rPr>
              <w:t>other Party of such dispute, the dispute shall be referred to the Executive Vice President, Research of UHN (or designate) and the CEO (or</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designate) of Avro for their discussion and resolution for an additional period of [***].</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14.3</w:t>
            </w: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As mandated by Sections 4.6, 11.3.1, 11.3.2, 11.3.3 or 11.5, if a dispute is not resolved pursuant to Section 14.2, and mandatory arbitration is</w:t>
            </w:r>
          </w:p>
        </w:tc>
      </w:tr>
      <w:tr>
        <w:trPr>
          <w:trHeight w:val="212"/>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thereafter dictated, such dispute shall be finally settled under mandatory arbitration (such decision to be final and non-appealable) pursuant to the</w:t>
            </w:r>
          </w:p>
        </w:tc>
      </w:tr>
      <w:tr>
        <w:trPr>
          <w:trHeight w:val="220"/>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Rules of Arbitration of the International Chamber of Commerce (“</w:t>
            </w:r>
            <w:r>
              <w:rPr>
                <w:rFonts w:ascii="Arial" w:cs="Arial" w:eastAsia="Arial" w:hAnsi="Arial"/>
                <w:sz w:val="18"/>
                <w:szCs w:val="18"/>
                <w:b w:val="1"/>
                <w:bCs w:val="1"/>
                <w:color w:val="auto"/>
                <w:w w:val="92"/>
              </w:rPr>
              <w:t>ICC</w:t>
            </w:r>
            <w:r>
              <w:rPr>
                <w:rFonts w:ascii="Arial" w:cs="Arial" w:eastAsia="Arial" w:hAnsi="Arial"/>
                <w:sz w:val="18"/>
                <w:szCs w:val="18"/>
                <w:color w:val="auto"/>
                <w:w w:val="92"/>
              </w:rPr>
              <w:t>”). The legal place of arbitration shall be Toronto and the official language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of the arbitration shall be English. The arbitration will be heard and determined by three (3) arbitrators who are retired judges or attorneys with at</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least ten (10) years of relevant experience in the pharmaceutical and biotechnology industry, each of whom will be impartial and independent.</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6"/>
              </w:rPr>
              <w:t>Each Party will appoint one (1) arbitrator and the third (3rd) arbitrator will be selected by the two (2) Party-appointed arbitrators, or, failing</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5"/>
              </w:rPr>
              <w:t>agreement within [***] following appointment of the second arbitrator, by the ICC. The arbitration award so given will be a final and binding</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7"/>
              </w:rPr>
              <w:t>determination of the dispute, will be fully enforceable in any court of competent jurisdiction, and will not include any damages expressly</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prohibited under Section 6.3.3. Fees, costs and expenses of arbitration are to be divided by the Parties in the following manner: UHN will pay for</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7"/>
              </w:rPr>
              <w:t>the arbitrator it chooses, Avro will pay for the arbitrator it chooses, and the Parties will share payment for the third arbitrator. Except in a</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proceeding to enforce the results of the arbitration or as otherwise required by Law, neither Party nor any arbitrator may disclose the existence,</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content or results of any arbitration hereunder without the prior written consent of both Parties.</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14.4</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w w:val="95"/>
              </w:rPr>
              <w:t>Interim Protection</w:t>
            </w:r>
            <w:r>
              <w:rPr>
                <w:rFonts w:ascii="Arial" w:cs="Arial" w:eastAsia="Arial" w:hAnsi="Arial"/>
                <w:sz w:val="18"/>
                <w:szCs w:val="18"/>
                <w:color w:val="auto"/>
                <w:w w:val="95"/>
              </w:rPr>
              <w:t>. This Article 14 shall not prevent a Party from applying to a court of competent jurisdiction for equitable relief or interim</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protection such as, by way of example, an interim injunction for breaches of confidentiality pursuant to Article 9.</w:t>
            </w:r>
          </w:p>
        </w:tc>
      </w:tr>
      <w:tr>
        <w:trPr>
          <w:trHeight w:val="648"/>
        </w:trPr>
        <w:tc>
          <w:tcPr>
            <w:tcW w:w="620" w:type="dxa"/>
            <w:vAlign w:val="bottom"/>
          </w:tcPr>
          <w:p>
            <w:pPr>
              <w:spacing w:after="0"/>
              <w:rPr>
                <w:sz w:val="24"/>
                <w:szCs w:val="24"/>
                <w:color w:val="auto"/>
              </w:rPr>
            </w:pPr>
          </w:p>
        </w:tc>
        <w:tc>
          <w:tcPr>
            <w:tcW w:w="10780" w:type="dxa"/>
            <w:vAlign w:val="bottom"/>
          </w:tcPr>
          <w:p>
            <w:pPr>
              <w:ind w:left="4140"/>
              <w:spacing w:after="0"/>
              <w:rPr>
                <w:sz w:val="20"/>
                <w:szCs w:val="20"/>
                <w:color w:val="auto"/>
              </w:rPr>
            </w:pPr>
            <w:r>
              <w:rPr>
                <w:rFonts w:ascii="Arial" w:cs="Arial" w:eastAsia="Arial" w:hAnsi="Arial"/>
                <w:sz w:val="18"/>
                <w:szCs w:val="18"/>
                <w:b w:val="1"/>
                <w:bCs w:val="1"/>
                <w:color w:val="auto"/>
              </w:rPr>
              <w:t>ARTICLE 15 - NOTICE</w:t>
            </w:r>
          </w:p>
        </w:tc>
      </w:tr>
      <w:tr>
        <w:trPr>
          <w:trHeight w:val="459"/>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15.1</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w w:val="93"/>
              </w:rPr>
              <w:t>Notice</w:t>
            </w:r>
            <w:r>
              <w:rPr>
                <w:rFonts w:ascii="Arial" w:cs="Arial" w:eastAsia="Arial" w:hAnsi="Arial"/>
                <w:sz w:val="18"/>
                <w:szCs w:val="18"/>
                <w:color w:val="auto"/>
                <w:w w:val="93"/>
              </w:rPr>
              <w:t>. All notices which are required or permitted to be given hereunder (“</w:t>
            </w:r>
            <w:r>
              <w:rPr>
                <w:rFonts w:ascii="Arial" w:cs="Arial" w:eastAsia="Arial" w:hAnsi="Arial"/>
                <w:sz w:val="18"/>
                <w:szCs w:val="18"/>
                <w:b w:val="1"/>
                <w:bCs w:val="1"/>
                <w:color w:val="auto"/>
                <w:w w:val="93"/>
              </w:rPr>
              <w:t>Notices</w:t>
            </w:r>
            <w:r>
              <w:rPr>
                <w:rFonts w:ascii="Arial" w:cs="Arial" w:eastAsia="Arial" w:hAnsi="Arial"/>
                <w:sz w:val="18"/>
                <w:szCs w:val="18"/>
                <w:color w:val="auto"/>
                <w:w w:val="93"/>
              </w:rPr>
              <w:t>”) including judicial payment notices must be in writing. All</w:t>
            </w:r>
          </w:p>
        </w:tc>
      </w:tr>
    </w:tbl>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Notices must be sent as follows:</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UHN: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Technology Development &amp; Commercialization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UHN Health Network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 College Street - Suite 150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Heritage Building - MaRS Centre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Toronto, Ontario, Canada M5G 1L7</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Avro:</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AvroBio, Inc.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400 Technology Square, 10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CEO</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69" w:right="239" w:bottom="1440" w:gutter="0" w:footer="0" w:header="0"/>
        </w:sectPr>
      </w:pPr>
    </w:p>
    <w:bookmarkStart w:id="421" w:name="page422"/>
    <w:bookmarkEnd w:id="421"/>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0"/>
              </w:rPr>
              <w:t>or to such other address as a Party may designate by Notice given in accordance with this Article 15. Any such Notice may be delivered by hand</w:t>
            </w:r>
          </w:p>
        </w:tc>
      </w:tr>
      <w:tr>
        <w:trPr>
          <w:trHeight w:val="230"/>
        </w:trPr>
        <w:tc>
          <w:tcPr>
            <w:tcW w:w="620" w:type="dxa"/>
            <w:vAlign w:val="bottom"/>
          </w:tcPr>
          <w:p>
            <w:pPr>
              <w:spacing w:after="0"/>
              <w:rPr>
                <w:sz w:val="20"/>
                <w:szCs w:val="20"/>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rPr>
              <w:t>or by overnight courier and will be deemed to have been delivered on the date of delivery.</w:t>
            </w:r>
          </w:p>
        </w:tc>
      </w:tr>
      <w:tr>
        <w:trPr>
          <w:trHeight w:val="648"/>
        </w:trPr>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60" w:type="dxa"/>
            <w:vAlign w:val="bottom"/>
          </w:tcPr>
          <w:p>
            <w:pPr>
              <w:ind w:left="2780"/>
              <w:spacing w:after="0"/>
              <w:rPr>
                <w:sz w:val="20"/>
                <w:szCs w:val="20"/>
                <w:color w:val="auto"/>
              </w:rPr>
            </w:pPr>
            <w:r>
              <w:rPr>
                <w:rFonts w:ascii="Arial" w:cs="Arial" w:eastAsia="Arial" w:hAnsi="Arial"/>
                <w:sz w:val="18"/>
                <w:szCs w:val="18"/>
                <w:b w:val="1"/>
                <w:bCs w:val="1"/>
                <w:color w:val="auto"/>
              </w:rPr>
              <w:t>ARTICLE 16 - GENERAL</w:t>
            </w:r>
          </w:p>
        </w:tc>
      </w:tr>
      <w:tr>
        <w:trPr>
          <w:trHeight w:val="445"/>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16.1</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w w:val="96"/>
              </w:rPr>
              <w:t>Entire Agreement</w:t>
            </w:r>
            <w:r>
              <w:rPr>
                <w:rFonts w:ascii="Arial" w:cs="Arial" w:eastAsia="Arial" w:hAnsi="Arial"/>
                <w:sz w:val="18"/>
                <w:szCs w:val="18"/>
                <w:color w:val="auto"/>
                <w:w w:val="96"/>
              </w:rPr>
              <w:t>. The Parties acknowledge that this Agreement its Schedules, any SRAs, the Material Transfer Agreement, the Letter</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0"/>
              </w:rPr>
              <w:t>Agreement and any other related document required to effect the contemplated transactions, shall be the entire agreement and understanding of</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2"/>
              </w:rPr>
              <w:t>the Parties as to the subject matter of this Agreement, and supersedes all prior discussions, agreements and writings in respect of the subject</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5"/>
              </w:rPr>
              <w:t>matter of this Agreement, including, without limitation the Option Agreement. For the avoidance of doubt, this Agreement does not amend,</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7"/>
              </w:rPr>
              <w:t>restate, supplement or otherwise modify any of the terms or conditions of any other agreement between the Parties, including the IL-12</w:t>
            </w:r>
          </w:p>
        </w:tc>
      </w:tr>
      <w:tr>
        <w:trPr>
          <w:trHeight w:val="230"/>
        </w:trPr>
        <w:tc>
          <w:tcPr>
            <w:tcW w:w="620" w:type="dxa"/>
            <w:vAlign w:val="bottom"/>
          </w:tcPr>
          <w:p>
            <w:pPr>
              <w:spacing w:after="0"/>
              <w:rPr>
                <w:sz w:val="20"/>
                <w:szCs w:val="20"/>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rPr>
              <w:t>Agreement. The IL-12 Agreement shall remain in full force and effect in accordance with its terms and conditions.</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16.2</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w w:val="88"/>
              </w:rPr>
              <w:t>General Assurances</w:t>
            </w:r>
            <w:r>
              <w:rPr>
                <w:rFonts w:ascii="Arial" w:cs="Arial" w:eastAsia="Arial" w:hAnsi="Arial"/>
                <w:sz w:val="18"/>
                <w:szCs w:val="18"/>
                <w:color w:val="auto"/>
                <w:w w:val="88"/>
              </w:rPr>
              <w:t>. The Parties agree to do all such things and to execute such instruments and documents as may be necessary or desirable in</w:t>
            </w:r>
          </w:p>
        </w:tc>
      </w:tr>
      <w:tr>
        <w:trPr>
          <w:trHeight w:val="230"/>
        </w:trPr>
        <w:tc>
          <w:tcPr>
            <w:tcW w:w="620" w:type="dxa"/>
            <w:vAlign w:val="bottom"/>
          </w:tcPr>
          <w:p>
            <w:pPr>
              <w:spacing w:after="0"/>
              <w:rPr>
                <w:sz w:val="20"/>
                <w:szCs w:val="20"/>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rPr>
              <w:t>order to carry out the provisions and intent of this Agreement.</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16.3</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w w:val="94"/>
              </w:rPr>
              <w:t>Inure to Benefit</w:t>
            </w:r>
            <w:r>
              <w:rPr>
                <w:rFonts w:ascii="Arial" w:cs="Arial" w:eastAsia="Arial" w:hAnsi="Arial"/>
                <w:sz w:val="18"/>
                <w:szCs w:val="18"/>
                <w:color w:val="auto"/>
                <w:w w:val="94"/>
              </w:rPr>
              <w:t>. This Agreement shall inure to the benefit of and be binding upon the respective Parties and, where the context admits or</w:t>
            </w:r>
          </w:p>
        </w:tc>
      </w:tr>
      <w:tr>
        <w:trPr>
          <w:trHeight w:val="230"/>
        </w:trPr>
        <w:tc>
          <w:tcPr>
            <w:tcW w:w="620" w:type="dxa"/>
            <w:vAlign w:val="bottom"/>
          </w:tcPr>
          <w:p>
            <w:pPr>
              <w:spacing w:after="0"/>
              <w:rPr>
                <w:sz w:val="20"/>
                <w:szCs w:val="20"/>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rPr>
              <w:t>requires, their respective permitted successors or assigns.</w:t>
            </w:r>
          </w:p>
        </w:tc>
      </w:tr>
      <w:tr>
        <w:trPr>
          <w:trHeight w:val="338"/>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16.4</w:t>
            </w:r>
          </w:p>
        </w:tc>
        <w:tc>
          <w:tcPr>
            <w:tcW w:w="1280" w:type="dxa"/>
            <w:vAlign w:val="bottom"/>
          </w:tcPr>
          <w:p>
            <w:pPr>
              <w:ind w:left="300"/>
              <w:spacing w:after="0"/>
              <w:rPr>
                <w:sz w:val="20"/>
                <w:szCs w:val="20"/>
                <w:color w:val="auto"/>
              </w:rPr>
            </w:pPr>
            <w:r>
              <w:rPr>
                <w:rFonts w:ascii="Arial" w:cs="Arial" w:eastAsia="Arial" w:hAnsi="Arial"/>
                <w:sz w:val="18"/>
                <w:szCs w:val="18"/>
                <w:b w:val="1"/>
                <w:bCs w:val="1"/>
                <w:color w:val="auto"/>
                <w:w w:val="88"/>
              </w:rPr>
              <w:t>Assignment</w:t>
            </w:r>
            <w:r>
              <w:rPr>
                <w:rFonts w:ascii="Arial" w:cs="Arial" w:eastAsia="Arial" w:hAnsi="Arial"/>
                <w:sz w:val="18"/>
                <w:szCs w:val="18"/>
                <w:color w:val="auto"/>
                <w:w w:val="88"/>
              </w:rPr>
              <w:t>.</w:t>
            </w:r>
          </w:p>
        </w:tc>
        <w:tc>
          <w:tcPr>
            <w:tcW w:w="9460" w:type="dxa"/>
            <w:vAlign w:val="bottom"/>
          </w:tcPr>
          <w:p>
            <w:pPr>
              <w:spacing w:after="0"/>
              <w:rPr>
                <w:sz w:val="24"/>
                <w:szCs w:val="24"/>
                <w:color w:val="auto"/>
              </w:rPr>
            </w:pPr>
          </w:p>
        </w:tc>
      </w:tr>
      <w:tr>
        <w:trPr>
          <w:trHeight w:val="323"/>
        </w:trPr>
        <w:tc>
          <w:tcPr>
            <w:tcW w:w="62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Arial" w:cs="Arial" w:eastAsia="Arial" w:hAnsi="Arial"/>
                <w:sz w:val="18"/>
                <w:szCs w:val="18"/>
                <w:b w:val="1"/>
                <w:bCs w:val="1"/>
                <w:color w:val="auto"/>
              </w:rPr>
              <w:t>16.4.1</w:t>
            </w:r>
          </w:p>
        </w:tc>
        <w:tc>
          <w:tcPr>
            <w:tcW w:w="9460" w:type="dxa"/>
            <w:vAlign w:val="bottom"/>
          </w:tcPr>
          <w:p>
            <w:pPr>
              <w:ind w:left="40"/>
              <w:spacing w:after="0"/>
              <w:rPr>
                <w:sz w:val="20"/>
                <w:szCs w:val="20"/>
                <w:color w:val="auto"/>
              </w:rPr>
            </w:pPr>
            <w:r>
              <w:rPr>
                <w:rFonts w:ascii="Arial" w:cs="Arial" w:eastAsia="Arial" w:hAnsi="Arial"/>
                <w:sz w:val="18"/>
                <w:szCs w:val="18"/>
                <w:color w:val="auto"/>
                <w:w w:val="96"/>
              </w:rPr>
              <w:t>Avro may assign its rights and obligations under this Agreement to (a) an Affiliate or (b) a Third Party in connection with the</w:t>
            </w:r>
          </w:p>
        </w:tc>
      </w:tr>
      <w:tr>
        <w:trPr>
          <w:trHeight w:val="216"/>
        </w:trPr>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60" w:type="dxa"/>
            <w:vAlign w:val="bottom"/>
          </w:tcPr>
          <w:p>
            <w:pPr>
              <w:ind w:left="40"/>
              <w:spacing w:after="0"/>
              <w:rPr>
                <w:sz w:val="20"/>
                <w:szCs w:val="20"/>
                <w:color w:val="auto"/>
              </w:rPr>
            </w:pPr>
            <w:r>
              <w:rPr>
                <w:rFonts w:ascii="Arial" w:cs="Arial" w:eastAsia="Arial" w:hAnsi="Arial"/>
                <w:sz w:val="18"/>
                <w:szCs w:val="18"/>
                <w:color w:val="auto"/>
                <w:w w:val="94"/>
              </w:rPr>
              <w:t>merger, consolidation, reorganization, or sale of all or substantially all of its assets or that portion of its business to which this</w:t>
            </w:r>
          </w:p>
        </w:tc>
      </w:tr>
      <w:tr>
        <w:trPr>
          <w:trHeight w:val="230"/>
        </w:trPr>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460" w:type="dxa"/>
            <w:vAlign w:val="bottom"/>
          </w:tcPr>
          <w:p>
            <w:pPr>
              <w:ind w:left="40"/>
              <w:spacing w:after="0"/>
              <w:rPr>
                <w:sz w:val="20"/>
                <w:szCs w:val="20"/>
                <w:color w:val="auto"/>
              </w:rPr>
            </w:pPr>
            <w:r>
              <w:rPr>
                <w:rFonts w:ascii="Arial" w:cs="Arial" w:eastAsia="Arial" w:hAnsi="Arial"/>
                <w:sz w:val="18"/>
                <w:szCs w:val="18"/>
                <w:color w:val="auto"/>
              </w:rPr>
              <w:t>Agreement relates.</w:t>
            </w:r>
          </w:p>
        </w:tc>
      </w:tr>
      <w:tr>
        <w:trPr>
          <w:trHeight w:val="319"/>
        </w:trPr>
        <w:tc>
          <w:tcPr>
            <w:tcW w:w="62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Arial" w:cs="Arial" w:eastAsia="Arial" w:hAnsi="Arial"/>
                <w:sz w:val="18"/>
                <w:szCs w:val="18"/>
                <w:b w:val="1"/>
                <w:bCs w:val="1"/>
                <w:color w:val="auto"/>
              </w:rPr>
              <w:t>16.4.2</w:t>
            </w:r>
          </w:p>
        </w:tc>
        <w:tc>
          <w:tcPr>
            <w:tcW w:w="9460" w:type="dxa"/>
            <w:vAlign w:val="bottom"/>
          </w:tcPr>
          <w:p>
            <w:pPr>
              <w:ind w:left="40"/>
              <w:spacing w:after="0"/>
              <w:rPr>
                <w:sz w:val="20"/>
                <w:szCs w:val="20"/>
                <w:color w:val="auto"/>
              </w:rPr>
            </w:pPr>
            <w:r>
              <w:rPr>
                <w:rFonts w:ascii="Arial" w:cs="Arial" w:eastAsia="Arial" w:hAnsi="Arial"/>
                <w:sz w:val="18"/>
                <w:szCs w:val="18"/>
                <w:color w:val="auto"/>
                <w:w w:val="91"/>
              </w:rPr>
              <w:t>In the event of (a) a merger or acquisition of Avro by a Third Party during the Term or (b) a sale of all or substantially all of Avro’s</w:t>
            </w:r>
          </w:p>
        </w:tc>
      </w:tr>
      <w:tr>
        <w:trPr>
          <w:trHeight w:val="234"/>
        </w:trPr>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460" w:type="dxa"/>
            <w:vAlign w:val="bottom"/>
          </w:tcPr>
          <w:p>
            <w:pPr>
              <w:ind w:left="40"/>
              <w:spacing w:after="0"/>
              <w:rPr>
                <w:sz w:val="20"/>
                <w:szCs w:val="20"/>
                <w:color w:val="auto"/>
              </w:rPr>
            </w:pPr>
            <w:r>
              <w:rPr>
                <w:rFonts w:ascii="Arial" w:cs="Arial" w:eastAsia="Arial" w:hAnsi="Arial"/>
                <w:sz w:val="18"/>
                <w:szCs w:val="18"/>
                <w:color w:val="auto"/>
                <w:w w:val="94"/>
              </w:rPr>
              <w:t>assets (including this Agreement) relating to the Licensed Products to a Third Party during the Term (respectively a “</w:t>
            </w:r>
            <w:r>
              <w:rPr>
                <w:rFonts w:ascii="Arial" w:cs="Arial" w:eastAsia="Arial" w:hAnsi="Arial"/>
                <w:sz w:val="18"/>
                <w:szCs w:val="18"/>
                <w:b w:val="1"/>
                <w:bCs w:val="1"/>
                <w:color w:val="auto"/>
                <w:w w:val="94"/>
              </w:rPr>
              <w:t>License</w:t>
            </w:r>
          </w:p>
        </w:tc>
      </w:tr>
    </w:tbl>
    <w:p>
      <w:pPr>
        <w:ind w:left="1940" w:right="20"/>
        <w:spacing w:after="0" w:line="25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w:t>
      </w:r>
      <w:r>
        <w:rPr>
          <w:rFonts w:ascii="Arial" w:cs="Arial" w:eastAsia="Arial" w:hAnsi="Arial"/>
          <w:sz w:val="18"/>
          <w:szCs w:val="18"/>
          <w:color w:val="auto"/>
        </w:rPr>
        <w:t>”), a “</w:t>
      </w:r>
      <w:r>
        <w:rPr>
          <w:rFonts w:ascii="Arial" w:cs="Arial" w:eastAsia="Arial" w:hAnsi="Arial"/>
          <w:sz w:val="18"/>
          <w:szCs w:val="18"/>
          <w:b w:val="1"/>
          <w:bCs w:val="1"/>
          <w:color w:val="auto"/>
        </w:rPr>
        <w:t>License Transfer Fee</w:t>
      </w:r>
      <w:r>
        <w:rPr>
          <w:rFonts w:ascii="Arial" w:cs="Arial" w:eastAsia="Arial" w:hAnsi="Arial"/>
          <w:sz w:val="18"/>
          <w:szCs w:val="18"/>
          <w:color w:val="auto"/>
        </w:rPr>
        <w:t>” shall be payable to UHN equal to [***] percent ([***]%) of proceeds from the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subject to a total cap of License Transfer Fees as between this Agreement and any License Transfer Fee payable under the IL-12 Agreement of [***]. For certainty and clarity, a License Transfer shall exclude any equity or debt financing (other than, for clarity, in connection with a sale of all or substantially of Avro’s assets (including this Agreement) relating to the Licensed Products to a Third Party), any initial public offering, or any transaction involving Avro or its Affiliates in which the stockholders of Avro or its Affiliates immediately preceding such transaction retain fifty percent (50%) or more of the outstanding shares, or fifty percent (50%) or more of the outstanding voting power, respectively, of the ultimate company or entity resulting from such transaction immediately after consummation thereof.</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22" w:name="page423"/>
    <w:bookmarkEnd w:id="422"/>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16.4.3</w:t>
            </w: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The License Transfer Fee payable in respect of the License Transfer will be due within [***] of the closing of the License Transfer</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(or actual receipt of consideration in the event of scheduled payments for the License Transfer), and will be payable in the same</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type of consideration (e.g., cash, securities, etc.) received by Avro or its stockholders. The License Transfer Fee shall only apply</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with respect to the first License Transfer and not with respect to any subsequent License Transfers. Notwithstanding the foregoing,</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(sub)licenses, licenses to manufacture, or licenses for distribution relating to Licensed Products or Licensed Technology, or sales of</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assets, (sub)licenses, licenses to manufacture, licenses for distribution or other transactions relating to other products, etc. shall not</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4"/>
              </w:rPr>
              <w:t>be deemed a License Transfer hereunder. The License Transfer Fee shall be in addition to any distributions due to UHN as a</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shareholder in Avro.</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16.5</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w w:val="90"/>
              </w:rPr>
              <w:t>No Joint Venture</w:t>
            </w:r>
            <w:r>
              <w:rPr>
                <w:rFonts w:ascii="Arial" w:cs="Arial" w:eastAsia="Arial" w:hAnsi="Arial"/>
                <w:sz w:val="18"/>
                <w:szCs w:val="18"/>
                <w:color w:val="auto"/>
                <w:w w:val="90"/>
              </w:rPr>
              <w:t>. Each Party is and will remain at all times independent of each other. The Parties are not and shall not be considered to be joint</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5"/>
              </w:rPr>
              <w:t>venturers, partners or agents of each other and neither of them shall have the power to bind or obligate the other except as set forth in this</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1"/>
              </w:rPr>
              <w:t>Agreement. The Parties mutually covenant and agree that neither shall they, in any way, incur any contractual or other obligation in the name of</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4"/>
              </w:rPr>
              <w:t>the other, nor shall they have liability for any debts incurred by the other. No representation will be made or acts taken by any of the Parties</w:t>
            </w:r>
          </w:p>
        </w:tc>
      </w:tr>
      <w:tr>
        <w:trPr>
          <w:trHeight w:val="230"/>
        </w:trPr>
        <w:tc>
          <w:tcPr>
            <w:tcW w:w="620" w:type="dxa"/>
            <w:vAlign w:val="bottom"/>
          </w:tcPr>
          <w:p>
            <w:pPr>
              <w:spacing w:after="0"/>
              <w:rPr>
                <w:sz w:val="20"/>
                <w:szCs w:val="20"/>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which could establish any apparent relationship of agency, joint venture, partnership or employment.</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16.6</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w w:val="92"/>
              </w:rPr>
              <w:t>Waiver</w:t>
            </w:r>
            <w:r>
              <w:rPr>
                <w:rFonts w:ascii="Arial" w:cs="Arial" w:eastAsia="Arial" w:hAnsi="Arial"/>
                <w:sz w:val="18"/>
                <w:szCs w:val="18"/>
                <w:color w:val="auto"/>
                <w:w w:val="92"/>
              </w:rPr>
              <w:t>. No amendment, supplement or waiver of any provision of this Agreement shall be binding on any Party unless consented to in writing</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3"/>
              </w:rPr>
              <w:t>by such Party. No waiver of any provision of this Agreement shall constitute a waiver of any other provision, nor shall any waiver constitute a</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2"/>
              </w:rPr>
              <w:t>continuing waiver unless otherwise expressly provided. Further, no failure or delay by any Party in exercising any right or remedy shall operate</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2"/>
              </w:rPr>
              <w:t>as a waiver of such right or remedy, nor shall any single or partial exercise or waiver of any right or remedy preclude its further exercise or the</w:t>
            </w:r>
          </w:p>
        </w:tc>
      </w:tr>
      <w:tr>
        <w:trPr>
          <w:trHeight w:val="230"/>
        </w:trPr>
        <w:tc>
          <w:tcPr>
            <w:tcW w:w="620" w:type="dxa"/>
            <w:vAlign w:val="bottom"/>
          </w:tcPr>
          <w:p>
            <w:pPr>
              <w:spacing w:after="0"/>
              <w:rPr>
                <w:sz w:val="20"/>
                <w:szCs w:val="20"/>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exercise of any other right or remedy.</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16.7</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w w:val="90"/>
              </w:rPr>
              <w:t>Joint Preparation</w:t>
            </w:r>
            <w:r>
              <w:rPr>
                <w:rFonts w:ascii="Arial" w:cs="Arial" w:eastAsia="Arial" w:hAnsi="Arial"/>
                <w:sz w:val="18"/>
                <w:szCs w:val="18"/>
                <w:color w:val="auto"/>
                <w:w w:val="90"/>
              </w:rPr>
              <w:t>. This Agreement shall be deemed to be jointly prepared by the Parties, and any ambiguity herein shall not be construed for or</w:t>
            </w:r>
          </w:p>
        </w:tc>
      </w:tr>
      <w:tr>
        <w:trPr>
          <w:trHeight w:val="230"/>
        </w:trPr>
        <w:tc>
          <w:tcPr>
            <w:tcW w:w="620" w:type="dxa"/>
            <w:vAlign w:val="bottom"/>
          </w:tcPr>
          <w:p>
            <w:pPr>
              <w:spacing w:after="0"/>
              <w:rPr>
                <w:sz w:val="20"/>
                <w:szCs w:val="20"/>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against any single Party.</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16.8</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w w:val="91"/>
              </w:rPr>
              <w:t>Governing Law</w:t>
            </w:r>
            <w:r>
              <w:rPr>
                <w:rFonts w:ascii="Arial" w:cs="Arial" w:eastAsia="Arial" w:hAnsi="Arial"/>
                <w:sz w:val="18"/>
                <w:szCs w:val="18"/>
                <w:color w:val="auto"/>
                <w:w w:val="91"/>
              </w:rPr>
              <w:t>. This Agreement shall be governed by the laws of the Province of Ontario and the laws of Canada applicable therein, and shall</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1"/>
              </w:rPr>
              <w:t>be treated as an Ontario contract. Subject to Article 14, the Parties irrevocably and unconditionally submit to the exclusive jurisdiction the courts</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2"/>
              </w:rPr>
              <w:t>of Ontario and all courts competent to hear appeals therefrom in connection with any matters arising under this Agreement, except for disputes</w:t>
            </w:r>
          </w:p>
        </w:tc>
      </w:tr>
      <w:tr>
        <w:trPr>
          <w:trHeight w:val="230"/>
        </w:trPr>
        <w:tc>
          <w:tcPr>
            <w:tcW w:w="620" w:type="dxa"/>
            <w:vAlign w:val="bottom"/>
          </w:tcPr>
          <w:p>
            <w:pPr>
              <w:spacing w:after="0"/>
              <w:rPr>
                <w:sz w:val="20"/>
                <w:szCs w:val="20"/>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under Sections 4.6,11.3.1,11.3.2,11.3.3 or 11.5, each of which shall be addressed pursuant to Section 14.3.</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16.9</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w w:val="96"/>
              </w:rPr>
              <w:t>Severability of Provisions</w:t>
            </w:r>
            <w:r>
              <w:rPr>
                <w:rFonts w:ascii="Arial" w:cs="Arial" w:eastAsia="Arial" w:hAnsi="Arial"/>
                <w:sz w:val="18"/>
                <w:szCs w:val="18"/>
                <w:color w:val="auto"/>
                <w:w w:val="96"/>
              </w:rPr>
              <w:t>. In the event that any provisions of this Agreement is determined to be invalid or unenforceable by a court of</w:t>
            </w:r>
          </w:p>
        </w:tc>
      </w:tr>
      <w:tr>
        <w:trPr>
          <w:trHeight w:val="230"/>
        </w:trPr>
        <w:tc>
          <w:tcPr>
            <w:tcW w:w="620" w:type="dxa"/>
            <w:vAlign w:val="bottom"/>
          </w:tcPr>
          <w:p>
            <w:pPr>
              <w:spacing w:after="0"/>
              <w:rPr>
                <w:sz w:val="20"/>
                <w:szCs w:val="20"/>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5"/>
              </w:rPr>
              <w:t>competent jurisdiction in any jurisdiction, the remainder of this Agreement shall remain in full force and effect without said provision in said</w:t>
            </w:r>
          </w:p>
        </w:tc>
      </w:tr>
    </w:tbl>
    <w:p>
      <w:pPr>
        <w:ind w:left="920" w:right="3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jurisdiction and such determination shall not affect the validity or enforceability of such provision or this Agreement in any other jurisdiction. The Parties shall in good faith negotiate a substitute clause for any provision declared invalid or unenforceable, which shall most nearly approximate the intent of the Parties in entering this Agreement.</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69" w:right="239" w:bottom="1440" w:gutter="0" w:footer="0" w:header="0"/>
        </w:sectPr>
      </w:pPr>
    </w:p>
    <w:bookmarkStart w:id="423" w:name="page424"/>
    <w:bookmarkEnd w:id="423"/>
    <w:p>
      <w:pPr>
        <w:ind w:left="920" w:right="60" w:hanging="904"/>
        <w:spacing w:after="0" w:line="256" w:lineRule="auto"/>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16.10</w:t>
      </w:r>
      <w:r>
        <w:rPr>
          <w:sz w:val="20"/>
          <w:szCs w:val="20"/>
          <w:color w:val="auto"/>
        </w:rPr>
        <w:tab/>
      </w:r>
      <w:r>
        <w:rPr>
          <w:rFonts w:ascii="Arial" w:cs="Arial" w:eastAsia="Arial" w:hAnsi="Arial"/>
          <w:sz w:val="18"/>
          <w:szCs w:val="18"/>
          <w:b w:val="1"/>
          <w:bCs w:val="1"/>
          <w:color w:val="auto"/>
        </w:rPr>
        <w:t>Force Majeure</w:t>
      </w:r>
      <w:r>
        <w:rPr>
          <w:rFonts w:ascii="Arial" w:cs="Arial" w:eastAsia="Arial" w:hAnsi="Arial"/>
          <w:sz w:val="18"/>
          <w:szCs w:val="18"/>
          <w:color w:val="auto"/>
        </w:rPr>
        <w:t>. In the event that any one of the Parties is prevented from fulfilling any of its obligations herein by acts of God, war, terrorism,</w:t>
      </w:r>
      <w:r>
        <w:rPr>
          <w:rFonts w:ascii="Arial" w:cs="Arial" w:eastAsia="Arial" w:hAnsi="Arial"/>
          <w:sz w:val="18"/>
          <w:szCs w:val="18"/>
          <w:b w:val="1"/>
          <w:bCs w:val="1"/>
          <w:color w:val="auto"/>
        </w:rPr>
        <w:t xml:space="preserve"> </w:t>
      </w:r>
      <w:r>
        <w:rPr>
          <w:rFonts w:ascii="Arial" w:cs="Arial" w:eastAsia="Arial" w:hAnsi="Arial"/>
          <w:sz w:val="18"/>
          <w:szCs w:val="18"/>
          <w:color w:val="auto"/>
        </w:rPr>
        <w:t>strikes, riots, storms, fires, governmental orders or restrictions or any other cause beyond its control, the payment of royalties or milestones or other required payments, or the applicable pro rata portion thereof, shall be suspended during the full period of any such prevention, but payment of Royalties, Sublicensing Fee(s), milestones or other required payments which have accrued for payment prior to, during or after such cause shall not be excused. UHN will have the right to immediately terminate this Agreement in the event that Avro is unable to fulfill its obligations further to this Section 16.10 for a period of [***].</w:t>
      </w:r>
    </w:p>
    <w:p>
      <w:pPr>
        <w:spacing w:after="0" w:line="93" w:lineRule="exact"/>
        <w:rPr>
          <w:sz w:val="20"/>
          <w:szCs w:val="20"/>
          <w:color w:val="auto"/>
        </w:rPr>
      </w:pPr>
    </w:p>
    <w:p>
      <w:pPr>
        <w:ind w:left="920" w:right="60" w:hanging="904"/>
        <w:spacing w:after="0" w:line="274" w:lineRule="auto"/>
        <w:tabs>
          <w:tab w:leader="none" w:pos="900" w:val="left"/>
        </w:tabs>
        <w:rPr>
          <w:sz w:val="20"/>
          <w:szCs w:val="20"/>
          <w:color w:val="auto"/>
        </w:rPr>
      </w:pPr>
      <w:r>
        <w:rPr>
          <w:rFonts w:ascii="Arial" w:cs="Arial" w:eastAsia="Arial" w:hAnsi="Arial"/>
          <w:sz w:val="18"/>
          <w:szCs w:val="18"/>
          <w:b w:val="1"/>
          <w:bCs w:val="1"/>
          <w:color w:val="auto"/>
        </w:rPr>
        <w:t>16.11</w:t>
      </w:r>
      <w:r>
        <w:rPr>
          <w:sz w:val="20"/>
          <w:szCs w:val="20"/>
          <w:color w:val="auto"/>
        </w:rPr>
        <w:tab/>
      </w:r>
      <w:r>
        <w:rPr>
          <w:rFonts w:ascii="Arial" w:cs="Arial" w:eastAsia="Arial" w:hAnsi="Arial"/>
          <w:sz w:val="17"/>
          <w:szCs w:val="17"/>
          <w:b w:val="1"/>
          <w:bCs w:val="1"/>
          <w:color w:val="auto"/>
        </w:rPr>
        <w:t>Survival</w:t>
      </w:r>
      <w:r>
        <w:rPr>
          <w:rFonts w:ascii="Arial" w:cs="Arial" w:eastAsia="Arial" w:hAnsi="Arial"/>
          <w:sz w:val="17"/>
          <w:szCs w:val="17"/>
          <w:color w:val="auto"/>
        </w:rPr>
        <w:t>. The termination or expiration of this Agreement shall not relieve the Parties of any obligations accruing prior to such expiration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(including any payments accrued and delayed pursuant to Section 5.7), and any such expiration or termination shall be without prejudice to the rights of either Party against the other Party. Sections 2.3 (last sentence), 4.3, 4.11, 4.12, 4.13, 4.14, 6.3, 11.4, 11.5, 11.6, 12.1, 13.1, and 13.2 and Articles 1,9, 10, 14, 15 and 16 (excluding Section 16.4.2 and 16.4.3 if License Transfer occurs after expiration or termination) shall remain in force and effect after the expiration or earlier termination of this Agreement until such time as specifically noted in a particular Section or Article, or the Parties mutually agree to the release of the obligation (in whole or in part) contained therein.</w:t>
      </w:r>
    </w:p>
    <w:p>
      <w:pPr>
        <w:spacing w:after="0" w:line="79" w:lineRule="exact"/>
        <w:rPr>
          <w:sz w:val="20"/>
          <w:szCs w:val="20"/>
          <w:color w:val="auto"/>
        </w:rPr>
      </w:pPr>
    </w:p>
    <w:p>
      <w:pPr>
        <w:ind w:left="920" w:right="160" w:hanging="904"/>
        <w:spacing w:after="0" w:line="281" w:lineRule="auto"/>
        <w:tabs>
          <w:tab w:leader="none" w:pos="900" w:val="left"/>
        </w:tabs>
        <w:rPr>
          <w:sz w:val="20"/>
          <w:szCs w:val="20"/>
          <w:color w:val="auto"/>
        </w:rPr>
      </w:pPr>
      <w:r>
        <w:rPr>
          <w:rFonts w:ascii="Arial" w:cs="Arial" w:eastAsia="Arial" w:hAnsi="Arial"/>
          <w:sz w:val="18"/>
          <w:szCs w:val="18"/>
          <w:b w:val="1"/>
          <w:bCs w:val="1"/>
          <w:color w:val="auto"/>
        </w:rPr>
        <w:t>16.12</w:t>
      </w:r>
      <w:r>
        <w:rPr>
          <w:sz w:val="20"/>
          <w:szCs w:val="20"/>
          <w:color w:val="auto"/>
        </w:rPr>
        <w:tab/>
      </w:r>
      <w:r>
        <w:rPr>
          <w:rFonts w:ascii="Arial" w:cs="Arial" w:eastAsia="Arial" w:hAnsi="Arial"/>
          <w:sz w:val="17"/>
          <w:szCs w:val="17"/>
          <w:b w:val="1"/>
          <w:bCs w:val="1"/>
          <w:color w:val="auto"/>
        </w:rPr>
        <w:t>Counterparts</w:t>
      </w:r>
      <w:r>
        <w:rPr>
          <w:rFonts w:ascii="Arial" w:cs="Arial" w:eastAsia="Arial" w:hAnsi="Arial"/>
          <w:sz w:val="17"/>
          <w:szCs w:val="17"/>
          <w:color w:val="auto"/>
        </w:rPr>
        <w:t>. This Agreement may be executed in counterparts each of which shall be deemed an original but all of which together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one and the same instrument. Transmission by facsimile, email or other form of electronic transmission of an executed counterpart of this Agreement shall be deemed to constitute due and sufficient delivery of such counterpart. Alternatively, the Agreement may be exchanged and executed by facsimile or other form of electronic transmission as a single document.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0" w:right="239" w:bottom="1440" w:gutter="0" w:footer="0" w:header="0"/>
        </w:sectPr>
      </w:pPr>
    </w:p>
    <w:bookmarkStart w:id="424" w:name="page425"/>
    <w:bookmarkEnd w:id="42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executing this Agreement so as to be effective on the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UNIVERSITY HEALTH NETWORK</w:t>
            </w:r>
          </w:p>
        </w:tc>
        <w:tc>
          <w:tcPr>
            <w:tcW w:w="6460" w:type="dxa"/>
            <w:vAlign w:val="bottom"/>
            <w:gridSpan w:val="3"/>
          </w:tcPr>
          <w:p>
            <w:pPr>
              <w:ind w:left="1100"/>
              <w:spacing w:after="0"/>
              <w:rPr>
                <w:sz w:val="20"/>
                <w:szCs w:val="20"/>
                <w:color w:val="auto"/>
              </w:rPr>
            </w:pPr>
            <w:r>
              <w:rPr>
                <w:rFonts w:ascii="Arial" w:cs="Arial" w:eastAsia="Arial" w:hAnsi="Arial"/>
                <w:sz w:val="18"/>
                <w:szCs w:val="18"/>
                <w:b w:val="1"/>
                <w:bCs w:val="1"/>
                <w:color w:val="auto"/>
              </w:rPr>
              <w:t>AvroBio</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w:t>
            </w:r>
          </w:p>
        </w:tc>
      </w:tr>
      <w:tr>
        <w:trPr>
          <w:trHeight w:val="419"/>
        </w:trPr>
        <w:tc>
          <w:tcPr>
            <w:tcW w:w="4960" w:type="dxa"/>
            <w:vAlign w:val="bottom"/>
            <w:gridSpan w:val="3"/>
          </w:tcPr>
          <w:p>
            <w:pPr>
              <w:spacing w:after="0"/>
              <w:rPr>
                <w:sz w:val="20"/>
                <w:szCs w:val="20"/>
                <w:color w:val="auto"/>
              </w:rPr>
            </w:pPr>
            <w:r>
              <w:rPr>
                <w:rFonts w:ascii="Arial" w:cs="Arial" w:eastAsia="Arial" w:hAnsi="Arial"/>
                <w:sz w:val="18"/>
                <w:szCs w:val="18"/>
                <w:color w:val="auto"/>
              </w:rPr>
              <w:t>Per: /s/ Bradly G. Wouters</w:t>
            </w:r>
          </w:p>
        </w:tc>
        <w:tc>
          <w:tcPr>
            <w:tcW w:w="6460" w:type="dxa"/>
            <w:vAlign w:val="bottom"/>
            <w:gridSpan w:val="3"/>
          </w:tcPr>
          <w:p>
            <w:pPr>
              <w:ind w:left="1100"/>
              <w:spacing w:after="0"/>
              <w:rPr>
                <w:sz w:val="20"/>
                <w:szCs w:val="20"/>
                <w:color w:val="auto"/>
              </w:rPr>
            </w:pPr>
            <w:r>
              <w:rPr>
                <w:rFonts w:ascii="Arial" w:cs="Arial" w:eastAsia="Arial" w:hAnsi="Arial"/>
                <w:sz w:val="18"/>
                <w:szCs w:val="18"/>
                <w:color w:val="auto"/>
              </w:rPr>
              <w:t>Per: /s/ Geoff MacKay</w:t>
            </w:r>
          </w:p>
        </w:tc>
      </w:tr>
      <w:tr>
        <w:trPr>
          <w:trHeight w:val="20"/>
        </w:trPr>
        <w:tc>
          <w:tcPr>
            <w:tcW w:w="30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2"/>
        </w:trPr>
        <w:tc>
          <w:tcPr>
            <w:tcW w:w="4960" w:type="dxa"/>
            <w:vAlign w:val="bottom"/>
            <w:gridSpan w:val="3"/>
          </w:tcPr>
          <w:p>
            <w:pPr>
              <w:spacing w:after="0"/>
              <w:rPr>
                <w:sz w:val="20"/>
                <w:szCs w:val="20"/>
                <w:color w:val="auto"/>
              </w:rPr>
            </w:pPr>
            <w:r>
              <w:rPr>
                <w:rFonts w:ascii="Arial" w:cs="Arial" w:eastAsia="Arial" w:hAnsi="Arial"/>
                <w:sz w:val="18"/>
                <w:szCs w:val="18"/>
                <w:color w:val="auto"/>
              </w:rPr>
              <w:t>Name: Dr. Bradly G. Wouters</w:t>
            </w:r>
          </w:p>
        </w:tc>
        <w:tc>
          <w:tcPr>
            <w:tcW w:w="6460" w:type="dxa"/>
            <w:vAlign w:val="bottom"/>
            <w:gridSpan w:val="3"/>
          </w:tcPr>
          <w:p>
            <w:pPr>
              <w:ind w:left="1100"/>
              <w:spacing w:after="0"/>
              <w:rPr>
                <w:sz w:val="20"/>
                <w:szCs w:val="20"/>
                <w:color w:val="auto"/>
              </w:rPr>
            </w:pPr>
            <w:r>
              <w:rPr>
                <w:rFonts w:ascii="Arial" w:cs="Arial" w:eastAsia="Arial" w:hAnsi="Arial"/>
                <w:sz w:val="18"/>
                <w:szCs w:val="18"/>
                <w:color w:val="auto"/>
              </w:rPr>
              <w:t>Name: Geoff MacKay</w:t>
            </w:r>
          </w:p>
        </w:tc>
      </w:tr>
      <w:tr>
        <w:trPr>
          <w:trHeight w:val="230"/>
        </w:trPr>
        <w:tc>
          <w:tcPr>
            <w:tcW w:w="4960" w:type="dxa"/>
            <w:vAlign w:val="bottom"/>
            <w:gridSpan w:val="3"/>
          </w:tcPr>
          <w:p>
            <w:pPr>
              <w:spacing w:after="0"/>
              <w:rPr>
                <w:sz w:val="20"/>
                <w:szCs w:val="20"/>
                <w:color w:val="auto"/>
              </w:rPr>
            </w:pPr>
            <w:r>
              <w:rPr>
                <w:rFonts w:ascii="Arial" w:cs="Arial" w:eastAsia="Arial" w:hAnsi="Arial"/>
                <w:sz w:val="18"/>
                <w:szCs w:val="18"/>
                <w:color w:val="auto"/>
              </w:rPr>
              <w:t>Title: Executive Vice President Science and Research</w:t>
            </w:r>
          </w:p>
        </w:tc>
        <w:tc>
          <w:tcPr>
            <w:tcW w:w="6460" w:type="dxa"/>
            <w:vAlign w:val="bottom"/>
            <w:gridSpan w:val="3"/>
          </w:tcPr>
          <w:p>
            <w:pPr>
              <w:ind w:left="1100"/>
              <w:spacing w:after="0"/>
              <w:rPr>
                <w:sz w:val="20"/>
                <w:szCs w:val="20"/>
                <w:color w:val="auto"/>
              </w:rPr>
            </w:pPr>
            <w:r>
              <w:rPr>
                <w:rFonts w:ascii="Arial" w:cs="Arial" w:eastAsia="Arial" w:hAnsi="Arial"/>
                <w:sz w:val="18"/>
                <w:szCs w:val="18"/>
                <w:color w:val="auto"/>
              </w:rPr>
              <w:t>Title: President and Chief Executive Officer</w:t>
            </w:r>
          </w:p>
        </w:tc>
      </w:tr>
      <w:tr>
        <w:trPr>
          <w:trHeight w:val="378"/>
        </w:trPr>
        <w:tc>
          <w:tcPr>
            <w:tcW w:w="3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20" w:type="dxa"/>
            <w:vAlign w:val="bottom"/>
            <w:gridSpan w:val="2"/>
          </w:tcPr>
          <w:p>
            <w:pPr>
              <w:ind w:left="1920"/>
              <w:spacing w:after="0"/>
              <w:rPr>
                <w:sz w:val="20"/>
                <w:szCs w:val="20"/>
                <w:color w:val="auto"/>
              </w:rPr>
            </w:pPr>
            <w:r>
              <w:rPr>
                <w:rFonts w:ascii="Arial" w:cs="Arial" w:eastAsia="Arial" w:hAnsi="Arial"/>
                <w:sz w:val="18"/>
                <w:szCs w:val="18"/>
                <w:color w:val="auto"/>
                <w:w w:val="94"/>
              </w:rPr>
              <w:t>*** Confidential Treatment Requested ***</w:t>
            </w:r>
          </w:p>
        </w:tc>
      </w:tr>
    </w:tbl>
    <w:p>
      <w:pPr>
        <w:sectPr>
          <w:pgSz w:w="11900" w:h="16838" w:orient="portrait"/>
          <w:cols w:equalWidth="0" w:num="1">
            <w:col w:w="11420"/>
          </w:cols>
          <w:pgMar w:left="240" w:top="274" w:right="239" w:bottom="1440" w:gutter="0" w:footer="0" w:header="0"/>
        </w:sectPr>
      </w:pPr>
    </w:p>
    <w:bookmarkStart w:id="425" w:name="page426"/>
    <w:bookmarkEnd w:id="4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400" w:type="dxa"/>
            <w:vAlign w:val="bottom"/>
          </w:tcPr>
          <w:p>
            <w:pPr>
              <w:jc w:val="right"/>
              <w:ind w:right="5110"/>
              <w:spacing w:after="0"/>
              <w:rPr>
                <w:sz w:val="20"/>
                <w:szCs w:val="20"/>
                <w:color w:val="auto"/>
              </w:rPr>
            </w:pPr>
            <w:r>
              <w:rPr>
                <w:rFonts w:ascii="Arial" w:cs="Arial" w:eastAsia="Arial" w:hAnsi="Arial"/>
                <w:sz w:val="18"/>
                <w:szCs w:val="18"/>
                <w:b w:val="1"/>
                <w:bCs w:val="1"/>
                <w:color w:val="auto"/>
              </w:rPr>
              <w:t xml:space="preserve">Schedule </w:t>
            </w: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w:t>
            </w:r>
          </w:p>
        </w:tc>
      </w:tr>
      <w:tr>
        <w:trPr>
          <w:trHeight w:val="432"/>
        </w:trPr>
        <w:tc>
          <w:tcPr>
            <w:tcW w:w="1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400" w:type="dxa"/>
            <w:vAlign w:val="bottom"/>
          </w:tcPr>
          <w:p>
            <w:pPr>
              <w:jc w:val="right"/>
              <w:ind w:right="4910"/>
              <w:spacing w:after="0"/>
              <w:rPr>
                <w:sz w:val="20"/>
                <w:szCs w:val="20"/>
                <w:color w:val="auto"/>
              </w:rPr>
            </w:pPr>
            <w:r>
              <w:rPr>
                <w:rFonts w:ascii="Arial" w:cs="Arial" w:eastAsia="Arial" w:hAnsi="Arial"/>
                <w:sz w:val="18"/>
                <w:szCs w:val="18"/>
                <w:b w:val="1"/>
                <w:bCs w:val="1"/>
                <w:color w:val="auto"/>
              </w:rPr>
              <w:t>Fabry Know-How</w:t>
            </w:r>
          </w:p>
        </w:tc>
      </w:tr>
      <w:tr>
        <w:trPr>
          <w:trHeight w:val="445"/>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spacing w:after="0"/>
              <w:rPr>
                <w:sz w:val="18"/>
                <w:szCs w:val="18"/>
                <w:color w:val="auto"/>
              </w:rPr>
            </w:pP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spacing w:after="0"/>
              <w:rPr>
                <w:sz w:val="18"/>
                <w:szCs w:val="18"/>
                <w:color w:val="auto"/>
              </w:rPr>
            </w:pP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spacing w:after="0"/>
              <w:rPr>
                <w:sz w:val="18"/>
                <w:szCs w:val="18"/>
                <w:color w:val="auto"/>
              </w:rPr>
            </w:pPr>
          </w:p>
        </w:tc>
        <w:tc>
          <w:tcPr>
            <w:tcW w:w="7400" w:type="dxa"/>
            <w:vAlign w:val="bottom"/>
          </w:tcPr>
          <w:p>
            <w:pPr>
              <w:spacing w:after="0"/>
              <w:rPr>
                <w:sz w:val="18"/>
                <w:szCs w:val="18"/>
                <w:color w:val="auto"/>
              </w:rPr>
            </w:pP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30"/>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365"/>
        </w:trPr>
        <w:tc>
          <w:tcPr>
            <w:tcW w:w="1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400" w:type="dxa"/>
            <w:vAlign w:val="bottom"/>
          </w:tcPr>
          <w:p>
            <w:pPr>
              <w:jc w:val="right"/>
              <w:spacing w:after="0"/>
              <w:rPr>
                <w:sz w:val="20"/>
                <w:szCs w:val="20"/>
                <w:color w:val="auto"/>
              </w:rPr>
            </w:pPr>
            <w:r>
              <w:rPr>
                <w:rFonts w:ascii="Arial" w:cs="Arial" w:eastAsia="Arial" w:hAnsi="Arial"/>
                <w:sz w:val="18"/>
                <w:szCs w:val="18"/>
                <w:color w:val="auto"/>
              </w:rPr>
              <w:t>*** Confidential Treatment Requested ***</w:t>
            </w:r>
          </w:p>
        </w:tc>
      </w:tr>
    </w:tbl>
    <w:p>
      <w:pPr>
        <w:sectPr>
          <w:pgSz w:w="11900" w:h="16838" w:orient="portrait"/>
          <w:cols w:equalWidth="0" w:num="1">
            <w:col w:w="11420"/>
          </w:cols>
          <w:pgMar w:left="240" w:top="269" w:right="239" w:bottom="1440" w:gutter="0" w:footer="0" w:header="0"/>
        </w:sectPr>
      </w:pPr>
    </w:p>
    <w:bookmarkStart w:id="426" w:name="page427"/>
    <w:bookmarkEnd w:id="4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spacing w:after="0"/>
              <w:rPr>
                <w:sz w:val="18"/>
                <w:szCs w:val="18"/>
                <w:color w:val="auto"/>
              </w:rPr>
            </w:pP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spacing w:after="0"/>
              <w:rPr>
                <w:sz w:val="18"/>
                <w:szCs w:val="18"/>
                <w:color w:val="auto"/>
              </w:rPr>
            </w:pP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spacing w:after="0"/>
              <w:rPr>
                <w:sz w:val="18"/>
                <w:szCs w:val="18"/>
                <w:color w:val="auto"/>
              </w:rPr>
            </w:pP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spacing w:after="0"/>
              <w:rPr>
                <w:sz w:val="18"/>
                <w:szCs w:val="18"/>
                <w:color w:val="auto"/>
              </w:rPr>
            </w:pP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30"/>
        </w:trPr>
        <w:tc>
          <w:tcPr>
            <w:tcW w:w="1520" w:type="dxa"/>
            <w:vAlign w:val="bottom"/>
          </w:tcPr>
          <w:p>
            <w:pPr>
              <w:spacing w:after="0"/>
              <w:rPr>
                <w:sz w:val="20"/>
                <w:szCs w:val="20"/>
                <w:color w:val="auto"/>
              </w:rPr>
            </w:pP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418"/>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spacing w:after="0"/>
              <w:rPr>
                <w:sz w:val="18"/>
                <w:szCs w:val="18"/>
                <w:color w:val="auto"/>
              </w:rPr>
            </w:pPr>
          </w:p>
        </w:tc>
        <w:tc>
          <w:tcPr>
            <w:tcW w:w="5740" w:type="dxa"/>
            <w:vAlign w:val="bottom"/>
          </w:tcPr>
          <w:p>
            <w:pPr>
              <w:spacing w:after="0"/>
              <w:rPr>
                <w:sz w:val="18"/>
                <w:szCs w:val="18"/>
                <w:color w:val="auto"/>
              </w:rPr>
            </w:pP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spacing w:after="0"/>
              <w:rPr>
                <w:sz w:val="18"/>
                <w:szCs w:val="18"/>
                <w:color w:val="auto"/>
              </w:rPr>
            </w:pPr>
          </w:p>
        </w:tc>
        <w:tc>
          <w:tcPr>
            <w:tcW w:w="5740" w:type="dxa"/>
            <w:vAlign w:val="bottom"/>
          </w:tcPr>
          <w:p>
            <w:pPr>
              <w:spacing w:after="0"/>
              <w:rPr>
                <w:sz w:val="18"/>
                <w:szCs w:val="18"/>
                <w:color w:val="auto"/>
              </w:rPr>
            </w:pPr>
          </w:p>
        </w:tc>
      </w:tr>
      <w:tr>
        <w:trPr>
          <w:trHeight w:val="230"/>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spacing w:after="0"/>
              <w:rPr>
                <w:sz w:val="20"/>
                <w:szCs w:val="20"/>
                <w:color w:val="auto"/>
              </w:rPr>
            </w:pPr>
          </w:p>
        </w:tc>
        <w:tc>
          <w:tcPr>
            <w:tcW w:w="5740" w:type="dxa"/>
            <w:vAlign w:val="bottom"/>
          </w:tcPr>
          <w:p>
            <w:pPr>
              <w:spacing w:after="0"/>
              <w:rPr>
                <w:sz w:val="20"/>
                <w:szCs w:val="20"/>
                <w:color w:val="auto"/>
              </w:rPr>
            </w:pPr>
          </w:p>
        </w:tc>
      </w:tr>
      <w:tr>
        <w:trPr>
          <w:trHeight w:val="365"/>
        </w:trPr>
        <w:tc>
          <w:tcPr>
            <w:tcW w:w="15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740" w:type="dxa"/>
            <w:vAlign w:val="bottom"/>
          </w:tcPr>
          <w:p>
            <w:pPr>
              <w:jc w:val="right"/>
              <w:spacing w:after="0"/>
              <w:rPr>
                <w:sz w:val="20"/>
                <w:szCs w:val="20"/>
                <w:color w:val="auto"/>
              </w:rPr>
            </w:pPr>
            <w:r>
              <w:rPr>
                <w:rFonts w:ascii="Arial" w:cs="Arial" w:eastAsia="Arial" w:hAnsi="Arial"/>
                <w:sz w:val="18"/>
                <w:szCs w:val="18"/>
                <w:color w:val="auto"/>
              </w:rPr>
              <w:t>*** Confidential Treatment Requested ***</w:t>
            </w:r>
          </w:p>
        </w:tc>
      </w:tr>
    </w:tbl>
    <w:p>
      <w:pPr>
        <w:sectPr>
          <w:pgSz w:w="11900" w:h="16838" w:orient="portrait"/>
          <w:cols w:equalWidth="0" w:num="1">
            <w:col w:w="11420"/>
          </w:cols>
          <w:pgMar w:left="240" w:top="274" w:right="239" w:bottom="1440" w:gutter="0" w:footer="0" w:header="0"/>
        </w:sectPr>
      </w:pPr>
    </w:p>
    <w:bookmarkStart w:id="427" w:name="page428"/>
    <w:bookmarkEnd w:id="4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28" w:name="page429"/>
    <w:bookmarkEnd w:id="4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Schedule </w:t>
      </w: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Fabry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29" w:name="page430"/>
    <w:bookmarkEnd w:id="429"/>
    <w:p>
      <w:pPr>
        <w:jc w:val="center"/>
        <w:ind w:right="1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Licensed SRA IP</w:t>
      </w:r>
    </w:p>
    <w:p>
      <w:pPr>
        <w:spacing w:after="0" w:line="22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(as amended and updated)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0220"/>
          </w:cols>
          <w:pgMar w:left="1440" w:top="270" w:right="239" w:bottom="1440" w:gutter="0" w:footer="0" w:header="0"/>
        </w:sectPr>
      </w:pPr>
    </w:p>
    <w:bookmarkStart w:id="430" w:name="page431"/>
    <w:bookmarkEnd w:id="43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Optioned Improvement Patent</w:t>
      </w:r>
      <w:r>
        <w:rPr>
          <w:rFonts w:ascii="Arial" w:cs="Arial" w:eastAsia="Arial" w:hAnsi="Arial"/>
          <w:sz w:val="16"/>
          <w:szCs w:val="16"/>
          <w:color w:val="auto"/>
        </w:rPr>
        <w:t>(</w:t>
      </w:r>
      <w:r>
        <w:rPr>
          <w:rFonts w:ascii="Arial" w:cs="Arial" w:eastAsia="Arial" w:hAnsi="Arial"/>
          <w:sz w:val="16"/>
          <w:szCs w:val="16"/>
          <w:b w:val="1"/>
          <w:bCs w:val="1"/>
          <w:color w:val="auto"/>
        </w:rPr>
        <w:t>s</w:t>
      </w:r>
      <w:r>
        <w:rPr>
          <w:rFonts w:ascii="Arial" w:cs="Arial" w:eastAsia="Arial" w:hAnsi="Arial"/>
          <w:sz w:val="16"/>
          <w:szCs w:val="16"/>
          <w:color w:val="auto"/>
        </w:rPr>
        <w:t>)</w:t>
      </w:r>
    </w:p>
    <w:p>
      <w:pPr>
        <w:spacing w:after="0" w:line="252"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(as amended and updated)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0220"/>
          </w:cols>
          <w:pgMar w:left="1440" w:top="269" w:right="239" w:bottom="1440" w:gutter="0" w:footer="0" w:header="0"/>
        </w:sectPr>
      </w:pPr>
    </w:p>
    <w:bookmarkStart w:id="431" w:name="page432"/>
    <w:bookmarkEnd w:id="431"/>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jc w:val="center"/>
        <w:ind w:left="260" w:right="1780"/>
        <w:spacing w:after="0" w:line="257"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406 PROMULGATED UNDER THE SECURITIES ACT OF 1933, AS AMENDED.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License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and entered into effective as of </w:t>
      </w:r>
      <w:r>
        <w:rPr>
          <w:rFonts w:ascii="Arial" w:cs="Arial" w:eastAsia="Arial" w:hAnsi="Arial"/>
          <w:sz w:val="18"/>
          <w:szCs w:val="18"/>
          <w:b w:val="1"/>
          <w:bCs w:val="1"/>
          <w:color w:val="auto"/>
        </w:rPr>
        <w:t>August 31, 2017</w:t>
      </w:r>
      <w:r>
        <w:rPr>
          <w:rFonts w:ascii="Arial" w:cs="Arial" w:eastAsia="Arial" w:hAnsi="Arial"/>
          <w:sz w:val="18"/>
          <w:szCs w:val="18"/>
          <w:color w:val="auto"/>
        </w:rPr>
        <w:t xml:space="preserve">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BioMarin Pharmaceutical Inc</w:t>
      </w:r>
      <w:r>
        <w:rPr>
          <w:rFonts w:ascii="Arial" w:cs="Arial" w:eastAsia="Arial" w:hAnsi="Arial"/>
          <w:sz w:val="18"/>
          <w:szCs w:val="18"/>
          <w:color w:val="auto"/>
        </w:rPr>
        <w:t>., a Delaware corporation located at 770 Lindaro Street, San Rafael, CA 94901 (“</w:t>
      </w:r>
      <w:r>
        <w:rPr>
          <w:rFonts w:ascii="Arial" w:cs="Arial" w:eastAsia="Arial" w:hAnsi="Arial"/>
          <w:sz w:val="18"/>
          <w:szCs w:val="18"/>
          <w:b w:val="1"/>
          <w:bCs w:val="1"/>
          <w:color w:val="auto"/>
        </w:rPr>
        <w:t>BioMarin</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AVROBIO, Inc</w:t>
      </w:r>
      <w:r>
        <w:rPr>
          <w:rFonts w:ascii="Arial" w:cs="Arial" w:eastAsia="Arial" w:hAnsi="Arial"/>
          <w:sz w:val="17"/>
          <w:szCs w:val="17"/>
          <w:color w:val="auto"/>
        </w:rPr>
        <w:t>., a Delaware corporation having a place of business at 700 Technology Square, Suite 101, Cambridge, MA 02139 (“</w:t>
      </w:r>
      <w:r>
        <w:rPr>
          <w:rFonts w:ascii="Arial" w:cs="Arial" w:eastAsia="Arial" w:hAnsi="Arial"/>
          <w:sz w:val="17"/>
          <w:szCs w:val="17"/>
          <w:b w:val="1"/>
          <w:bCs w:val="1"/>
          <w:color w:val="auto"/>
        </w:rPr>
        <w:t>AVROBIO</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BioMarin and AVROBIO each may be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5"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 BioMarin owns and/or controls certain patents and know-how pertaining to a fusion of a portion of the insulin-like growth factor 2 protein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GILT Tag</w:t>
      </w:r>
      <w:r>
        <w:rPr>
          <w:rFonts w:ascii="Arial" w:cs="Arial" w:eastAsia="Arial" w:hAnsi="Arial"/>
          <w:sz w:val="18"/>
          <w:szCs w:val="18"/>
          <w:color w:val="auto"/>
        </w:rPr>
        <w:t>”) with acid alpha-glucosidase and its use in the treatment of Pompe disease.</w:t>
      </w:r>
    </w:p>
    <w:p>
      <w:pPr>
        <w:spacing w:after="0" w:line="54"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 AVROBIO desires to obtain an exclusive license under such patents and know-how for the purpose of developing,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commercializing Licensed Products in the Field (each as defined below), and BioMarin desires to grant AVROBIO such a license on the terms and conditions set forth in this Agreement.</w:t>
      </w:r>
    </w:p>
    <w:p>
      <w:pPr>
        <w:spacing w:after="0" w:line="18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consideration of the foregoing premises, the mutual promises and covenants set forth in this Agreement, and other good and valuable consideration, the receipt and sufficiency of which are hereby acknowledged, BioMarin and AVROBIO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52" w:lineRule="exact"/>
        <w:rPr>
          <w:sz w:val="20"/>
          <w:szCs w:val="20"/>
          <w:color w:val="auto"/>
        </w:rPr>
      </w:pPr>
    </w:p>
    <w:p>
      <w:pPr>
        <w:ind w:left="460" w:hanging="452"/>
        <w:spacing w:after="0"/>
        <w:tabs>
          <w:tab w:leader="none" w:pos="46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When used in this Agreement, the following capitalized terms will have the meanings as defined below. Unless the context indicates otherwise, the singular will include the plural and the plural will include the singular.</w:t>
      </w:r>
    </w:p>
    <w:p>
      <w:pPr>
        <w:spacing w:after="0" w:line="166"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 xml:space="preserve">1.1 “Affiliate” </w:t>
      </w:r>
      <w:r>
        <w:rPr>
          <w:rFonts w:ascii="Arial" w:cs="Arial" w:eastAsia="Arial" w:hAnsi="Arial"/>
          <w:sz w:val="16"/>
          <w:szCs w:val="16"/>
          <w:color w:val="auto"/>
        </w:rPr>
        <w:t>means, with respect to a Party, any corporation, firm, partnership or other entity that directly or indirectly controls or is controlled by or</w:t>
      </w:r>
      <w:r>
        <w:rPr>
          <w:rFonts w:ascii="Arial" w:cs="Arial" w:eastAsia="Arial" w:hAnsi="Arial"/>
          <w:sz w:val="16"/>
          <w:szCs w:val="16"/>
          <w:b w:val="1"/>
          <w:bCs w:val="1"/>
          <w:color w:val="auto"/>
        </w:rPr>
        <w:t xml:space="preserve"> </w:t>
      </w:r>
      <w:r>
        <w:rPr>
          <w:rFonts w:ascii="Arial" w:cs="Arial" w:eastAsia="Arial" w:hAnsi="Arial"/>
          <w:sz w:val="16"/>
          <w:szCs w:val="16"/>
          <w:color w:val="auto"/>
        </w:rPr>
        <w:t>is under common control with such Party, but only for so long as such control exists. As used in this definition, “control” means (with correlative meanings for the terms “controlled by” and “under common control with”) that the applicable entity has the actual ability to direct and manage the business affairs of the Party, whether through ownership, directly or indirectly, of fifty percent (50%) or more of the shares of stock entitled to vote for the election of directors of the Party, in the case of a corporation, or fifty percent (50%) or more of the equity interests in the case of any other type of legal entity, status as a general partner in any partnership, or by contract or any other arrangement whereby such entity controls or has the right to control the business affairs of the Party.</w:t>
      </w:r>
    </w:p>
    <w:p>
      <w:pPr>
        <w:sectPr>
          <w:pgSz w:w="11900" w:h="16838" w:orient="portrait"/>
          <w:cols w:equalWidth="0" w:num="1">
            <w:col w:w="11420"/>
          </w:cols>
          <w:pgMar w:left="240" w:top="121" w:right="239" w:bottom="1440" w:gutter="0" w:footer="0" w:header="0"/>
        </w:sectPr>
      </w:pPr>
    </w:p>
    <w:bookmarkStart w:id="432" w:name="page433"/>
    <w:bookmarkEnd w:id="43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 “[***]” </w:t>
      </w:r>
      <w:r>
        <w:rPr>
          <w:rFonts w:ascii="Arial" w:cs="Arial" w:eastAsia="Arial" w:hAnsi="Arial"/>
          <w:sz w:val="18"/>
          <w:szCs w:val="18"/>
          <w:color w:val="auto"/>
        </w:rPr>
        <w:t>means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 “[***]” </w:t>
      </w:r>
      <w:r>
        <w:rPr>
          <w:rFonts w:ascii="Arial" w:cs="Arial" w:eastAsia="Arial" w:hAnsi="Arial"/>
          <w:sz w:val="18"/>
          <w:szCs w:val="18"/>
          <w:color w:val="auto"/>
        </w:rPr>
        <w:t>means [***].</w:t>
      </w:r>
    </w:p>
    <w:p>
      <w:pPr>
        <w:spacing w:after="0" w:line="11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1.4 “Change of Control</w:t>
      </w:r>
      <w:r>
        <w:rPr>
          <w:rFonts w:ascii="Arial" w:cs="Arial" w:eastAsia="Arial" w:hAnsi="Arial"/>
          <w:sz w:val="18"/>
          <w:szCs w:val="18"/>
          <w:color w:val="auto"/>
        </w:rPr>
        <w:t>” means with respect to AVROBIO: (a) a merger, reorganization or consolidation involving AVROBIO in which the voting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of AVROBIO outstanding immediately prior thereto cease to represent at least fifty percent (50%) of the combined voting power of the surviving entity immediately after such merger, reorganization or consolidation; (b) a Third Party, or group of Third Parties acting in concert, acquire, directly or indirectly, other than in connection with a bona fide financing of AVROBIO, more than fifty percent (50%) of the voting equity securities or management control of AVROBIO; or (c) AVROBIO conveys, transfers, licenses (on an exclusive and worldwide basis) and/or leases all or substantially all of its assets to a Third Party.</w:t>
      </w:r>
    </w:p>
    <w:p>
      <w:pPr>
        <w:spacing w:after="0" w:line="80" w:lineRule="exact"/>
        <w:rPr>
          <w:sz w:val="20"/>
          <w:szCs w:val="20"/>
          <w:color w:val="auto"/>
        </w:rPr>
      </w:pPr>
    </w:p>
    <w:p>
      <w:pPr>
        <w:ind w:right="180" w:firstLine="456"/>
        <w:spacing w:after="0" w:line="347" w:lineRule="auto"/>
        <w:rPr>
          <w:sz w:val="20"/>
          <w:szCs w:val="20"/>
          <w:color w:val="auto"/>
        </w:rPr>
      </w:pPr>
      <w:r>
        <w:rPr>
          <w:rFonts w:ascii="Arial" w:cs="Arial" w:eastAsia="Arial" w:hAnsi="Arial"/>
          <w:sz w:val="16"/>
          <w:szCs w:val="16"/>
          <w:b w:val="1"/>
          <w:bCs w:val="1"/>
          <w:color w:val="auto"/>
        </w:rPr>
        <w:t xml:space="preserve">1.5 “Commercialization” </w:t>
      </w:r>
      <w:r>
        <w:rPr>
          <w:rFonts w:ascii="Arial" w:cs="Arial" w:eastAsia="Arial" w:hAnsi="Arial"/>
          <w:sz w:val="16"/>
          <w:szCs w:val="16"/>
          <w:color w:val="auto"/>
        </w:rPr>
        <w:t>means all activities relating to the manufacture, marketing, obtaining pricing and reimbursement approvals, promotion,</w:t>
      </w:r>
      <w:r>
        <w:rPr>
          <w:rFonts w:ascii="Arial" w:cs="Arial" w:eastAsia="Arial" w:hAnsi="Arial"/>
          <w:sz w:val="16"/>
          <w:szCs w:val="16"/>
          <w:b w:val="1"/>
          <w:bCs w:val="1"/>
          <w:color w:val="auto"/>
        </w:rPr>
        <w:t xml:space="preserve"> </w:t>
      </w:r>
      <w:r>
        <w:rPr>
          <w:rFonts w:ascii="Arial" w:cs="Arial" w:eastAsia="Arial" w:hAnsi="Arial"/>
          <w:sz w:val="16"/>
          <w:szCs w:val="16"/>
          <w:color w:val="auto"/>
        </w:rPr>
        <w:t>advertising, importing, selling, distribution and customer support of a Licensed Product in a country. The term “</w:t>
      </w:r>
      <w:r>
        <w:rPr>
          <w:rFonts w:ascii="Arial" w:cs="Arial" w:eastAsia="Arial" w:hAnsi="Arial"/>
          <w:sz w:val="16"/>
          <w:szCs w:val="16"/>
          <w:b w:val="1"/>
          <w:bCs w:val="1"/>
          <w:color w:val="auto"/>
        </w:rPr>
        <w:t>Commercialize</w:t>
      </w:r>
      <w:r>
        <w:rPr>
          <w:rFonts w:ascii="Arial" w:cs="Arial" w:eastAsia="Arial" w:hAnsi="Arial"/>
          <w:sz w:val="16"/>
          <w:szCs w:val="16"/>
          <w:color w:val="auto"/>
        </w:rPr>
        <w:t>” has a correlative meaning.</w:t>
      </w:r>
    </w:p>
    <w:p>
      <w:pPr>
        <w:spacing w:after="0" w:line="8" w:lineRule="exact"/>
        <w:rPr>
          <w:sz w:val="20"/>
          <w:szCs w:val="20"/>
          <w:color w:val="auto"/>
        </w:rPr>
      </w:pPr>
    </w:p>
    <w:p>
      <w:pPr>
        <w:ind w:right="420" w:firstLine="456"/>
        <w:spacing w:after="0" w:line="313" w:lineRule="auto"/>
        <w:rPr>
          <w:sz w:val="20"/>
          <w:szCs w:val="20"/>
          <w:color w:val="auto"/>
        </w:rPr>
      </w:pPr>
      <w:r>
        <w:rPr>
          <w:rFonts w:ascii="Arial" w:cs="Arial" w:eastAsia="Arial" w:hAnsi="Arial"/>
          <w:sz w:val="17"/>
          <w:szCs w:val="17"/>
          <w:b w:val="1"/>
          <w:bCs w:val="1"/>
          <w:color w:val="auto"/>
        </w:rPr>
        <w:t xml:space="preserve">1.6 “Commercially Reasonable Efforts” </w:t>
      </w:r>
      <w:r>
        <w:rPr>
          <w:rFonts w:ascii="Arial" w:cs="Arial" w:eastAsia="Arial" w:hAnsi="Arial"/>
          <w:sz w:val="17"/>
          <w:szCs w:val="17"/>
          <w:color w:val="auto"/>
        </w:rPr>
        <w:t>means, with respect to AVROBIO’s obligations under this Agreement to Develop and Commercialize a</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 the carrying out of such obligations using good faith efforts equivalent to those efforts and resources [***].</w:t>
      </w:r>
    </w:p>
    <w:p>
      <w:pPr>
        <w:spacing w:after="0" w:line="30"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b w:val="1"/>
          <w:bCs w:val="1"/>
          <w:color w:val="auto"/>
        </w:rPr>
        <w:t xml:space="preserve">1.7 “Controlled” </w:t>
      </w:r>
      <w:r>
        <w:rPr>
          <w:rFonts w:ascii="Arial" w:cs="Arial" w:eastAsia="Arial" w:hAnsi="Arial"/>
          <w:sz w:val="18"/>
          <w:szCs w:val="18"/>
          <w:color w:val="auto"/>
        </w:rPr>
        <w:t>means, with respect to any Know-How, Patent Right, or other intellectual property right, that the applicable Party owns or has a</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under such Know-How, Patent Right, or other intellectual property right and has the ability to assign to the other Party, or grant to the other Party a license, sublicense or other right to or under, such Know-How, Patent Right or right as provided for herein without violating the terms of any agreement or other arrangements with any Third Party.</w:t>
      </w:r>
    </w:p>
    <w:p>
      <w:pPr>
        <w:spacing w:after="0" w:line="7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color w:val="auto"/>
        </w:rPr>
        <w:t xml:space="preserve">1.8 “Development” </w:t>
      </w:r>
      <w:r>
        <w:rPr>
          <w:rFonts w:ascii="Arial" w:cs="Arial" w:eastAsia="Arial" w:hAnsi="Arial"/>
          <w:sz w:val="16"/>
          <w:szCs w:val="16"/>
          <w:color w:val="auto"/>
        </w:rPr>
        <w:t>means non-clinical and clinical drug discovery, research and/or development activities that relate to (a) obtaining, maintaining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expanding Regulatory Approval(s) of Licensed Product or (b) developing the ability to manufacture clinical and commercial quantities of Licensed Product, including chemical synthesis, sequencing, toxicology, pharmacology and other discovery and pre-clinical efforts, test method development and stability testing, manufacturing process development, formulation development, delivery system development, quality assurance and quality control development, manufacturing, statistical analysis, and clinical studies. When used as a verb, </w:t>
      </w:r>
      <w:r>
        <w:rPr>
          <w:rFonts w:ascii="Arial" w:cs="Arial" w:eastAsia="Arial" w:hAnsi="Arial"/>
          <w:sz w:val="16"/>
          <w:szCs w:val="16"/>
          <w:b w:val="1"/>
          <w:bCs w:val="1"/>
          <w:color w:val="auto"/>
        </w:rPr>
        <w:t>“Develop”</w:t>
      </w:r>
      <w:r>
        <w:rPr>
          <w:rFonts w:ascii="Arial" w:cs="Arial" w:eastAsia="Arial" w:hAnsi="Arial"/>
          <w:sz w:val="16"/>
          <w:szCs w:val="16"/>
          <w:color w:val="auto"/>
        </w:rPr>
        <w:t xml:space="preserve"> means to engage in Development.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 “Dollars” </w:t>
      </w:r>
      <w:r>
        <w:rPr>
          <w:rFonts w:ascii="Arial" w:cs="Arial" w:eastAsia="Arial" w:hAnsi="Arial"/>
          <w:sz w:val="18"/>
          <w:szCs w:val="18"/>
          <w:color w:val="auto"/>
        </w:rPr>
        <w:t>or “</w:t>
      </w:r>
      <w:r>
        <w:rPr>
          <w:rFonts w:ascii="Arial" w:cs="Arial" w:eastAsia="Arial" w:hAnsi="Arial"/>
          <w:sz w:val="18"/>
          <w:szCs w:val="18"/>
          <w:b w:val="1"/>
          <w:bCs w:val="1"/>
          <w:color w:val="auto"/>
        </w:rPr>
        <w:t>$</w:t>
      </w:r>
      <w:r>
        <w:rPr>
          <w:rFonts w:ascii="Arial" w:cs="Arial" w:eastAsia="Arial" w:hAnsi="Arial"/>
          <w:sz w:val="18"/>
          <w:szCs w:val="18"/>
          <w:color w:val="auto"/>
        </w:rPr>
        <w:t>” means the legal tender of the U.S.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ERT</w:t>
      </w:r>
      <w:r>
        <w:rPr>
          <w:rFonts w:ascii="Arial" w:cs="Arial" w:eastAsia="Arial" w:hAnsi="Arial"/>
          <w:sz w:val="18"/>
          <w:szCs w:val="18"/>
          <w:color w:val="auto"/>
        </w:rPr>
        <w:t>” means enzyme replacement therapy.</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33" w:name="page434"/>
    <w:bookmarkEnd w:id="43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1.11 “FDA” </w:t>
      </w:r>
      <w:r>
        <w:rPr>
          <w:rFonts w:ascii="Arial" w:cs="Arial" w:eastAsia="Arial" w:hAnsi="Arial"/>
          <w:sz w:val="18"/>
          <w:szCs w:val="18"/>
          <w:color w:val="auto"/>
        </w:rPr>
        <w:t>means the United States Food and Drug Administration, or any successor agency thereto.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1.12 “Field” </w:t>
      </w:r>
      <w:r>
        <w:rPr>
          <w:rFonts w:ascii="Arial" w:cs="Arial" w:eastAsia="Arial" w:hAnsi="Arial"/>
          <w:sz w:val="16"/>
          <w:szCs w:val="16"/>
          <w:color w:val="auto"/>
        </w:rPr>
        <w:t>means Retroviridae-based gene therapy for the treatment, modification or prevention of Pompe disease (glycogen storage disease type II).</w:t>
      </w:r>
    </w:p>
    <w:p>
      <w:pPr>
        <w:spacing w:after="0" w:line="140"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1.13 “First Commercial Sale</w:t>
      </w:r>
      <w:r>
        <w:rPr>
          <w:rFonts w:ascii="Arial" w:cs="Arial" w:eastAsia="Arial" w:hAnsi="Arial"/>
          <w:sz w:val="18"/>
          <w:szCs w:val="18"/>
          <w:color w:val="auto"/>
        </w:rPr>
        <w:t>” means, with respect to a given Licensed Product in a particular country, the first sale to a Third Party of such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such country, after obtaining all required Regulatory Approvals in such country. “First Commercial Sale” shall not include the supply of any unreimbursed Licensed Product for use in clinical trials or for compassionate use.</w:t>
      </w:r>
    </w:p>
    <w:p>
      <w:pPr>
        <w:spacing w:after="0" w:line="68"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 xml:space="preserve">1.14 “IND” </w:t>
      </w:r>
      <w:r>
        <w:rPr>
          <w:rFonts w:ascii="Arial" w:cs="Arial" w:eastAsia="Arial" w:hAnsi="Arial"/>
          <w:sz w:val="18"/>
          <w:szCs w:val="18"/>
          <w:color w:val="auto"/>
        </w:rPr>
        <w:t>means an Investigational New Drug application filed with the FDA and sufficient to satisfy the requirements of 21 CFR 312.20, 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filing with any relevant Regulatory Authority in any other jurisdiction.</w:t>
      </w:r>
    </w:p>
    <w:p>
      <w:pPr>
        <w:spacing w:after="0" w:line="54" w:lineRule="exact"/>
        <w:rPr>
          <w:sz w:val="20"/>
          <w:szCs w:val="20"/>
          <w:color w:val="auto"/>
        </w:rPr>
      </w:pPr>
    </w:p>
    <w:p>
      <w:pPr>
        <w:ind w:right="20" w:firstLine="456"/>
        <w:spacing w:after="0" w:line="281" w:lineRule="auto"/>
        <w:rPr>
          <w:sz w:val="20"/>
          <w:szCs w:val="20"/>
          <w:color w:val="auto"/>
        </w:rPr>
      </w:pPr>
      <w:r>
        <w:rPr>
          <w:rFonts w:ascii="Arial" w:cs="Arial" w:eastAsia="Arial" w:hAnsi="Arial"/>
          <w:sz w:val="17"/>
          <w:szCs w:val="17"/>
          <w:b w:val="1"/>
          <w:bCs w:val="1"/>
          <w:color w:val="auto"/>
        </w:rPr>
        <w:t xml:space="preserve">1.15 “Know-How” </w:t>
      </w:r>
      <w:r>
        <w:rPr>
          <w:rFonts w:ascii="Arial" w:cs="Arial" w:eastAsia="Arial" w:hAnsi="Arial"/>
          <w:sz w:val="17"/>
          <w:szCs w:val="17"/>
          <w:color w:val="auto"/>
        </w:rPr>
        <w:t>means any non-public, documented or otherwise recorded or memorialized knowledge, experience, know-how,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technical information, results, trade secrets, data and all other information, including formulas and formulations, processes, techniques, unpatented inventions, discoveries, ideas, and developments, test procedures, and results, together with all documents and files embodying the foregoing, and including relevant proprietary materials. For clarity, Know-How excludes Patent Rights claiming or otherwise covering any of the foregoing.</w:t>
      </w:r>
    </w:p>
    <w:p>
      <w:pPr>
        <w:spacing w:after="0" w:line="57"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1.16 “Licensed Know-How” </w:t>
      </w:r>
      <w:r>
        <w:rPr>
          <w:rFonts w:ascii="Arial" w:cs="Arial" w:eastAsia="Arial" w:hAnsi="Arial"/>
          <w:sz w:val="18"/>
          <w:szCs w:val="18"/>
          <w:color w:val="auto"/>
        </w:rPr>
        <w:t>means Know-How Controlled by BioMarin or its Affiliates as of the Effective Date or during the Term that is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Develop and/or Commercialize Licensed Products in the Field, solely to the extent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attached hereto.</w:t>
      </w:r>
    </w:p>
    <w:p>
      <w:pPr>
        <w:spacing w:after="0" w:line="54" w:lineRule="exact"/>
        <w:rPr>
          <w:sz w:val="20"/>
          <w:szCs w:val="20"/>
          <w:color w:val="auto"/>
        </w:rPr>
      </w:pPr>
    </w:p>
    <w:p>
      <w:pPr>
        <w:ind w:right="220" w:firstLine="456"/>
        <w:spacing w:after="0" w:line="281" w:lineRule="auto"/>
        <w:rPr>
          <w:sz w:val="20"/>
          <w:szCs w:val="20"/>
          <w:color w:val="auto"/>
        </w:rPr>
      </w:pPr>
      <w:r>
        <w:rPr>
          <w:rFonts w:ascii="Arial" w:cs="Arial" w:eastAsia="Arial" w:hAnsi="Arial"/>
          <w:sz w:val="17"/>
          <w:szCs w:val="17"/>
          <w:b w:val="1"/>
          <w:bCs w:val="1"/>
          <w:color w:val="auto"/>
        </w:rPr>
        <w:t xml:space="preserve">1.17 </w:t>
      </w:r>
      <w:r>
        <w:rPr>
          <w:rFonts w:ascii="Arial" w:cs="Arial" w:eastAsia="Arial" w:hAnsi="Arial"/>
          <w:sz w:val="17"/>
          <w:szCs w:val="17"/>
          <w:color w:val="auto"/>
        </w:rPr>
        <w:t>“</w:t>
      </w:r>
      <w:r>
        <w:rPr>
          <w:rFonts w:ascii="Arial" w:cs="Arial" w:eastAsia="Arial" w:hAnsi="Arial"/>
          <w:sz w:val="17"/>
          <w:szCs w:val="17"/>
          <w:b w:val="1"/>
          <w:bCs w:val="1"/>
          <w:color w:val="auto"/>
        </w:rPr>
        <w:t>Licensed Patent Rights</w:t>
      </w:r>
      <w:r>
        <w:rPr>
          <w:rFonts w:ascii="Arial" w:cs="Arial" w:eastAsia="Arial" w:hAnsi="Arial"/>
          <w:sz w:val="17"/>
          <w:szCs w:val="17"/>
          <w:color w:val="auto"/>
        </w:rPr>
        <w:t>” means: (a) any of the Patent Rights listed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A</w:t>
      </w:r>
      <w:r>
        <w:rPr>
          <w:rFonts w:ascii="Arial" w:cs="Arial" w:eastAsia="Arial" w:hAnsi="Arial"/>
          <w:sz w:val="17"/>
          <w:szCs w:val="17"/>
          <w:color w:val="auto"/>
        </w:rPr>
        <w:t>, and (b) any divisional, continuation, or continuation-in-part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(but only to the extent directed to subject matter specifically described in a patent or patent application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claiming priority to such listed patents and patent applications; any reissue, reexamination, substitution, renewal and/or extension of any of the foregoing patents and patent applications; and any foreign counterpart patent or patent application of any of the foregoing.</w:t>
      </w:r>
    </w:p>
    <w:p>
      <w:pPr>
        <w:spacing w:after="0" w:line="57" w:lineRule="exact"/>
        <w:rPr>
          <w:sz w:val="20"/>
          <w:szCs w:val="20"/>
          <w:color w:val="auto"/>
        </w:rPr>
      </w:pPr>
    </w:p>
    <w:p>
      <w:pPr>
        <w:ind w:right="120" w:firstLine="456"/>
        <w:spacing w:after="0" w:line="347" w:lineRule="auto"/>
        <w:rPr>
          <w:sz w:val="20"/>
          <w:szCs w:val="20"/>
          <w:color w:val="auto"/>
        </w:rPr>
      </w:pPr>
      <w:r>
        <w:rPr>
          <w:rFonts w:ascii="Arial" w:cs="Arial" w:eastAsia="Arial" w:hAnsi="Arial"/>
          <w:sz w:val="16"/>
          <w:szCs w:val="16"/>
          <w:b w:val="1"/>
          <w:bCs w:val="1"/>
          <w:color w:val="auto"/>
        </w:rPr>
        <w:t xml:space="preserve">1.18 </w:t>
      </w:r>
      <w:r>
        <w:rPr>
          <w:rFonts w:ascii="Arial" w:cs="Arial" w:eastAsia="Arial" w:hAnsi="Arial"/>
          <w:sz w:val="16"/>
          <w:szCs w:val="16"/>
          <w:color w:val="auto"/>
        </w:rPr>
        <w:t>“</w:t>
      </w:r>
      <w:r>
        <w:rPr>
          <w:rFonts w:ascii="Arial" w:cs="Arial" w:eastAsia="Arial" w:hAnsi="Arial"/>
          <w:sz w:val="16"/>
          <w:szCs w:val="16"/>
          <w:b w:val="1"/>
          <w:bCs w:val="1"/>
          <w:color w:val="auto"/>
        </w:rPr>
        <w:t>Licensed Product</w:t>
      </w:r>
      <w:r>
        <w:rPr>
          <w:rFonts w:ascii="Arial" w:cs="Arial" w:eastAsia="Arial" w:hAnsi="Arial"/>
          <w:sz w:val="16"/>
          <w:szCs w:val="16"/>
          <w:color w:val="auto"/>
        </w:rPr>
        <w:t>” means any product the composition, formulation, delivery, manufacture, use, sale, or importation of which: (a) is claimed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covered by a Valid Claim of the Licensed Patent Rights in any country in which it is made, used or sold; or (b) uses Licensed Know-How.</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1.19 “Licensed Technology” </w:t>
      </w:r>
      <w:r>
        <w:rPr>
          <w:rFonts w:ascii="Arial" w:cs="Arial" w:eastAsia="Arial" w:hAnsi="Arial"/>
          <w:sz w:val="18"/>
          <w:szCs w:val="18"/>
          <w:color w:val="auto"/>
        </w:rPr>
        <w:t>means the Licensed Patent Rights and the Licensed Know-How.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1.20 “Major European Country” </w:t>
      </w:r>
      <w:r>
        <w:rPr>
          <w:rFonts w:ascii="Arial" w:cs="Arial" w:eastAsia="Arial" w:hAnsi="Arial"/>
          <w:sz w:val="18"/>
          <w:szCs w:val="18"/>
          <w:color w:val="auto"/>
        </w:rPr>
        <w:t>means any of the following countries: [***].</w:t>
      </w:r>
    </w:p>
    <w:p>
      <w:pPr>
        <w:spacing w:after="0" w:line="117"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 xml:space="preserve">1.21 “Net Sales” </w:t>
      </w:r>
      <w:r>
        <w:rPr>
          <w:rFonts w:ascii="Arial" w:cs="Arial" w:eastAsia="Arial" w:hAnsi="Arial"/>
          <w:sz w:val="18"/>
          <w:szCs w:val="18"/>
          <w:color w:val="auto"/>
        </w:rPr>
        <w:t>shall mean the amount invoiced or otherwise accrued by AVROBIO, its Affiliates or sublicensees for commercial sales of a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to Third Party purchasers (but excluding sales to AVROBIO’s sublicensees for resale) less the following deductions, to the extent applicable to such sales of the Licensed Product for:</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34" w:name="page435"/>
    <w:bookmarkEnd w:id="434"/>
    <w:p>
      <w:pPr>
        <w:ind w:left="1140" w:hanging="219"/>
        <w:spacing w:after="0"/>
        <w:tabs>
          <w:tab w:leader="none" w:pos="11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0" w:hanging="319"/>
        <w:spacing w:after="0"/>
        <w:tabs>
          <w:tab w:leader="none" w:pos="12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Sales shall be determined in accordance with United States Generally Accepted Accounting Principles. Transfers of free Licensed Products solely for research or clinical testing purposes shall be excluded from the computation of Net Sales.</w:t>
      </w:r>
    </w:p>
    <w:p>
      <w:pPr>
        <w:spacing w:after="0" w:line="58"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b w:val="1"/>
          <w:bCs w:val="1"/>
          <w:color w:val="auto"/>
        </w:rPr>
        <w:t xml:space="preserve">1.22 “Patent Rights” </w:t>
      </w:r>
      <w:r>
        <w:rPr>
          <w:rFonts w:ascii="Arial" w:cs="Arial" w:eastAsia="Arial" w:hAnsi="Arial"/>
          <w:sz w:val="18"/>
          <w:szCs w:val="18"/>
          <w:color w:val="auto"/>
        </w:rPr>
        <w:t>means (a) all patents and patent applications in any country or supranational jurisdiction; (b) any divisional, continuation,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continuation-in-part, reissue, reexamination, substitution, renewal and/or extension of any such patents and patent applications; and (c) any foreign counterpart patent or patent application of any of the foregoing.</w:t>
      </w:r>
    </w:p>
    <w:p>
      <w:pPr>
        <w:spacing w:after="0" w:line="68"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1.23 “Phase I Clinical Trial” </w:t>
      </w:r>
      <w:r>
        <w:rPr>
          <w:rFonts w:ascii="Arial" w:cs="Arial" w:eastAsia="Arial" w:hAnsi="Arial"/>
          <w:sz w:val="18"/>
          <w:szCs w:val="18"/>
          <w:color w:val="auto"/>
        </w:rPr>
        <w:t>shall mean a human clinical trial of a Licensed Product that is designed to satisfy the requirements of 21 CFR 312.21(a),</w:t>
      </w:r>
      <w:r>
        <w:rPr>
          <w:rFonts w:ascii="Arial" w:cs="Arial" w:eastAsia="Arial" w:hAnsi="Arial"/>
          <w:sz w:val="18"/>
          <w:szCs w:val="18"/>
          <w:b w:val="1"/>
          <w:bCs w:val="1"/>
          <w:color w:val="auto"/>
        </w:rPr>
        <w:t xml:space="preserve"> </w:t>
      </w:r>
      <w:r>
        <w:rPr>
          <w:rFonts w:ascii="Arial" w:cs="Arial" w:eastAsia="Arial" w:hAnsi="Arial"/>
          <w:sz w:val="18"/>
          <w:szCs w:val="18"/>
          <w:color w:val="auto"/>
        </w:rPr>
        <w:t>regardless of whether such human clinical trial also satisfies the requirements of 21 CFR. 312.21(b) or any other requirements, or a similar clinical study prescribed by the Regulatory Authorities in a country other than the United States.</w:t>
      </w:r>
    </w:p>
    <w:p>
      <w:pPr>
        <w:spacing w:after="0" w:line="68"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 xml:space="preserve">1.24 “Pivotal Trial” </w:t>
      </w:r>
      <w:r>
        <w:rPr>
          <w:rFonts w:ascii="Arial" w:cs="Arial" w:eastAsia="Arial" w:hAnsi="Arial"/>
          <w:sz w:val="18"/>
          <w:szCs w:val="18"/>
          <w:color w:val="auto"/>
        </w:rPr>
        <w:t>means a clinical study in humans of the efficacy and safety of a Licensed Product that is prospectively designed to demonstrate</w:t>
      </w:r>
      <w:r>
        <w:rPr>
          <w:rFonts w:ascii="Arial" w:cs="Arial" w:eastAsia="Arial" w:hAnsi="Arial"/>
          <w:sz w:val="18"/>
          <w:szCs w:val="18"/>
          <w:b w:val="1"/>
          <w:bCs w:val="1"/>
          <w:color w:val="auto"/>
        </w:rPr>
        <w:t xml:space="preserve"> </w:t>
      </w:r>
      <w:r>
        <w:rPr>
          <w:rFonts w:ascii="Arial" w:cs="Arial" w:eastAsia="Arial" w:hAnsi="Arial"/>
          <w:sz w:val="18"/>
          <w:szCs w:val="18"/>
          <w:color w:val="auto"/>
        </w:rPr>
        <w:t>with statistical significance that such product is effective and safe for use in a particular indication in a manner sufficient to file for Marketing Approval of such product and would satisfy the requirements of 21 CFR 312.21(c), or a similar clinical study prescribed by the Regulatory Authorities in a country other than the United States.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1.25 “Preferred Stock” </w:t>
      </w:r>
      <w:r>
        <w:rPr>
          <w:rFonts w:ascii="Arial" w:cs="Arial" w:eastAsia="Arial" w:hAnsi="Arial"/>
          <w:sz w:val="18"/>
          <w:szCs w:val="18"/>
          <w:color w:val="auto"/>
        </w:rPr>
        <w:t>means shares of the series of preferred stock issued in the Preferred Stock Financing.</w:t>
      </w:r>
    </w:p>
    <w:p>
      <w:pPr>
        <w:spacing w:after="0" w:line="117"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 xml:space="preserve">1.26 “Preferred Stock Financing” </w:t>
      </w:r>
      <w:r>
        <w:rPr>
          <w:rFonts w:ascii="Arial" w:cs="Arial" w:eastAsia="Arial" w:hAnsi="Arial"/>
          <w:sz w:val="18"/>
          <w:szCs w:val="18"/>
          <w:color w:val="auto"/>
        </w:rPr>
        <w:t>means AVROBIO’s first issuance and sale of shares of a newly-authorized series of preferred stock (e.g., Series B</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after the date of this Agreement to venture capital funds or other institutional investors in an equity financing with gross proceeds to the Company from sales occurring after the date of this Agreement of not less than [***].</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1.27 “Preferred Stock Financing Deadline” </w:t>
      </w:r>
      <w:r>
        <w:rPr>
          <w:rFonts w:ascii="Arial" w:cs="Arial" w:eastAsia="Arial" w:hAnsi="Arial"/>
          <w:sz w:val="18"/>
          <w:szCs w:val="18"/>
          <w:color w:val="auto"/>
        </w:rPr>
        <w:t>means [***].</w:t>
      </w:r>
    </w:p>
    <w:p>
      <w:pPr>
        <w:spacing w:after="0" w:line="117"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 xml:space="preserve">1.28 “Preferred Stock Issuance Price” </w:t>
      </w:r>
      <w:r>
        <w:rPr>
          <w:rFonts w:ascii="Arial" w:cs="Arial" w:eastAsia="Arial" w:hAnsi="Arial"/>
          <w:sz w:val="18"/>
          <w:szCs w:val="18"/>
          <w:color w:val="auto"/>
        </w:rPr>
        <w:t>means the lowest price per share paid by purchasers of the Preferred Stock as of the date of issuance of</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to BioMarin (as adjusted for stock splits, combinations and the like occurring after such purchase but before the issuance of Preferred Stock to BioMarin).</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35" w:name="page436"/>
    <w:bookmarkEnd w:id="435"/>
    <w:p>
      <w:pPr>
        <w:ind w:right="34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1.29 “Regulatory Approvals” </w:t>
      </w:r>
      <w:r>
        <w:rPr>
          <w:rFonts w:ascii="Arial" w:cs="Arial" w:eastAsia="Arial" w:hAnsi="Arial"/>
          <w:sz w:val="18"/>
          <w:szCs w:val="18"/>
          <w:color w:val="auto"/>
        </w:rPr>
        <w:t>means, with respect to a Licensed Product, the approvals, registrations, licenses and permits of any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in a country, including pricing and/or reimbursement approvals, that are necessary to be obtained in order to market and sell commercially such Licensed Product in that country.</w:t>
      </w:r>
    </w:p>
    <w:p>
      <w:pPr>
        <w:spacing w:after="0" w:line="68"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 xml:space="preserve">1.30 “Regulatory Authority” </w:t>
      </w:r>
      <w:r>
        <w:rPr>
          <w:rFonts w:ascii="Arial" w:cs="Arial" w:eastAsia="Arial" w:hAnsi="Arial"/>
          <w:sz w:val="18"/>
          <w:szCs w:val="18"/>
          <w:color w:val="auto"/>
        </w:rPr>
        <w:t>means any federal, state or local regulatory agency, department, bureau or other government entity, including the FDA,</w:t>
      </w:r>
      <w:r>
        <w:rPr>
          <w:rFonts w:ascii="Arial" w:cs="Arial" w:eastAsia="Arial" w:hAnsi="Arial"/>
          <w:sz w:val="18"/>
          <w:szCs w:val="18"/>
          <w:b w:val="1"/>
          <w:bCs w:val="1"/>
          <w:color w:val="auto"/>
        </w:rPr>
        <w:t xml:space="preserve"> </w:t>
      </w:r>
      <w:r>
        <w:rPr>
          <w:rFonts w:ascii="Arial" w:cs="Arial" w:eastAsia="Arial" w:hAnsi="Arial"/>
          <w:sz w:val="18"/>
          <w:szCs w:val="18"/>
          <w:color w:val="auto"/>
        </w:rPr>
        <w:t>which has responsibility for granting any licenses or approvals or granting pricing and/or reimbursement approvals necessary for the marketing and sale of a Licensed Product in any country.</w:t>
      </w:r>
    </w:p>
    <w:p>
      <w:pPr>
        <w:spacing w:after="0" w:line="68"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1.31 “Regulatory Exclusivity” </w:t>
      </w:r>
      <w:r>
        <w:rPr>
          <w:rFonts w:ascii="Arial" w:cs="Arial" w:eastAsia="Arial" w:hAnsi="Arial"/>
          <w:sz w:val="18"/>
          <w:szCs w:val="18"/>
          <w:color w:val="auto"/>
        </w:rPr>
        <w:t>means market exclusivity granted by a Regulatory Authority designed to prevent the entry of generic product(s) onto</w:t>
      </w:r>
      <w:r>
        <w:rPr>
          <w:rFonts w:ascii="Arial" w:cs="Arial" w:eastAsia="Arial" w:hAnsi="Arial"/>
          <w:sz w:val="18"/>
          <w:szCs w:val="18"/>
          <w:b w:val="1"/>
          <w:bCs w:val="1"/>
          <w:color w:val="auto"/>
        </w:rPr>
        <w:t xml:space="preserve"> </w:t>
      </w:r>
      <w:r>
        <w:rPr>
          <w:rFonts w:ascii="Arial" w:cs="Arial" w:eastAsia="Arial" w:hAnsi="Arial"/>
          <w:sz w:val="18"/>
          <w:szCs w:val="18"/>
          <w:color w:val="auto"/>
        </w:rPr>
        <w:t>the market, including without limitation new use or indication exclusivity, new formulation exclusivity, orphan drug exclusivity, pediatric exclusivity and any exclusivity applicable to biologic products, or any equivalent of the foregoing.</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1.32 “[***]” </w:t>
      </w:r>
      <w:r>
        <w:rPr>
          <w:rFonts w:ascii="Arial" w:cs="Arial" w:eastAsia="Arial" w:hAnsi="Arial"/>
          <w:sz w:val="18"/>
          <w:szCs w:val="18"/>
          <w:color w:val="auto"/>
        </w:rPr>
        <w:t>means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1.33 “Royalty Term” </w:t>
      </w:r>
      <w:r>
        <w:rPr>
          <w:rFonts w:ascii="Arial" w:cs="Arial" w:eastAsia="Arial" w:hAnsi="Arial"/>
          <w:sz w:val="18"/>
          <w:szCs w:val="18"/>
          <w:color w:val="auto"/>
        </w:rPr>
        <w:t>has the meaning assigned to it in Section 4.3.3.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1.34 “Term” </w:t>
      </w:r>
      <w:r>
        <w:rPr>
          <w:rFonts w:ascii="Arial" w:cs="Arial" w:eastAsia="Arial" w:hAnsi="Arial"/>
          <w:sz w:val="18"/>
          <w:szCs w:val="18"/>
          <w:color w:val="auto"/>
        </w:rPr>
        <w:t>has the meaning assigned to it in Section 8.1.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1.35 “Territory” </w:t>
      </w:r>
      <w:r>
        <w:rPr>
          <w:rFonts w:ascii="Arial" w:cs="Arial" w:eastAsia="Arial" w:hAnsi="Arial"/>
          <w:sz w:val="18"/>
          <w:szCs w:val="18"/>
          <w:color w:val="auto"/>
        </w:rPr>
        <w:t>means all countries of the world.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1.36 “Third Party” </w:t>
      </w:r>
      <w:r>
        <w:rPr>
          <w:rFonts w:ascii="Arial" w:cs="Arial" w:eastAsia="Arial" w:hAnsi="Arial"/>
          <w:sz w:val="18"/>
          <w:szCs w:val="18"/>
          <w:color w:val="auto"/>
        </w:rPr>
        <w:t>means any party other than BioMarin, AVROBIO, or their respective Affiliates.</w:t>
      </w:r>
    </w:p>
    <w:p>
      <w:pPr>
        <w:spacing w:after="0" w:line="117"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1.37 “Valid Claim” </w:t>
      </w:r>
      <w:r>
        <w:rPr>
          <w:rFonts w:ascii="Arial" w:cs="Arial" w:eastAsia="Arial" w:hAnsi="Arial"/>
          <w:sz w:val="18"/>
          <w:szCs w:val="18"/>
          <w:color w:val="auto"/>
        </w:rPr>
        <w:t>means either (a) a claim of an issued and unexpired patent or a supplementary protection certificate, which has not been held</w:t>
      </w:r>
      <w:r>
        <w:rPr>
          <w:rFonts w:ascii="Arial" w:cs="Arial" w:eastAsia="Arial" w:hAnsi="Arial"/>
          <w:sz w:val="18"/>
          <w:szCs w:val="18"/>
          <w:b w:val="1"/>
          <w:bCs w:val="1"/>
          <w:color w:val="auto"/>
        </w:rPr>
        <w:t xml:space="preserve"> </w:t>
      </w:r>
      <w:r>
        <w:rPr>
          <w:rFonts w:ascii="Arial" w:cs="Arial" w:eastAsia="Arial" w:hAnsi="Arial"/>
          <w:sz w:val="18"/>
          <w:szCs w:val="18"/>
          <w:color w:val="auto"/>
        </w:rPr>
        <w:t>permanently revoked, unenforceable or invalid by a decision of a court, patent office or other forum of competent jurisdiction, unappealable or unappealed within the time allowed for appeal and that is not admitted to be invalid or unenforceable through reissue, disclaimer or otherwise (i.e., only to the extent the subject matter is disclaimed or is sought to be deleted or amended through reissue), or (b) a claim of a pending patent application that has not been abandoned, finally rejected or expired without the possibility of appeal or refiling.</w:t>
      </w:r>
    </w:p>
    <w:p>
      <w:pPr>
        <w:spacing w:after="0" w:line="333" w:lineRule="exact"/>
        <w:rPr>
          <w:sz w:val="20"/>
          <w:szCs w:val="20"/>
          <w:color w:val="auto"/>
        </w:rPr>
      </w:pPr>
    </w:p>
    <w:p>
      <w:pPr>
        <w:ind w:left="460" w:hanging="452"/>
        <w:spacing w:after="0"/>
        <w:tabs>
          <w:tab w:leader="none" w:pos="46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ICENSES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7"/>
          <w:szCs w:val="17"/>
          <w:b w:val="1"/>
          <w:bCs w:val="1"/>
          <w:color w:val="auto"/>
        </w:rPr>
        <w:t>2.1 License Grant</w:t>
      </w:r>
      <w:r>
        <w:rPr>
          <w:rFonts w:ascii="Arial" w:cs="Arial" w:eastAsia="Arial" w:hAnsi="Arial"/>
          <w:sz w:val="17"/>
          <w:szCs w:val="17"/>
          <w:color w:val="auto"/>
        </w:rPr>
        <w:t>. Subject to the terms and conditions of this Agreement, BioMarin hereby grants to AVROBIO an exclusive, royalty-bearing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the Licensed Patent Rights and Licensed Know-How to research, have researched, develop, have developed, make, have made, use, have used, sell, have sold, offer for sale, have offered for sale, import, have imported, export and have exported Licensed Products in the Field in the Territory, including the right to grant sublicenses through multiple tiers, subject to any limitations on sublicensing expressly set forth in this Agreement (the </w:t>
      </w:r>
      <w:r>
        <w:rPr>
          <w:rFonts w:ascii="Arial" w:cs="Arial" w:eastAsia="Arial" w:hAnsi="Arial"/>
          <w:sz w:val="17"/>
          <w:szCs w:val="17"/>
          <w:b w:val="1"/>
          <w:bCs w:val="1"/>
          <w:color w:val="auto"/>
        </w:rPr>
        <w:t>“License”</w:t>
      </w:r>
      <w:r>
        <w:rPr>
          <w:rFonts w:ascii="Arial" w:cs="Arial" w:eastAsia="Arial" w:hAnsi="Arial"/>
          <w:sz w:val="17"/>
          <w:szCs w:val="17"/>
          <w:color w:val="auto"/>
        </w:rPr>
        <w:t>). For clarity, AVROBIO shall have no license rights either outside the Field or with respect to products other than Licensed Products.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36" w:name="page437"/>
    <w:bookmarkEnd w:id="43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 Reservation of Rights; Restrictive Covenants.</w:t>
      </w:r>
    </w:p>
    <w:p>
      <w:pPr>
        <w:spacing w:after="0" w:line="12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2.2.1 AVROBIO hereby covenants that it shall not, nor shall it cause or permit any Affiliate or sublicensee to, use or practice, directly or indirectly, any Licensed Technology for any purposes other than those expressly permitted by this Agreement. BioMarin retains the sole right to practice the Licensed Technology with respect to any and all purposes and areas of use outside the Field and with respect to the Development and/or Commercialization of any product or service other than Licensed Products.</w:t>
      </w:r>
    </w:p>
    <w:p>
      <w:pPr>
        <w:spacing w:after="0" w:line="79"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2.2.2 No implied licenses are granted under this Agreement, and each Party reserves all rights to all of its technology except for the rights expressly granted herein.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2.2.3 [***].</w:t>
      </w:r>
    </w:p>
    <w:p>
      <w:pPr>
        <w:spacing w:after="0" w:line="113"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b w:val="1"/>
          <w:bCs w:val="1"/>
          <w:color w:val="auto"/>
        </w:rPr>
        <w:t>2.3 Right to Sublicense</w:t>
      </w:r>
      <w:r>
        <w:rPr>
          <w:rFonts w:ascii="Arial" w:cs="Arial" w:eastAsia="Arial" w:hAnsi="Arial"/>
          <w:sz w:val="18"/>
          <w:szCs w:val="18"/>
          <w:color w:val="auto"/>
        </w:rPr>
        <w:t>. AVROBIO may grant sublicenses under the license set forth in Section 2.1 to its Affiliates and Third Parties,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set forth in this Section 2.3. An existing sublicensee in good standing may grant further sublicenses, also subject to such terms and conditions.</w:t>
      </w:r>
    </w:p>
    <w:p>
      <w:pPr>
        <w:spacing w:after="0" w:line="72"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2.3.1 Each sublicense agreement shall be consistent with and subject to the terms and conditions of this Agreement. AVROBIO shall remain responsible for the performance of all sublicensees under any such sublicenses as if such performance were carried out by AVROBIO itself, including, without limitation, the payment of any royalties or other payments provided for hereunder.</w:t>
      </w:r>
    </w:p>
    <w:p>
      <w:pPr>
        <w:spacing w:after="0" w:line="73"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2.3.2 Each sublicense agreement shall include (a) diligence obligations consistent with efforts that will allow AVROBIO to meet relevant obligations set forth in Section 3 below; (b) a direct indemnity by the sublicensee in favor of BioMarin similar in scope to that set forth in Section 9; and (c) a provision making BioMarin an express third party beneficiary of such sublicense agreement with respect to such indemnification provisions.</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2.3.3 AVROBIO will provide BioMarin with a copy of each sublicense agreement within [***] of execution of such agreement, [***].</w:t>
      </w:r>
    </w:p>
    <w:p>
      <w:pPr>
        <w:spacing w:after="0" w:line="113"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color w:val="auto"/>
        </w:rPr>
        <w:t>2.4 Technology Transfer</w:t>
      </w:r>
      <w:r>
        <w:rPr>
          <w:rFonts w:ascii="Arial" w:cs="Arial" w:eastAsia="Arial" w:hAnsi="Arial"/>
          <w:sz w:val="17"/>
          <w:szCs w:val="17"/>
          <w:color w:val="auto"/>
        </w:rPr>
        <w:t>. BioMarin will provide to AVROBIO, [***], copies of the Licensed Know-How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B</w:t>
      </w:r>
      <w:r>
        <w:rPr>
          <w:rFonts w:ascii="Arial" w:cs="Arial" w:eastAsia="Arial" w:hAnsi="Arial"/>
          <w:sz w:val="17"/>
          <w:szCs w:val="17"/>
          <w:color w:val="auto"/>
        </w:rPr>
        <w:t>, which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provided to AVROBIO within [***] of the Effective Date to the extent practicable, and in any event within [***] after the Effective Date. In addition, [***]. For purposes hereof, MAA means (a) a Biologics License Application as defined in the United States Federal Food, Drug and Cosmetics Act, as amended, and the regulations promulgated thereunder, or (b) a Marketing Authorization Application in the European Union.</w:t>
      </w:r>
    </w:p>
    <w:p>
      <w:pPr>
        <w:spacing w:after="0" w:line="57"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2.5 Other Technology</w:t>
      </w:r>
      <w:r>
        <w:rPr>
          <w:rFonts w:ascii="Arial" w:cs="Arial" w:eastAsia="Arial" w:hAnsi="Arial"/>
          <w:sz w:val="18"/>
          <w:szCs w:val="18"/>
          <w:color w:val="auto"/>
        </w:rPr>
        <w:t>. AVROBIO shall be solely responsible for obtaining, at its sole expense, any agreements with Third Parties required in order for</w:t>
      </w:r>
      <w:r>
        <w:rPr>
          <w:rFonts w:ascii="Arial" w:cs="Arial" w:eastAsia="Arial" w:hAnsi="Arial"/>
          <w:sz w:val="18"/>
          <w:szCs w:val="18"/>
          <w:b w:val="1"/>
          <w:bCs w:val="1"/>
          <w:color w:val="auto"/>
        </w:rPr>
        <w:t xml:space="preserve"> </w:t>
      </w:r>
      <w:r>
        <w:rPr>
          <w:rFonts w:ascii="Arial" w:cs="Arial" w:eastAsia="Arial" w:hAnsi="Arial"/>
          <w:sz w:val="18"/>
          <w:szCs w:val="18"/>
          <w:color w:val="auto"/>
        </w:rPr>
        <w:t>AVROBIO to conduct the Development and Commercialization of Licensed Products in the Field in the Territory. AVROBIO’s right to credit any costs and expenses that it incurs under or as a result of such Third Party agreements against amounts due under this Agreement shall be solely as set forth in Section 4.3.2.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37" w:name="page438"/>
    <w:bookmarkEnd w:id="437"/>
    <w:p>
      <w:pPr>
        <w:ind w:left="460" w:hanging="452"/>
        <w:spacing w:after="0"/>
        <w:tabs>
          <w:tab w:leader="none" w:pos="4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w:t>
      </w:r>
      <w:r>
        <w:rPr>
          <w:rFonts w:ascii="Arial" w:cs="Arial" w:eastAsia="Arial" w:hAnsi="Arial"/>
          <w:sz w:val="15"/>
          <w:szCs w:val="15"/>
          <w:b w:val="1"/>
          <w:bCs w:val="1"/>
          <w:color w:val="auto"/>
        </w:rPr>
        <w:t>EVELOPMENT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OMMERCIALIZATION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RODUCTS</w:t>
      </w:r>
    </w:p>
    <w:p>
      <w:pPr>
        <w:spacing w:after="0" w:line="11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3.1 Responsibilities</w:t>
      </w:r>
      <w:r>
        <w:rPr>
          <w:rFonts w:ascii="Arial" w:cs="Arial" w:eastAsia="Arial" w:hAnsi="Arial"/>
          <w:sz w:val="18"/>
          <w:szCs w:val="18"/>
          <w:color w:val="auto"/>
        </w:rPr>
        <w:t>. Subject to the terms and conditions of this Agreement (including without limitation this Section 3), AVROBIO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and sublicensees) will be solely responsible, at AVROBIO’s expense, for the Development and Commercialization of Licensed Products in the Field in the Territory, using Commercially Reasonable Efforts. AVROBIO will conduct, and will cause its Affiliates and sublicensees to conduct, such activities in a good scientific manner and in compliance in all material respects with all applicable laws.</w:t>
      </w:r>
    </w:p>
    <w:p>
      <w:pPr>
        <w:spacing w:after="0" w:line="72"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3.2 Communication</w:t>
      </w:r>
      <w:r>
        <w:rPr>
          <w:rFonts w:ascii="Arial" w:cs="Arial" w:eastAsia="Arial" w:hAnsi="Arial"/>
          <w:sz w:val="18"/>
          <w:szCs w:val="18"/>
          <w:color w:val="auto"/>
        </w:rPr>
        <w:t>. Each Party will appoint one of its employees to serve as a liaison and alliance manager hereunder (</w:t>
      </w:r>
      <w:r>
        <w:rPr>
          <w:rFonts w:ascii="Arial" w:cs="Arial" w:eastAsia="Arial" w:hAnsi="Arial"/>
          <w:sz w:val="18"/>
          <w:szCs w:val="18"/>
          <w:b w:val="1"/>
          <w:bCs w:val="1"/>
          <w:color w:val="auto"/>
        </w:rPr>
        <w:t>“Alliance Manager”</w:t>
      </w:r>
      <w:r>
        <w:rPr>
          <w:rFonts w:ascii="Arial" w:cs="Arial" w:eastAsia="Arial" w:hAnsi="Arial"/>
          <w:sz w:val="18"/>
          <w:szCs w:val="18"/>
          <w:color w:val="auto"/>
        </w:rPr>
        <w: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for overseeing communications between the Parties relevant to this Agreement, including without limitation communications regarding: (a) the transfer of the Licensed Know-How to AVROBIO as contemplated in Section 2.4 above, (b) patent matters, and (c) AVROBIO’s diligence obligations. The initial Alliance Manager for AVROBIO shall be [***] and for BioMarin shall be [***]. Each Party may replace its Alliance Manager at any time by notice in writing to the other Party.</w:t>
      </w:r>
    </w:p>
    <w:p>
      <w:pPr>
        <w:spacing w:after="0" w:line="76"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b w:val="1"/>
          <w:bCs w:val="1"/>
          <w:color w:val="auto"/>
        </w:rPr>
        <w:t>3.3 Diligence</w:t>
      </w:r>
      <w:r>
        <w:rPr>
          <w:rFonts w:ascii="Arial" w:cs="Arial" w:eastAsia="Arial" w:hAnsi="Arial"/>
          <w:sz w:val="17"/>
          <w:szCs w:val="17"/>
          <w:color w:val="auto"/>
        </w:rPr>
        <w:t>. AVROBIO will use Commercially Reasonable Efforts to Develop and Commercialize one or more Licensed Products in the United</w:t>
      </w:r>
      <w:r>
        <w:rPr>
          <w:rFonts w:ascii="Arial" w:cs="Arial" w:eastAsia="Arial" w:hAnsi="Arial"/>
          <w:sz w:val="17"/>
          <w:szCs w:val="17"/>
          <w:b w:val="1"/>
          <w:bCs w:val="1"/>
          <w:color w:val="auto"/>
        </w:rPr>
        <w:t xml:space="preserve"> </w:t>
      </w:r>
      <w:r>
        <w:rPr>
          <w:rFonts w:ascii="Arial" w:cs="Arial" w:eastAsia="Arial" w:hAnsi="Arial"/>
          <w:sz w:val="17"/>
          <w:szCs w:val="17"/>
          <w:color w:val="auto"/>
        </w:rPr>
        <w:t>States and in the Major European Countries. In addition, and without limiting the generality of the foregoing, AVROBIO shall initiate an IND-enabling pharmacology/toxicology study of a Licensed Product within [***] of the Effective Date. In the event that BioMarin believes AVROBIO is in material breach of its obligation to use Commercially Reasonable Efforts under this Section 3.3, then BioMarin may so notify AVROBIO in writing, which notice shall provide available details regarding the basis for its belief and specifying that such notice (a “</w:t>
      </w:r>
      <w:r>
        <w:rPr>
          <w:rFonts w:ascii="Arial" w:cs="Arial" w:eastAsia="Arial" w:hAnsi="Arial"/>
          <w:sz w:val="17"/>
          <w:szCs w:val="17"/>
          <w:b w:val="1"/>
          <w:bCs w:val="1"/>
          <w:color w:val="auto"/>
        </w:rPr>
        <w:t>Diligence Breach Notice</w:t>
      </w:r>
      <w:r>
        <w:rPr>
          <w:rFonts w:ascii="Arial" w:cs="Arial" w:eastAsia="Arial" w:hAnsi="Arial"/>
          <w:sz w:val="17"/>
          <w:szCs w:val="17"/>
          <w:color w:val="auto"/>
        </w:rPr>
        <w:t>”) is being provided by BioMarin pursuant to this Section 3.3. If a Diligence Breach Notice is provided to AVROBIO, AVROBIO may, within a further period of [***] after receipt of such notice, provide a written report to BioMarin to justify why AVROBIO believes it is not in such material breach of such diligence obligation. If no such report is provided by AVROBIO by the end of such time period, BioMarin shall be permitted to terminate this Agreement pursuant to Section 8.2. If AVROBIO provides a response, the Parties shall then conduct an initial meeting within [***] after delivery of such a written report from AVROBIO to discuss in good faith the concerns raised by BioMarin and shall conduct such additional meetings as are reasonably necessary to reach agreement as to whether or not AVROBIO is in material breach of its obligations under this Section 3.3 for an additional [***] after such initial meeting. If after such [***] period following the initial meeting, the Parties cannot reach agreement then, upon request of either Party, the matter shall be referred to the dispute resolution procedure outlined under Section 11.3, which procedure shall be required to: (a) determine whether there was, in fact, a material breach by AVROBIO of its diligence obligation, and (b) if it is determined that there was an uncured material breach, specify what additional efforts AVROBIO must undertake to cure such breach, and the time period during which such efforts must be commenced and completed (which time period shall be commercially reasonable). If such procedure determines that there was a material</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38" w:name="page439"/>
    <w:bookmarkEnd w:id="43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breach of the diligence obligation hereunder, and AVROBIO does not commence or complete the cure efforts specified by the arbitration result (in response to the clause (b) requirement above) by the required relevant dates, then BioMarin may terminate the Agreement pursuant to Section 8.2. All efforts of AVROBIO’s Affiliates, Third Party contractors and sublicensees will be considered efforts of AVROBIO for the purpose of determining AVROBIO’s compliance with its obligations under this Section 3.3.</w:t>
      </w:r>
    </w:p>
    <w:p>
      <w:pPr>
        <w:spacing w:after="0" w:line="7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7"/>
          <w:szCs w:val="17"/>
          <w:b w:val="1"/>
          <w:bCs w:val="1"/>
          <w:color w:val="auto"/>
        </w:rPr>
        <w:t>3.4 Reports</w:t>
      </w:r>
      <w:r>
        <w:rPr>
          <w:rFonts w:ascii="Arial" w:cs="Arial" w:eastAsia="Arial" w:hAnsi="Arial"/>
          <w:sz w:val="17"/>
          <w:szCs w:val="17"/>
          <w:color w:val="auto"/>
        </w:rPr>
        <w:t>. AVROBIO will keep BioMarin reasonably informed regarding the progress and results of AVROBIO’s Development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Commercialization activities and those of its Affiliates, sublicensees, and Third Party contractors as set forth below. [***] each year, no later than [***], AVROBIO shall provide BioMarin with a written report that summarizes, in reasonable detail, the Development and Commercialization activities performed by AVROBIO and its Affiliates, sublicensees, and Third Party contractors with respect to Licensed Products during the preceding [***] period, as well as AVROBIO’s expected future Development and Commercialization timeline for Licensed Products.</w:t>
      </w:r>
    </w:p>
    <w:p>
      <w:pPr>
        <w:spacing w:after="0" w:line="317" w:lineRule="exact"/>
        <w:rPr>
          <w:sz w:val="20"/>
          <w:szCs w:val="20"/>
          <w:color w:val="auto"/>
        </w:rPr>
      </w:pPr>
    </w:p>
    <w:p>
      <w:pPr>
        <w:ind w:left="460" w:hanging="452"/>
        <w:spacing w:after="0"/>
        <w:tabs>
          <w:tab w:leader="none" w:pos="4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INANCIAL</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color w:val="auto"/>
        </w:rPr>
        <w:t>4.1 Initial License Fee</w:t>
      </w:r>
      <w:r>
        <w:rPr>
          <w:rFonts w:ascii="Arial" w:cs="Arial" w:eastAsia="Arial" w:hAnsi="Arial"/>
          <w:sz w:val="17"/>
          <w:szCs w:val="17"/>
          <w:color w:val="auto"/>
        </w:rPr>
        <w:t>. As initial consideration for the grant of rights set forth herein, AVROBIO will (a) pay to BioMarin a non-creditable, non-refundable initial license fee of five hundred thousand Dollars ($500,000), payable within [***] of the Effective Date, and (b) on or before the Preferred Stock Financing Deadline, issue to BioMarin that number of shares of Preferred Stock equal to five hundred thousand Dollars ($500,000) divided by the Preferred Stock Issuance Price, rounded to the nearest whole share, for no additional cash but otherwise on the same terms and conditions at which such shares of Preferred Stock were sold by AVROBIO to the other investor(s) in the Preferred Stock Financing. As a condition to its receipt of any Preferred Stock, BioMarin will enter into AVROBIO’s investor rights agreement, voting agreement, and right of first refusal and co-sale agreement, or other similar agreements, all on the same terms and conditions as the other investor(s) in the Preferred Stock Financing. [***]. Notwithstanding clause (b) above, in the event AVROBIO completes a Change of Control prior to the closing of the Preferred Stock Financing, then AVROBIO will pay to BioMarin a non-creditable, non-refundable payment of [***], in cash, payable within [***] of the date on which such Change of Control becomes effective and will not have the right to issue shares of Preferred Stock to BioMarin as set forth in clause (b) above. Unless a Change of Control has occurred prior to such time. AVROBIO shall notify BioMarin of the completion of the Preferred Stock Financing within [***] after such completion and shall notify BioMarin of any failure to complete the Preferred Stock Financing no later than [***] following the Preferred Stock Financing Deadline. In the event AVROBIO does not complete the Preferred Stock Financing by the Preferred Stock Financing Deadline and has not completed a Change of Control, then AVROBIO shall pay to BioMarin a non-creditable, non-refundable license fee of [***] within [***] of the Preferred Stock Financing Deadline in lieu of the obligation to issue Preferred Stock set forth in clause (b) above.</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39" w:name="page440"/>
    <w:bookmarkEnd w:id="43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 Milestone Payments.</w:t>
      </w:r>
    </w:p>
    <w:p>
      <w:pPr>
        <w:spacing w:after="0" w:line="117" w:lineRule="exact"/>
        <w:rPr>
          <w:sz w:val="20"/>
          <w:szCs w:val="20"/>
          <w:color w:val="auto"/>
        </w:rPr>
      </w:pPr>
    </w:p>
    <w:p>
      <w:pPr>
        <w:ind w:right="60" w:firstLine="913"/>
        <w:spacing w:after="0" w:line="303" w:lineRule="auto"/>
        <w:rPr>
          <w:sz w:val="20"/>
          <w:szCs w:val="20"/>
          <w:color w:val="auto"/>
        </w:rPr>
      </w:pPr>
      <w:r>
        <w:rPr>
          <w:rFonts w:ascii="Arial" w:cs="Arial" w:eastAsia="Arial" w:hAnsi="Arial"/>
          <w:sz w:val="16"/>
          <w:szCs w:val="16"/>
          <w:b w:val="1"/>
          <w:bCs w:val="1"/>
          <w:color w:val="auto"/>
        </w:rPr>
        <w:t>4.2.1 Development Milestones</w:t>
      </w:r>
      <w:r>
        <w:rPr>
          <w:rFonts w:ascii="Arial" w:cs="Arial" w:eastAsia="Arial" w:hAnsi="Arial"/>
          <w:sz w:val="16"/>
          <w:szCs w:val="16"/>
          <w:color w:val="auto"/>
        </w:rPr>
        <w:t>. AVROBIO will pay to BioMarin the following non-creditable, non-refundable milestone payments within [***]</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first achievement of the corresponding events described in the table below by the first Licensed Product being Developed by or on behalf of AVROBIO, its Affiliates or sublicensees to achieve such event. For clarity, each Development Milestone payment below shall be made only once, upon the first attainment of the applicable milestone event by any Licensed Product being Developed by or on behalf of AVROBIO, its Affiliates or sublicensees.</w:t>
      </w:r>
    </w:p>
    <w:p>
      <w:pPr>
        <w:spacing w:after="0" w:line="178" w:lineRule="exact"/>
        <w:rPr>
          <w:sz w:val="20"/>
          <w:szCs w:val="20"/>
          <w:color w:val="auto"/>
        </w:rPr>
      </w:pPr>
    </w:p>
    <w:tbl>
      <w:tblPr>
        <w:tblLayout w:type="fixed"/>
        <w:tblInd w:w="720" w:type="dxa"/>
        <w:tblCellMar>
          <w:top w:w="0" w:type="dxa"/>
          <w:left w:w="0" w:type="dxa"/>
          <w:bottom w:w="0" w:type="dxa"/>
          <w:right w:w="0" w:type="dxa"/>
        </w:tblCellMar>
      </w:tblPr>
      <w:tr>
        <w:trPr>
          <w:trHeight w:val="220"/>
        </w:trPr>
        <w:tc>
          <w:tcPr>
            <w:tcW w:w="5060" w:type="dxa"/>
            <w:vAlign w:val="bottom"/>
          </w:tcPr>
          <w:p>
            <w:pPr>
              <w:jc w:val="right"/>
              <w:ind w:right="201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ILESTONE</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VENT</w:t>
            </w:r>
          </w:p>
        </w:tc>
        <w:tc>
          <w:tcPr>
            <w:tcW w:w="3840" w:type="dxa"/>
            <w:vAlign w:val="bottom"/>
          </w:tcPr>
          <w:p>
            <w:pPr>
              <w:jc w:val="center"/>
              <w:ind w:left="199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ILESTONE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AYMENT</w:t>
            </w:r>
          </w:p>
        </w:tc>
      </w:tr>
      <w:tr>
        <w:trPr>
          <w:trHeight w:val="216"/>
        </w:trPr>
        <w:tc>
          <w:tcPr>
            <w:tcW w:w="5060" w:type="dxa"/>
            <w:vAlign w:val="bottom"/>
          </w:tcPr>
          <w:p>
            <w:pPr>
              <w:jc w:val="right"/>
              <w:ind w:right="4390"/>
              <w:spacing w:after="0"/>
              <w:rPr>
                <w:sz w:val="20"/>
                <w:szCs w:val="20"/>
                <w:color w:val="auto"/>
              </w:rPr>
            </w:pPr>
            <w:r>
              <w:rPr>
                <w:rFonts w:ascii="Arial" w:cs="Arial" w:eastAsia="Arial" w:hAnsi="Arial"/>
                <w:sz w:val="18"/>
                <w:szCs w:val="18"/>
                <w:color w:val="auto"/>
              </w:rPr>
              <w:t>1. [***]</w:t>
            </w:r>
          </w:p>
        </w:tc>
        <w:tc>
          <w:tcPr>
            <w:tcW w:w="3840" w:type="dxa"/>
            <w:vAlign w:val="bottom"/>
          </w:tcPr>
          <w:p>
            <w:pPr>
              <w:jc w:val="center"/>
              <w:ind w:left="199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jc w:val="right"/>
              <w:ind w:right="4390"/>
              <w:spacing w:after="0"/>
              <w:rPr>
                <w:sz w:val="20"/>
                <w:szCs w:val="20"/>
                <w:color w:val="auto"/>
              </w:rPr>
            </w:pPr>
            <w:r>
              <w:rPr>
                <w:rFonts w:ascii="Arial" w:cs="Arial" w:eastAsia="Arial" w:hAnsi="Arial"/>
                <w:sz w:val="18"/>
                <w:szCs w:val="18"/>
                <w:color w:val="auto"/>
              </w:rPr>
              <w:t>2. [***]</w:t>
            </w:r>
          </w:p>
        </w:tc>
        <w:tc>
          <w:tcPr>
            <w:tcW w:w="3840" w:type="dxa"/>
            <w:vAlign w:val="bottom"/>
          </w:tcPr>
          <w:p>
            <w:pPr>
              <w:jc w:val="center"/>
              <w:ind w:left="199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jc w:val="right"/>
              <w:ind w:right="4390"/>
              <w:spacing w:after="0"/>
              <w:rPr>
                <w:sz w:val="20"/>
                <w:szCs w:val="20"/>
                <w:color w:val="auto"/>
              </w:rPr>
            </w:pPr>
            <w:r>
              <w:rPr>
                <w:rFonts w:ascii="Arial" w:cs="Arial" w:eastAsia="Arial" w:hAnsi="Arial"/>
                <w:sz w:val="18"/>
                <w:szCs w:val="18"/>
                <w:color w:val="auto"/>
              </w:rPr>
              <w:t>3. [***]</w:t>
            </w:r>
          </w:p>
        </w:tc>
        <w:tc>
          <w:tcPr>
            <w:tcW w:w="3840" w:type="dxa"/>
            <w:vAlign w:val="bottom"/>
          </w:tcPr>
          <w:p>
            <w:pPr>
              <w:jc w:val="center"/>
              <w:ind w:left="199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jc w:val="right"/>
              <w:ind w:right="4390"/>
              <w:spacing w:after="0"/>
              <w:rPr>
                <w:sz w:val="20"/>
                <w:szCs w:val="20"/>
                <w:color w:val="auto"/>
              </w:rPr>
            </w:pPr>
            <w:r>
              <w:rPr>
                <w:rFonts w:ascii="Arial" w:cs="Arial" w:eastAsia="Arial" w:hAnsi="Arial"/>
                <w:sz w:val="18"/>
                <w:szCs w:val="18"/>
                <w:color w:val="auto"/>
              </w:rPr>
              <w:t>4. [***]</w:t>
            </w:r>
          </w:p>
        </w:tc>
        <w:tc>
          <w:tcPr>
            <w:tcW w:w="3840" w:type="dxa"/>
            <w:vAlign w:val="bottom"/>
          </w:tcPr>
          <w:p>
            <w:pPr>
              <w:jc w:val="center"/>
              <w:ind w:left="199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Royalties</w:t>
      </w:r>
      <w:r>
        <w:rPr>
          <w:rFonts w:ascii="Arial" w:cs="Arial" w:eastAsia="Arial" w:hAnsi="Arial"/>
          <w:sz w:val="18"/>
          <w:szCs w:val="18"/>
          <w:color w:val="auto"/>
        </w:rPr>
        <w:t>.</w:t>
      </w:r>
    </w:p>
    <w:p>
      <w:pPr>
        <w:spacing w:after="0" w:line="117" w:lineRule="exact"/>
        <w:rPr>
          <w:sz w:val="20"/>
          <w:szCs w:val="20"/>
          <w:color w:val="auto"/>
        </w:rPr>
      </w:pPr>
    </w:p>
    <w:p>
      <w:pPr>
        <w:jc w:val="both"/>
        <w:ind w:right="220" w:firstLine="913"/>
        <w:spacing w:after="0" w:line="289"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b w:val="1"/>
          <w:bCs w:val="1"/>
          <w:color w:val="auto"/>
        </w:rPr>
        <w:t>Royalty Rates</w:t>
      </w:r>
      <w:r>
        <w:rPr>
          <w:rFonts w:ascii="Arial" w:cs="Arial" w:eastAsia="Arial" w:hAnsi="Arial"/>
          <w:sz w:val="17"/>
          <w:szCs w:val="17"/>
          <w:color w:val="auto"/>
        </w:rPr>
        <w:t>. During the applicable Royalty Term, AVROBIO will pay to BioMarin a royalty of [***] on Net Sales by AVROBIO, its Affiliates and sublicensees of those Licensed Products the composition, formulation, delivery, manufacture, use, sale, or importation of which is claimed or otherwise covered by a Valid Claim of the Licensed Patent Rights in at least one country in which it is made, used or sold.</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4.3.2 [***]</w:t>
      </w:r>
    </w:p>
    <w:p>
      <w:pPr>
        <w:spacing w:after="0" w:line="113" w:lineRule="exact"/>
        <w:rPr>
          <w:sz w:val="20"/>
          <w:szCs w:val="20"/>
          <w:color w:val="auto"/>
        </w:rPr>
      </w:pPr>
    </w:p>
    <w:p>
      <w:pPr>
        <w:ind w:right="60" w:firstLine="913"/>
        <w:spacing w:after="0" w:line="261"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b w:val="1"/>
          <w:bCs w:val="1"/>
          <w:color w:val="auto"/>
        </w:rPr>
        <w:t>Royalty Term</w:t>
      </w:r>
      <w:r>
        <w:rPr>
          <w:rFonts w:ascii="Arial" w:cs="Arial" w:eastAsia="Arial" w:hAnsi="Arial"/>
          <w:sz w:val="18"/>
          <w:szCs w:val="18"/>
          <w:color w:val="auto"/>
        </w:rPr>
        <w:t>. AVROBIO’s royalty payment obligations under this Section 4.3 will expire, with respect to a particular Licensed Product sold in a given country (on a Licensed Product-by-Licensed Product and country-by-country basis), upon the expiration of the period (the “</w:t>
      </w:r>
      <w:r>
        <w:rPr>
          <w:rFonts w:ascii="Arial" w:cs="Arial" w:eastAsia="Arial" w:hAnsi="Arial"/>
          <w:sz w:val="18"/>
          <w:szCs w:val="18"/>
          <w:b w:val="1"/>
          <w:bCs w:val="1"/>
          <w:color w:val="auto"/>
        </w:rPr>
        <w:t>Royalty Term</w:t>
      </w:r>
      <w:r>
        <w:rPr>
          <w:rFonts w:ascii="Arial" w:cs="Arial" w:eastAsia="Arial" w:hAnsi="Arial"/>
          <w:sz w:val="18"/>
          <w:szCs w:val="18"/>
          <w:color w:val="auto"/>
        </w:rPr>
        <w:t>” for such Licensed Product in such country) commencing upon First Commercial Sale of the applicable Licensed Product in such country and ending upon the latest of: [***].</w:t>
      </w:r>
    </w:p>
    <w:p>
      <w:pPr>
        <w:spacing w:after="0" w:line="72"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4.4 Royalty Reports; Payment</w:t>
      </w:r>
      <w:r>
        <w:rPr>
          <w:rFonts w:ascii="Arial" w:cs="Arial" w:eastAsia="Arial" w:hAnsi="Arial"/>
          <w:sz w:val="18"/>
          <w:szCs w:val="18"/>
          <w:color w:val="auto"/>
        </w:rPr>
        <w:t>. Following the First Commercial Sale of any Licensed Product for which royalties are due pursuant to Section 4.3,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for so long as royalties are due hereunder, within [***] after the end of each [***], AVROBIO shall provide a royalty-report showing, on a Licensed Product-by-Licensed Product and country-by-country basis:</w:t>
      </w:r>
    </w:p>
    <w:p>
      <w:pPr>
        <w:spacing w:after="0" w:line="72" w:lineRule="exact"/>
        <w:rPr>
          <w:sz w:val="20"/>
          <w:szCs w:val="20"/>
          <w:color w:val="auto"/>
        </w:rPr>
      </w:pPr>
    </w:p>
    <w:p>
      <w:pPr>
        <w:ind w:left="460" w:right="220" w:firstLine="881"/>
        <w:spacing w:after="0" w:line="277" w:lineRule="auto"/>
        <w:tabs>
          <w:tab w:leader="none" w:pos="1581" w:val="left"/>
        </w:tabs>
        <w:numPr>
          <w:ilvl w:val="0"/>
          <w:numId w:val="294"/>
        </w:numPr>
        <w:rPr>
          <w:rFonts w:ascii="Arial" w:cs="Arial" w:eastAsia="Arial" w:hAnsi="Arial"/>
          <w:sz w:val="18"/>
          <w:szCs w:val="18"/>
          <w:color w:val="auto"/>
        </w:rPr>
      </w:pPr>
      <w:r>
        <w:rPr>
          <w:rFonts w:ascii="Arial" w:cs="Arial" w:eastAsia="Arial" w:hAnsi="Arial"/>
          <w:sz w:val="18"/>
          <w:szCs w:val="18"/>
          <w:color w:val="auto"/>
        </w:rPr>
        <w:t>gross sales of Licensed Products sold by AVROBIO, its Affiliates and sublicensees during such [***] reporting period (on a Licensed Product by Licensed Product and country by country basis);</w:t>
      </w:r>
    </w:p>
    <w:p>
      <w:pPr>
        <w:spacing w:after="0" w:line="62" w:lineRule="exact"/>
        <w:rPr>
          <w:rFonts w:ascii="Arial" w:cs="Arial" w:eastAsia="Arial" w:hAnsi="Arial"/>
          <w:sz w:val="18"/>
          <w:szCs w:val="18"/>
          <w:color w:val="auto"/>
        </w:rPr>
      </w:pPr>
    </w:p>
    <w:p>
      <w:pPr>
        <w:jc w:val="both"/>
        <w:ind w:left="460" w:right="460" w:firstLine="881"/>
        <w:spacing w:after="0" w:line="342" w:lineRule="auto"/>
        <w:tabs>
          <w:tab w:leader="none" w:pos="1591" w:val="left"/>
        </w:tabs>
        <w:numPr>
          <w:ilvl w:val="0"/>
          <w:numId w:val="294"/>
        </w:numPr>
        <w:rPr>
          <w:rFonts w:ascii="Arial" w:cs="Arial" w:eastAsia="Arial" w:hAnsi="Arial"/>
          <w:sz w:val="16"/>
          <w:szCs w:val="16"/>
          <w:color w:val="auto"/>
        </w:rPr>
      </w:pPr>
      <w:r>
        <w:rPr>
          <w:rFonts w:ascii="Arial" w:cs="Arial" w:eastAsia="Arial" w:hAnsi="Arial"/>
          <w:sz w:val="16"/>
          <w:szCs w:val="16"/>
          <w:color w:val="auto"/>
        </w:rPr>
        <w:t>an itemized calculation of the Net Sales (showing all deductions taken pursuant to Section 1.20) of each Licensed Product sold by AVROBIO, its Affiliates and sublicensees during such [***] reporting period, along with cumulative Net Sales for the then-current calendar year;</w:t>
      </w:r>
    </w:p>
    <w:p>
      <w:pPr>
        <w:spacing w:after="0" w:line="56" w:lineRule="exact"/>
        <w:rPr>
          <w:rFonts w:ascii="Arial" w:cs="Arial" w:eastAsia="Arial" w:hAnsi="Arial"/>
          <w:sz w:val="16"/>
          <w:szCs w:val="16"/>
          <w:color w:val="auto"/>
        </w:rPr>
      </w:pPr>
    </w:p>
    <w:p>
      <w:pPr>
        <w:ind w:left="8640" w:hanging="323"/>
        <w:spacing w:after="0"/>
        <w:tabs>
          <w:tab w:leader="none" w:pos="8640" w:val="left"/>
        </w:tabs>
        <w:numPr>
          <w:ilvl w:val="1"/>
          <w:numId w:val="294"/>
        </w:numPr>
        <w:rPr>
          <w:rFonts w:ascii="Arial" w:cs="Arial" w:eastAsia="Arial" w:hAnsi="Arial"/>
          <w:sz w:val="16"/>
          <w:szCs w:val="16"/>
          <w:color w:val="auto"/>
        </w:rPr>
      </w:pPr>
      <w:r>
        <w:rPr>
          <w:rFonts w:ascii="Arial" w:cs="Arial" w:eastAsia="Arial" w:hAnsi="Arial"/>
          <w:sz w:val="16"/>
          <w:szCs w:val="16"/>
          <w:color w:val="auto"/>
        </w:rPr>
        <w:t>Confidential Treatment Requested ***</w:t>
      </w:r>
    </w:p>
    <w:p>
      <w:pPr>
        <w:sectPr>
          <w:pgSz w:w="11900" w:h="16838" w:orient="portrait"/>
          <w:cols w:equalWidth="0" w:num="1">
            <w:col w:w="11420"/>
          </w:cols>
          <w:pgMar w:left="240" w:top="270" w:right="239" w:bottom="1440" w:gutter="0" w:footer="0" w:header="0"/>
        </w:sectPr>
      </w:pPr>
    </w:p>
    <w:bookmarkStart w:id="440" w:name="page441"/>
    <w:bookmarkEnd w:id="440"/>
    <w:p>
      <w:pPr>
        <w:ind w:left="1580" w:hanging="239"/>
        <w:spacing w:after="0"/>
        <w:tabs>
          <w:tab w:leader="none" w:pos="15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royalties payable in United States Dollars which shall have accrued hereunder with respect to such Net Sales;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Withholding Taxes (as defined in Section 4.9), if any, required by applicable law to be deducted with respect to such royalties; and</w:t>
      </w:r>
    </w:p>
    <w:p>
      <w:pPr>
        <w:spacing w:after="0" w:line="128" w:lineRule="exact"/>
        <w:rPr>
          <w:rFonts w:ascii="Arial" w:cs="Arial" w:eastAsia="Arial" w:hAnsi="Arial"/>
          <w:sz w:val="17"/>
          <w:szCs w:val="17"/>
          <w:color w:val="auto"/>
        </w:rPr>
      </w:pPr>
    </w:p>
    <w:p>
      <w:pPr>
        <w:ind w:left="460" w:right="280" w:firstLine="881"/>
        <w:spacing w:after="0" w:line="277" w:lineRule="auto"/>
        <w:tabs>
          <w:tab w:leader="none" w:pos="1581"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rate of exchange with supporting calculations, determined in accordance with Section 4.5, used by AVROBIO in determining the amount of United States Dollars payable hereunder.</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AVROBIO shall pay to BioMarin the royalties for each [***] at the time of submission of AVROBIO’s royalty report. If no royalty is due for any royalty period hereunder following commencement of the reporting obligation, AVROBIO shall so report.</w:t>
      </w:r>
    </w:p>
    <w:p>
      <w:pPr>
        <w:spacing w:after="0" w:line="58"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4.5 Currency Exchange</w:t>
      </w:r>
      <w:r>
        <w:rPr>
          <w:rFonts w:ascii="Arial" w:cs="Arial" w:eastAsia="Arial" w:hAnsi="Arial"/>
          <w:sz w:val="18"/>
          <w:szCs w:val="18"/>
          <w:color w:val="auto"/>
        </w:rPr>
        <w:t>. In the case of Net Sales outside the United States, the rate of exchange to be used in computing the amount of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equivalent in United States Dollars shall be the closing exchange rate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(U.S., Eastern Edition) on the last business day of the applicable [***] for which the payment is made.</w:t>
      </w:r>
    </w:p>
    <w:p>
      <w:pPr>
        <w:spacing w:after="0" w:line="6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4.6 Records; Audit, Records and Audits</w:t>
      </w:r>
      <w:r>
        <w:rPr>
          <w:rFonts w:ascii="Arial" w:cs="Arial" w:eastAsia="Arial" w:hAnsi="Arial"/>
          <w:sz w:val="16"/>
          <w:szCs w:val="16"/>
          <w:color w:val="auto"/>
        </w:rPr>
        <w:t>. AVROBIO shall keep, and shall require its Affiliates and (sub)licensees to keep (all in accordance with U.S.</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accepted accounting principles, consistently applied), complete and accurate records in sufficient detail to properly reflect Net Sales and to enable any milestones payable hereunder to be determined. Upon the written request of BioMarin and not more than once in each calendar year, AVROBIO and its Affiliates shall permit an independent certified public accounting firm of nationally recognized standing selected by BioMarin and reasonably acceptable to AVROBIO, at BioMarin’s expense, to have access during normal business hours to such records of AVROBIO and/or its Affiliates as may be reasonably necessary to verify the accuracy of the payments hereunder for any calendar year ending not more than [***] prior to the date of such request. These rights with respect to any calendar year shall terminate [***] after the end of any such calendar year. BioMarin shall provide AVROBIO with a copy of the accounting firm’s written report within [***] of completion of such report. If such accounting firm correctly concludes that an underpayment was made, then AVROBIO shall pay the amount due within [***] of the date BioMarin delivers to AVROBIO such accounting firm’s written report so correctly concluding. BioMarin shall bear the full cost of such audit, unless such audit correctly discloses that the additional payment payable by AVROBIO for the audited period is more than [***] percent ([***]%) of the amount otherwise paid for that audited period, in which case AVROBIO shall pay the fees and expenses charged by the accounting firm. AVROBIO shall include in each relevant license granted by it a provision requiring any (sub)licensee to maintain records of sales of Licensed Products made pursuant to such license, and to grant access to such records by AVROBIO’s independent accountant to the same extent and under the same obligations as required of AVROBIO under this Agreement. AVROBIO shall advise BioMarin in advance of each audit of any such (sub)licensee with respect to Licensed Product sales. AVROBIO will provide BioMarin with a summary of the results received from the audit and, if BioMarin so requests, a copy of the audit report, with respect to relevant Licensed Product sales.</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3" w:right="239" w:bottom="1440" w:gutter="0" w:footer="0" w:header="0"/>
        </w:sectPr>
      </w:pPr>
    </w:p>
    <w:bookmarkStart w:id="441" w:name="page442"/>
    <w:bookmarkEnd w:id="441"/>
    <w:p>
      <w:pPr>
        <w:jc w:val="both"/>
        <w:ind w:right="24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4.7 Confidentiality</w:t>
      </w:r>
      <w:r>
        <w:rPr>
          <w:rFonts w:ascii="Arial" w:cs="Arial" w:eastAsia="Arial" w:hAnsi="Arial"/>
          <w:sz w:val="18"/>
          <w:szCs w:val="18"/>
          <w:color w:val="auto"/>
        </w:rPr>
        <w:t>. Each Party will treat all information subject to review under Section 4.6 in accordance with the provisions of Section 7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cause its accounting firm and the independent expert to enter into a reasonably acceptable confidentiality agreement with the audited Party obligating such entity to maintain all such financial information in confidence pursuant to such confidentiality agreement.</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4.8 Payment Terms; Interest.</w:t>
      </w:r>
    </w:p>
    <w:p>
      <w:pPr>
        <w:spacing w:after="0" w:line="121"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4.8.1 Payments under this Agreement shall be made in U.S. Dollars by wire transfer of immediately available funds to an account at a commercial bank designated by BioMarin, such designation in writing to be provided to AVROBIO at least [***] before payment is due. Any payments due under this Agreement shall be due on such date as specified in the Agreement or, in the event that such date is not a business day, the next succeeding business day. Any payments for reimbursement of patent expenses that are based on invoices shall be made within [***] from AVROBIO’s receipt of such invoice.</w:t>
      </w:r>
    </w:p>
    <w:p>
      <w:pPr>
        <w:spacing w:after="0" w:line="80"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4.8.2 If AVROBIO does not make a payment that is owed under the terms of this Agreement by the date when due, then AVROBIO shall be obligated to pay computed simple interest, the interest period commencing from such date and ending on the date that payment of the amount owed is actually made, at an interest rate per annum equal to [***] percent ([***]%), or the highest rate allowed by law, whichever is lower. The interest calculation shall be based on the Actual/360 computation method. Such interest shall be due and payable on the tender of the underlying principal payment.</w:t>
      </w:r>
    </w:p>
    <w:p>
      <w:pPr>
        <w:spacing w:after="0" w:line="4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color w:val="auto"/>
        </w:rPr>
        <w:t>4.9 Taxes</w:t>
      </w:r>
      <w:r>
        <w:rPr>
          <w:rFonts w:ascii="Arial" w:cs="Arial" w:eastAsia="Arial" w:hAnsi="Arial"/>
          <w:sz w:val="17"/>
          <w:szCs w:val="17"/>
          <w:color w:val="auto"/>
        </w:rPr>
        <w:t>. BioMarin will be responsible for any income or other taxes owed by BioMarin and required by applicable law to be withheld or deducted</w:t>
      </w:r>
      <w:r>
        <w:rPr>
          <w:rFonts w:ascii="Arial" w:cs="Arial" w:eastAsia="Arial" w:hAnsi="Arial"/>
          <w:sz w:val="17"/>
          <w:szCs w:val="17"/>
          <w:b w:val="1"/>
          <w:bCs w:val="1"/>
          <w:color w:val="auto"/>
        </w:rPr>
        <w:t xml:space="preserve"> </w:t>
      </w:r>
      <w:r>
        <w:rPr>
          <w:rFonts w:ascii="Arial" w:cs="Arial" w:eastAsia="Arial" w:hAnsi="Arial"/>
          <w:sz w:val="17"/>
          <w:szCs w:val="17"/>
          <w:color w:val="auto"/>
        </w:rPr>
        <w:t>from any of the royalty and other payments made by or on behalf of AVROBIO to BioMarin hereunder (“</w:t>
      </w:r>
      <w:r>
        <w:rPr>
          <w:rFonts w:ascii="Arial" w:cs="Arial" w:eastAsia="Arial" w:hAnsi="Arial"/>
          <w:sz w:val="17"/>
          <w:szCs w:val="17"/>
          <w:b w:val="1"/>
          <w:bCs w:val="1"/>
          <w:color w:val="auto"/>
        </w:rPr>
        <w:t>Withholding Taxes</w:t>
      </w:r>
      <w:r>
        <w:rPr>
          <w:rFonts w:ascii="Arial" w:cs="Arial" w:eastAsia="Arial" w:hAnsi="Arial"/>
          <w:sz w:val="17"/>
          <w:szCs w:val="17"/>
          <w:color w:val="auto"/>
        </w:rPr>
        <w:t>”), and AVROBIO may deduct from any amounts that AVROBIO is required to pay hereunder to BioMarin an amount equal to any such Withholding Taxes required by AVROBIO to be withheld and paid to the proper tax authority. BioMarin will provide AVROBIO any information available to BioMarin that is necessary to determine the Withholding Taxes. Such Withholding Taxes will be paid to the proper taxing authority for BioMarin’s account and evidence of such payment will be secured and sent to BioMarin within [***] of such payment. The Parties will use reasonable efforts to do such lawful acts and sign such lawful deeds and documents as either Party may reasonably request from the other Party to enable BioMarin and AVROBIO or its Affiliates or sublicensees to take advantage of any applicable legal provision or any double taxation treaties with the object of paying the sums due to BioMarin hereunder without, or to minimize the amount of, such withholding or deduction of any Withholding Taxes.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42" w:name="page443"/>
    <w:bookmarkEnd w:id="442"/>
    <w:p>
      <w:pPr>
        <w:ind w:left="460" w:hanging="452"/>
        <w:spacing w:after="0"/>
        <w:tabs>
          <w:tab w:leader="none" w:pos="4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NTELLECTUAL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ROPERTY</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 Prosecution of Licensed Patent Rights.</w:t>
      </w:r>
    </w:p>
    <w:p>
      <w:pPr>
        <w:spacing w:after="0" w:line="121"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5.1.1 In accordance with this Section 5.1.1, unless the Parties otherwise agree in writing for a given Licensed Patent Right, BioMarin will have lead responsibility for the preparation, filing, prosecution, defense and maintenance (“</w:t>
      </w:r>
      <w:r>
        <w:rPr>
          <w:rFonts w:ascii="Arial" w:cs="Arial" w:eastAsia="Arial" w:hAnsi="Arial"/>
          <w:sz w:val="16"/>
          <w:szCs w:val="16"/>
          <w:b w:val="1"/>
          <w:bCs w:val="1"/>
          <w:color w:val="auto"/>
        </w:rPr>
        <w:t>Prosecution”</w:t>
      </w:r>
      <w:r>
        <w:rPr>
          <w:rFonts w:ascii="Arial" w:cs="Arial" w:eastAsia="Arial" w:hAnsi="Arial"/>
          <w:sz w:val="16"/>
          <w:szCs w:val="16"/>
          <w:color w:val="auto"/>
        </w:rPr>
        <w:t>) in the Territory of the Licensed Patent Rights. BioMarin shall be responsible for all costs and expenses with respect to such activities, except to the extent that any such activities are undertaken after the Effective Date at the express request of AVROBIO and in cooperation with AVROBIO as further provided in Section 5.1.2 below. BioMarin will perform such activities either itself or through patent counsel of its choice. BioMarin will provide AVROBIO with copies of all official correspondence received from patent offices with respect to any claims of Licensed Patent Rights submitted pursuant to Section 5.1.2, and with any proposed substantive responses thereto sufficiently in advance for AVROBIO to provide comments and suggestions on such proposed responses, which comments and suggestions shall be considered by BioMarin in good faith. At AVROBIO’s request, BioMarin will provide AVROBIO with an update of the filing, prosecution and maintenance status for each Licensed Patent Right; provided that BioMarin shall not be obligated to provide such updates more than [***] times per year. In the event that BioMarin elects not to pursue or continue the Prosecution of any Licensed Patent Right in any country, BioMarin shall provide AVROBIO with notice of this decision at least [***] prior to any pending lapse or abandonment thereof and provide AVROBIO with an opportunity to assume responsibility for such Prosecution, at AVROBIO’s sole expense. In the event that AVROBIO elects in writing to assume responsibility for such Prosecution, AVROBIO shall have the right, at AVROBIO’s sole expense, to transfer the responsibility for such Prosecution of such patent applications and patents to patent counsel selected by it, and BioMarin shall cooperate with AVROBIO as reasonably requested to facilitate transfer of the control of such Prosecution to AVROBIO. For clarity, all filings with respect to Licensed Patent Rights shall at all times continue to be pursued in the name of BioMarin or its designee.</w:t>
      </w:r>
    </w:p>
    <w:p>
      <w:pPr>
        <w:spacing w:after="0" w:line="6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5.1.2 Promptly following the Effective Date, [***].</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 Enforcement.</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5.2.1 </w:t>
      </w:r>
      <w:r>
        <w:rPr>
          <w:rFonts w:ascii="Arial" w:cs="Arial" w:eastAsia="Arial" w:hAnsi="Arial"/>
          <w:sz w:val="17"/>
          <w:szCs w:val="17"/>
          <w:b w:val="1"/>
          <w:bCs w:val="1"/>
          <w:color w:val="auto"/>
        </w:rPr>
        <w:t>Initiation</w:t>
      </w:r>
      <w:r>
        <w:rPr>
          <w:rFonts w:ascii="Arial" w:cs="Arial" w:eastAsia="Arial" w:hAnsi="Arial"/>
          <w:sz w:val="17"/>
          <w:szCs w:val="17"/>
          <w:color w:val="auto"/>
        </w:rPr>
        <w:t>. If either Party learns of any infringement or threatened infringement by a Third Party of any Licensed Patent Right in the Field, such Party shall promptly notify the other Party and shall provide such other Party with available evidence of such infringement. AVROBIO shall have the first right, but not the obligation, at its sole expense, to bring suit or other appropriate legal action against any actual or suspected infringement, in the Field, of any Licensed Patent Rights impacting the Development or Commercialization of Licensed Products in the Field, in the Territory. BioMarin shall have the right to participate and be represented in any such suit by its own counsel at its own expense. No settlement of any such action or defense which restricts the scope, or adversely affects the enforceability, of any such Licensed Patent Right may be entered into by AVROBIO without the prior written consent of BioMarin. If AVROBIO does not take such action within [***] after written notice from BioMarin of such infringement, then on written request by BioMarin, and with AVROBIO’s prior written consent (not to be unreasonably withheld) BioMarin shall have the right but not the obligation, at its own expense, to bring suit or other appropriate legal action against such infringement. BioMarin shall have the sole right but not the obligation, at its own expense, to bring suit or other appropriate legal action against infringement of the Licensed Patents outside the Field. Notwithstanding the foregoing, with respect to the Licensed Patent Rights listed in Part 2 of Schedule A, Section 5.2.2 shall apply.</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43" w:name="page444"/>
    <w:bookmarkEnd w:id="443"/>
    <w:p>
      <w:pPr>
        <w:ind w:right="12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5.2.2 </w:t>
      </w:r>
      <w:r>
        <w:rPr>
          <w:rFonts w:ascii="Arial" w:cs="Arial" w:eastAsia="Arial" w:hAnsi="Arial"/>
          <w:sz w:val="16"/>
          <w:szCs w:val="16"/>
          <w:b w:val="1"/>
          <w:bCs w:val="1"/>
          <w:color w:val="auto"/>
        </w:rPr>
        <w:t>Part 2 Patents.</w:t>
      </w:r>
      <w:r>
        <w:rPr>
          <w:rFonts w:ascii="Arial" w:cs="Arial" w:eastAsia="Arial" w:hAnsi="Arial"/>
          <w:sz w:val="16"/>
          <w:szCs w:val="16"/>
          <w:color w:val="auto"/>
        </w:rPr>
        <w:t xml:space="preserve"> BioMarin shall have the first right, but not the obligation, at its sole expense, to bring suit or other appropriate legal action against any actual or suspected infringement, in the Field, of any Licensed Patent Rights included in Part 2 of Schedule A impacting the Development or Commercialization of Licensed Products in the Field, in the Territory. AVROBIO shall have the right to participate and be represented in any such suit by its own counsel at its own expense. No settlement of any such action or defense which could reasonably be expected to have a material adverse effect on AVROBIO’s exclusive rights under this Agreement regarding the Development or Commercialization of Licensed Products in the Field in the Territory may be entered into by BioMarin without the prior written consent of AVROBIO, which consent shall not be unreasonably withheld, conditioned or delayed. If BioMarin does not take such action within [***] after written notice from AVROBIO of such infringement, then on written request by AVROBIO, and with BioMarin’s prior written consent (not to be unreasonably withheld) AVROBIO shall have the right but not the obligation, at its own expense, to bring suit or other appropriate legal action against such infringement; provided that BioMarin will have the right to participate in and control any such litigation with respect to invalidity defenses and counterclaims at AVROBIO’s expense, and to otherwise participate and be represented in any such suit, using its own counsel at BioMarin’s expense, provided that BioMarin shall use all reasonable efforts to control the expenses to be borne by AVROBIO.</w:t>
      </w:r>
    </w:p>
    <w:p>
      <w:pPr>
        <w:spacing w:after="0" w:line="164" w:lineRule="exact"/>
        <w:rPr>
          <w:sz w:val="20"/>
          <w:szCs w:val="20"/>
          <w:color w:val="auto"/>
        </w:rPr>
      </w:pPr>
    </w:p>
    <w:p>
      <w:pPr>
        <w:ind w:right="20" w:firstLine="913"/>
        <w:spacing w:after="0" w:line="292" w:lineRule="auto"/>
        <w:rPr>
          <w:sz w:val="20"/>
          <w:szCs w:val="20"/>
          <w:color w:val="auto"/>
        </w:rPr>
      </w:pPr>
      <w:r>
        <w:rPr>
          <w:rFonts w:ascii="Arial" w:cs="Arial" w:eastAsia="Arial" w:hAnsi="Arial"/>
          <w:sz w:val="16"/>
          <w:szCs w:val="16"/>
          <w:color w:val="auto"/>
        </w:rPr>
        <w:t xml:space="preserve">5.2.3 </w:t>
      </w:r>
      <w:r>
        <w:rPr>
          <w:rFonts w:ascii="Arial" w:cs="Arial" w:eastAsia="Arial" w:hAnsi="Arial"/>
          <w:sz w:val="16"/>
          <w:szCs w:val="16"/>
          <w:b w:val="1"/>
          <w:bCs w:val="1"/>
          <w:color w:val="auto"/>
        </w:rPr>
        <w:t>Cooperation</w:t>
      </w:r>
      <w:r>
        <w:rPr>
          <w:rFonts w:ascii="Arial" w:cs="Arial" w:eastAsia="Arial" w:hAnsi="Arial"/>
          <w:sz w:val="16"/>
          <w:szCs w:val="16"/>
          <w:color w:val="auto"/>
        </w:rPr>
        <w:t>. Each Party shall, at the other Party’s expense, execute all papers and perform such other acts as may be reasonably required to bring and/or maintain any infringement suit brought by the other Party in accordance with Section 5.2.1 or Section 5.2.2 above (including joining as a party to such actions or proceedings if required by applicable law). In the event BioMarin is joined as a party to an action initiated by AVROBIO pursuant to Section 5.2, AVROBIO shall indemnify and secure BioMarin as to any costs (including internal costs), damages and expenses to the extent incurred as a direct result of BioMarin’s joinder. In addition, the Parties shall cooperate with each other in obtaining patent term restoration or supplemental protection certificates or their equivalents in any country where applicable to Licensed Products. In the event that elections with respect to obtaining such patent term restoration, supplemental protection certificates or their equivalents are to be made, the Parties shall agree upon such elections.</w:t>
      </w:r>
    </w:p>
    <w:p>
      <w:pPr>
        <w:spacing w:after="0" w:line="162"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b w:val="1"/>
          <w:bCs w:val="1"/>
          <w:color w:val="auto"/>
        </w:rPr>
        <w:t>Recovery</w:t>
      </w:r>
      <w:r>
        <w:rPr>
          <w:rFonts w:ascii="Arial" w:cs="Arial" w:eastAsia="Arial" w:hAnsi="Arial"/>
          <w:sz w:val="18"/>
          <w:szCs w:val="18"/>
          <w:color w:val="auto"/>
        </w:rPr>
        <w:t>. Any amount recovered, whether by judgment or settlement, shall first be applied to reimburse the costs and expenses (including attorneys’ fees) of the Party bringing suit, then to the costs and expenses (including attorneys’ fees), if any, of the other Party. Any net amounts of recovery(remaining after payment of costs and expenses as above shall be allocated [***].</w:t>
      </w:r>
    </w:p>
    <w:p>
      <w:pPr>
        <w:spacing w:after="0" w:line="17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5.3 Defense of Infringement Claims</w:t>
      </w:r>
      <w:r>
        <w:rPr>
          <w:rFonts w:ascii="Arial" w:cs="Arial" w:eastAsia="Arial" w:hAnsi="Arial"/>
          <w:sz w:val="18"/>
          <w:szCs w:val="18"/>
          <w:color w:val="auto"/>
        </w:rPr>
        <w:t>. If the manufacture, sale or use of a Licensed Product pursuant to this Agreement results in, or may result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claim, suit, or proceeding by a Third Party alleging patent infringement by AVROBIO (or its Affiliates or sublicensees) in the Field in the Territory, AVROBIO will promptly notify BioMarin thereof in writing, and AVROBIO shall indemnify BioMarin with respect to any such claims as required in Section 9. AVROBIO or its Affiliate or sublicensee will have the exclusive right to defend and control the defense of any such claim, suit, action or proceeding at its own expense, using counsel of its own choice, and may settle any such claim, suit, action or proceeding at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that if any such settlement would admit or concede that any material aspect of the Licensed</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44" w:name="page445"/>
    <w:bookmarkEnd w:id="444"/>
    <w:p>
      <w:pPr>
        <w:jc w:val="both"/>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Patent Rights are invalid or unenforceable, or would shorten the life of any of the Licensed Patent Rights or narrow their scope, or require BioMarin to pay any amounts, the aspects of such settlement directly involving such admission or concession or payment shall require the prior written consent of BioMarin. AVROBIO will keep BioMarin reasonably informed of all material developments in connection with any such claim, suit, or proceeding.</w:t>
      </w:r>
    </w:p>
    <w:p>
      <w:pPr>
        <w:spacing w:after="0" w:line="53" w:lineRule="exact"/>
        <w:rPr>
          <w:sz w:val="20"/>
          <w:szCs w:val="20"/>
          <w:color w:val="auto"/>
        </w:rPr>
      </w:pPr>
    </w:p>
    <w:p>
      <w:pPr>
        <w:ind w:right="340" w:firstLine="456"/>
        <w:spacing w:after="0" w:line="289" w:lineRule="auto"/>
        <w:rPr>
          <w:sz w:val="20"/>
          <w:szCs w:val="20"/>
          <w:color w:val="auto"/>
        </w:rPr>
      </w:pPr>
      <w:r>
        <w:rPr>
          <w:rFonts w:ascii="Arial" w:cs="Arial" w:eastAsia="Arial" w:hAnsi="Arial"/>
          <w:sz w:val="17"/>
          <w:szCs w:val="17"/>
          <w:b w:val="1"/>
          <w:bCs w:val="1"/>
          <w:color w:val="auto"/>
        </w:rPr>
        <w:t>5.4 Patent Marking</w:t>
      </w:r>
      <w:r>
        <w:rPr>
          <w:rFonts w:ascii="Arial" w:cs="Arial" w:eastAsia="Arial" w:hAnsi="Arial"/>
          <w:sz w:val="17"/>
          <w:szCs w:val="17"/>
          <w:color w:val="auto"/>
        </w:rPr>
        <w:t>. AVROBIO shall, and shall require its Affiliates and sublicensees to, mark Licensed Products sold by it hereunder with</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patent numbers or indicia to the extent permitted by applicable law and regulations, in those countries in which such markings or such notices impact recoveries of damages or equitable remedies available with respect to infringements of Patent Rights.</w:t>
      </w:r>
    </w:p>
    <w:p>
      <w:pPr>
        <w:spacing w:after="0" w:line="307" w:lineRule="exact"/>
        <w:rPr>
          <w:sz w:val="20"/>
          <w:szCs w:val="20"/>
          <w:color w:val="auto"/>
        </w:rPr>
      </w:pPr>
    </w:p>
    <w:p>
      <w:pPr>
        <w:ind w:left="460" w:hanging="452"/>
        <w:spacing w:after="0"/>
        <w:tabs>
          <w:tab w:leader="none" w:pos="46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w:t>
      </w:r>
      <w:r>
        <w:rPr>
          <w:rFonts w:ascii="Arial" w:cs="Arial" w:eastAsia="Arial" w:hAnsi="Arial"/>
          <w:sz w:val="18"/>
          <w:szCs w:val="18"/>
          <w:b w:val="1"/>
          <w:bCs w:val="1"/>
          <w:color w:val="auto"/>
        </w:rPr>
        <w:t>; C</w:t>
      </w:r>
      <w:r>
        <w:rPr>
          <w:rFonts w:ascii="Arial" w:cs="Arial" w:eastAsia="Arial" w:hAnsi="Arial"/>
          <w:sz w:val="15"/>
          <w:szCs w:val="15"/>
          <w:b w:val="1"/>
          <w:bCs w:val="1"/>
          <w:color w:val="auto"/>
        </w:rPr>
        <w:t>OVENANTS</w:t>
      </w:r>
    </w:p>
    <w:p>
      <w:pPr>
        <w:spacing w:after="0" w:line="11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6.1 BioMarin Warranties. </w:t>
      </w:r>
      <w:r>
        <w:rPr>
          <w:rFonts w:ascii="Arial" w:cs="Arial" w:eastAsia="Arial" w:hAnsi="Arial"/>
          <w:sz w:val="18"/>
          <w:szCs w:val="18"/>
          <w:color w:val="auto"/>
        </w:rPr>
        <w:t>BioMarin hereby warrants and represents to AVROBIO, as of the Effective Date, that: (i) BioMarin owns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the Licensed Technology and has the right to grant the licenses under the Licensed Technology as set forth in this Agreement; (ii) BioMarin has not entered into any agreement, arrangement or understanding regarding the use of the Licensed Technology in the Field in the Territory that would prevent BioMarin from granting the license to AVROBIO as set forth in Section 2.1 of this Agreement; (iii) during the Term of this Agreement, BioMarin shall not grant a license under the Licensed Technology to any Third Party in the Field in the Territory; (iv) none of the Licensed Technology has been misappropriated from any Third Party; and [***].</w:t>
      </w:r>
    </w:p>
    <w:p>
      <w:pPr>
        <w:spacing w:after="0" w:line="80"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6.2 Reciprocal Representations and Warranties</w:t>
      </w:r>
      <w:r>
        <w:rPr>
          <w:rFonts w:ascii="Arial" w:cs="Arial" w:eastAsia="Arial" w:hAnsi="Arial"/>
          <w:sz w:val="18"/>
          <w:szCs w:val="18"/>
          <w:color w:val="auto"/>
        </w:rPr>
        <w:t>. Each Party represents and warrants to the other Party that: (i) this Agreement is a legal and valid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binding upon its execution and enforceable against it in accordance with its terms and conditions; and (ii) the execution, delivery and performance of this Agreement by such Party has been duly authorized by all necessary corporate action, and (iii) the person executing this Agreement on behalf of such Party has been duly authorized to do so by all requisite corporate actions.</w:t>
      </w:r>
    </w:p>
    <w:p>
      <w:pPr>
        <w:spacing w:after="0" w:line="7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color w:val="auto"/>
        </w:rPr>
        <w:t>6.3 DISCLAIMER OF WARRANTY</w:t>
      </w:r>
      <w:r>
        <w:rPr>
          <w:rFonts w:ascii="Arial" w:cs="Arial" w:eastAsia="Arial" w:hAnsi="Arial"/>
          <w:sz w:val="18"/>
          <w:szCs w:val="18"/>
          <w:color w:val="auto"/>
        </w:rPr>
        <w:t>. EXCEPT FOR THE EXPRESS WARRANTIES SET FORTH HEREIN, NEITHER PARTY MAKES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NOR GRANTS ANY OTHER WARRANTIES, EXPRESS OR IMPLIED, EITHER IN FACT OR BY OPERATION OF LAW, BY STATUTE OR OTHERWISE, AND BIOMARIN AND AVROBIO EACH SPECIFICALLY DISCLAIMS ANY OTHER WARRANTIES, WHETHER WRITTEN OR ORAL, OR EXPRESS OR IMPLIED, INCLUDING ANY WARRANTY OF QUALITY OR MERCHANTABILITY, OR ANY WARRANTY AS TO THE VALIDITY OR ENFORCEABILITY OF ANY PATENTS OR THE NONINFRINGEMENT OF ANY INTELLECTUAL PROPERTY RIGHTS OF THIRD PARTIES.</w:t>
      </w:r>
    </w:p>
    <w:p>
      <w:pPr>
        <w:spacing w:after="0" w:line="336" w:lineRule="exact"/>
        <w:rPr>
          <w:sz w:val="20"/>
          <w:szCs w:val="20"/>
          <w:color w:val="auto"/>
        </w:rPr>
      </w:pPr>
    </w:p>
    <w:p>
      <w:pPr>
        <w:ind w:left="460" w:hanging="452"/>
        <w:spacing w:after="0"/>
        <w:tabs>
          <w:tab w:leader="none" w:pos="46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17" w:lineRule="exact"/>
        <w:rPr>
          <w:sz w:val="20"/>
          <w:szCs w:val="20"/>
          <w:color w:val="auto"/>
        </w:rPr>
      </w:pPr>
    </w:p>
    <w:p>
      <w:pPr>
        <w:ind w:right="480" w:firstLine="456"/>
        <w:spacing w:after="0" w:line="313" w:lineRule="auto"/>
        <w:rPr>
          <w:sz w:val="20"/>
          <w:szCs w:val="20"/>
          <w:color w:val="auto"/>
        </w:rPr>
      </w:pPr>
      <w:r>
        <w:rPr>
          <w:rFonts w:ascii="Arial" w:cs="Arial" w:eastAsia="Arial" w:hAnsi="Arial"/>
          <w:sz w:val="17"/>
          <w:szCs w:val="17"/>
          <w:b w:val="1"/>
          <w:bCs w:val="1"/>
          <w:color w:val="auto"/>
        </w:rPr>
        <w:t>7.1 Definition</w:t>
      </w:r>
      <w:r>
        <w:rPr>
          <w:rFonts w:ascii="Arial" w:cs="Arial" w:eastAsia="Arial" w:hAnsi="Arial"/>
          <w:sz w:val="17"/>
          <w:szCs w:val="17"/>
          <w:color w:val="auto"/>
        </w:rPr>
        <w:t>. During the Term, a Party (the “</w:t>
      </w:r>
      <w:r>
        <w:rPr>
          <w:rFonts w:ascii="Arial" w:cs="Arial" w:eastAsia="Arial" w:hAnsi="Arial"/>
          <w:sz w:val="17"/>
          <w:szCs w:val="17"/>
          <w:b w:val="1"/>
          <w:bCs w:val="1"/>
          <w:color w:val="auto"/>
        </w:rPr>
        <w:t>Disclosing Party</w:t>
      </w:r>
      <w:r>
        <w:rPr>
          <w:rFonts w:ascii="Arial" w:cs="Arial" w:eastAsia="Arial" w:hAnsi="Arial"/>
          <w:sz w:val="17"/>
          <w:szCs w:val="17"/>
          <w:color w:val="auto"/>
        </w:rPr>
        <w:t>”, with respect to information disclosed by such Party) may disclose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communicate to the other Party (the “</w:t>
      </w:r>
      <w:r>
        <w:rPr>
          <w:rFonts w:ascii="Arial" w:cs="Arial" w:eastAsia="Arial" w:hAnsi="Arial"/>
          <w:sz w:val="17"/>
          <w:szCs w:val="17"/>
          <w:b w:val="1"/>
          <w:bCs w:val="1"/>
          <w:color w:val="auto"/>
        </w:rPr>
        <w:t>Receiving Party</w:t>
      </w:r>
      <w:r>
        <w:rPr>
          <w:rFonts w:ascii="Arial" w:cs="Arial" w:eastAsia="Arial" w:hAnsi="Arial"/>
          <w:sz w:val="17"/>
          <w:szCs w:val="17"/>
          <w:color w:val="auto"/>
        </w:rPr>
        <w:t>”, with respect to information disclosed to such Party by the other Party)</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45" w:name="page446"/>
    <w:bookmarkEnd w:id="445"/>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information in connection with this Agreement or the performance of its obligations hereunder (the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of the disclosing Party), which may include scientific and manufacturing information and plans, marketing and business plans, and financial and personnel matters relating to a Party or its present or future products, sales, suppliers, customers, employees, investors or business. Without limiting the foregoing,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of a Party is hereby deemed to include any information disclosed by such Party to the other Party pursuant to that certain confidentiality agreement between the Parties dated as of March 1, 2017 (the “</w:t>
      </w:r>
      <w:r>
        <w:rPr>
          <w:rFonts w:ascii="Arial" w:cs="Arial" w:eastAsia="Arial" w:hAnsi="Arial"/>
          <w:sz w:val="18"/>
          <w:szCs w:val="18"/>
          <w:b w:val="1"/>
          <w:bCs w:val="1"/>
          <w:color w:val="auto"/>
        </w:rPr>
        <w:t>Prior CDA</w:t>
      </w:r>
      <w:r>
        <w:rPr>
          <w:rFonts w:ascii="Arial" w:cs="Arial" w:eastAsia="Arial" w:hAnsi="Arial"/>
          <w:sz w:val="18"/>
          <w:szCs w:val="18"/>
          <w:color w:val="auto"/>
        </w:rPr>
        <w:t>”). For clarity, the Licensed Technology is the Confidential Information of BioMarin, subject to the exceptions set forth in Section 7.2.</w:t>
      </w:r>
    </w:p>
    <w:p>
      <w:pPr>
        <w:spacing w:after="0" w:line="80"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7.2 Exclusions</w:t>
      </w:r>
      <w:r>
        <w:rPr>
          <w:rFonts w:ascii="Arial" w:cs="Arial" w:eastAsia="Arial" w:hAnsi="Arial"/>
          <w:sz w:val="18"/>
          <w:szCs w:val="18"/>
          <w:color w:val="auto"/>
        </w:rPr>
        <w:t>. Notwithstanding the foregoing, information disclosed by a Disclosing Party will not be deemed Confidential Information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Receiving Party for purposes of this Agreement if such information:</w:t>
      </w:r>
    </w:p>
    <w:p>
      <w:pPr>
        <w:spacing w:after="0" w:line="58" w:lineRule="exact"/>
        <w:rPr>
          <w:sz w:val="20"/>
          <w:szCs w:val="20"/>
          <w:color w:val="auto"/>
        </w:rPr>
      </w:pPr>
    </w:p>
    <w:p>
      <w:pPr>
        <w:ind w:left="460" w:right="900" w:firstLine="443"/>
        <w:spacing w:after="0" w:line="277" w:lineRule="auto"/>
        <w:tabs>
          <w:tab w:leader="none" w:pos="1143"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was already known to the Receiving Party or its Affiliates, as evidenced by their written records, other than under an obligation of confidentiality or non-use, at the time of disclosure to the Receiving Party;</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was generally available or was otherwise part of the public domain at the time of its disclosure to the Receiving Party;</w:t>
      </w:r>
    </w:p>
    <w:p>
      <w:pPr>
        <w:spacing w:after="0" w:line="117" w:lineRule="exact"/>
        <w:rPr>
          <w:rFonts w:ascii="Arial" w:cs="Arial" w:eastAsia="Arial" w:hAnsi="Arial"/>
          <w:sz w:val="18"/>
          <w:szCs w:val="18"/>
          <w:color w:val="auto"/>
        </w:rPr>
      </w:pPr>
    </w:p>
    <w:p>
      <w:pPr>
        <w:ind w:left="460" w:right="280" w:firstLine="443"/>
        <w:spacing w:after="0" w:line="277" w:lineRule="auto"/>
        <w:tabs>
          <w:tab w:leader="none" w:pos="1143" w:val="left"/>
        </w:tabs>
        <w:numPr>
          <w:ilvl w:val="0"/>
          <w:numId w:val="299"/>
        </w:numPr>
        <w:rPr>
          <w:rFonts w:ascii="Arial" w:cs="Arial" w:eastAsia="Arial" w:hAnsi="Arial"/>
          <w:sz w:val="18"/>
          <w:szCs w:val="18"/>
          <w:color w:val="auto"/>
        </w:rPr>
      </w:pPr>
      <w:r>
        <w:rPr>
          <w:rFonts w:ascii="Arial" w:cs="Arial" w:eastAsia="Arial" w:hAnsi="Arial"/>
          <w:sz w:val="18"/>
          <w:szCs w:val="18"/>
          <w:color w:val="auto"/>
        </w:rPr>
        <w:t>became generally available or otherwise became part of the public domain after its disclosure to the Receiving Party, through no fault of or breach of its obligations under this Section 9 or the Prior CDA (as defined above) by the Receiving Party;</w:t>
      </w:r>
    </w:p>
    <w:p>
      <w:pPr>
        <w:spacing w:after="0" w:line="62"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was disclosed to the Receiving Party, other than under an obligation of confidentiality or non-use, by a Third Party who had no obligation to the Party that controls such information not to disclose such information to others and has the lawful right to disclose it; or</w:t>
      </w:r>
    </w:p>
    <w:p>
      <w:pPr>
        <w:spacing w:after="0" w:line="62" w:lineRule="exact"/>
        <w:rPr>
          <w:rFonts w:ascii="Arial" w:cs="Arial" w:eastAsia="Arial" w:hAnsi="Arial"/>
          <w:sz w:val="18"/>
          <w:szCs w:val="18"/>
          <w:color w:val="auto"/>
        </w:rPr>
      </w:pPr>
    </w:p>
    <w:p>
      <w:pPr>
        <w:ind w:left="460" w:right="620" w:firstLine="443"/>
        <w:spacing w:after="0" w:line="277" w:lineRule="auto"/>
        <w:tabs>
          <w:tab w:leader="none" w:pos="1143"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was independently discovered or developed by the Receiving Party or its Affiliate, as evidenced by written records, without the use of Confidential Information belonging to the Disclosing Party.</w:t>
      </w:r>
    </w:p>
    <w:p>
      <w:pPr>
        <w:spacing w:after="0" w:line="58"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b w:val="1"/>
          <w:bCs w:val="1"/>
          <w:color w:val="auto"/>
        </w:rPr>
        <w:t>7.3 Disclosure and Use Restriction</w:t>
      </w:r>
      <w:r>
        <w:rPr>
          <w:rFonts w:ascii="Arial" w:cs="Arial" w:eastAsia="Arial" w:hAnsi="Arial"/>
          <w:sz w:val="18"/>
          <w:szCs w:val="18"/>
          <w:color w:val="auto"/>
        </w:rPr>
        <w:t>. Except as expressly otherwise provided herein, each Party agrees that, during the Term and for [***] thereafter,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Party (as the Receiving Party with respect to Confidential Information of the other Party) and its Affiliates and sublicensees will keep completely confidential, and will not publish or otherwise disclose and will not use for any purpose except for the purposes expressly contemplated by this Agreement, any Confidential Information of the Disclosing Party.</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46" w:name="page447"/>
    <w:bookmarkEnd w:id="446"/>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7.4 Authorized Disclosure</w:t>
      </w:r>
      <w:r>
        <w:rPr>
          <w:rFonts w:ascii="Arial" w:cs="Arial" w:eastAsia="Arial" w:hAnsi="Arial"/>
          <w:sz w:val="16"/>
          <w:szCs w:val="16"/>
          <w:color w:val="auto"/>
        </w:rPr>
        <w:t>. A Receiving Party may disclose specific Confidential Information of the Disclosing Party to the extent that such disclosure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is:</w:t>
      </w:r>
    </w:p>
    <w:p>
      <w:pPr>
        <w:spacing w:after="0" w:line="103"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7.4.1 required by a valid order of a court of competent jurisdiction or other governmental or regulatory body of competent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Receiving Party will first have given reasonable prior notice of such disclosure requirement to the Disclosing Party and given the Disclosing Party a reasonable opportunity to quash such order and/or to obtain a protective or order limiting such disclosure and/or requiring that the Confidential Information and documents that are the subject of such order be held in confidence by such court or governmental or regulatory body and/or, if disclosed, be used only for the purposes for which the order was issued;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the disclosure requirement is not quashed, the Confidential Information disclosed in response to such court or governmental order will be limited to that information that is legally required to be disclosed in response to such court or governmental order, taking into account any protective or other similar order limiting such disclosure obligation;</w:t>
      </w:r>
    </w:p>
    <w:p>
      <w:pPr>
        <w:spacing w:after="0" w:line="59"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 xml:space="preserve">7.4.2 required by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Disclosing Party will provide the Receiving Party with notice of such disclosure in advance thereof to the extent practicable and the disclosure will be limited to that information that is legally required to be disclosed in response to such court or governmental order;</w:t>
      </w:r>
    </w:p>
    <w:p>
      <w:pPr>
        <w:spacing w:after="0" w:line="73" w:lineRule="exact"/>
        <w:rPr>
          <w:sz w:val="20"/>
          <w:szCs w:val="20"/>
          <w:color w:val="auto"/>
        </w:rPr>
      </w:pPr>
    </w:p>
    <w:p>
      <w:pPr>
        <w:jc w:val="both"/>
        <w:ind w:right="720" w:firstLine="913"/>
        <w:spacing w:after="0" w:line="342" w:lineRule="auto"/>
        <w:rPr>
          <w:sz w:val="20"/>
          <w:szCs w:val="20"/>
          <w:color w:val="auto"/>
        </w:rPr>
      </w:pPr>
      <w:r>
        <w:rPr>
          <w:rFonts w:ascii="Arial" w:cs="Arial" w:eastAsia="Arial" w:hAnsi="Arial"/>
          <w:sz w:val="16"/>
          <w:szCs w:val="16"/>
          <w:color w:val="auto"/>
        </w:rPr>
        <w:t xml:space="preserve">7.4.3 made by the Receiving Party to Regulatory Authorities as required in connection with any regulatory filing or application made in accordance with the terms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reasonable measures will be taken to assure confidential treatment of such information;</w:t>
      </w:r>
    </w:p>
    <w:p>
      <w:pPr>
        <w:spacing w:after="0" w:line="16"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7.4.4 made by the Receiving Party as reasonably required in connection with the performance of this Agreement, to Affiliates, employees, consultants, representatives or agents, each of whom prior to disclosure must be bound by obligations of confidentiality and non-use at least equivalent in scope to those set forth in this Section 7;</w:t>
      </w:r>
    </w:p>
    <w:p>
      <w:pPr>
        <w:spacing w:after="0" w:line="7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7.4.5 made by the Receiving Party to existing or potential acquirers or merger candidates; potential sublicensees or collaborators (to the extent contemplated hereunder); investment bankers; existing or potential investors, venture capital firms or other financial institutions or investors for purposes of obtaining financing; or Affiliates, each of whom prior to disclosure must be bound by obligations of confidentiality and non-use at least equivalent in scope to those set forth in this Section 7.4;</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7.4.6 made by the Receiving Party with the prior written consent of the Disclosing Party.</w:t>
      </w:r>
    </w:p>
    <w:p>
      <w:pPr>
        <w:spacing w:after="0" w:line="113" w:lineRule="exact"/>
        <w:rPr>
          <w:sz w:val="20"/>
          <w:szCs w:val="20"/>
          <w:color w:val="auto"/>
        </w:rPr>
      </w:pPr>
    </w:p>
    <w:p>
      <w:pPr>
        <w:ind w:right="380" w:firstLine="456"/>
        <w:spacing w:after="0" w:line="347" w:lineRule="auto"/>
        <w:rPr>
          <w:sz w:val="20"/>
          <w:szCs w:val="20"/>
          <w:color w:val="auto"/>
        </w:rPr>
      </w:pPr>
      <w:r>
        <w:rPr>
          <w:rFonts w:ascii="Arial" w:cs="Arial" w:eastAsia="Arial" w:hAnsi="Arial"/>
          <w:sz w:val="16"/>
          <w:szCs w:val="16"/>
          <w:b w:val="1"/>
          <w:bCs w:val="1"/>
          <w:color w:val="auto"/>
        </w:rPr>
        <w:t>7.5 Use of Name</w:t>
      </w:r>
      <w:r>
        <w:rPr>
          <w:rFonts w:ascii="Arial" w:cs="Arial" w:eastAsia="Arial" w:hAnsi="Arial"/>
          <w:sz w:val="16"/>
          <w:szCs w:val="16"/>
          <w:color w:val="auto"/>
        </w:rPr>
        <w:t>. Neither Party may make public use of the other Party’s name except (a) in connection with the activities contemplated hereby as</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in this Section 7, (b) as required by applicable law, subject to this Section 7, and (c) otherwise as agreed in writing by such other Party.</w:t>
      </w:r>
    </w:p>
    <w:p>
      <w:pPr>
        <w:spacing w:after="0" w:line="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color w:val="auto"/>
        </w:rPr>
        <w:t>7.6 Terms of Agreement to be Maintained in Confidence</w:t>
      </w:r>
      <w:r>
        <w:rPr>
          <w:rFonts w:ascii="Arial" w:cs="Arial" w:eastAsia="Arial" w:hAnsi="Arial"/>
          <w:sz w:val="17"/>
          <w:szCs w:val="17"/>
          <w:color w:val="auto"/>
        </w:rPr>
        <w:t>. The Parties agree that the terms of this Agreement are confidential and will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disclosed by either Party to any Third Party (except to a Party’s professional advisor, in accordance with Section 7.4.4) without prior written permission of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either Party may make any filings of this Agreement required by law or regulation in any country so long as such Party uses its reasonable efforts to obtain confidential treatment for portions of this Agreement as available, consults with the other Party, and permits the other Party to participate, to the extent practicable, in seeking a protective order or other confidential treatment;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 Party may publicly disclose, without regard to the preceding requirements of this Section 7.6, information that was previously disclosed in compliance with such requirements; and </w:t>
      </w:r>
      <w:r>
        <w:rPr>
          <w:rFonts w:ascii="Arial" w:cs="Arial" w:eastAsia="Arial" w:hAnsi="Arial"/>
          <w:sz w:val="17"/>
          <w:szCs w:val="17"/>
          <w:i w:val="1"/>
          <w:iCs w:val="1"/>
          <w:color w:val="auto"/>
        </w:rPr>
        <w:t xml:space="preserve">provided further, </w:t>
      </w:r>
      <w:r>
        <w:rPr>
          <w:rFonts w:ascii="Arial" w:cs="Arial" w:eastAsia="Arial" w:hAnsi="Arial"/>
          <w:sz w:val="17"/>
          <w:szCs w:val="17"/>
          <w:color w:val="auto"/>
        </w:rPr>
        <w:t>that a Party may disclose such terms in confidence as provided in Section 7.4.5.</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47" w:name="page448"/>
    <w:bookmarkEnd w:id="447"/>
    <w:p>
      <w:pPr>
        <w:ind w:right="60" w:firstLine="456"/>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7.7 Press Release</w:t>
      </w:r>
      <w:r>
        <w:rPr>
          <w:rFonts w:ascii="Arial" w:cs="Arial" w:eastAsia="Arial" w:hAnsi="Arial"/>
          <w:sz w:val="18"/>
          <w:szCs w:val="18"/>
          <w:color w:val="auto"/>
        </w:rPr>
        <w:t>. Neither Party shall issue any press release or other public announcement relating to the existence of this Agreement or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without obtaining the other Party’s written approval. For clarity, subject to AVROBIO’s compliance with its obligations regarding Confidential Information of BioMarin hereunder and with Sections 7.5 and 7.6, and as long as specific reference to [***] is not made unless and until use of [***] by AVROBIO has been disclosed in scientific publications or presentations made by AVROBIO in the normal course of business, nothing in this Agreement shall be deemed to prohibit AVROBIO from making customary public disclosures regarding the Licensed Product development program in the Field to be conducted by AVROBIO hereunder. For further clarity, AVROBIO may make disclosures regarding this Agreement to its current and prospective investors as permitted under Section 7.4.5 and as permitted in Section 7.5.</w:t>
      </w:r>
    </w:p>
    <w:p>
      <w:pPr>
        <w:spacing w:after="0" w:line="81" w:lineRule="exact"/>
        <w:rPr>
          <w:sz w:val="20"/>
          <w:szCs w:val="20"/>
          <w:color w:val="auto"/>
        </w:rPr>
      </w:pPr>
    </w:p>
    <w:p>
      <w:pPr>
        <w:ind w:left="180" w:hanging="172"/>
        <w:spacing w:after="0"/>
        <w:tabs>
          <w:tab w:leader="none" w:pos="18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 AND</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ERMINATION</w:t>
      </w:r>
    </w:p>
    <w:p>
      <w:pPr>
        <w:spacing w:after="0" w:line="117"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8.1 Term</w:t>
      </w:r>
      <w:r>
        <w:rPr>
          <w:rFonts w:ascii="Arial" w:cs="Arial" w:eastAsia="Arial" w:hAnsi="Arial"/>
          <w:sz w:val="18"/>
          <w:szCs w:val="18"/>
          <w:color w:val="auto"/>
        </w:rPr>
        <w:t>. The term of this Agreement will commence as of the Effective Date and, will expire upon the expiration of the last Royalty Term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Products in all countries in the Territory, or will terminate if the Agreement is earlier terminated in accordance with this Section 8 (such period,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 Termination for Material Breach.</w:t>
      </w:r>
    </w:p>
    <w:p>
      <w:pPr>
        <w:spacing w:after="0" w:line="117" w:lineRule="exact"/>
        <w:rPr>
          <w:sz w:val="20"/>
          <w:szCs w:val="20"/>
          <w:color w:val="auto"/>
        </w:rPr>
      </w:pPr>
    </w:p>
    <w:p>
      <w:pPr>
        <w:jc w:val="both"/>
        <w:ind w:right="40" w:firstLine="913"/>
        <w:spacing w:after="0" w:line="314" w:lineRule="auto"/>
        <w:rPr>
          <w:sz w:val="20"/>
          <w:szCs w:val="20"/>
          <w:color w:val="auto"/>
        </w:rPr>
      </w:pPr>
      <w:r>
        <w:rPr>
          <w:rFonts w:ascii="Arial" w:cs="Arial" w:eastAsia="Arial" w:hAnsi="Arial"/>
          <w:sz w:val="16"/>
          <w:szCs w:val="16"/>
          <w:color w:val="auto"/>
        </w:rPr>
        <w:t>8.2.1 Any material failure by a Party (the “</w:t>
      </w:r>
      <w:r>
        <w:rPr>
          <w:rFonts w:ascii="Arial" w:cs="Arial" w:eastAsia="Arial" w:hAnsi="Arial"/>
          <w:sz w:val="16"/>
          <w:szCs w:val="16"/>
          <w:b w:val="1"/>
          <w:bCs w:val="1"/>
          <w:color w:val="auto"/>
        </w:rPr>
        <w:t>Breaching Party</w:t>
      </w:r>
      <w:r>
        <w:rPr>
          <w:rFonts w:ascii="Arial" w:cs="Arial" w:eastAsia="Arial" w:hAnsi="Arial"/>
          <w:sz w:val="16"/>
          <w:szCs w:val="16"/>
          <w:color w:val="auto"/>
        </w:rPr>
        <w:t>”) to comply with its material obligations contained in this Agreement (such failure a “</w:t>
      </w:r>
      <w:r>
        <w:rPr>
          <w:rFonts w:ascii="Arial" w:cs="Arial" w:eastAsia="Arial" w:hAnsi="Arial"/>
          <w:sz w:val="16"/>
          <w:szCs w:val="16"/>
          <w:b w:val="1"/>
          <w:bCs w:val="1"/>
          <w:color w:val="auto"/>
        </w:rPr>
        <w:t>Material Breach</w:t>
      </w:r>
      <w:r>
        <w:rPr>
          <w:rFonts w:ascii="Arial" w:cs="Arial" w:eastAsia="Arial" w:hAnsi="Arial"/>
          <w:sz w:val="16"/>
          <w:szCs w:val="16"/>
          <w:color w:val="auto"/>
        </w:rPr>
        <w:t>”) will entitle the other Party (“</w:t>
      </w:r>
      <w:r>
        <w:rPr>
          <w:rFonts w:ascii="Arial" w:cs="Arial" w:eastAsia="Arial" w:hAnsi="Arial"/>
          <w:sz w:val="16"/>
          <w:szCs w:val="16"/>
          <w:b w:val="1"/>
          <w:bCs w:val="1"/>
          <w:color w:val="auto"/>
        </w:rPr>
        <w:t>Non-Breaching Party</w:t>
      </w:r>
      <w:r>
        <w:rPr>
          <w:rFonts w:ascii="Arial" w:cs="Arial" w:eastAsia="Arial" w:hAnsi="Arial"/>
          <w:sz w:val="16"/>
          <w:szCs w:val="16"/>
          <w:color w:val="auto"/>
        </w:rPr>
        <w:t>”) to give to the Breaching Party written notice of the Material Breach, which notice shall specify in detail the nature of the breach and shall, require the Breaching Party to make good or otherwise cure such Material Breach.</w:t>
      </w:r>
    </w:p>
    <w:p>
      <w:pPr>
        <w:spacing w:after="0" w:line="38" w:lineRule="exact"/>
        <w:rPr>
          <w:sz w:val="20"/>
          <w:szCs w:val="20"/>
          <w:color w:val="auto"/>
        </w:rPr>
      </w:pPr>
    </w:p>
    <w:p>
      <w:pPr>
        <w:ind w:right="260" w:firstLine="913"/>
        <w:spacing w:after="0" w:line="312" w:lineRule="auto"/>
        <w:rPr>
          <w:sz w:val="20"/>
          <w:szCs w:val="20"/>
          <w:color w:val="auto"/>
        </w:rPr>
      </w:pPr>
      <w:r>
        <w:rPr>
          <w:rFonts w:ascii="Arial" w:cs="Arial" w:eastAsia="Arial" w:hAnsi="Arial"/>
          <w:sz w:val="16"/>
          <w:szCs w:val="16"/>
          <w:color w:val="auto"/>
        </w:rPr>
        <w:t>8.2.2 If such Material Breach is not cured within [***] ([***] for Material Breach of any payment obligation or obligation to issue Preferred Stock) after the receipt of notice pursuant to Section 8.2.1 above, the Non-Breaching Party will be entitled to terminate this Agreement on written notice to the Breaching Party and without prejudice to any of its other rights conferred on it by this Agreement and other remedies available under applicable law.</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8.3 Termination at Will.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8.3.1 AVROBIO may terminate this Agreement at will upon [***] prior written notice to BioMarin.</w:t>
      </w:r>
    </w:p>
    <w:p>
      <w:pPr>
        <w:spacing w:after="0" w:line="117"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8.3.2 BioMarin may terminate this Agreement in its entirety upon written notice to AVROBIO in the event of (i) any challenge or opposition to the validity, patentability, enforceability, scope and/or non-infringement of any of the Licensed Patent Rights, or any actions otherwise opposing any of such Licensed Patent Rights, if brought by AVROBIO, its Affiliates or sublicensees anywhere in the Territory, or (ii) any assistance with respect to any of the foregoing actions which any of AVROBIO, its Affiliates or sublicensees knowingly provides to a Third Party anywhere in the Territory (except as required under a court order or subpoena).</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48" w:name="page449"/>
    <w:bookmarkEnd w:id="448"/>
    <w:p>
      <w:pPr>
        <w:ind w:right="40" w:firstLine="91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8.3.3 BioMarin may terminate this Agreement at will immediately, by providing written notice to AVROBIO upon the filing or institution of bankruptcy, reorganization, liquidation or receivership proceedings, or upon an assignment of a substantial portion of the assets for the benefit of creditors, by or against AVROBIO;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any involuntary bankruptcy proceeding such right to terminate shall only become effective if AVROBIO consents to the involuntary bankruptcy or such proceeding is not dismissed within [***] after the filing thereof.</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Consequences of Expiration and Termination.</w:t>
      </w:r>
    </w:p>
    <w:p>
      <w:pPr>
        <w:spacing w:after="0" w:line="117" w:lineRule="exact"/>
        <w:rPr>
          <w:sz w:val="20"/>
          <w:szCs w:val="20"/>
          <w:color w:val="auto"/>
        </w:rPr>
      </w:pPr>
    </w:p>
    <w:p>
      <w:pPr>
        <w:ind w:right="740" w:firstLine="913"/>
        <w:spacing w:after="0" w:line="313" w:lineRule="auto"/>
        <w:rPr>
          <w:sz w:val="20"/>
          <w:szCs w:val="20"/>
          <w:color w:val="auto"/>
        </w:rPr>
      </w:pPr>
      <w:r>
        <w:rPr>
          <w:rFonts w:ascii="Arial" w:cs="Arial" w:eastAsia="Arial" w:hAnsi="Arial"/>
          <w:sz w:val="17"/>
          <w:szCs w:val="17"/>
          <w:color w:val="auto"/>
        </w:rPr>
        <w:t xml:space="preserve">8.4.1 </w:t>
      </w:r>
      <w:r>
        <w:rPr>
          <w:rFonts w:ascii="Arial" w:cs="Arial" w:eastAsia="Arial" w:hAnsi="Arial"/>
          <w:sz w:val="17"/>
          <w:szCs w:val="17"/>
          <w:b w:val="1"/>
          <w:bCs w:val="1"/>
          <w:color w:val="auto"/>
        </w:rPr>
        <w:t>Expiration</w:t>
      </w:r>
      <w:r>
        <w:rPr>
          <w:rFonts w:ascii="Arial" w:cs="Arial" w:eastAsia="Arial" w:hAnsi="Arial"/>
          <w:sz w:val="17"/>
          <w:szCs w:val="17"/>
          <w:color w:val="auto"/>
        </w:rPr>
        <w:t>. Upon expiration of the Royalty Term in a particular country for a given Licensed Product, AVROBIO’s license under Section 2.1 with respect to such Licensed Product in the Field in such country will become irrevocable, perpetual and fully-paid.</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8.4.2 </w:t>
      </w:r>
      <w:r>
        <w:rPr>
          <w:rFonts w:ascii="Arial" w:cs="Arial" w:eastAsia="Arial" w:hAnsi="Arial"/>
          <w:sz w:val="16"/>
          <w:szCs w:val="16"/>
          <w:b w:val="1"/>
          <w:bCs w:val="1"/>
          <w:color w:val="auto"/>
        </w:rPr>
        <w:t>Early Termination</w:t>
      </w:r>
      <w:r>
        <w:rPr>
          <w:rFonts w:ascii="Arial" w:cs="Arial" w:eastAsia="Arial" w:hAnsi="Arial"/>
          <w:sz w:val="16"/>
          <w:szCs w:val="16"/>
          <w:color w:val="auto"/>
        </w:rPr>
        <w:t>. Upon termination of this Agreement by a Party for Material Breach pursuant to Section 8.2, or by a Party pursuant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Section 8.3, the following provisions will apply:</w:t>
      </w:r>
    </w:p>
    <w:p>
      <w:pPr>
        <w:spacing w:after="0" w:line="103" w:lineRule="exact"/>
        <w:rPr>
          <w:sz w:val="20"/>
          <w:szCs w:val="20"/>
          <w:color w:val="auto"/>
        </w:rPr>
      </w:pPr>
    </w:p>
    <w:p>
      <w:pPr>
        <w:ind w:left="1580" w:hanging="239"/>
        <w:spacing w:after="0"/>
        <w:tabs>
          <w:tab w:leader="none" w:pos="15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All rights and licenses granted by BioMarin to AVROBIO under this Agreement will terminate immediately.</w:t>
      </w:r>
    </w:p>
    <w:p>
      <w:pPr>
        <w:spacing w:after="0" w:line="117" w:lineRule="exact"/>
        <w:rPr>
          <w:rFonts w:ascii="Arial" w:cs="Arial" w:eastAsia="Arial" w:hAnsi="Arial"/>
          <w:sz w:val="18"/>
          <w:szCs w:val="18"/>
          <w:color w:val="auto"/>
        </w:rPr>
      </w:pPr>
    </w:p>
    <w:p>
      <w:pPr>
        <w:ind w:left="920" w:right="40" w:firstLine="421"/>
        <w:spacing w:after="0" w:line="259" w:lineRule="auto"/>
        <w:tabs>
          <w:tab w:leader="none" w:pos="159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AVROBIO and its Affiliates shall discontinue making any representations regarding its or their status as a licensee(s) of BioMarin and with respect to Licensed Products, and shall cause any sublicensees (except as set forth in clause (c) below) to do the same. AVROBIO and its Affiliates shall cease conducting any activities with respect to the Development and Commercialization of the Licensed Products, and shall cause any sublicensees to do the same.</w:t>
      </w:r>
    </w:p>
    <w:p>
      <w:pPr>
        <w:spacing w:after="0" w:line="78" w:lineRule="exact"/>
        <w:rPr>
          <w:rFonts w:ascii="Arial" w:cs="Arial" w:eastAsia="Arial" w:hAnsi="Arial"/>
          <w:sz w:val="18"/>
          <w:szCs w:val="18"/>
          <w:color w:val="auto"/>
        </w:rPr>
      </w:pPr>
    </w:p>
    <w:p>
      <w:pPr>
        <w:ind w:left="920" w:right="160" w:firstLine="421"/>
        <w:spacing w:after="0" w:line="279" w:lineRule="auto"/>
        <w:tabs>
          <w:tab w:leader="none" w:pos="1585" w:val="left"/>
        </w:tabs>
        <w:numPr>
          <w:ilvl w:val="0"/>
          <w:numId w:val="301"/>
        </w:numPr>
        <w:rPr>
          <w:rFonts w:ascii="Arial" w:cs="Arial" w:eastAsia="Arial" w:hAnsi="Arial"/>
          <w:sz w:val="17"/>
          <w:szCs w:val="17"/>
          <w:color w:val="auto"/>
        </w:rPr>
      </w:pPr>
      <w:r>
        <w:rPr>
          <w:rFonts w:ascii="Arial" w:cs="Arial" w:eastAsia="Arial" w:hAnsi="Arial"/>
          <w:sz w:val="17"/>
          <w:szCs w:val="17"/>
          <w:color w:val="auto"/>
        </w:rPr>
        <w:t>Subject to BioMarin’s written consent, such consent to not be unreasonably withheld, a sublicense granted by AVROBIO or any of its Affiliates to a sublicensee shall survive termination of this Agreement, provided that such subicensee agrees in writing within [***] of termination of this Agreement to fully perform what would otherwise be AVROBIO’s obligations to BioMarin under this Agreement, including without limitation an agreement to cure any then-existing breaches of this Agreement by AVROBIO.</w:t>
      </w:r>
    </w:p>
    <w:p>
      <w:pPr>
        <w:spacing w:after="0" w:line="63"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8.4.3 Upon termination or expiration of the Agreement in whole or in part, upon the request of the Disclosing Party, the Receiving Party shall promptly return to the Disclosing Party or destroy the Disclosing Party’s Confidential Information, including all copies thereof, except to the extent that retention of such Confidential Information is reasonably necessary for the Receiving Party to exploit any continuing rights it may have (including, without limitation, the right to exploit any fully paid-up license pursuant to Section 8.4.1 in the event of an expiration of the Agreement in whole or in part) and/or to fulfill its obligations contemplated herein, including its obligations of non-disclosure and non-use hereunder. The return and/or destruction of such Confidential Information as provided above shall not relieve the Receiving</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49" w:name="page450"/>
    <w:bookmarkEnd w:id="449"/>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Party of its obligations under the Agreement. The provisions of this section shall not apply to copies of electronically exchanged Confidential Information made as a matter of routine information technology backup and maintained in a secure manner, or to Confidential Information or copies thereof which must be stored by the Receiving Party according to provisions of applicable law; provided that such Confidential Information shall remain subject to the terms of Section 7.</w:t>
      </w:r>
    </w:p>
    <w:p>
      <w:pPr>
        <w:spacing w:after="0" w:line="75" w:lineRule="exact"/>
        <w:rPr>
          <w:sz w:val="20"/>
          <w:szCs w:val="20"/>
          <w:color w:val="auto"/>
        </w:rPr>
      </w:pPr>
    </w:p>
    <w:p>
      <w:pPr>
        <w:ind w:right="380" w:firstLine="913"/>
        <w:spacing w:after="0" w:line="282" w:lineRule="auto"/>
        <w:rPr>
          <w:sz w:val="20"/>
          <w:szCs w:val="20"/>
          <w:color w:val="auto"/>
        </w:rPr>
      </w:pPr>
      <w:r>
        <w:rPr>
          <w:rFonts w:ascii="Arial" w:cs="Arial" w:eastAsia="Arial" w:hAnsi="Arial"/>
          <w:sz w:val="18"/>
          <w:szCs w:val="18"/>
          <w:color w:val="auto"/>
        </w:rPr>
        <w:t xml:space="preserve">8.4.4 </w:t>
      </w:r>
      <w:r>
        <w:rPr>
          <w:rFonts w:ascii="Arial" w:cs="Arial" w:eastAsia="Arial" w:hAnsi="Arial"/>
          <w:sz w:val="18"/>
          <w:szCs w:val="18"/>
          <w:b w:val="1"/>
          <w:bCs w:val="1"/>
          <w:color w:val="auto"/>
        </w:rPr>
        <w:t>Survival</w:t>
      </w:r>
      <w:r>
        <w:rPr>
          <w:rFonts w:ascii="Arial" w:cs="Arial" w:eastAsia="Arial" w:hAnsi="Arial"/>
          <w:sz w:val="18"/>
          <w:szCs w:val="18"/>
          <w:color w:val="auto"/>
        </w:rPr>
        <w:t>. Expiration or termination of this Agreement will not relieve the Parties of any obligation accruing prior to such expiration or termination. The provisions of Sections [***] will survive any termination or expiration of this Agreement.</w:t>
      </w:r>
    </w:p>
    <w:p>
      <w:pPr>
        <w:spacing w:after="0" w:line="310" w:lineRule="exact"/>
        <w:rPr>
          <w:sz w:val="20"/>
          <w:szCs w:val="20"/>
          <w:color w:val="auto"/>
        </w:rPr>
      </w:pPr>
    </w:p>
    <w:p>
      <w:pPr>
        <w:ind w:left="460" w:hanging="452"/>
        <w:spacing w:after="0"/>
        <w:tabs>
          <w:tab w:leader="none" w:pos="46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NDEMNIFICATION AND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NSURANCE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9.1 Indemnification by BioMarin. BioMarin will indemnify AVROBIO, its Affiliates, and their respective directors, officers, employees and agents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“AVROBIO Indemnitees”</w:t>
      </w:r>
      <w:r>
        <w:rPr>
          <w:rFonts w:ascii="Arial" w:cs="Arial" w:eastAsia="Arial" w:hAnsi="Arial"/>
          <w:sz w:val="16"/>
          <w:szCs w:val="16"/>
          <w:color w:val="auto"/>
        </w:rPr>
        <w:t>), and defend and hold each of them harmless, from and against any and all liabilities, expenses and/or losses (including without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limitation attorneys’ fees, court costs, witness fees, damages, judgments, fines and amounts paid in settlement) (“</w:t>
      </w:r>
      <w:r>
        <w:rPr>
          <w:rFonts w:ascii="Arial" w:cs="Arial" w:eastAsia="Arial" w:hAnsi="Arial"/>
          <w:sz w:val="16"/>
          <w:szCs w:val="16"/>
          <w:b w:val="1"/>
          <w:bCs w:val="1"/>
          <w:color w:val="auto"/>
        </w:rPr>
        <w:t>Losses</w:t>
      </w:r>
      <w:r>
        <w:rPr>
          <w:rFonts w:ascii="Arial" w:cs="Arial" w:eastAsia="Arial" w:hAnsi="Arial"/>
          <w:sz w:val="16"/>
          <w:szCs w:val="16"/>
          <w:color w:val="auto"/>
        </w:rPr>
        <w:t>”) based on or suffered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any Third Party suits, claims, actions, and demands (“</w:t>
      </w:r>
      <w:r>
        <w:rPr>
          <w:rFonts w:ascii="Arial" w:cs="Arial" w:eastAsia="Arial" w:hAnsi="Arial"/>
          <w:sz w:val="17"/>
          <w:szCs w:val="17"/>
          <w:b w:val="1"/>
          <w:bCs w:val="1"/>
          <w:color w:val="auto"/>
        </w:rPr>
        <w:t>Claims”</w:t>
      </w:r>
      <w:r>
        <w:rPr>
          <w:rFonts w:ascii="Arial" w:cs="Arial" w:eastAsia="Arial" w:hAnsi="Arial"/>
          <w:sz w:val="17"/>
          <w:szCs w:val="17"/>
          <w:color w:val="auto"/>
        </w:rPr>
        <w:t>) against any such AVROBIO Indemnitee to the extent arising from or occurring as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result of or in connection with [***].</w:t>
      </w:r>
    </w:p>
    <w:p>
      <w:pPr>
        <w:spacing w:after="0" w:line="99" w:lineRule="exact"/>
        <w:rPr>
          <w:sz w:val="20"/>
          <w:szCs w:val="20"/>
          <w:color w:val="auto"/>
        </w:rPr>
      </w:pPr>
    </w:p>
    <w:p>
      <w:pPr>
        <w:ind w:right="100" w:firstLine="456"/>
        <w:spacing w:after="0" w:line="28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color w:val="auto"/>
        </w:rPr>
        <w:t>Indemnification by AVROBIO</w:t>
      </w:r>
      <w:r>
        <w:rPr>
          <w:rFonts w:ascii="Arial" w:cs="Arial" w:eastAsia="Arial" w:hAnsi="Arial"/>
          <w:sz w:val="17"/>
          <w:szCs w:val="17"/>
          <w:color w:val="auto"/>
        </w:rPr>
        <w:t>. AVROBIO will indemnify BioMarin, its Affiliates, and their respective directors, officers, employees, and agents (“</w:t>
      </w:r>
      <w:r>
        <w:rPr>
          <w:rFonts w:ascii="Arial" w:cs="Arial" w:eastAsia="Arial" w:hAnsi="Arial"/>
          <w:sz w:val="17"/>
          <w:szCs w:val="17"/>
          <w:b w:val="1"/>
          <w:bCs w:val="1"/>
          <w:color w:val="auto"/>
        </w:rPr>
        <w:t>BioMarin Indemnitees</w:t>
      </w:r>
      <w:r>
        <w:rPr>
          <w:rFonts w:ascii="Arial" w:cs="Arial" w:eastAsia="Arial" w:hAnsi="Arial"/>
          <w:sz w:val="17"/>
          <w:szCs w:val="17"/>
          <w:color w:val="auto"/>
        </w:rPr>
        <w:t>”), and defend and hold each of them harmless, from and against any and all Losses based on or suffered in connection with any Claims against any such BioMarin Indemnitee to the extent arising from or occurring as a result of or in connection with: [***].</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9.3 Indemnification Procedure.</w:t>
      </w:r>
    </w:p>
    <w:p>
      <w:pPr>
        <w:spacing w:after="0" w:line="117"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 xml:space="preserve">9.3.1 </w:t>
      </w:r>
      <w:r>
        <w:rPr>
          <w:rFonts w:ascii="Arial" w:cs="Arial" w:eastAsia="Arial" w:hAnsi="Arial"/>
          <w:sz w:val="17"/>
          <w:szCs w:val="17"/>
          <w:b w:val="1"/>
          <w:bCs w:val="1"/>
          <w:color w:val="auto"/>
        </w:rPr>
        <w:t>Notice of Claim</w:t>
      </w:r>
      <w:r>
        <w:rPr>
          <w:rFonts w:ascii="Arial" w:cs="Arial" w:eastAsia="Arial" w:hAnsi="Arial"/>
          <w:sz w:val="17"/>
          <w:szCs w:val="17"/>
          <w:color w:val="auto"/>
        </w:rPr>
        <w:t>. Each of AVROBIO and BioMarin, as applicable (the “</w:t>
      </w:r>
      <w:r>
        <w:rPr>
          <w:rFonts w:ascii="Arial" w:cs="Arial" w:eastAsia="Arial" w:hAnsi="Arial"/>
          <w:sz w:val="17"/>
          <w:szCs w:val="17"/>
          <w:b w:val="1"/>
          <w:bCs w:val="1"/>
          <w:color w:val="auto"/>
        </w:rPr>
        <w:t>Indemnitee</w:t>
      </w:r>
      <w:r>
        <w:rPr>
          <w:rFonts w:ascii="Arial" w:cs="Arial" w:eastAsia="Arial" w:hAnsi="Arial"/>
          <w:sz w:val="17"/>
          <w:szCs w:val="17"/>
          <w:color w:val="auto"/>
        </w:rPr>
        <w:t>”) will give the other Party (the “</w:t>
      </w:r>
      <w:r>
        <w:rPr>
          <w:rFonts w:ascii="Arial" w:cs="Arial" w:eastAsia="Arial" w:hAnsi="Arial"/>
          <w:sz w:val="17"/>
          <w:szCs w:val="17"/>
          <w:b w:val="1"/>
          <w:bCs w:val="1"/>
          <w:color w:val="auto"/>
        </w:rPr>
        <w:t>Indemnifying</w:t>
      </w:r>
      <w:r>
        <w:rPr>
          <w:rFonts w:ascii="Arial" w:cs="Arial" w:eastAsia="Arial" w:hAnsi="Arial"/>
          <w:sz w:val="17"/>
          <w:szCs w:val="17"/>
          <w:color w:val="auto"/>
        </w:rPr>
        <w:t xml:space="preserve"> </w:t>
      </w:r>
      <w:r>
        <w:rPr>
          <w:rFonts w:ascii="Arial" w:cs="Arial" w:eastAsia="Arial" w:hAnsi="Arial"/>
          <w:sz w:val="17"/>
          <w:szCs w:val="17"/>
          <w:b w:val="1"/>
          <w:bCs w:val="1"/>
          <w:color w:val="auto"/>
        </w:rPr>
        <w:t>Party</w:t>
      </w:r>
      <w:r>
        <w:rPr>
          <w:rFonts w:ascii="Arial" w:cs="Arial" w:eastAsia="Arial" w:hAnsi="Arial"/>
          <w:sz w:val="17"/>
          <w:szCs w:val="17"/>
          <w:color w:val="auto"/>
        </w:rPr>
        <w:t>”) prompt written notice (an “</w:t>
      </w:r>
      <w:r>
        <w:rPr>
          <w:rFonts w:ascii="Arial" w:cs="Arial" w:eastAsia="Arial" w:hAnsi="Arial"/>
          <w:sz w:val="17"/>
          <w:szCs w:val="17"/>
          <w:b w:val="1"/>
          <w:bCs w:val="1"/>
          <w:color w:val="auto"/>
        </w:rPr>
        <w:t>Indemnification Claim Notice</w:t>
      </w:r>
      <w:r>
        <w:rPr>
          <w:rFonts w:ascii="Arial" w:cs="Arial" w:eastAsia="Arial" w:hAnsi="Arial"/>
          <w:sz w:val="17"/>
          <w:szCs w:val="17"/>
          <w:color w:val="auto"/>
        </w:rPr>
        <w:t>”) of any Claims or discovery of fact upon which an Indemnitee intends to base a request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indemnification under Section 9.1 or 9.2, as applicable;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failure to give such prompt written notice will not relieve the Indemnifying Party of its indemnification obligation under this Agreement except and only to the extent that the Indemnifying Party is actually prejudiced as a result of such failure. In no event will the Indemnifying Party be liable for any Losses that result from any delay in providing such notice. Each Indemnification Claim Notice must contain a description of the Claim and the nature and amount of such Loss (but only to the extent that the nature and amount of such Loss are known at such time). The Indemnitee will furnish promptly to the Indemnifying Party copies of all papers and official documents received by it or any of its fellow Indemnitees, as applicable, in respect of any Losses.</w:t>
      </w:r>
    </w:p>
    <w:p>
      <w:pPr>
        <w:spacing w:after="0" w:line="64" w:lineRule="exact"/>
        <w:rPr>
          <w:sz w:val="20"/>
          <w:szCs w:val="20"/>
          <w:color w:val="auto"/>
        </w:rPr>
      </w:pPr>
    </w:p>
    <w:p>
      <w:pPr>
        <w:ind w:right="140" w:firstLine="913"/>
        <w:spacing w:after="0" w:line="282" w:lineRule="auto"/>
        <w:rPr>
          <w:sz w:val="20"/>
          <w:szCs w:val="20"/>
          <w:color w:val="auto"/>
        </w:rPr>
      </w:pPr>
      <w:r>
        <w:rPr>
          <w:rFonts w:ascii="Arial" w:cs="Arial" w:eastAsia="Arial" w:hAnsi="Arial"/>
          <w:sz w:val="18"/>
          <w:szCs w:val="18"/>
          <w:color w:val="auto"/>
        </w:rPr>
        <w:t xml:space="preserve">9.3.2 </w:t>
      </w:r>
      <w:r>
        <w:rPr>
          <w:rFonts w:ascii="Arial" w:cs="Arial" w:eastAsia="Arial" w:hAnsi="Arial"/>
          <w:sz w:val="18"/>
          <w:szCs w:val="18"/>
          <w:b w:val="1"/>
          <w:bCs w:val="1"/>
          <w:color w:val="auto"/>
        </w:rPr>
        <w:t>Control of Defense</w:t>
      </w:r>
      <w:r>
        <w:rPr>
          <w:rFonts w:ascii="Arial" w:cs="Arial" w:eastAsia="Arial" w:hAnsi="Arial"/>
          <w:sz w:val="18"/>
          <w:szCs w:val="18"/>
          <w:color w:val="auto"/>
        </w:rPr>
        <w:t>. Within [***] after the Indemnifying Party’s receipt of an Indemnification Claim Notice pursuant to Section 9.3.1, the Indemnifying Party shall assume the defense of the Claim(s) referenced in such notice and provide written confirmation to</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50" w:name="page451"/>
    <w:bookmarkEnd w:id="450"/>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other Party and any other of its fellow Indemnitees. Upon assuming the defense of a Claim, the Indemnifying Party shall appoint lead counsel in the defense of the Claim; provided that such lead counsel shall be reasonably acceptable to the other Party. Upon the Indemnifying Party’s assumption of the defense of a Claim, the Indemnitees will immediately deliver to the Indemnifying Party all original notices and documents (including court papers) received by such Indemnitees in connection with the Claim. The Indemnifying Party will keep the other Party regularly informed with respect to the status of its defense of any such Claim, and will respond promptly to the other Party’s questions with respect to such (including, where requested by the Indemnitee, providing copies of related court filings).</w:t>
      </w:r>
    </w:p>
    <w:p>
      <w:pPr>
        <w:spacing w:after="0" w:line="81"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color w:val="auto"/>
        </w:rPr>
        <w:t xml:space="preserve">9.3.3 </w:t>
      </w:r>
      <w:r>
        <w:rPr>
          <w:rFonts w:ascii="Arial" w:cs="Arial" w:eastAsia="Arial" w:hAnsi="Arial"/>
          <w:sz w:val="18"/>
          <w:szCs w:val="18"/>
          <w:b w:val="1"/>
          <w:bCs w:val="1"/>
          <w:color w:val="auto"/>
        </w:rPr>
        <w:t>Right to Participate in Defense</w:t>
      </w:r>
      <w:r>
        <w:rPr>
          <w:rFonts w:ascii="Arial" w:cs="Arial" w:eastAsia="Arial" w:hAnsi="Arial"/>
          <w:sz w:val="18"/>
          <w:szCs w:val="18"/>
          <w:color w:val="auto"/>
        </w:rPr>
        <w:t>. Without limiting Section 9.3.2 above, any Indemnitee will be entitled to participate in, but not control, the defense of such Claim and to employ counsel of its choice for such purpose; provided, that such employment will be at the Indemnitee’s own expense unless the employment thereof has been specifically authorized by the Indemnifying Party in writing.</w:t>
      </w:r>
    </w:p>
    <w:p>
      <w:pPr>
        <w:spacing w:after="0" w:line="68"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9.3.4 </w:t>
      </w:r>
      <w:r>
        <w:rPr>
          <w:rFonts w:ascii="Arial" w:cs="Arial" w:eastAsia="Arial" w:hAnsi="Arial"/>
          <w:sz w:val="17"/>
          <w:szCs w:val="17"/>
          <w:b w:val="1"/>
          <w:bCs w:val="1"/>
          <w:color w:val="auto"/>
        </w:rPr>
        <w:t>Settlement</w:t>
      </w:r>
      <w:r>
        <w:rPr>
          <w:rFonts w:ascii="Arial" w:cs="Arial" w:eastAsia="Arial" w:hAnsi="Arial"/>
          <w:sz w:val="17"/>
          <w:szCs w:val="17"/>
          <w:color w:val="auto"/>
        </w:rPr>
        <w:t>. With respect to any Losses (a) relating solely to the payment of money damages in connection with a Claim and (b) that will not (i) result in the Indemnitee’s becoming subject to injunctive or other relief, (ii) require an admission of fault by a Indemnitee, or (iii) otherwise adversely affect the business of the Indemnitee in any manner, and (c) that includes a complete release of the Indemnitee, the Indemnifying Party will have the sole right to enter into a settlement on such terms as AVROBIO, in its sole discretion, will deem appropriate. The Indemnifying Party will pay all Losses resulting from such settlement pursuant to the terms of such settlement, including any conditions set by the court adjudicating such Claim. With respect to all other Losses in connection with Claims, the Indemnifying Party will have authority to consent to the entry of any judgment, enter into any settlement or otherwise dispose of such Loss provided it obtains the prior written consent of the other Party and all relevant Indemnitees (which consent will be at the other Party’s and such other Indemnitees’ sole and absolute discretion).</w:t>
      </w:r>
    </w:p>
    <w:p>
      <w:pPr>
        <w:spacing w:after="0" w:line="64"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9.3.5 </w:t>
      </w:r>
      <w:r>
        <w:rPr>
          <w:rFonts w:ascii="Arial" w:cs="Arial" w:eastAsia="Arial" w:hAnsi="Arial"/>
          <w:sz w:val="17"/>
          <w:szCs w:val="17"/>
          <w:b w:val="1"/>
          <w:bCs w:val="1"/>
          <w:color w:val="auto"/>
        </w:rPr>
        <w:t>Cooperation</w:t>
      </w:r>
      <w:r>
        <w:rPr>
          <w:rFonts w:ascii="Arial" w:cs="Arial" w:eastAsia="Arial" w:hAnsi="Arial"/>
          <w:sz w:val="17"/>
          <w:szCs w:val="17"/>
          <w:color w:val="auto"/>
        </w:rPr>
        <w:t>. Each Indemnitee will cooperate in the defense of any Claim by the Indemnifying Party under this Section 9 and will furnish such records, information and testimony, provide such witnesses and attend such conferences, discovery proceedings, hearings, trials and appeals as may be reasonably requested by the Indemnifying Party in connection with such defense. Such cooperation will include access during normal business hours afforded to counsel selected by the Indemnifying Party under Section 9.3.2 to, and reasonable retention by the Indemnitee, as required under applicable law, of records and information that are reasonably relevant to such Claim, and making a reasonably limited number of employees and agents available on a mutually convenient basis to provide additional information and explanation of any material provided hereunder. The Indemnifying Party will reimburse the Indemnitee for all its reasonable out-of-pocket expenses in connection therewith.</w:t>
      </w:r>
    </w:p>
    <w:p>
      <w:pPr>
        <w:spacing w:after="0" w:line="64" w:lineRule="exact"/>
        <w:rPr>
          <w:sz w:val="20"/>
          <w:szCs w:val="20"/>
          <w:color w:val="auto"/>
        </w:rPr>
      </w:pPr>
    </w:p>
    <w:p>
      <w:pPr>
        <w:ind w:right="620" w:firstLine="456"/>
        <w:spacing w:after="0" w:line="261" w:lineRule="auto"/>
        <w:rPr>
          <w:sz w:val="20"/>
          <w:szCs w:val="20"/>
          <w:color w:val="auto"/>
        </w:rPr>
      </w:pPr>
      <w:r>
        <w:rPr>
          <w:rFonts w:ascii="Arial" w:cs="Arial" w:eastAsia="Arial" w:hAnsi="Arial"/>
          <w:sz w:val="18"/>
          <w:szCs w:val="18"/>
          <w:b w:val="1"/>
          <w:bCs w:val="1"/>
          <w:color w:val="auto"/>
        </w:rPr>
        <w:t>9.4 Expenses</w:t>
      </w:r>
      <w:r>
        <w:rPr>
          <w:rFonts w:ascii="Arial" w:cs="Arial" w:eastAsia="Arial" w:hAnsi="Arial"/>
          <w:sz w:val="18"/>
          <w:szCs w:val="18"/>
          <w:color w:val="auto"/>
        </w:rPr>
        <w:t>. Except as provided above, any costs and expenses, including fees and disbursements of counsel, incurred by an Indemnitee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any Claim will be reimbursed on a [***] by the Indemnifying Party without prejudice to the Indemnifying Party’s right to contest the Indemnitee’s right to indemnification and subject to refund in the event the Indemnifying Party is ultimately held not to be obligated to indemnify the Indemnitee.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3" w:right="239" w:bottom="1440" w:gutter="0" w:footer="0" w:header="0"/>
        </w:sectPr>
      </w:pPr>
    </w:p>
    <w:bookmarkStart w:id="451" w:name="page452"/>
    <w:bookmarkEnd w:id="451"/>
    <w:p>
      <w:pPr>
        <w:ind w:right="4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9.5 </w:t>
      </w:r>
      <w:r>
        <w:rPr>
          <w:rFonts w:ascii="Arial" w:cs="Arial" w:eastAsia="Arial" w:hAnsi="Arial"/>
          <w:sz w:val="17"/>
          <w:szCs w:val="17"/>
          <w:b w:val="1"/>
          <w:bCs w:val="1"/>
          <w:color w:val="auto"/>
        </w:rPr>
        <w:t>Insurance</w:t>
      </w:r>
      <w:r>
        <w:rPr>
          <w:rFonts w:ascii="Arial" w:cs="Arial" w:eastAsia="Arial" w:hAnsi="Arial"/>
          <w:sz w:val="17"/>
          <w:szCs w:val="17"/>
          <w:color w:val="auto"/>
        </w:rPr>
        <w:t>. AVROBIO shall have and maintain at its sole cost and expense, adequate liability insurance (including product liability insurance) to protect against potential liabilities and risk arising out of its activities under this Agreement and any agreement related hereto and upon such terms (including coverages, deductible limits and self-insured retentions) as are customary in the pharmaceutical industry generally for drug development activities; provided that, upon commencement of clinical trials of Licensed Product(s), such coverage will include a minimum per occurrence limit of [***] and upon commercialization of Licensed Products such coverage will include a minimum per occurrence limit of [***]. Such liability insurance shall insure against all types of liability, including personal injury, physical injury or property damage arising out of such AVROBIO’s activities hereunder. Such policy shall include BioMarin as an additional insured and shall include a waiver of subrogation. At least [***] prior to initiation of any clinical trial of a Licensed Product, Provider shall provide to BioMarin certificates of insurance evidencing the above required insurance. This Section 9.5 shall not create any limitation on AVROBIO’s liability under this Agreement, including with respect to its indemnification obligations under this Section 9.</w:t>
      </w:r>
    </w:p>
    <w:p>
      <w:pPr>
        <w:spacing w:after="0" w:line="201" w:lineRule="exact"/>
        <w:rPr>
          <w:sz w:val="20"/>
          <w:szCs w:val="20"/>
          <w:color w:val="auto"/>
        </w:rPr>
      </w:pPr>
    </w:p>
    <w:p>
      <w:pPr>
        <w:ind w:left="460" w:hanging="452"/>
        <w:spacing w:after="0"/>
        <w:tabs>
          <w:tab w:leader="none" w:pos="46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IMITATION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IABILITY</w:t>
      </w:r>
    </w:p>
    <w:p>
      <w:pPr>
        <w:spacing w:after="0" w:line="121" w:lineRule="exact"/>
        <w:rPr>
          <w:sz w:val="20"/>
          <w:szCs w:val="20"/>
          <w:color w:val="auto"/>
        </w:rPr>
      </w:pPr>
    </w:p>
    <w:p>
      <w:pPr>
        <w:ind w:right="720" w:firstLine="456"/>
        <w:spacing w:after="0" w:line="264" w:lineRule="auto"/>
        <w:rPr>
          <w:sz w:val="20"/>
          <w:szCs w:val="20"/>
          <w:color w:val="auto"/>
        </w:rPr>
      </w:pPr>
      <w:r>
        <w:rPr>
          <w:rFonts w:ascii="Arial" w:cs="Arial" w:eastAsia="Arial" w:hAnsi="Arial"/>
          <w:sz w:val="18"/>
          <w:szCs w:val="18"/>
          <w:color w:val="auto"/>
        </w:rPr>
        <w:t>IN NO EVENT SHALL EITHER PARTY BE LIABLE FOR ANY INDIRECT, INCIDENTAL, SPECIAL, PUNITIVE, EXEMPLARY OR CONSEQUENTIAL DAMAGES, WHETHER BASED UPON A CLAIM OR ACTION OF CONTRACT, WARRANTY, NEGLIGENCE, STRICT LIABILITY OR OTHER TORT, OR OTHERWISE, ARISING OUT OF THE AGREEMENT; [***].</w:t>
      </w:r>
    </w:p>
    <w:p>
      <w:pPr>
        <w:spacing w:after="0" w:line="204" w:lineRule="exact"/>
        <w:rPr>
          <w:sz w:val="20"/>
          <w:szCs w:val="20"/>
          <w:color w:val="auto"/>
        </w:rPr>
      </w:pPr>
    </w:p>
    <w:p>
      <w:pPr>
        <w:ind w:left="460" w:hanging="452"/>
        <w:spacing w:after="0"/>
        <w:tabs>
          <w:tab w:leader="none" w:pos="46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color w:val="auto"/>
        </w:rPr>
        <w:t xml:space="preserve">11.1 Assignment. </w:t>
      </w:r>
      <w:r>
        <w:rPr>
          <w:rFonts w:ascii="Arial" w:cs="Arial" w:eastAsia="Arial" w:hAnsi="Arial"/>
          <w:sz w:val="17"/>
          <w:szCs w:val="17"/>
          <w:color w:val="auto"/>
        </w:rPr>
        <w:t>Without the prior written consent of the other Party hereto (which consent shall not be unreasonably withheld), a Party will not sell,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transfer, assign, delegate, pledge or otherwise dispose of, whether voluntarily, involuntarily, by operation of law or otherwise, this Agreement or any of its rights or duties hereunder; </w:t>
      </w:r>
      <w:r>
        <w:rPr>
          <w:rFonts w:ascii="Arial" w:cs="Arial" w:eastAsia="Arial" w:hAnsi="Arial"/>
          <w:sz w:val="17"/>
          <w:szCs w:val="17"/>
          <w:i w:val="1"/>
          <w:iCs w:val="1"/>
          <w:color w:val="auto"/>
        </w:rPr>
        <w:t>provided</w:t>
      </w:r>
      <w:r>
        <w:rPr>
          <w:rFonts w:ascii="Arial" w:cs="Arial" w:eastAsia="Arial" w:hAnsi="Arial"/>
          <w:sz w:val="17"/>
          <w:szCs w:val="17"/>
          <w:color w:val="auto"/>
        </w:rPr>
        <w:t>, that a Party hereto may assign or transfer this Agreement and its rights or obligations hereunder without the consent of the other Party: (a) to any Affiliate of such Party; or (b) to any Third Party with which it merges or consolidates, or to which it transfers all or substantially all of its assets to which this Agreement relates, and provided that the foregoing consent obligation shall not limit the ability to grant sublicenses as permitted in this Agreement or to engage subcontractors to perform certain obligations hereunder. The assigning Party (except if it is not the surviving entity) will remain jointly and severally liable with the relevant Affiliate or Third Party assignee under this Agreement, and the relevant Affiliate assignee, Third Party assignee or surviving entity will assume in writing all of the assigning Party’s obligations under this Agreement. Any purported assignment or transfer in violation of this Section 11.1 will be void ab initio and of no force or effect.</w:t>
      </w:r>
    </w:p>
    <w:p>
      <w:pPr>
        <w:spacing w:after="0" w:line="66" w:lineRule="exact"/>
        <w:rPr>
          <w:sz w:val="20"/>
          <w:szCs w:val="20"/>
          <w:color w:val="auto"/>
        </w:rPr>
      </w:pPr>
    </w:p>
    <w:p>
      <w:pPr>
        <w:ind w:right="140" w:firstLine="456"/>
        <w:spacing w:after="0" w:line="314" w:lineRule="auto"/>
        <w:rPr>
          <w:sz w:val="20"/>
          <w:szCs w:val="20"/>
          <w:color w:val="auto"/>
        </w:rPr>
      </w:pPr>
      <w:r>
        <w:rPr>
          <w:rFonts w:ascii="Arial" w:cs="Arial" w:eastAsia="Arial" w:hAnsi="Arial"/>
          <w:sz w:val="16"/>
          <w:szCs w:val="16"/>
          <w:b w:val="1"/>
          <w:bCs w:val="1"/>
          <w:color w:val="auto"/>
        </w:rPr>
        <w:t xml:space="preserve">11.2 Severability. </w:t>
      </w:r>
      <w:r>
        <w:rPr>
          <w:rFonts w:ascii="Arial" w:cs="Arial" w:eastAsia="Arial" w:hAnsi="Arial"/>
          <w:sz w:val="16"/>
          <w:szCs w:val="16"/>
          <w:color w:val="auto"/>
        </w:rPr>
        <w:t>If any provision of this Agreement is held to be illegal, invalid or unenforceable under any present or future law, and if the rights or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of either Party under this Agreement will not be materially and adversely affected thereby, (a) such provision will be fully severable, (b) this Agreement will be construed and enforced as if such illegal, invalid or unenforceable provision had never comprised a part hereof, (c) the remaining</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52" w:name="page453"/>
    <w:bookmarkEnd w:id="452"/>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this Agreement will remain in full force and effect and will not be affected by the illegal, invalid or unenforceable provision or by its severance herefrom, and (d) in lieu of such illegal, invalid or unenforceable provision, there will be added automatically as a part of this Agreement a legal, valid and enforceable provision as similar in terms to such illegal, invalid or unenforceable provision as may be possible and reasonably acceptable to the Parties herein.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11.3 Governing Law; Dispute Resolution.</w:t>
      </w:r>
    </w:p>
    <w:p>
      <w:pPr>
        <w:spacing w:after="0" w:line="121" w:lineRule="exact"/>
        <w:rPr>
          <w:sz w:val="20"/>
          <w:szCs w:val="20"/>
          <w:color w:val="auto"/>
        </w:rPr>
      </w:pPr>
    </w:p>
    <w:p>
      <w:pPr>
        <w:ind w:right="260" w:firstLine="913"/>
        <w:spacing w:after="0" w:line="279" w:lineRule="auto"/>
        <w:rPr>
          <w:sz w:val="20"/>
          <w:szCs w:val="20"/>
          <w:color w:val="auto"/>
        </w:rPr>
      </w:pPr>
      <w:r>
        <w:rPr>
          <w:rFonts w:ascii="Arial" w:cs="Arial" w:eastAsia="Arial" w:hAnsi="Arial"/>
          <w:sz w:val="17"/>
          <w:szCs w:val="17"/>
          <w:color w:val="auto"/>
        </w:rPr>
        <w:t>11.3.1 This Agreement, and any disputes between the Parties related to or arising out of this Agreement (including the Parties’ relationship created hereby, the negotiations for and entry into this Agreement, its conclusion, binding effect, amendment, coverage, termination, or the performance or alleged non-performance of a Party of its obligations under this Agreement) (each a “</w:t>
      </w:r>
      <w:r>
        <w:rPr>
          <w:rFonts w:ascii="Arial" w:cs="Arial" w:eastAsia="Arial" w:hAnsi="Arial"/>
          <w:sz w:val="17"/>
          <w:szCs w:val="17"/>
          <w:b w:val="1"/>
          <w:bCs w:val="1"/>
          <w:color w:val="auto"/>
        </w:rPr>
        <w:t>Dispute</w:t>
      </w:r>
      <w:r>
        <w:rPr>
          <w:rFonts w:ascii="Arial" w:cs="Arial" w:eastAsia="Arial" w:hAnsi="Arial"/>
          <w:sz w:val="17"/>
          <w:szCs w:val="17"/>
          <w:color w:val="auto"/>
        </w:rPr>
        <w:t>”), will be governed by the laws of the State of Delaware without reference to any choice of law principles thereof that would cause the application of the laws of a different jurisdiction.</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11.3.2 In the event of any Dispute, a Party may notify the other Party in writing of such Dispute, and such Dispute will be promptly referred to</w:t>
      </w:r>
    </w:p>
    <w:p>
      <w:pPr>
        <w:spacing w:after="0" w:line="46" w:lineRule="exact"/>
        <w:rPr>
          <w:sz w:val="20"/>
          <w:szCs w:val="20"/>
          <w:color w:val="auto"/>
        </w:rPr>
      </w:pPr>
    </w:p>
    <w:p>
      <w:pPr>
        <w:ind w:right="40" w:firstLine="8"/>
        <w:spacing w:after="0" w:line="255" w:lineRule="auto"/>
        <w:tabs>
          <w:tab w:leader="none" w:pos="43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Officers</w:t>
      </w:r>
      <w:r>
        <w:rPr>
          <w:rFonts w:ascii="Arial" w:cs="Arial" w:eastAsia="Arial" w:hAnsi="Arial"/>
          <w:sz w:val="18"/>
          <w:szCs w:val="18"/>
          <w:color w:val="auto"/>
        </w:rPr>
        <w:t>”) of each of the Parties (or their respective designees) who will use their good faith efforts to resolve the Dispute within [***] after it was referred to such Senior Officers. If such Senior Officers are unable to resolve such dispute within thirty (30) days of their first meeting for such negotiations, either Party may seek to have such dispute resolved in accordance with Section 11.3.3.</w:t>
      </w:r>
    </w:p>
    <w:p>
      <w:pPr>
        <w:spacing w:after="0" w:line="82"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11.3.3 Any dispute arising under this Agreement, or other legal proceeding relating to this Agreement or the enforcement of any provision of this Agreement, if not resolved by the Senior Officers pursuant to Section 11.3.2, must be brought or otherwise commenced solely and exclusively in courts of competent jurisdiction located in the city of Wilmington, Delaware. Consistent with the preceding sentence, each of the Parties: (a) expressly and irrevocably consents and submits to the jurisdiction of the courts of competent jurisdiction in the city of Wilmington, Delaware in connection with any such legal proceeding; (b) expressly agrees that the courts of competent jurisdiction in the city of Wilmington, Delaware shall be deemed to be a convenient forum; and</w:t>
      </w:r>
    </w:p>
    <w:p>
      <w:pPr>
        <w:spacing w:after="0" w:line="2" w:lineRule="exact"/>
        <w:rPr>
          <w:sz w:val="20"/>
          <w:szCs w:val="20"/>
          <w:color w:val="auto"/>
        </w:rPr>
      </w:pPr>
    </w:p>
    <w:p>
      <w:pPr>
        <w:ind w:right="420" w:firstLine="8"/>
        <w:spacing w:after="0" w:line="254" w:lineRule="auto"/>
        <w:tabs>
          <w:tab w:leader="none" w:pos="24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expressly agrees not to assert (by way of motion, as a defense or otherwise), in any such legal proceeding commenced in the courts of competent jurisdiction in the city of Wilmington, Delaware, any claim that such Party is not subject personally to the jurisdiction of such court, that such legal proceeding has been brought in an inconvenient forum, that the venue of such proceeding is improper or that this Agreement or the subject matter of this Agreement may not be enforced in or by such court.</w:t>
      </w:r>
    </w:p>
    <w:p>
      <w:pPr>
        <w:spacing w:after="0" w:line="78"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 xml:space="preserve">11.4 Notices. </w:t>
      </w:r>
      <w:r>
        <w:rPr>
          <w:rFonts w:ascii="Arial" w:cs="Arial" w:eastAsia="Arial" w:hAnsi="Arial"/>
          <w:sz w:val="18"/>
          <w:szCs w:val="18"/>
          <w:color w:val="auto"/>
        </w:rPr>
        <w:t>All notices or other communications that are required or permitted hereunder will be in writing and delivered personally, or sent by</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internationally-recognized overnight courier addressed as follows: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BioMarin.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BioMarin Pharmaceutical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105 Digital Drive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Novato, CA 94949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3" w:right="239" w:bottom="1440" w:gutter="0" w:footer="0" w:header="0"/>
        </w:sectPr>
      </w:pPr>
    </w:p>
    <w:bookmarkStart w:id="453" w:name="page454"/>
    <w:bookmarkEnd w:id="453"/>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AVROBIO,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700 Technology Square, Suite 101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or to such other address as the Party to whom notice is to be given may have furnished to the other Party in writing in accordance herewith. Any such communication will be deemed to have been given (i) when delivered, if personally delivered, and (ii) on the second business day after dispatch, if sent by internationally-recognized overnight courier. It is understood and agreed that this Section 11.4 is not intended to govern the day-to-day business communications necessary between the Parties in performing their duties, in due course, under the terms of this Agreement.</w:t>
      </w:r>
    </w:p>
    <w:p>
      <w:pPr>
        <w:spacing w:after="0" w:line="167"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11.5 Entire Agreement; Modifications</w:t>
      </w:r>
      <w:r>
        <w:rPr>
          <w:rFonts w:ascii="Arial" w:cs="Arial" w:eastAsia="Arial" w:hAnsi="Arial"/>
          <w:sz w:val="17"/>
          <w:szCs w:val="17"/>
          <w:color w:val="auto"/>
        </w:rPr>
        <w:t>. This Agreement including the Exhibits attached hereto, each of which is hereby incorporated and made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in this Agreement by reference, sets forth and constitutes the entire agreement and understanding between the Parties with respect to the subject matter hereof and all prior agreements, understanding, promises and representations, whether written or oral, with respect thereto. Each Party confirms that it is not relying on any representations or warranties of the other Party except as specifically set forth herein. No amendment or modification of this Agreement will be binding upon the Parties unless in writing and duly executed by authorized representatives of both Parties.</w:t>
      </w:r>
    </w:p>
    <w:p>
      <w:pPr>
        <w:spacing w:after="0" w:line="168"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11.6 Relationship of the Parties</w:t>
      </w:r>
      <w:r>
        <w:rPr>
          <w:rFonts w:ascii="Arial" w:cs="Arial" w:eastAsia="Arial" w:hAnsi="Arial"/>
          <w:sz w:val="18"/>
          <w:szCs w:val="18"/>
          <w:color w:val="auto"/>
        </w:rPr>
        <w:t>. It is expressly agreed that the Parties’ relationship under this Agreement is strictly one of a pure contract relationship</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BioMarin and AVROBIO, and that this Agreement does not create or constitute a partnership, joint venture, or agency. Neither Party will have the authority to make any statements, representations or commitments of any kind, or to take any action, which will be binding (or purport to be binding) on the other.</w:t>
      </w:r>
    </w:p>
    <w:p>
      <w:pPr>
        <w:spacing w:after="0" w:line="180"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11.7 Waiver</w:t>
      </w:r>
      <w:r>
        <w:rPr>
          <w:rFonts w:ascii="Arial" w:cs="Arial" w:eastAsia="Arial" w:hAnsi="Arial"/>
          <w:sz w:val="18"/>
          <w:szCs w:val="18"/>
          <w:color w:val="auto"/>
        </w:rPr>
        <w:t>. Any term or condition of this Agreement may be waived at any time by the Party that is entitled to the benefit thereof, but no such waiver</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effective unless set forth in a written instrument duly executed by or on behalf of the Party waiving such term or condition. The waiver by either Party hereto of any right hereunder or of claims based on the failure to perform or a breach by the other Party will not be deemed a waiver of any other right hereunder or of any other breach or failure by said other Party whether of a similar nature or otherwise.</w:t>
      </w:r>
    </w:p>
    <w:p>
      <w:pPr>
        <w:spacing w:after="0" w:line="180"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11.8 Counterparts</w:t>
      </w:r>
      <w:r>
        <w:rPr>
          <w:rFonts w:ascii="Arial" w:cs="Arial" w:eastAsia="Arial" w:hAnsi="Arial"/>
          <w:sz w:val="18"/>
          <w:szCs w:val="18"/>
          <w:color w:val="auto"/>
        </w:rPr>
        <w:t>. This Agreement may be executed in two or more counterparts, each of which will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w:t>
      </w:r>
    </w:p>
    <w:p>
      <w:pPr>
        <w:spacing w:after="0" w:line="162" w:lineRule="exact"/>
        <w:rPr>
          <w:sz w:val="20"/>
          <w:szCs w:val="20"/>
          <w:color w:val="auto"/>
        </w:rPr>
      </w:pPr>
    </w:p>
    <w:p>
      <w:pPr>
        <w:ind w:right="100" w:firstLine="456"/>
        <w:spacing w:after="0" w:line="313" w:lineRule="auto"/>
        <w:rPr>
          <w:sz w:val="20"/>
          <w:szCs w:val="20"/>
          <w:color w:val="auto"/>
        </w:rPr>
      </w:pPr>
      <w:r>
        <w:rPr>
          <w:rFonts w:ascii="Arial" w:cs="Arial" w:eastAsia="Arial" w:hAnsi="Arial"/>
          <w:sz w:val="17"/>
          <w:szCs w:val="17"/>
          <w:b w:val="1"/>
          <w:bCs w:val="1"/>
          <w:color w:val="auto"/>
        </w:rPr>
        <w:t>11.9 No Benefit to Third Parties</w:t>
      </w:r>
      <w:r>
        <w:rPr>
          <w:rFonts w:ascii="Arial" w:cs="Arial" w:eastAsia="Arial" w:hAnsi="Arial"/>
          <w:sz w:val="17"/>
          <w:szCs w:val="17"/>
          <w:color w:val="auto"/>
        </w:rPr>
        <w:t>. The representations, warranties, covenants and agreements set forth in this Agreement are for the sole benefit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hereto and their successors and permitted assigns, and they will not be construed as conferring any rights on any other parties.</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54" w:name="page455"/>
    <w:bookmarkEnd w:id="454"/>
    <w:p>
      <w:pPr>
        <w:ind w:right="4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11.10 Further Assurance</w:t>
      </w:r>
      <w:r>
        <w:rPr>
          <w:rFonts w:ascii="Arial" w:cs="Arial" w:eastAsia="Arial" w:hAnsi="Arial"/>
          <w:sz w:val="18"/>
          <w:szCs w:val="18"/>
          <w:color w:val="auto"/>
        </w:rPr>
        <w:t>. Each Party will duly execute and deliver, or cause to be duly executed and delivered, such further instruments and do and</w:t>
      </w:r>
      <w:r>
        <w:rPr>
          <w:rFonts w:ascii="Arial" w:cs="Arial" w:eastAsia="Arial" w:hAnsi="Arial"/>
          <w:sz w:val="18"/>
          <w:szCs w:val="18"/>
          <w:b w:val="1"/>
          <w:bCs w:val="1"/>
          <w:color w:val="auto"/>
        </w:rPr>
        <w:t xml:space="preserve"> </w:t>
      </w:r>
      <w:r>
        <w:rPr>
          <w:rFonts w:ascii="Arial" w:cs="Arial" w:eastAsia="Arial" w:hAnsi="Arial"/>
          <w:sz w:val="18"/>
          <w:szCs w:val="18"/>
          <w:color w:val="auto"/>
        </w:rPr>
        <w:t>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or to better assure and confirm unto such other Party its rights and remedies under this Agreement.</w:t>
      </w:r>
    </w:p>
    <w:p>
      <w:pPr>
        <w:spacing w:after="0" w:line="180" w:lineRule="exact"/>
        <w:rPr>
          <w:sz w:val="20"/>
          <w:szCs w:val="20"/>
          <w:color w:val="auto"/>
        </w:rPr>
      </w:pPr>
    </w:p>
    <w:p>
      <w:pPr>
        <w:ind w:right="40" w:firstLine="456"/>
        <w:spacing w:after="0" w:line="314" w:lineRule="auto"/>
        <w:rPr>
          <w:sz w:val="20"/>
          <w:szCs w:val="20"/>
          <w:color w:val="auto"/>
        </w:rPr>
      </w:pPr>
      <w:r>
        <w:rPr>
          <w:rFonts w:ascii="Arial" w:cs="Arial" w:eastAsia="Arial" w:hAnsi="Arial"/>
          <w:sz w:val="16"/>
          <w:szCs w:val="16"/>
          <w:b w:val="1"/>
          <w:bCs w:val="1"/>
          <w:color w:val="auto"/>
        </w:rPr>
        <w:t>11.11 English Language</w:t>
      </w:r>
      <w:r>
        <w:rPr>
          <w:rFonts w:ascii="Arial" w:cs="Arial" w:eastAsia="Arial" w:hAnsi="Arial"/>
          <w:sz w:val="16"/>
          <w:szCs w:val="16"/>
          <w:color w:val="auto"/>
        </w:rPr>
        <w:t>. This Agreement has been written and executed in the English language as used in the United States of America and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interpreted in accordance with the English language as used in the United States of America. Any translation by a Party into any other language will not be an official version thereof, and in the event of any conflict in interpretation between the English version and such translation, the English version will control.</w:t>
      </w:r>
    </w:p>
    <w:p>
      <w:pPr>
        <w:spacing w:after="0" w:line="142" w:lineRule="exact"/>
        <w:rPr>
          <w:sz w:val="20"/>
          <w:szCs w:val="20"/>
          <w:color w:val="auto"/>
        </w:rPr>
      </w:pPr>
    </w:p>
    <w:p>
      <w:pPr>
        <w:jc w:val="both"/>
        <w:ind w:right="20" w:firstLine="456"/>
        <w:spacing w:after="0" w:line="266" w:lineRule="auto"/>
        <w:rPr>
          <w:sz w:val="20"/>
          <w:szCs w:val="20"/>
          <w:color w:val="auto"/>
        </w:rPr>
      </w:pPr>
      <w:r>
        <w:rPr>
          <w:rFonts w:ascii="Arial" w:cs="Arial" w:eastAsia="Arial" w:hAnsi="Arial"/>
          <w:sz w:val="18"/>
          <w:szCs w:val="18"/>
          <w:b w:val="1"/>
          <w:bCs w:val="1"/>
          <w:color w:val="auto"/>
        </w:rPr>
        <w:t>11.12 No Drafting Party</w:t>
      </w:r>
      <w:r>
        <w:rPr>
          <w:rFonts w:ascii="Arial" w:cs="Arial" w:eastAsia="Arial" w:hAnsi="Arial"/>
          <w:sz w:val="18"/>
          <w:szCs w:val="18"/>
          <w:color w:val="auto"/>
        </w:rPr>
        <w:t>. This Agreement has been submitted to the scrutiny of, and has been negotiated by, both Parties and their counsel, and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given a fair and reasonable interpretation in accordance with its terms, without consideration or weight being given to any such terms having been drafted by any Party or its counsel. No rule of strict construction will be applied against either Party .</w:t>
      </w:r>
    </w:p>
    <w:p>
      <w:pPr>
        <w:spacing w:after="0" w:line="17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11.13 Construction</w:t>
      </w:r>
      <w:r>
        <w:rPr>
          <w:rFonts w:ascii="Arial" w:cs="Arial" w:eastAsia="Arial" w:hAnsi="Arial"/>
          <w:sz w:val="16"/>
          <w:szCs w:val="16"/>
          <w:color w:val="auto"/>
        </w:rPr>
        <w:t>. Except where the context otherwise requires, wherever used, the use of any gender will be applicable to all genders and the word</w:t>
      </w:r>
      <w:r>
        <w:rPr>
          <w:rFonts w:ascii="Arial" w:cs="Arial" w:eastAsia="Arial" w:hAnsi="Arial"/>
          <w:sz w:val="16"/>
          <w:szCs w:val="16"/>
          <w:b w:val="1"/>
          <w:bCs w:val="1"/>
          <w:color w:val="auto"/>
        </w:rPr>
        <w:t xml:space="preserve"> </w:t>
      </w:r>
      <w:r>
        <w:rPr>
          <w:rFonts w:ascii="Arial" w:cs="Arial" w:eastAsia="Arial" w:hAnsi="Arial"/>
          <w:sz w:val="16"/>
          <w:szCs w:val="16"/>
          <w:color w:val="auto"/>
        </w:rPr>
        <w:t>“or” is used in the inclusive sense (and/or). The captions of this Agreement are for convenience of reference only and in no way define, describe, extend or limit the scope or intent of this Agreement or the intent of any provision contained in this Agreement. The term “including” as used herein means including, without limiting the generality of any description preceding such term. The word “any” will mean “any” unless otherwise clearly indicated by context. Unless the context requires otherwise, (a) any definition of or reference to any agreement, instrument or other document refer to such agreement, instrument or other document as from time to time amended, supplemented or otherwise modified (subject to any restrictions on such amendments, supplements or modifications set forth herein or therein), (b) any reference to any laws refer to such laws as from time to time enacted, repealed or amended, (c) the words “herein”, “hereof and “hereunder”, and words of similar import, refer to this Agreement in its entirety and not to any particular provision hereof, and (d) all references herein to Sections and Exhibits, unless otherwise specifically provided, refer to the Sections and Exhibits of this Agreement.</w:t>
      </w:r>
    </w:p>
    <w:p>
      <w:pPr>
        <w:spacing w:after="0" w:line="16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[Remainder of page intentionally left blank. Signature page follows.]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55" w:name="page456"/>
    <w:bookmarkEnd w:id="45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7"/>
          <w:szCs w:val="17"/>
          <w:color w:val="auto"/>
        </w:rPr>
        <w:t>, the Parties have executed this Agreement by their respective authorized representatives as of the date first written above.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M</w:t>
      </w:r>
      <w:r>
        <w:rPr>
          <w:rFonts w:ascii="Arial" w:cs="Arial" w:eastAsia="Arial" w:hAnsi="Arial"/>
          <w:sz w:val="15"/>
          <w:szCs w:val="15"/>
          <w:b w:val="1"/>
          <w:bCs w:val="1"/>
          <w:color w:val="auto"/>
        </w:rPr>
        <w:t>ARIN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HARMACEUTICAL</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 Eric Davis</w:t>
            </w:r>
          </w:p>
        </w:tc>
      </w:tr>
      <w:tr>
        <w:trPr>
          <w:trHeight w:val="43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G. Eric Davis</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General Counsel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AVROBIO,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Geoff MacKay</w:t>
            </w:r>
          </w:p>
        </w:tc>
      </w:tr>
      <w:tr>
        <w:trPr>
          <w:trHeight w:val="43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Geoff MacKay</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56" w:name="page457"/>
    <w:bookmarkEnd w:id="456"/>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6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9"/>
              </w:rPr>
              <w:t>S</w:t>
            </w:r>
            <w:r>
              <w:rPr>
                <w:rFonts w:ascii="Arial" w:cs="Arial" w:eastAsia="Arial" w:hAnsi="Arial"/>
                <w:sz w:val="15"/>
                <w:szCs w:val="15"/>
                <w:b w:val="1"/>
                <w:bCs w:val="1"/>
                <w:color w:val="auto"/>
                <w:w w:val="99"/>
              </w:rPr>
              <w:t>CHEDULE</w:t>
            </w:r>
            <w:r>
              <w:rPr>
                <w:rFonts w:ascii="Arial" w:cs="Arial" w:eastAsia="Arial" w:hAnsi="Arial"/>
                <w:sz w:val="18"/>
                <w:szCs w:val="18"/>
                <w:b w:val="1"/>
                <w:bCs w:val="1"/>
                <w:color w:val="auto"/>
                <w:w w:val="99"/>
              </w:rPr>
              <w:t xml:space="preserve"> A</w:t>
            </w:r>
          </w:p>
        </w:tc>
        <w:tc>
          <w:tcPr>
            <w:tcW w:w="332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20" w:type="dxa"/>
            <w:vAlign w:val="bottom"/>
          </w:tcPr>
          <w:p>
            <w:pPr>
              <w:jc w:val="center"/>
              <w:ind w:right="107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ATENT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p>
        </w:tc>
        <w:tc>
          <w:tcPr>
            <w:tcW w:w="332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20" w:type="dxa"/>
            <w:vAlign w:val="bottom"/>
          </w:tcPr>
          <w:p>
            <w:pPr>
              <w:jc w:val="center"/>
              <w:ind w:right="1070"/>
              <w:spacing w:after="0"/>
              <w:rPr>
                <w:sz w:val="20"/>
                <w:szCs w:val="20"/>
                <w:color w:val="auto"/>
              </w:rPr>
            </w:pPr>
            <w:r>
              <w:rPr>
                <w:rFonts w:ascii="Arial" w:cs="Arial" w:eastAsia="Arial" w:hAnsi="Arial"/>
                <w:sz w:val="18"/>
                <w:szCs w:val="18"/>
                <w:color w:val="auto"/>
              </w:rPr>
              <w:t>[***]</w:t>
            </w:r>
          </w:p>
        </w:tc>
        <w:tc>
          <w:tcPr>
            <w:tcW w:w="3320" w:type="dxa"/>
            <w:vAlign w:val="bottom"/>
          </w:tcPr>
          <w:p>
            <w:pPr>
              <w:spacing w:after="0"/>
              <w:rPr>
                <w:sz w:val="24"/>
                <w:szCs w:val="24"/>
                <w:color w:val="auto"/>
              </w:rPr>
            </w:pPr>
          </w:p>
        </w:tc>
      </w:tr>
      <w:tr>
        <w:trPr>
          <w:trHeight w:val="445"/>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45"/>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2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 Confidential Treatment Requested ***</w:t>
            </w:r>
          </w:p>
        </w:tc>
      </w:tr>
    </w:tbl>
    <w:p>
      <w:pPr>
        <w:jc w:val="right"/>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57" w:name="page458"/>
    <w:bookmarkEnd w:id="4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NOW</w:t>
      </w:r>
      <w:r>
        <w:rPr>
          <w:rFonts w:ascii="Arial" w:cs="Arial" w:eastAsia="Arial" w:hAnsi="Arial"/>
          <w:sz w:val="18"/>
          <w:szCs w:val="18"/>
          <w:b w:val="1"/>
          <w:bCs w:val="1"/>
          <w:color w:val="auto"/>
        </w:rPr>
        <w:t>-H</w:t>
      </w:r>
      <w:r>
        <w:rPr>
          <w:rFonts w:ascii="Arial" w:cs="Arial" w:eastAsia="Arial" w:hAnsi="Arial"/>
          <w:sz w:val="15"/>
          <w:szCs w:val="15"/>
          <w:b w:val="1"/>
          <w:bCs w:val="1"/>
          <w:color w:val="auto"/>
        </w:rPr>
        <w:t>OW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58" w:name="page459"/>
    <w:bookmarkEnd w:id="4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LAIMS FOR</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ATENT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59" w:name="page460"/>
    <w:bookmarkEnd w:id="459"/>
    <w:p>
      <w:pPr>
        <w:ind w:left="10480"/>
        <w:spacing w:after="0"/>
        <w:rPr>
          <w:sz w:val="20"/>
          <w:szCs w:val="20"/>
          <w:color w:val="auto"/>
        </w:rPr>
      </w:pPr>
      <w:r>
        <w:rPr>
          <w:rFonts w:ascii="Arial" w:cs="Arial" w:eastAsia="Arial" w:hAnsi="Arial"/>
          <w:sz w:val="16"/>
          <w:szCs w:val="16"/>
          <w:b w:val="1"/>
          <w:bCs w:val="1"/>
          <w:color w:val="auto"/>
        </w:rPr>
        <w:t>Exhibit 10.7</w:t>
      </w:r>
    </w:p>
    <w:p>
      <w:pPr>
        <w:spacing w:after="0" w:line="252"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406 PROMULGATED UNDER THE SECURITIES ACT OF 1933, AS AMENDED.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License Agreement</w:t>
      </w:r>
    </w:p>
    <w:p>
      <w:pPr>
        <w:spacing w:after="0" w:line="252" w:lineRule="exact"/>
        <w:rPr>
          <w:sz w:val="20"/>
          <w:szCs w:val="20"/>
          <w:color w:val="auto"/>
        </w:rPr>
      </w:pPr>
    </w:p>
    <w:p>
      <w:pPr>
        <w:ind w:left="460" w:hanging="452"/>
        <w:spacing w:after="0"/>
        <w:tabs>
          <w:tab w:leader="none" w:pos="46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Parties</w:t>
      </w:r>
    </w:p>
    <w:p>
      <w:pPr>
        <w:spacing w:after="0" w:line="131" w:lineRule="exact"/>
        <w:rPr>
          <w:sz w:val="20"/>
          <w:szCs w:val="20"/>
          <w:color w:val="auto"/>
        </w:rPr>
      </w:pPr>
    </w:p>
    <w:p>
      <w:pPr>
        <w:ind w:left="460" w:right="40" w:hanging="445"/>
        <w:spacing w:after="0" w:line="266" w:lineRule="auto"/>
        <w:tabs>
          <w:tab w:leader="none" w:pos="440" w:val="left"/>
        </w:tabs>
        <w:rPr>
          <w:sz w:val="20"/>
          <w:szCs w:val="20"/>
          <w:color w:val="auto"/>
        </w:rPr>
      </w:pPr>
      <w:r>
        <w:rPr>
          <w:rFonts w:ascii="Arial" w:cs="Arial" w:eastAsia="Arial" w:hAnsi="Arial"/>
          <w:sz w:val="18"/>
          <w:szCs w:val="18"/>
          <w:color w:val="auto"/>
        </w:rPr>
        <w:t>1.1</w:t>
        <w:tab/>
        <w:t>Dr Stefan Karlsson personal id.no [***] and Maria Dahl personal id.no [***] (the “</w:t>
      </w:r>
      <w:r>
        <w:rPr>
          <w:rFonts w:ascii="Arial" w:cs="Arial" w:eastAsia="Arial" w:hAnsi="Arial"/>
          <w:sz w:val="18"/>
          <w:szCs w:val="18"/>
          <w:b w:val="1"/>
          <w:bCs w:val="1"/>
          <w:color w:val="auto"/>
        </w:rPr>
        <w:t>Original Rights Holders</w:t>
      </w:r>
      <w:r>
        <w:rPr>
          <w:rFonts w:ascii="Arial" w:cs="Arial" w:eastAsia="Arial" w:hAnsi="Arial"/>
          <w:sz w:val="18"/>
          <w:szCs w:val="18"/>
          <w:color w:val="auto"/>
        </w:rPr>
        <w:t>”) together with any and all postdocs or other researchers adhering to this Agreement in accordance with Section 10 (collectively referred to as the “</w:t>
      </w:r>
      <w:r>
        <w:rPr>
          <w:rFonts w:ascii="Arial" w:cs="Arial" w:eastAsia="Arial" w:hAnsi="Arial"/>
          <w:sz w:val="18"/>
          <w:szCs w:val="18"/>
          <w:b w:val="1"/>
          <w:bCs w:val="1"/>
          <w:color w:val="auto"/>
        </w:rPr>
        <w:t>Rights Holders</w:t>
      </w:r>
      <w:r>
        <w:rPr>
          <w:rFonts w:ascii="Arial" w:cs="Arial" w:eastAsia="Arial" w:hAnsi="Arial"/>
          <w:sz w:val="18"/>
          <w:szCs w:val="18"/>
          <w:color w:val="auto"/>
        </w:rPr>
        <w:t>”, and each being a “</w:t>
      </w:r>
      <w:r>
        <w:rPr>
          <w:rFonts w:ascii="Arial" w:cs="Arial" w:eastAsia="Arial" w:hAnsi="Arial"/>
          <w:sz w:val="18"/>
          <w:szCs w:val="18"/>
          <w:b w:val="1"/>
          <w:bCs w:val="1"/>
          <w:color w:val="auto"/>
        </w:rPr>
        <w:t>Rights</w:t>
      </w:r>
      <w:r>
        <w:rPr>
          <w:rFonts w:ascii="Arial" w:cs="Arial" w:eastAsia="Arial" w:hAnsi="Arial"/>
          <w:sz w:val="18"/>
          <w:szCs w:val="18"/>
          <w:color w:val="auto"/>
        </w:rPr>
        <w:t xml:space="preserve"> </w:t>
      </w:r>
      <w:r>
        <w:rPr>
          <w:rFonts w:ascii="Arial" w:cs="Arial" w:eastAsia="Arial" w:hAnsi="Arial"/>
          <w:sz w:val="18"/>
          <w:szCs w:val="18"/>
          <w:b w:val="1"/>
          <w:bCs w:val="1"/>
          <w:color w:val="auto"/>
        </w:rPr>
        <w:t>Holder</w:t>
      </w:r>
      <w:r>
        <w:rPr>
          <w:rFonts w:ascii="Arial" w:cs="Arial" w:eastAsia="Arial" w:hAnsi="Arial"/>
          <w:sz w:val="18"/>
          <w:szCs w:val="18"/>
          <w:color w:val="auto"/>
        </w:rPr>
        <w:t>”).</w:t>
      </w:r>
    </w:p>
    <w:p>
      <w:pPr>
        <w:spacing w:after="0" w:line="8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AVROB10, Inc., a Delaware Corporation in the USA, with an address of 400 Technology Square, 10th Floor, Cambridge, MA 02139; (“</w:t>
      </w:r>
      <w:r>
        <w:rPr>
          <w:rFonts w:ascii="Arial" w:cs="Arial" w:eastAsia="Arial" w:hAnsi="Arial"/>
          <w:sz w:val="16"/>
          <w:szCs w:val="16"/>
          <w:b w:val="1"/>
          <w:bCs w:val="1"/>
          <w:color w:val="auto"/>
        </w:rPr>
        <w:t>AVROBIO</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All of the Rights Holders, on the one hand, and AVROBIO, on the other hand, are also referred to each as a “</w:t>
      </w:r>
      <w:r>
        <w:rPr>
          <w:rFonts w:ascii="Arial" w:cs="Arial" w:eastAsia="Arial" w:hAnsi="Arial"/>
          <w:sz w:val="16"/>
          <w:szCs w:val="16"/>
          <w:b w:val="1"/>
          <w:bCs w:val="1"/>
          <w:color w:val="auto"/>
        </w:rPr>
        <w:t>Party</w:t>
      </w:r>
      <w:r>
        <w:rPr>
          <w:rFonts w:ascii="Arial" w:cs="Arial" w:eastAsia="Arial" w:hAnsi="Arial"/>
          <w:sz w:val="16"/>
          <w:szCs w:val="16"/>
          <w:color w:val="auto"/>
        </w:rPr>
        <w:t>”, and together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135" w:lineRule="exact"/>
        <w:rPr>
          <w:sz w:val="20"/>
          <w:szCs w:val="20"/>
          <w:color w:val="auto"/>
        </w:rPr>
      </w:pPr>
    </w:p>
    <w:p>
      <w:pPr>
        <w:ind w:left="460" w:right="160" w:hanging="445"/>
        <w:spacing w:after="0" w:line="257" w:lineRule="auto"/>
        <w:tabs>
          <w:tab w:leader="none" w:pos="440" w:val="left"/>
        </w:tabs>
        <w:rPr>
          <w:sz w:val="20"/>
          <w:szCs w:val="20"/>
          <w:color w:val="auto"/>
        </w:rPr>
      </w:pPr>
      <w:r>
        <w:rPr>
          <w:rFonts w:ascii="Arial" w:cs="Arial" w:eastAsia="Arial" w:hAnsi="Arial"/>
          <w:sz w:val="18"/>
          <w:szCs w:val="18"/>
          <w:color w:val="auto"/>
        </w:rPr>
        <w:t>1.4</w:t>
        <w:tab/>
        <w:t>Notwithstanding Section 1.3, an obligation or right under this Agreement (except confidentiality obligations) for a Rights Holder relating to specific Rights shall apply to a given Rights Holder only if and to the extent that the relevant Rights Holder has a legal interest in and to (in whole or in part) such Rights. Each Rights Holder is liable for his/her own obligations under this Agreement and, except to the extent expressly provided in Section 5.2 and Section 15 or otherwise mutually agreed in writing between and among the Rights Holders, no Rights Holder shall be responsible for any other Rights Holder’s obligations hereunder.</w:t>
      </w:r>
    </w:p>
    <w:p>
      <w:pPr>
        <w:spacing w:after="0" w:line="333" w:lineRule="exact"/>
        <w:rPr>
          <w:sz w:val="20"/>
          <w:szCs w:val="20"/>
          <w:color w:val="auto"/>
        </w:rPr>
      </w:pPr>
    </w:p>
    <w:p>
      <w:pPr>
        <w:ind w:left="460" w:hanging="452"/>
        <w:spacing w:after="0"/>
        <w:tabs>
          <w:tab w:leader="none" w:pos="4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When used in this Agreement, terms set out below have the following meanings:</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Agreement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means this exclusive license agreement.</w:t>
      </w:r>
    </w:p>
    <w:p>
      <w:pPr>
        <w:spacing w:after="0" w:line="147" w:lineRule="exact"/>
        <w:rPr>
          <w:sz w:val="20"/>
          <w:szCs w:val="20"/>
          <w:color w:val="auto"/>
        </w:rPr>
      </w:pPr>
    </w:p>
    <w:p>
      <w:pPr>
        <w:sectPr>
          <w:pgSz w:w="11900" w:h="16838" w:orient="portrait"/>
          <w:cols w:equalWidth="0" w:num="2">
            <w:col w:w="2620" w:space="720"/>
            <w:col w:w="8080"/>
          </w:cols>
          <w:pgMar w:left="240" w:top="121" w:right="239" w:bottom="1440" w:gutter="0" w:footer="0" w:header="0"/>
          <w:type w:val="continuous"/>
        </w:sectPr>
      </w:pPr>
    </w:p>
    <w:p>
      <w:pPr>
        <w:ind w:left="360"/>
        <w:spacing w:after="0"/>
        <w:rPr>
          <w:sz w:val="20"/>
          <w:szCs w:val="20"/>
          <w:color w:val="auto"/>
        </w:rPr>
      </w:pPr>
      <w:r>
        <w:rPr>
          <w:rFonts w:ascii="Arial" w:cs="Arial" w:eastAsia="Arial" w:hAnsi="Arial"/>
          <w:sz w:val="16"/>
          <w:szCs w:val="16"/>
          <w:b w:val="1"/>
          <w:bCs w:val="1"/>
          <w:color w:val="auto"/>
        </w:rPr>
        <w:t>Confidential Information</w:t>
      </w:r>
    </w:p>
    <w:p>
      <w:pPr>
        <w:spacing w:after="0" w:line="20" w:lineRule="exact"/>
        <w:rPr>
          <w:sz w:val="20"/>
          <w:szCs w:val="20"/>
          <w:color w:val="auto"/>
        </w:rPr>
      </w:pPr>
      <w:r>
        <w:rPr>
          <w:sz w:val="20"/>
          <w:szCs w:val="20"/>
          <w:color w:val="auto"/>
        </w:rPr>
        <w:br w:type="column"/>
      </w:r>
    </w:p>
    <w:p>
      <w:pPr>
        <w:ind w:right="160"/>
        <w:spacing w:after="0" w:line="264" w:lineRule="auto"/>
        <w:rPr>
          <w:sz w:val="20"/>
          <w:szCs w:val="20"/>
          <w:color w:val="auto"/>
        </w:rPr>
      </w:pPr>
      <w:r>
        <w:rPr>
          <w:rFonts w:ascii="Arial" w:cs="Arial" w:eastAsia="Arial" w:hAnsi="Arial"/>
          <w:sz w:val="18"/>
          <w:szCs w:val="18"/>
          <w:color w:val="auto"/>
        </w:rPr>
        <w:t>means any non-public information relating to the terms of this Agreement, the Project or the Rights, including any regulatory, scientific or other business information of a Party or its affiliates disclosed to another Party before or during the term of this Agreement.</w:t>
      </w:r>
    </w:p>
    <w:p>
      <w:pPr>
        <w:spacing w:after="0" w:line="69" w:lineRule="exact"/>
        <w:rPr>
          <w:sz w:val="20"/>
          <w:szCs w:val="20"/>
          <w:color w:val="auto"/>
        </w:rPr>
      </w:pPr>
    </w:p>
    <w:p>
      <w:pPr>
        <w:sectPr>
          <w:pgSz w:w="11900" w:h="16838" w:orient="portrait"/>
          <w:cols w:equalWidth="0" w:num="2">
            <w:col w:w="2620" w:space="720"/>
            <w:col w:w="8080"/>
          </w:cols>
          <w:pgMar w:left="240" w:top="121" w:right="239" w:bottom="1440" w:gutter="0" w:footer="0" w:header="0"/>
          <w:type w:val="continuous"/>
        </w:sectPr>
      </w:pPr>
    </w:p>
    <w:p>
      <w:pPr>
        <w:ind w:left="360"/>
        <w:spacing w:after="0"/>
        <w:rPr>
          <w:sz w:val="20"/>
          <w:szCs w:val="20"/>
          <w:color w:val="auto"/>
        </w:rPr>
      </w:pPr>
      <w:r>
        <w:rPr>
          <w:rFonts w:ascii="Arial" w:cs="Arial" w:eastAsia="Arial" w:hAnsi="Arial"/>
          <w:sz w:val="16"/>
          <w:szCs w:val="16"/>
          <w:b w:val="1"/>
          <w:bCs w:val="1"/>
          <w:color w:val="auto"/>
        </w:rPr>
        <w:t>Contract Research Agreement</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means the contract research agreement entered into between LU and AVROBIO regarding the Project and dated January 17, 2017.</w:t>
      </w:r>
    </w:p>
    <w:p>
      <w:pPr>
        <w:spacing w:after="0" w:line="58" w:lineRule="exact"/>
        <w:rPr>
          <w:sz w:val="20"/>
          <w:szCs w:val="20"/>
          <w:color w:val="auto"/>
        </w:rPr>
      </w:pPr>
    </w:p>
    <w:p>
      <w:pPr>
        <w:sectPr>
          <w:pgSz w:w="11900" w:h="16838" w:orient="portrait"/>
          <w:cols w:equalWidth="0" w:num="2">
            <w:col w:w="2700" w:space="640"/>
            <w:col w:w="8080"/>
          </w:cols>
          <w:pgMar w:left="240" w:top="121" w:right="239" w:bottom="1440" w:gutter="0" w:footer="0" w:header="0"/>
          <w:type w:val="continuous"/>
        </w:sectPr>
      </w:pPr>
    </w:p>
    <w:p>
      <w:pPr>
        <w:ind w:left="360"/>
        <w:spacing w:after="0"/>
        <w:rPr>
          <w:sz w:val="20"/>
          <w:szCs w:val="20"/>
          <w:color w:val="auto"/>
        </w:rPr>
      </w:pPr>
      <w:r>
        <w:rPr>
          <w:rFonts w:ascii="Arial" w:cs="Arial" w:eastAsia="Arial" w:hAnsi="Arial"/>
          <w:sz w:val="16"/>
          <w:szCs w:val="16"/>
          <w:b w:val="1"/>
          <w:bCs w:val="1"/>
          <w:color w:val="auto"/>
        </w:rPr>
        <w:t>Effective Date</w:t>
      </w:r>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means the date when this Agreement has been duly signed by AVROBIO and each of the Original Rights Holders.</w:t>
      </w:r>
    </w:p>
    <w:p>
      <w:pPr>
        <w:spacing w:after="0" w:line="58" w:lineRule="exact"/>
        <w:rPr>
          <w:sz w:val="20"/>
          <w:szCs w:val="20"/>
          <w:color w:val="auto"/>
        </w:rPr>
      </w:pPr>
    </w:p>
    <w:p>
      <w:pPr>
        <w:sectPr>
          <w:pgSz w:w="11900" w:h="16838" w:orient="portrait"/>
          <w:cols w:equalWidth="0" w:num="2">
            <w:col w:w="2620" w:space="720"/>
            <w:col w:w="8080"/>
          </w:cols>
          <w:pgMar w:left="240" w:top="121" w:right="239" w:bottom="1440" w:gutter="0" w:footer="0" w:header="0"/>
          <w:type w:val="continuous"/>
        </w:sectPr>
      </w:pPr>
    </w:p>
    <w:p>
      <w:pPr>
        <w:ind w:left="360"/>
        <w:spacing w:after="0"/>
        <w:rPr>
          <w:sz w:val="20"/>
          <w:szCs w:val="20"/>
          <w:color w:val="auto"/>
        </w:rPr>
      </w:pPr>
      <w:r>
        <w:rPr>
          <w:rFonts w:ascii="Arial" w:cs="Arial" w:eastAsia="Arial" w:hAnsi="Arial"/>
          <w:sz w:val="16"/>
          <w:szCs w:val="16"/>
          <w:b w:val="1"/>
          <w:bCs w:val="1"/>
          <w:color w:val="auto"/>
        </w:rPr>
        <w:t>Field of 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any and all uses relevant to Gaucher disease.</w:t>
      </w:r>
    </w:p>
    <w:p>
      <w:pPr>
        <w:sectPr>
          <w:pgSz w:w="11900" w:h="16838" w:orient="portrait"/>
          <w:cols w:equalWidth="0" w:num="2">
            <w:col w:w="2620" w:space="720"/>
            <w:col w:w="8080"/>
          </w:cols>
          <w:pgMar w:left="240" w:top="121" w:right="239" w:bottom="1440" w:gutter="0" w:footer="0" w:header="0"/>
          <w:type w:val="continuous"/>
        </w:sectPr>
      </w:pPr>
    </w:p>
    <w:bookmarkStart w:id="460" w:name="page461"/>
    <w:bookmarkEnd w:id="460"/>
    <w:tbl>
      <w:tblPr>
        <w:tblLayout w:type="fixed"/>
        <w:tblInd w:w="0" w:type="dxa"/>
        <w:tblCellMar>
          <w:top w:w="0" w:type="dxa"/>
          <w:left w:w="0" w:type="dxa"/>
          <w:bottom w:w="0" w:type="dxa"/>
          <w:right w:w="0" w:type="dxa"/>
        </w:tblCellMar>
      </w:tblPr>
      <w:tr>
        <w:trPr>
          <w:trHeight w:val="220"/>
        </w:trPr>
        <w:tc>
          <w:tcPr>
            <w:tcW w:w="2360" w:type="dxa"/>
            <w:vAlign w:val="bottom"/>
          </w:tcPr>
          <w:p>
            <w:pPr>
              <w:spacing w:after="0"/>
              <w:rPr>
                <w:sz w:val="20"/>
                <w:szCs w:val="20"/>
                <w:color w:val="auto"/>
              </w:rPr>
            </w:pPr>
            <w:r>
              <w:rPr>
                <w:rFonts w:ascii="Arial" w:cs="Arial" w:eastAsia="Arial" w:hAnsi="Arial"/>
                <w:sz w:val="18"/>
                <w:szCs w:val="18"/>
                <w:b w:val="1"/>
                <w:bCs w:val="1"/>
                <w:color w:val="auto"/>
              </w:rPr>
              <w:t>First Commercial Sale</w:t>
            </w: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5"/>
              </w:rPr>
              <w:t>means the first commercial sale of a Product by AVROBIO or any of its affiliates or sublicensees to a third</w:t>
            </w:r>
          </w:p>
        </w:tc>
      </w:tr>
      <w:tr>
        <w:trPr>
          <w:trHeight w:val="230"/>
        </w:trPr>
        <w:tc>
          <w:tcPr>
            <w:tcW w:w="2360" w:type="dxa"/>
            <w:vAlign w:val="bottom"/>
          </w:tcPr>
          <w:p>
            <w:pPr>
              <w:spacing w:after="0"/>
              <w:rPr>
                <w:sz w:val="20"/>
                <w:szCs w:val="20"/>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rPr>
              <w:t>party in a commercial arm’s length transaction.</w:t>
            </w:r>
          </w:p>
        </w:tc>
      </w:tr>
      <w:tr>
        <w:trPr>
          <w:trHeight w:val="324"/>
        </w:trPr>
        <w:tc>
          <w:tcPr>
            <w:tcW w:w="2360" w:type="dxa"/>
            <w:vAlign w:val="bottom"/>
          </w:tcPr>
          <w:p>
            <w:pPr>
              <w:spacing w:after="0"/>
              <w:rPr>
                <w:sz w:val="20"/>
                <w:szCs w:val="20"/>
                <w:color w:val="auto"/>
              </w:rPr>
            </w:pPr>
            <w:r>
              <w:rPr>
                <w:rFonts w:ascii="Arial" w:cs="Arial" w:eastAsia="Arial" w:hAnsi="Arial"/>
                <w:sz w:val="18"/>
                <w:szCs w:val="18"/>
                <w:b w:val="1"/>
                <w:bCs w:val="1"/>
                <w:color w:val="auto"/>
              </w:rPr>
              <w:t>License</w:t>
            </w: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rPr>
              <w:t>has the meaning set out in Section 4.</w:t>
            </w:r>
          </w:p>
        </w:tc>
      </w:tr>
      <w:tr>
        <w:trPr>
          <w:trHeight w:val="324"/>
        </w:trPr>
        <w:tc>
          <w:tcPr>
            <w:tcW w:w="2360" w:type="dxa"/>
            <w:vAlign w:val="bottom"/>
          </w:tcPr>
          <w:p>
            <w:pPr>
              <w:spacing w:after="0"/>
              <w:rPr>
                <w:sz w:val="20"/>
                <w:szCs w:val="20"/>
                <w:color w:val="auto"/>
              </w:rPr>
            </w:pPr>
            <w:r>
              <w:rPr>
                <w:rFonts w:ascii="Arial" w:cs="Arial" w:eastAsia="Arial" w:hAnsi="Arial"/>
                <w:sz w:val="18"/>
                <w:szCs w:val="18"/>
                <w:b w:val="1"/>
                <w:bCs w:val="1"/>
                <w:color w:val="auto"/>
              </w:rPr>
              <w:t>LU</w:t>
            </w: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3"/>
              </w:rPr>
              <w:t>means Lund University, registration no. 202100-3211, with address P.O. Box 117, SF.-22I 00 Lund, Sweden.</w:t>
            </w:r>
          </w:p>
        </w:tc>
      </w:tr>
      <w:tr>
        <w:trPr>
          <w:trHeight w:val="310"/>
        </w:trPr>
        <w:tc>
          <w:tcPr>
            <w:tcW w:w="2360" w:type="dxa"/>
            <w:vAlign w:val="bottom"/>
          </w:tcPr>
          <w:p>
            <w:pPr>
              <w:spacing w:after="0"/>
              <w:rPr>
                <w:sz w:val="20"/>
                <w:szCs w:val="20"/>
                <w:color w:val="auto"/>
              </w:rPr>
            </w:pPr>
            <w:r>
              <w:rPr>
                <w:rFonts w:ascii="Arial" w:cs="Arial" w:eastAsia="Arial" w:hAnsi="Arial"/>
                <w:sz w:val="18"/>
                <w:szCs w:val="18"/>
                <w:b w:val="1"/>
                <w:bCs w:val="1"/>
                <w:color w:val="auto"/>
              </w:rPr>
              <w:t>Pivotal Trial</w:t>
            </w: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9"/>
              </w:rPr>
              <w:t>means a trial in any country conducted in accordance with ICH GCP that is designed and executed to</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6"/>
              </w:rPr>
              <w:t>prospectively establish statistically significant evidence of efficacy and safety of a Product as a basis for a</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8"/>
              </w:rPr>
              <w:t>marketing authorization or that would otherwise satisfy requirements of 21 CFR 312.21(c), or its foreign</w:t>
            </w:r>
          </w:p>
        </w:tc>
      </w:tr>
      <w:tr>
        <w:trPr>
          <w:trHeight w:val="230"/>
        </w:trPr>
        <w:tc>
          <w:tcPr>
            <w:tcW w:w="2360" w:type="dxa"/>
            <w:vAlign w:val="bottom"/>
          </w:tcPr>
          <w:p>
            <w:pPr>
              <w:spacing w:after="0"/>
              <w:rPr>
                <w:sz w:val="20"/>
                <w:szCs w:val="20"/>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rPr>
              <w:t>equivalent.</w:t>
            </w:r>
          </w:p>
        </w:tc>
      </w:tr>
      <w:tr>
        <w:trPr>
          <w:trHeight w:val="310"/>
        </w:trPr>
        <w:tc>
          <w:tcPr>
            <w:tcW w:w="2360" w:type="dxa"/>
            <w:vAlign w:val="bottom"/>
          </w:tcPr>
          <w:p>
            <w:pPr>
              <w:spacing w:after="0"/>
              <w:rPr>
                <w:sz w:val="20"/>
                <w:szCs w:val="20"/>
                <w:color w:val="auto"/>
              </w:rPr>
            </w:pPr>
            <w:r>
              <w:rPr>
                <w:rFonts w:ascii="Arial" w:cs="Arial" w:eastAsia="Arial" w:hAnsi="Arial"/>
                <w:sz w:val="18"/>
                <w:szCs w:val="18"/>
                <w:b w:val="1"/>
                <w:bCs w:val="1"/>
                <w:color w:val="auto"/>
              </w:rPr>
              <w:t>Product(s)</w:t>
            </w: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4"/>
              </w:rPr>
              <w:t>means any product (a) the manufacture, use or sale of which, but for the License granted hereunder, would</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1"/>
              </w:rPr>
              <w:t>infringe a valid claim of a patent right within the Rights, or (b) incorporates, practices or was developed through</w:t>
            </w:r>
          </w:p>
        </w:tc>
      </w:tr>
      <w:tr>
        <w:trPr>
          <w:trHeight w:val="230"/>
        </w:trPr>
        <w:tc>
          <w:tcPr>
            <w:tcW w:w="2360" w:type="dxa"/>
            <w:vAlign w:val="bottom"/>
          </w:tcPr>
          <w:p>
            <w:pPr>
              <w:spacing w:after="0"/>
              <w:rPr>
                <w:sz w:val="20"/>
                <w:szCs w:val="20"/>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rPr>
              <w:t>material use of the information, data and/or know-how in the Rights.</w:t>
            </w:r>
          </w:p>
        </w:tc>
      </w:tr>
      <w:tr>
        <w:trPr>
          <w:trHeight w:val="310"/>
        </w:trPr>
        <w:tc>
          <w:tcPr>
            <w:tcW w:w="2360" w:type="dxa"/>
            <w:vAlign w:val="bottom"/>
          </w:tcPr>
          <w:p>
            <w:pPr>
              <w:spacing w:after="0"/>
              <w:rPr>
                <w:sz w:val="20"/>
                <w:szCs w:val="20"/>
                <w:color w:val="auto"/>
              </w:rPr>
            </w:pPr>
            <w:r>
              <w:rPr>
                <w:rFonts w:ascii="Arial" w:cs="Arial" w:eastAsia="Arial" w:hAnsi="Arial"/>
                <w:sz w:val="18"/>
                <w:szCs w:val="18"/>
                <w:b w:val="1"/>
                <w:bCs w:val="1"/>
                <w:color w:val="auto"/>
              </w:rPr>
              <w:t>Project</w:t>
            </w: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4"/>
              </w:rPr>
              <w:t>means the fully-funded commissioned research project in Gaucher Disease, described and to be carried out</w:t>
            </w:r>
          </w:p>
        </w:tc>
      </w:tr>
      <w:tr>
        <w:trPr>
          <w:trHeight w:val="230"/>
        </w:trPr>
        <w:tc>
          <w:tcPr>
            <w:tcW w:w="2360" w:type="dxa"/>
            <w:vAlign w:val="bottom"/>
          </w:tcPr>
          <w:p>
            <w:pPr>
              <w:spacing w:after="0"/>
              <w:rPr>
                <w:sz w:val="20"/>
                <w:szCs w:val="20"/>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rPr>
              <w:t>under the Contract Research Agreement.</w:t>
            </w:r>
          </w:p>
        </w:tc>
      </w:tr>
      <w:tr>
        <w:trPr>
          <w:trHeight w:val="310"/>
        </w:trPr>
        <w:tc>
          <w:tcPr>
            <w:tcW w:w="2360" w:type="dxa"/>
            <w:vAlign w:val="bottom"/>
          </w:tcPr>
          <w:p>
            <w:pPr>
              <w:spacing w:after="0"/>
              <w:rPr>
                <w:sz w:val="20"/>
                <w:szCs w:val="20"/>
                <w:color w:val="auto"/>
              </w:rPr>
            </w:pPr>
            <w:r>
              <w:rPr>
                <w:rFonts w:ascii="Arial" w:cs="Arial" w:eastAsia="Arial" w:hAnsi="Arial"/>
                <w:sz w:val="18"/>
                <w:szCs w:val="18"/>
                <w:b w:val="1"/>
                <w:bCs w:val="1"/>
                <w:color w:val="auto"/>
              </w:rPr>
              <w:t>Results</w:t>
            </w: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2"/>
              </w:rPr>
              <w:t>means any ideas, inventions, discoveries, know-how, data, documentation, reports, materials, writings (except</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3"/>
              </w:rPr>
              <w:t>publications), designs, computer software, processes, principles, methods, techniques and other information,</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5"/>
              </w:rPr>
              <w:t>recorded in any form, that before the Effective Date have been, or after the Effective Date are, discovered,</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4"/>
              </w:rPr>
              <w:t>conceived, reduced to practice or otherwise generated through work performed under or otherwise resulting</w:t>
            </w:r>
          </w:p>
        </w:tc>
      </w:tr>
      <w:tr>
        <w:trPr>
          <w:trHeight w:val="230"/>
        </w:trPr>
        <w:tc>
          <w:tcPr>
            <w:tcW w:w="2360" w:type="dxa"/>
            <w:vAlign w:val="bottom"/>
          </w:tcPr>
          <w:p>
            <w:pPr>
              <w:spacing w:after="0"/>
              <w:rPr>
                <w:sz w:val="20"/>
                <w:szCs w:val="20"/>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rPr>
              <w:t>from the Project.</w:t>
            </w:r>
          </w:p>
        </w:tc>
      </w:tr>
      <w:tr>
        <w:trPr>
          <w:trHeight w:val="310"/>
        </w:trPr>
        <w:tc>
          <w:tcPr>
            <w:tcW w:w="2360" w:type="dxa"/>
            <w:vAlign w:val="bottom"/>
          </w:tcPr>
          <w:p>
            <w:pPr>
              <w:spacing w:after="0"/>
              <w:rPr>
                <w:sz w:val="20"/>
                <w:szCs w:val="20"/>
                <w:color w:val="auto"/>
              </w:rPr>
            </w:pPr>
            <w:r>
              <w:rPr>
                <w:rFonts w:ascii="Arial" w:cs="Arial" w:eastAsia="Arial" w:hAnsi="Arial"/>
                <w:sz w:val="18"/>
                <w:szCs w:val="18"/>
                <w:b w:val="1"/>
                <w:bCs w:val="1"/>
                <w:color w:val="auto"/>
              </w:rPr>
              <w:t>Rights</w:t>
            </w: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0"/>
              </w:rPr>
              <w:t>means any and all rights of the Rights Holders, whenever created and in whatever form, and regardless of as to</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0"/>
              </w:rPr>
              <w:t>whether patented/patent applied for or not, to gene therapy compositions and methods for use in the prevention,</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3"/>
              </w:rPr>
              <w:t>modulation or treatment of Gaucher disease, and to any improvements thereof, including any and all rights of</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4"/>
              </w:rPr>
              <w:t>the Rights Holders to the Technology, the LU Background Information (as defined in the Contract Research</w:t>
            </w:r>
          </w:p>
        </w:tc>
      </w:tr>
      <w:tr>
        <w:trPr>
          <w:trHeight w:val="230"/>
        </w:trPr>
        <w:tc>
          <w:tcPr>
            <w:tcW w:w="2360" w:type="dxa"/>
            <w:vAlign w:val="bottom"/>
          </w:tcPr>
          <w:p>
            <w:pPr>
              <w:spacing w:after="0"/>
              <w:rPr>
                <w:sz w:val="20"/>
                <w:szCs w:val="20"/>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rPr>
              <w:t>Agreement) and to the Results.</w:t>
            </w:r>
          </w:p>
        </w:tc>
      </w:tr>
      <w:tr>
        <w:trPr>
          <w:trHeight w:val="310"/>
        </w:trPr>
        <w:tc>
          <w:tcPr>
            <w:tcW w:w="2360" w:type="dxa"/>
            <w:vAlign w:val="bottom"/>
          </w:tcPr>
          <w:p>
            <w:pPr>
              <w:spacing w:after="0"/>
              <w:rPr>
                <w:sz w:val="20"/>
                <w:szCs w:val="20"/>
                <w:color w:val="auto"/>
              </w:rPr>
            </w:pPr>
            <w:r>
              <w:rPr>
                <w:rFonts w:ascii="Arial" w:cs="Arial" w:eastAsia="Arial" w:hAnsi="Arial"/>
                <w:sz w:val="18"/>
                <w:szCs w:val="18"/>
                <w:b w:val="1"/>
                <w:bCs w:val="1"/>
                <w:color w:val="auto"/>
              </w:rPr>
              <w:t>Technology</w:t>
            </w: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2"/>
              </w:rPr>
              <w:t>means the ideas, inventions, discoveries, know-how, data, documentation, reports, materials, writings (except</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3"/>
              </w:rPr>
              <w:t>publications), designs, computer software, processes, principles, methods, techniques and other information</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0"/>
              </w:rPr>
              <w:t>relating to the Gaucher Disease program al LU led by Dr. Stefan Karlsson and created, conceived or developed</w:t>
            </w:r>
          </w:p>
        </w:tc>
      </w:tr>
      <w:tr>
        <w:trPr>
          <w:trHeight w:val="216"/>
        </w:trPr>
        <w:tc>
          <w:tcPr>
            <w:tcW w:w="2360" w:type="dxa"/>
            <w:vAlign w:val="bottom"/>
          </w:tcPr>
          <w:p>
            <w:pPr>
              <w:spacing w:after="0"/>
              <w:rPr>
                <w:sz w:val="18"/>
                <w:szCs w:val="18"/>
                <w:color w:val="auto"/>
              </w:rPr>
            </w:pPr>
          </w:p>
        </w:tc>
        <w:tc>
          <w:tcPr>
            <w:tcW w:w="8700" w:type="dxa"/>
            <w:vAlign w:val="bottom"/>
            <w:gridSpan w:val="3"/>
          </w:tcPr>
          <w:p>
            <w:pPr>
              <w:ind w:left="620"/>
              <w:spacing w:after="0"/>
              <w:rPr>
                <w:sz w:val="20"/>
                <w:szCs w:val="20"/>
                <w:color w:val="auto"/>
              </w:rPr>
            </w:pPr>
            <w:r>
              <w:rPr>
                <w:rFonts w:ascii="Arial" w:cs="Arial" w:eastAsia="Arial" w:hAnsi="Arial"/>
                <w:sz w:val="18"/>
                <w:szCs w:val="18"/>
                <w:color w:val="auto"/>
                <w:w w:val="93"/>
              </w:rPr>
              <w:t>by the Rights Holders (or one or some of them as applicable), including all patents, know-how, materials and</w:t>
            </w:r>
          </w:p>
        </w:tc>
      </w:tr>
      <w:tr>
        <w:trPr>
          <w:trHeight w:val="190"/>
        </w:trPr>
        <w:tc>
          <w:tcPr>
            <w:tcW w:w="2360" w:type="dxa"/>
            <w:vAlign w:val="bottom"/>
          </w:tcPr>
          <w:p>
            <w:pPr>
              <w:spacing w:after="0"/>
              <w:rPr>
                <w:sz w:val="16"/>
                <w:szCs w:val="16"/>
                <w:color w:val="auto"/>
              </w:rPr>
            </w:pPr>
          </w:p>
        </w:tc>
        <w:tc>
          <w:tcPr>
            <w:tcW w:w="8700" w:type="dxa"/>
            <w:vAlign w:val="bottom"/>
            <w:gridSpan w:val="3"/>
          </w:tcPr>
          <w:p>
            <w:pPr>
              <w:ind w:left="620"/>
              <w:spacing w:after="0" w:line="190" w:lineRule="exact"/>
              <w:rPr>
                <w:sz w:val="20"/>
                <w:szCs w:val="20"/>
                <w:color w:val="auto"/>
              </w:rPr>
            </w:pPr>
            <w:r>
              <w:rPr>
                <w:rFonts w:ascii="Arial" w:cs="Arial" w:eastAsia="Arial" w:hAnsi="Arial"/>
                <w:sz w:val="18"/>
                <w:szCs w:val="18"/>
                <w:color w:val="auto"/>
              </w:rPr>
              <w:t>other intellectual property rights, and including, without limitation, those items listed in Appendix 1.</w:t>
            </w:r>
          </w:p>
        </w:tc>
      </w:tr>
      <w:tr>
        <w:trPr>
          <w:trHeight w:val="385"/>
        </w:trPr>
        <w:tc>
          <w:tcPr>
            <w:tcW w:w="2360" w:type="dxa"/>
            <w:vAlign w:val="bottom"/>
          </w:tcPr>
          <w:p>
            <w:pPr>
              <w:spacing w:after="0"/>
              <w:rPr>
                <w:sz w:val="24"/>
                <w:szCs w:val="24"/>
                <w:color w:val="auto"/>
              </w:rPr>
            </w:pPr>
          </w:p>
        </w:tc>
        <w:tc>
          <w:tcPr>
            <w:tcW w:w="6960" w:type="dxa"/>
            <w:vAlign w:val="bottom"/>
          </w:tcPr>
          <w:p>
            <w:pPr>
              <w:ind w:left="2940"/>
              <w:spacing w:after="0"/>
              <w:rPr>
                <w:sz w:val="20"/>
                <w:szCs w:val="20"/>
                <w:color w:val="auto"/>
              </w:rPr>
            </w:pPr>
            <w:r>
              <w:rPr>
                <w:rFonts w:ascii="Arial" w:cs="Arial" w:eastAsia="Arial" w:hAnsi="Arial"/>
                <w:sz w:val="18"/>
                <w:szCs w:val="18"/>
                <w:color w:val="auto"/>
              </w:rPr>
              <w:t>2</w:t>
            </w:r>
          </w:p>
        </w:tc>
        <w:tc>
          <w:tcPr>
            <w:tcW w:w="84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2360" w:type="dxa"/>
            <w:vAlign w:val="bottom"/>
          </w:tcPr>
          <w:p>
            <w:pPr>
              <w:spacing w:after="0"/>
              <w:rPr>
                <w:sz w:val="24"/>
                <w:szCs w:val="24"/>
                <w:color w:val="auto"/>
              </w:rPr>
            </w:pPr>
          </w:p>
        </w:tc>
        <w:tc>
          <w:tcPr>
            <w:tcW w:w="8700" w:type="dxa"/>
            <w:vAlign w:val="bottom"/>
            <w:gridSpan w:val="3"/>
          </w:tcPr>
          <w:p>
            <w:pPr>
              <w:ind w:left="5600"/>
              <w:spacing w:after="0"/>
              <w:rPr>
                <w:sz w:val="20"/>
                <w:szCs w:val="20"/>
                <w:color w:val="auto"/>
              </w:rPr>
            </w:pPr>
            <w:r>
              <w:rPr>
                <w:rFonts w:ascii="Arial" w:cs="Arial" w:eastAsia="Arial" w:hAnsi="Arial"/>
                <w:sz w:val="18"/>
                <w:szCs w:val="18"/>
                <w:color w:val="auto"/>
                <w:w w:val="94"/>
              </w:rPr>
              <w:t>*** Confidential Treatment Requested ***</w:t>
            </w:r>
          </w:p>
        </w:tc>
      </w:tr>
    </w:tbl>
    <w:p>
      <w:pPr>
        <w:ind w:left="5600"/>
        <w:spacing w:after="0"/>
        <w:rPr>
          <w:sz w:val="20"/>
          <w:szCs w:val="20"/>
          <w:color w:val="auto"/>
        </w:rPr>
        <w:sectPr>
          <w:pgSz w:w="11900" w:h="16838" w:orient="portrait"/>
          <w:cols w:equalWidth="0" w:num="1">
            <w:col w:w="11060"/>
          </w:cols>
          <w:pgMar w:left="60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61" w:name="page462"/>
    <w:bookmarkEnd w:id="461"/>
    <w:p>
      <w:pPr>
        <w:ind w:left="460" w:hanging="452"/>
        <w:spacing w:after="0"/>
        <w:tabs>
          <w:tab w:leader="none" w:pos="46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Background</w:t>
      </w:r>
    </w:p>
    <w:p>
      <w:pPr>
        <w:spacing w:after="0" w:line="135" w:lineRule="exact"/>
        <w:rPr>
          <w:sz w:val="20"/>
          <w:szCs w:val="20"/>
          <w:color w:val="auto"/>
        </w:rPr>
      </w:pPr>
    </w:p>
    <w:p>
      <w:pPr>
        <w:ind w:left="460" w:right="260" w:hanging="445"/>
        <w:spacing w:after="0" w:line="277" w:lineRule="auto"/>
        <w:tabs>
          <w:tab w:leader="none" w:pos="440" w:val="left"/>
        </w:tabs>
        <w:rPr>
          <w:sz w:val="20"/>
          <w:szCs w:val="20"/>
          <w:color w:val="auto"/>
        </w:rPr>
      </w:pPr>
      <w:r>
        <w:rPr>
          <w:rFonts w:ascii="Arial" w:cs="Arial" w:eastAsia="Arial" w:hAnsi="Arial"/>
          <w:sz w:val="18"/>
          <w:szCs w:val="18"/>
          <w:color w:val="auto"/>
        </w:rPr>
        <w:t>3.1</w:t>
        <w:tab/>
        <w:t>AVROBIO has entered into the Contract Research Agreement with LU, under which AVROBIO has engaged LU for the performance of the contract research Project relating to Gaucher Disease.</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Rights Holders arc active within the Project.</w:t>
      </w:r>
    </w:p>
    <w:p>
      <w:pPr>
        <w:spacing w:after="0" w:line="131" w:lineRule="exact"/>
        <w:rPr>
          <w:sz w:val="20"/>
          <w:szCs w:val="20"/>
          <w:color w:val="auto"/>
        </w:rPr>
      </w:pPr>
    </w:p>
    <w:p>
      <w:pPr>
        <w:ind w:left="460" w:right="180" w:hanging="445"/>
        <w:spacing w:after="0" w:line="277" w:lineRule="auto"/>
        <w:tabs>
          <w:tab w:leader="none" w:pos="440" w:val="left"/>
        </w:tabs>
        <w:rPr>
          <w:sz w:val="20"/>
          <w:szCs w:val="20"/>
          <w:color w:val="auto"/>
        </w:rPr>
      </w:pPr>
      <w:r>
        <w:rPr>
          <w:rFonts w:ascii="Arial" w:cs="Arial" w:eastAsia="Arial" w:hAnsi="Arial"/>
          <w:sz w:val="18"/>
          <w:szCs w:val="18"/>
          <w:color w:val="auto"/>
        </w:rPr>
        <w:t>3.3</w:t>
        <w:tab/>
        <w:t>AVROBIO’s willingness to fund the Project has been and continues to be conditioned upon having an exclusive license agreement established, for the granting by the Rights Holders of an exclusive license to AVROBIO in respect of the Rights.</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In light of the foregoing been, the Parties have entered into this Agreement.</w:t>
      </w:r>
    </w:p>
    <w:p>
      <w:pPr>
        <w:spacing w:after="0" w:line="127" w:lineRule="exact"/>
        <w:rPr>
          <w:sz w:val="20"/>
          <w:szCs w:val="20"/>
          <w:color w:val="auto"/>
        </w:rPr>
      </w:pPr>
    </w:p>
    <w:p>
      <w:pPr>
        <w:ind w:left="460" w:hanging="452"/>
        <w:spacing w:after="0"/>
        <w:tabs>
          <w:tab w:leader="none" w:pos="46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License</w:t>
      </w:r>
    </w:p>
    <w:p>
      <w:pPr>
        <w:spacing w:after="0" w:line="135" w:lineRule="exact"/>
        <w:rPr>
          <w:sz w:val="20"/>
          <w:szCs w:val="20"/>
          <w:color w:val="auto"/>
        </w:rPr>
      </w:pPr>
    </w:p>
    <w:p>
      <w:pPr>
        <w:jc w:val="both"/>
        <w:ind w:left="460" w:right="480" w:hanging="445"/>
        <w:spacing w:after="0" w:line="286" w:lineRule="auto"/>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Each of the Rights Holders hereby grants to AVROBIO an exclusive, worldwide, transferable, sub-licensable license under such Rights Holder’s interest in the Rights to research, have researched, develop, have developed, make, have made, use, have used, sell, have sold, offer for sale, have offered for sale, import, have imported, export and have exported Products in the Field of Use (the “</w:t>
      </w:r>
      <w:r>
        <w:rPr>
          <w:rFonts w:ascii="Arial" w:cs="Arial" w:eastAsia="Arial" w:hAnsi="Arial"/>
          <w:sz w:val="17"/>
          <w:szCs w:val="17"/>
          <w:b w:val="1"/>
          <w:bCs w:val="1"/>
          <w:color w:val="auto"/>
        </w:rPr>
        <w:t>License</w:t>
      </w:r>
      <w:r>
        <w:rPr>
          <w:rFonts w:ascii="Arial" w:cs="Arial" w:eastAsia="Arial" w:hAnsi="Arial"/>
          <w:sz w:val="17"/>
          <w:szCs w:val="17"/>
          <w:color w:val="auto"/>
        </w:rPr>
        <w:t>”).</w:t>
      </w:r>
    </w:p>
    <w:p>
      <w:pPr>
        <w:spacing w:after="0" w:line="71" w:lineRule="exact"/>
        <w:rPr>
          <w:sz w:val="20"/>
          <w:szCs w:val="20"/>
          <w:color w:val="auto"/>
        </w:rPr>
      </w:pPr>
    </w:p>
    <w:p>
      <w:pPr>
        <w:ind w:left="460" w:right="20" w:hanging="445"/>
        <w:spacing w:after="0" w:line="264" w:lineRule="auto"/>
        <w:tabs>
          <w:tab w:leader="none" w:pos="440" w:val="left"/>
        </w:tabs>
        <w:rPr>
          <w:sz w:val="20"/>
          <w:szCs w:val="20"/>
          <w:color w:val="auto"/>
        </w:rPr>
      </w:pPr>
      <w:r>
        <w:rPr>
          <w:rFonts w:ascii="Arial" w:cs="Arial" w:eastAsia="Arial" w:hAnsi="Arial"/>
          <w:sz w:val="18"/>
          <w:szCs w:val="18"/>
          <w:color w:val="auto"/>
        </w:rPr>
        <w:t>4.2</w:t>
        <w:tab/>
        <w:t>The exclusivity for AVROBIO under the License shall apply also vis-a-vis each Rights Holders, and shall be subject to the right of LU to use the Rights for non-commercial academic research and educational purposes as granted to LU under the Contract Research Agreement, but shall be subject to no other rights of any other person.</w:t>
      </w:r>
    </w:p>
    <w:p>
      <w:pPr>
        <w:spacing w:after="0" w:line="83" w:lineRule="exact"/>
        <w:rPr>
          <w:sz w:val="20"/>
          <w:szCs w:val="20"/>
          <w:color w:val="auto"/>
        </w:rPr>
      </w:pPr>
    </w:p>
    <w:p>
      <w:pPr>
        <w:ind w:left="460" w:hanging="452"/>
        <w:spacing w:after="0"/>
        <w:tabs>
          <w:tab w:leader="none" w:pos="46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5"/>
          <w:szCs w:val="15"/>
          <w:b w:val="1"/>
          <w:bCs w:val="1"/>
          <w:color w:val="auto"/>
        </w:rPr>
        <w:t>1</w:t>
      </w:r>
    </w:p>
    <w:p>
      <w:pPr>
        <w:spacing w:after="0" w:line="135" w:lineRule="exact"/>
        <w:rPr>
          <w:sz w:val="20"/>
          <w:szCs w:val="20"/>
          <w:color w:val="auto"/>
        </w:rPr>
      </w:pPr>
    </w:p>
    <w:p>
      <w:pPr>
        <w:ind w:left="460" w:right="480" w:hanging="445"/>
        <w:spacing w:after="0" w:line="277" w:lineRule="auto"/>
        <w:tabs>
          <w:tab w:leader="none" w:pos="440" w:val="left"/>
        </w:tabs>
        <w:rPr>
          <w:sz w:val="20"/>
          <w:szCs w:val="20"/>
          <w:color w:val="auto"/>
        </w:rPr>
      </w:pPr>
      <w:r>
        <w:rPr>
          <w:rFonts w:ascii="Arial" w:cs="Arial" w:eastAsia="Arial" w:hAnsi="Arial"/>
          <w:sz w:val="18"/>
          <w:szCs w:val="18"/>
          <w:color w:val="auto"/>
        </w:rPr>
        <w:t>5.1</w:t>
        <w:tab/>
        <w:t>As consideration for the License, within [***] days after the first achievement of each of the following milestone events, AVROBIO shall pay the following amounts (each one time only) to the Rights Holders:</w:t>
      </w:r>
    </w:p>
    <w:p>
      <w:pPr>
        <w:spacing w:after="0" w:line="76" w:lineRule="exact"/>
        <w:rPr>
          <w:sz w:val="20"/>
          <w:szCs w:val="20"/>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US $[***] upon [***];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US $[***].</w:t>
      </w:r>
    </w:p>
    <w:p>
      <w:pPr>
        <w:spacing w:after="0" w:line="131" w:lineRule="exact"/>
        <w:rPr>
          <w:sz w:val="20"/>
          <w:szCs w:val="20"/>
          <w:color w:val="auto"/>
        </w:rPr>
      </w:pPr>
    </w:p>
    <w:p>
      <w:pPr>
        <w:ind w:left="460" w:right="200" w:hanging="445"/>
        <w:spacing w:after="0" w:line="259" w:lineRule="auto"/>
        <w:tabs>
          <w:tab w:leader="none" w:pos="440" w:val="left"/>
        </w:tabs>
        <w:rPr>
          <w:sz w:val="20"/>
          <w:szCs w:val="20"/>
          <w:color w:val="auto"/>
        </w:rPr>
      </w:pPr>
      <w:r>
        <w:rPr>
          <w:rFonts w:ascii="Arial" w:cs="Arial" w:eastAsia="Arial" w:hAnsi="Arial"/>
          <w:sz w:val="18"/>
          <w:szCs w:val="18"/>
          <w:color w:val="auto"/>
        </w:rPr>
        <w:t>5.2</w:t>
        <w:tab/>
        <w:t>Payment of each amount set out in Section 5.1 shall be made within [***] from the date when the event triggering the payment obligation occurred. Payment shall be made in immediately available funds to a bank account designated by Dr Stefan Karlsson on behalf of all of the Rights Holders in a written notice delivered lo all of the notice addresses for the Parties in accordance with Section 15. AVROBIO shall have no liability or responsibility when it comes to the allocation or forwarding of the amounts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jc w:val="center"/>
        <w:ind w:left="5660" w:right="840" w:hanging="5652"/>
        <w:spacing w:after="0" w:line="454" w:lineRule="auto"/>
        <w:tabs>
          <w:tab w:leader="none" w:pos="445" w:val="left"/>
        </w:tabs>
        <w:numPr>
          <w:ilvl w:val="0"/>
          <w:numId w:val="313"/>
        </w:numPr>
        <w:rPr>
          <w:rFonts w:ascii="Arial" w:cs="Arial" w:eastAsia="Arial" w:hAnsi="Arial"/>
          <w:sz w:val="15"/>
          <w:szCs w:val="15"/>
          <w:color w:val="auto"/>
        </w:rPr>
      </w:pPr>
      <w:r>
        <w:rPr>
          <w:rFonts w:ascii="Arial" w:cs="Arial" w:eastAsia="Arial" w:hAnsi="Arial"/>
          <w:sz w:val="18"/>
          <w:szCs w:val="18"/>
          <w:b w:val="1"/>
          <w:bCs w:val="1"/>
          <w:color w:val="auto"/>
        </w:rPr>
        <w:t>NTD</w:t>
      </w:r>
      <w:r>
        <w:rPr>
          <w:rFonts w:ascii="Arial" w:cs="Arial" w:eastAsia="Arial" w:hAnsi="Arial"/>
          <w:sz w:val="18"/>
          <w:szCs w:val="18"/>
          <w:color w:val="auto"/>
        </w:rPr>
        <w:t>: The Rights Holders need enter into a separate agreement describing how these amounts shall be distributed among the Rights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3</w:t>
      </w:r>
    </w:p>
    <w:p>
      <w:pPr>
        <w:spacing w:after="0" w:line="17" w:lineRule="exact"/>
        <w:rPr>
          <w:rFonts w:ascii="Arial" w:cs="Arial" w:eastAsia="Arial" w:hAnsi="Arial"/>
          <w:sz w:val="15"/>
          <w:szCs w:val="15"/>
          <w:color w:val="auto"/>
        </w:rPr>
      </w:pPr>
    </w:p>
    <w:p>
      <w:pPr>
        <w:ind w:left="8640" w:hanging="323"/>
        <w:spacing w:after="0"/>
        <w:tabs>
          <w:tab w:leader="none" w:pos="8640" w:val="left"/>
        </w:tabs>
        <w:numPr>
          <w:ilvl w:val="1"/>
          <w:numId w:val="313"/>
        </w:numPr>
        <w:rPr>
          <w:rFonts w:ascii="Arial" w:cs="Arial" w:eastAsia="Arial" w:hAnsi="Arial"/>
          <w:sz w:val="16"/>
          <w:szCs w:val="16"/>
          <w:color w:val="auto"/>
        </w:rPr>
      </w:pPr>
      <w:r>
        <w:rPr>
          <w:rFonts w:ascii="Arial" w:cs="Arial" w:eastAsia="Arial" w:hAnsi="Arial"/>
          <w:sz w:val="16"/>
          <w:szCs w:val="16"/>
          <w:color w:val="auto"/>
        </w:rPr>
        <w:t>Confidential Treatment Requested ***</w:t>
      </w:r>
    </w:p>
    <w:p>
      <w:pPr>
        <w:sectPr>
          <w:pgSz w:w="11900" w:h="16838" w:orient="portrait"/>
          <w:cols w:equalWidth="0" w:num="1">
            <w:col w:w="11420"/>
          </w:cols>
          <w:pgMar w:left="240" w:top="270" w:right="239" w:bottom="1440" w:gutter="0" w:footer="0" w:header="0"/>
        </w:sectPr>
      </w:pPr>
    </w:p>
    <w:bookmarkStart w:id="462" w:name="page463"/>
    <w:bookmarkEnd w:id="462"/>
    <w:p>
      <w:pPr>
        <w:ind w:left="460" w:right="140" w:hanging="445"/>
        <w:spacing w:after="0" w:line="259"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w:t>
        <w:tab/>
        <w:t>out in Section 5.1 on or to the individual Rights Holders, and AVROBIO shall have fully fulfilled all its obligations under this Agreement with respect to the payment of such amounts when such amounts or any component thereof have been paid to the account designated by such written notice to AVROBIO. Each Rights Holder agrees that he/she shall not make any claim against AVROBIO with respect to any payment that has been made by AVROBIO to the designated account in accordance with this Section 5.2.</w:t>
      </w:r>
    </w:p>
    <w:p>
      <w:pPr>
        <w:spacing w:after="0" w:line="88" w:lineRule="exact"/>
        <w:rPr>
          <w:sz w:val="20"/>
          <w:szCs w:val="20"/>
          <w:color w:val="auto"/>
        </w:rPr>
      </w:pPr>
    </w:p>
    <w:p>
      <w:pPr>
        <w:ind w:left="460" w:hanging="452"/>
        <w:spacing w:after="0"/>
        <w:tabs>
          <w:tab w:leader="none" w:pos="46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Patent Filing, Maintenance and other Protection</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Patent Filing and Maintenance</w:t>
      </w:r>
    </w:p>
    <w:p>
      <w:pPr>
        <w:spacing w:after="0" w:line="131" w:lineRule="exact"/>
        <w:rPr>
          <w:sz w:val="20"/>
          <w:szCs w:val="20"/>
          <w:color w:val="auto"/>
        </w:rPr>
      </w:pPr>
    </w:p>
    <w:p>
      <w:pPr>
        <w:ind w:left="460" w:right="60" w:hanging="452"/>
        <w:spacing w:after="0" w:line="297" w:lineRule="auto"/>
        <w:tabs>
          <w:tab w:leader="none" w:pos="46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Rights Holders have the right, but not the obligation, as shall be agreed among the Rights Holders in writing, using legal counsel of their choice and at their expense, to file, prosecute and maintain patents and patent applications and/or seek other protection for results or innovations within the Rights, provided that the Rights Holders shall always consult with AVROBIO and take reasonable consideration to the views of AVROBIO in connection with such activities, in each case prior to taking actions. The Rights Holders shall pay all licenses, recording, registration, renewal and other similar fees in connection with maintenance of patents and patent applications for results or innovations within the Rights.</w:t>
      </w:r>
    </w:p>
    <w:p>
      <w:pPr>
        <w:spacing w:after="0" w:line="63"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If the Rights Holders in accordance with their written agreement elect not to file, prosecute, defend or maintain any patent or patent application or other potential protection for results or innovations within the Rights in any country, then the Rights Holders shall inform AVROBIO of such election and AVROBIO will have the right, but not the obligation, at its own expense and in its own name, to tils, prosecute, defend, and maintain such patent or patent application or seek other protection.</w:t>
      </w:r>
    </w:p>
    <w:p>
      <w:pPr>
        <w:spacing w:after="0" w:line="92" w:lineRule="exact"/>
        <w:rPr>
          <w:rFonts w:ascii="Arial" w:cs="Arial" w:eastAsia="Arial" w:hAnsi="Arial"/>
          <w:sz w:val="18"/>
          <w:szCs w:val="18"/>
          <w:color w:val="auto"/>
        </w:rPr>
      </w:pPr>
    </w:p>
    <w:p>
      <w:pPr>
        <w:ind w:left="460" w:right="120" w:hanging="452"/>
        <w:spacing w:after="0" w:line="271" w:lineRule="auto"/>
        <w:tabs>
          <w:tab w:leader="none" w:pos="46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If a given Rights Holder no longer wishes to file, prosecute, defend or maintain in force a patent for results or innovations within the Rights in one or several countries, the relevant Rights Holder will notify AVROBIO and, upon written request of AVROBIO timely assign and transfer his/her rights in the relevant patent to AVROBIO against no additional remuneration or, if the relevant Rights Holder reasonably concludes that it is not entitled to so assign and transfer his/her rights in the relevant patent to AVROBIO, the Rights Holder will notify AVROBIO and instead offer AVROBIO to, at its own expense but in the name of the relevant Rights Holder, maintain the relevant patent, and AVROBIO may thereafter at its own expense file, prosecute, defend or maintain the relevant patent in such a country, and AVROBIO shall have the right to deduct from any payment under Section 5.1 (if and to the extent that such payment then remains outstanding and unpaid), costs and expenses (including reasonable attorneys’ fees) incurred by AVROBIO for maintaining any such patent as stipulated in this Section 6.1(c).</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Infringement by Third Parties</w:t>
      </w:r>
    </w:p>
    <w:p>
      <w:pPr>
        <w:spacing w:after="0" w:line="131" w:lineRule="exact"/>
        <w:rPr>
          <w:sz w:val="20"/>
          <w:szCs w:val="20"/>
          <w:color w:val="auto"/>
        </w:rPr>
      </w:pPr>
    </w:p>
    <w:p>
      <w:pPr>
        <w:ind w:left="460" w:right="100" w:hanging="452"/>
        <w:spacing w:after="0" w:line="308" w:lineRule="auto"/>
        <w:tabs>
          <w:tab w:leader="none" w:pos="46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If, during the term of this Agreement, any Party learns of any actual, alleged or threatened infringement by a third party of any Rights, such Party shall promptly notify the other Party and shall provide such other Party with available information about such alleged potential infringement.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3" w:right="239" w:bottom="1440" w:gutter="0" w:footer="0" w:header="0"/>
        </w:sectPr>
      </w:pPr>
    </w:p>
    <w:bookmarkStart w:id="463" w:name="page464"/>
    <w:bookmarkEnd w:id="463"/>
    <w:p>
      <w:pPr>
        <w:ind w:left="460" w:right="20" w:hanging="452"/>
        <w:spacing w:after="0" w:line="268" w:lineRule="auto"/>
        <w:tabs>
          <w:tab w:leader="none" w:pos="460" w:val="left"/>
        </w:tabs>
        <w:numPr>
          <w:ilvl w:val="0"/>
          <w:numId w:val="3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AVROBIO shall have the first right (but not the obligation), at its own expense and with legal counsel of its own choice, to bring suit (or take other appropriate legal action) against any actual, alleged or threatened infringement of the Rights relevant to the Field of Use. The Rights Holders shall have the right, at their own expense, to be represented in any such action by one set of counsel of the Rights Holders’ joint choice. If AVROBIO does not file any action or proceeding against such alleged infringer(s) or take other reasonable actions to resolve such infringement within a reasonable period of time not to exceed [***] after AVROBIO’s receipt of a written notice from the Rights Holders requesting AVROBIO to take action with respect to such infringement and that is issued after delivery of the relevant notices pursuant to Section 6.2(a) with respect to such infringement, and provided that the relevant infringement adversely affects the rights of the Rights Holders hereunder, then the Rights Holders shall have the right (but not the obligation), at their own expense and as mutually agreed by all relevant Rights Holders, to bring suit (or take other appropriate legal action) against such actual, alleged or threatened infringement, with legal counsel of the Rights Holders’ own choice. No Party shall be permitted to settle any such suit without the prior consent of the other Parry, such consent not to be unreasonably withheld, conditioned or delayed. If the Rights Holders lake any such action as permitted above, AVROBIO shall have the right, at its own expense, to be represented in any such action by counsel of its own choice. Any damages, monetary awards or other amounts recovered, whether by judgment or settlement, pursuant to any suit, proceeding or other legal action taken under this Section 6.2, shall be applied as follows:</w:t>
      </w:r>
    </w:p>
    <w:p>
      <w:pPr>
        <w:spacing w:after="0" w:line="93" w:lineRule="exact"/>
        <w:rPr>
          <w:rFonts w:ascii="Arial" w:cs="Arial" w:eastAsia="Arial" w:hAnsi="Arial"/>
          <w:sz w:val="17"/>
          <w:szCs w:val="17"/>
          <w:color w:val="auto"/>
        </w:rPr>
      </w:pPr>
    </w:p>
    <w:p>
      <w:pPr>
        <w:ind w:left="900" w:right="20" w:hanging="446"/>
        <w:spacing w:after="0" w:line="277" w:lineRule="auto"/>
        <w:tabs>
          <w:tab w:leader="none" w:pos="9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First, to reimburse the Parties for their respective costs and expenses (including reasonable attorneys’ fees and costs) incurred in prosecuting such enforcement action in accordance with this Section 6.2;</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Second, to [***] in reimbursement for [***];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Third, any amounts remaining shall be allocated [***] percent to the Party bringing the action and [***]% to the other Party.</w:t>
      </w:r>
    </w:p>
    <w:p>
      <w:pPr>
        <w:spacing w:after="0" w:line="130" w:lineRule="exact"/>
        <w:rPr>
          <w:rFonts w:ascii="Arial" w:cs="Arial" w:eastAsia="Arial" w:hAnsi="Arial"/>
          <w:sz w:val="18"/>
          <w:szCs w:val="18"/>
          <w:color w:val="auto"/>
        </w:rPr>
      </w:pPr>
    </w:p>
    <w:p>
      <w:pPr>
        <w:ind w:left="460" w:right="580" w:hanging="452"/>
        <w:spacing w:after="0" w:line="264" w:lineRule="auto"/>
        <w:tabs>
          <w:tab w:leader="none" w:pos="4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If a Party brings any such action or proceeding hereunder, the other Party (including each Rights Holder as relevant) agrees to be joined as party plaintiff if necessary to prosecute such action or proceeding, and to give the Party bringing such action or proceeding reasonable assistance and authority to file and prosecute the suit.</w:t>
      </w:r>
    </w:p>
    <w:p>
      <w:pPr>
        <w:spacing w:after="0" w:line="87" w:lineRule="exact"/>
        <w:rPr>
          <w:sz w:val="20"/>
          <w:szCs w:val="20"/>
          <w:color w:val="auto"/>
        </w:rPr>
      </w:pPr>
    </w:p>
    <w:p>
      <w:pPr>
        <w:jc w:val="both"/>
        <w:ind w:left="460" w:right="60" w:hanging="445"/>
        <w:spacing w:after="0" w:line="312" w:lineRule="auto"/>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Patent Infringement Claims Each Party shall notify the other Party promptly in writing of any claim of, or action for, infringement of any patents of, or misappropriation of trade secret rights of, any third party which is threatened, made or brought against either Party by reason of the use of the Rights or the development, manufacture, use or sale of Products by AVROBIO, and following such notification the Parties will confer on how to respond.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3" w:right="239" w:bottom="1440" w:gutter="0" w:footer="0" w:header="0"/>
        </w:sectPr>
      </w:pPr>
    </w:p>
    <w:bookmarkStart w:id="464" w:name="page465"/>
    <w:bookmarkEnd w:id="464"/>
    <w:p>
      <w:pPr>
        <w:ind w:left="460" w:hanging="452"/>
        <w:spacing w:after="0"/>
        <w:tabs>
          <w:tab w:leader="none" w:pos="46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Intellectual Property Rights</w:t>
      </w:r>
    </w:p>
    <w:p>
      <w:pPr>
        <w:spacing w:after="0" w:line="135" w:lineRule="exact"/>
        <w:rPr>
          <w:sz w:val="20"/>
          <w:szCs w:val="20"/>
          <w:color w:val="auto"/>
        </w:rPr>
      </w:pPr>
    </w:p>
    <w:p>
      <w:pPr>
        <w:ind w:left="460" w:right="20" w:hanging="445"/>
        <w:spacing w:after="0" w:line="255" w:lineRule="auto"/>
        <w:tabs>
          <w:tab w:leader="none" w:pos="440" w:val="left"/>
        </w:tabs>
        <w:rPr>
          <w:sz w:val="20"/>
          <w:szCs w:val="20"/>
          <w:color w:val="auto"/>
        </w:rPr>
      </w:pPr>
      <w:r>
        <w:rPr>
          <w:rFonts w:ascii="Arial" w:cs="Arial" w:eastAsia="Arial" w:hAnsi="Arial"/>
          <w:sz w:val="18"/>
          <w:szCs w:val="18"/>
          <w:color w:val="auto"/>
        </w:rPr>
        <w:t>7.1</w:t>
        <w:tab/>
        <w:t>Each Rights Holder retains title to his/her interest in the Rights, including any and all intellectual property rights and know-how related thereto, save if and to the extent this Agreement expressly provides otherwise. For clarity, AVROBIO shall have and retain title and interest in and to any and all rights, results and/or know-how that is obtained or developed by A VROBIO through practice of the License or otherwise as a result of its research on and development, manufacture, sale and marketing of Products in the Field of Use. In the event that any Rights are jointly invented by AVROBIO and any Rights Holder, such Rights shall be jointly owned by the relevant Rights Holder(s) and AVROBIO and, notwithstanding Section 6.1, AVROBIO shall have the first right to file, prosecute, defend or maintain any patent or patent application claiming the relevant Rights in accordance with the principles of Section 6.1, mutatis mutandis.</w:t>
      </w:r>
    </w:p>
    <w:p>
      <w:pPr>
        <w:spacing w:after="0" w:line="91" w:lineRule="exact"/>
        <w:rPr>
          <w:sz w:val="20"/>
          <w:szCs w:val="20"/>
          <w:color w:val="auto"/>
        </w:rPr>
      </w:pPr>
    </w:p>
    <w:p>
      <w:pPr>
        <w:ind w:left="460" w:hanging="452"/>
        <w:spacing w:after="0"/>
        <w:tabs>
          <w:tab w:leader="none" w:pos="46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Each one of the Rights Holders represents and warrants to AVROBIO as follows:</w:t>
      </w:r>
    </w:p>
    <w:p>
      <w:pPr>
        <w:spacing w:after="0" w:line="131" w:lineRule="exact"/>
        <w:rPr>
          <w:sz w:val="20"/>
          <w:szCs w:val="20"/>
          <w:color w:val="auto"/>
        </w:rPr>
      </w:pPr>
    </w:p>
    <w:p>
      <w:pPr>
        <w:ind w:left="900" w:hanging="446"/>
        <w:spacing w:after="0" w:line="277" w:lineRule="auto"/>
        <w:tabs>
          <w:tab w:leader="none" w:pos="9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he/she has good title to and ownership of his/her interest in the Rights, and such Rights Holder has full right and qualification to grant the licenses and rights regarding such Rights in accordance with this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he/she knows of no other person or entity other than another Rights Holder having any claim of ownership in and to the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his/her interest in the Rights is not encumbered with any lien, right of pledge, license, option right or any similar right;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such Rights Holder has the right to enter into this Agreement and grant the License hereunder;</w:t>
      </w:r>
    </w:p>
    <w:p>
      <w:pPr>
        <w:spacing w:after="0" w:line="130" w:lineRule="exact"/>
        <w:rPr>
          <w:rFonts w:ascii="Arial" w:cs="Arial" w:eastAsia="Arial" w:hAnsi="Arial"/>
          <w:sz w:val="18"/>
          <w:szCs w:val="18"/>
          <w:color w:val="auto"/>
        </w:rPr>
      </w:pPr>
    </w:p>
    <w:p>
      <w:pPr>
        <w:jc w:val="both"/>
        <w:ind w:left="900" w:right="220" w:hanging="446"/>
        <w:spacing w:after="0" w:line="264" w:lineRule="auto"/>
        <w:tabs>
          <w:tab w:leader="none" w:pos="9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does not and will not result in a breach of or constitute a default under any material agreement, mortgage, lease, license, permit or other instrument or obligation to which he/she is a party or by which he/she or his/her properties may be bound or affected.</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AVROBIO represents and warrants to the Rights Holders as follows:</w:t>
      </w:r>
    </w:p>
    <w:p>
      <w:pPr>
        <w:spacing w:after="0" w:line="131" w:lineRule="exact"/>
        <w:rPr>
          <w:sz w:val="20"/>
          <w:szCs w:val="20"/>
          <w:color w:val="auto"/>
        </w:rPr>
      </w:pPr>
    </w:p>
    <w:p>
      <w:pPr>
        <w:jc w:val="both"/>
        <w:ind w:left="460" w:right="40" w:hanging="452"/>
        <w:spacing w:after="0" w:line="264" w:lineRule="auto"/>
        <w:tabs>
          <w:tab w:leader="none" w:pos="4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have been duly authorized by all necessary corporate action and do not and will not result in a breach of or constitute a default under any material agreement, mortgage, lease, license, permit or other instrument or obligation to which it is a party or by which it or its properties may be bound or affected.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65" w:name="page466"/>
    <w:bookmarkEnd w:id="465"/>
    <w:p>
      <w:pPr>
        <w:ind w:left="460" w:hanging="452"/>
        <w:spacing w:after="0"/>
        <w:tabs>
          <w:tab w:leader="none" w:pos="4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w:t>
      </w:r>
    </w:p>
    <w:p>
      <w:pPr>
        <w:spacing w:after="0" w:line="135" w:lineRule="exact"/>
        <w:rPr>
          <w:sz w:val="20"/>
          <w:szCs w:val="20"/>
          <w:color w:val="auto"/>
        </w:rPr>
      </w:pPr>
    </w:p>
    <w:p>
      <w:pPr>
        <w:ind w:left="460" w:right="120" w:hanging="445"/>
        <w:spacing w:after="0" w:line="259" w:lineRule="auto"/>
        <w:tabs>
          <w:tab w:leader="none" w:pos="440" w:val="left"/>
        </w:tabs>
        <w:rPr>
          <w:sz w:val="20"/>
          <w:szCs w:val="20"/>
          <w:color w:val="auto"/>
        </w:rPr>
      </w:pPr>
      <w:r>
        <w:rPr>
          <w:rFonts w:ascii="Arial" w:cs="Arial" w:eastAsia="Arial" w:hAnsi="Arial"/>
          <w:sz w:val="18"/>
          <w:szCs w:val="18"/>
          <w:color w:val="auto"/>
        </w:rPr>
        <w:t>9.1</w:t>
        <w:tab/>
        <w:t>Each Rights Holder will indemnify, defend and hold harmless AVROBIO, its affiliates, and its and their respective officers, directors, employees and agents (collectively, the “</w:t>
      </w:r>
      <w:r>
        <w:rPr>
          <w:rFonts w:ascii="Arial" w:cs="Arial" w:eastAsia="Arial" w:hAnsi="Arial"/>
          <w:sz w:val="18"/>
          <w:szCs w:val="18"/>
          <w:b w:val="1"/>
          <w:bCs w:val="1"/>
          <w:color w:val="auto"/>
        </w:rPr>
        <w:t>AVROBIO Indemnitees</w:t>
      </w:r>
      <w:r>
        <w:rPr>
          <w:rFonts w:ascii="Arial" w:cs="Arial" w:eastAsia="Arial" w:hAnsi="Arial"/>
          <w:sz w:val="18"/>
          <w:szCs w:val="18"/>
          <w:color w:val="auto"/>
        </w:rPr>
        <w:t>”) against any third party claims, including reasonable attorneys’ fees for defending those claims, to the extent such claims arise out of or relate to (a) such Rights Holder’s negligence or willful misconduct; or (b) such Rights Holder’s breach of this Agreement including any representation or warranty hereunder.</w:t>
      </w:r>
    </w:p>
    <w:p>
      <w:pPr>
        <w:spacing w:after="0" w:line="88" w:lineRule="exact"/>
        <w:rPr>
          <w:sz w:val="20"/>
          <w:szCs w:val="20"/>
          <w:color w:val="auto"/>
        </w:rPr>
      </w:pPr>
    </w:p>
    <w:p>
      <w:pPr>
        <w:ind w:left="460" w:right="20" w:hanging="445"/>
        <w:spacing w:after="0" w:line="277" w:lineRule="auto"/>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AVROBIO will indemnify, defend and hold harmless the Rights Holders, their heirs, successors and permitted assigns (collectively, the “</w:t>
      </w:r>
      <w:r>
        <w:rPr>
          <w:rFonts w:ascii="Arial" w:cs="Arial" w:eastAsia="Arial" w:hAnsi="Arial"/>
          <w:sz w:val="17"/>
          <w:szCs w:val="17"/>
          <w:b w:val="1"/>
          <w:bCs w:val="1"/>
          <w:color w:val="auto"/>
        </w:rPr>
        <w:t>Rights Holder</w:t>
      </w:r>
      <w:r>
        <w:rPr>
          <w:rFonts w:ascii="Arial" w:cs="Arial" w:eastAsia="Arial" w:hAnsi="Arial"/>
          <w:sz w:val="17"/>
          <w:szCs w:val="17"/>
          <w:color w:val="auto"/>
        </w:rPr>
        <w:t xml:space="preserve"> </w:t>
      </w:r>
      <w:r>
        <w:rPr>
          <w:rFonts w:ascii="Arial" w:cs="Arial" w:eastAsia="Arial" w:hAnsi="Arial"/>
          <w:sz w:val="17"/>
          <w:szCs w:val="17"/>
          <w:b w:val="1"/>
          <w:bCs w:val="1"/>
          <w:color w:val="auto"/>
        </w:rPr>
        <w:t>Indemnitees</w:t>
      </w:r>
      <w:r>
        <w:rPr>
          <w:rFonts w:ascii="Arial" w:cs="Arial" w:eastAsia="Arial" w:hAnsi="Arial"/>
          <w:sz w:val="17"/>
          <w:szCs w:val="17"/>
          <w:color w:val="auto"/>
        </w:rPr>
        <w:t>”) against any third party claims, including reasonable attorneys’ fees for defending those claims, to the extent such claims arise out of or</w:t>
      </w:r>
      <w:r>
        <w:rPr>
          <w:rFonts w:ascii="Arial" w:cs="Arial" w:eastAsia="Arial" w:hAnsi="Arial"/>
          <w:sz w:val="17"/>
          <w:szCs w:val="17"/>
          <w:b w:val="1"/>
          <w:bCs w:val="1"/>
          <w:color w:val="auto"/>
        </w:rPr>
        <w:t xml:space="preserve"> </w:t>
      </w:r>
      <w:r>
        <w:rPr>
          <w:rFonts w:ascii="Arial" w:cs="Arial" w:eastAsia="Arial" w:hAnsi="Arial"/>
          <w:sz w:val="17"/>
          <w:szCs w:val="17"/>
          <w:color w:val="auto"/>
        </w:rPr>
        <w:t>relate to (a) the practice of the License by AVROBIO or its affiliates (except to the extent such claims result from any Rights Holder’s breach of this Agreement, including any representation or warranty hereunder, or a Rights Holder Indemnitee’s negligence or willful misconduct); (b) AVROBIO’s negligence or willful misconduct; or (c) AVROBIO’s breach of this Agreement.</w:t>
      </w:r>
    </w:p>
    <w:p>
      <w:pPr>
        <w:spacing w:after="0" w:line="78" w:lineRule="exact"/>
        <w:rPr>
          <w:sz w:val="20"/>
          <w:szCs w:val="20"/>
          <w:color w:val="auto"/>
        </w:rPr>
      </w:pPr>
    </w:p>
    <w:p>
      <w:pPr>
        <w:ind w:left="460" w:right="80" w:hanging="445"/>
        <w:spacing w:after="0" w:line="272" w:lineRule="auto"/>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 xml:space="preserve">Each Party must notify the other Party within [***] after receipt of any claims made for which the other Party might be liable under Section 9.1 or 9.2, as applicable. The indemnifying Party will have the sole right to defend, negotiate, and settle such claims. The indemnified Party will be entitled to participate in the defense of such matter and to employ counsel at its expense to assist in such defense;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indemnifying Party will have final decision-making authority regarding all aspects of the defense of the claim. The indemnified Party will provide the indemnifying Party with such information and assistance as the indemnifying Party may reasonably request, at the expense of the indemnifying Party. Neither Party will be responsible or bound by any settlement of any claim or suit made without its prior written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indemnified Party will not unreasonably withhold or delay such consent.</w:t>
      </w:r>
    </w:p>
    <w:p>
      <w:pPr>
        <w:spacing w:after="0" w:line="79" w:lineRule="exact"/>
        <w:rPr>
          <w:sz w:val="20"/>
          <w:szCs w:val="20"/>
          <w:color w:val="auto"/>
        </w:rPr>
      </w:pPr>
    </w:p>
    <w:p>
      <w:pPr>
        <w:ind w:left="460" w:hanging="452"/>
        <w:spacing w:after="0"/>
        <w:tabs>
          <w:tab w:leader="none" w:pos="4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Status of the Parties; New Project Participants</w:t>
      </w:r>
    </w:p>
    <w:p>
      <w:pPr>
        <w:spacing w:after="0" w:line="135" w:lineRule="exact"/>
        <w:rPr>
          <w:sz w:val="20"/>
          <w:szCs w:val="20"/>
          <w:color w:val="auto"/>
        </w:rPr>
      </w:pPr>
    </w:p>
    <w:p>
      <w:pPr>
        <w:ind w:left="460" w:right="80" w:hanging="445"/>
        <w:spacing w:after="0" w:line="289" w:lineRule="auto"/>
        <w:rPr>
          <w:sz w:val="20"/>
          <w:szCs w:val="20"/>
          <w:color w:val="auto"/>
        </w:rPr>
      </w:pPr>
      <w:r>
        <w:rPr>
          <w:rFonts w:ascii="Arial" w:cs="Arial" w:eastAsia="Arial" w:hAnsi="Arial"/>
          <w:sz w:val="16"/>
          <w:szCs w:val="16"/>
          <w:color w:val="auto"/>
        </w:rPr>
        <w:t>10.1 In performing obligations under this Agreement, each Rights Holder shall at all times act as an independent contractor to AVROBIO. This Agreement shall not create any relationship whereby any Rights Holder shall be an agent or legal representative of AVROBIO for any purpose whatsoever and creates no relationship of employment, principal and agent, partnership or joint venture. No Rights Holder shall have any authority to bind AVROBIO or to create any express or implied obligation for AVROBIO, and shall not hold himself or herself out as having such authority. The Rights Holders shall have full responsibility for payment of, and shall pay, all compensation, social security, unemployment, withholding and other taxes and charges (including, but not limited to any value-added tax or other fees that may be imposed on the amounts payable to them by AVROBIO under this Agreement), as and when the same become due and payable, and AVROBIO shall have no obligation to pay or make available any employee benefit to any Right Holder. The Rights Holders shall indemnify AVROBIO and hold AVROBIO harmless to the extent of any obligation described in the preceding sentence imposed on AVROBIO to pay any such amounts in connection with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66" w:name="page467"/>
    <w:bookmarkEnd w:id="466"/>
    <w:p>
      <w:pPr>
        <w:ind w:left="460" w:right="20" w:hanging="44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 The Rights Holders agree that before introducing or involving any new person in the Project other than the current Rights Holders, and as a condition for such introduction or involvement, such person shall agree to be bound by this Agreement in writing and thereby agree that any results or innovations generated by such person in the course of performance of the Project will be covered by the License under the terms of this Agreement, and a copy of each such Right’s Holders agreement shall promptly be provided to AVROBIO.</w:t>
      </w:r>
    </w:p>
    <w:p>
      <w:pPr>
        <w:spacing w:after="0" w:line="88" w:lineRule="exact"/>
        <w:rPr>
          <w:sz w:val="20"/>
          <w:szCs w:val="20"/>
          <w:color w:val="auto"/>
        </w:rPr>
      </w:pPr>
    </w:p>
    <w:p>
      <w:pPr>
        <w:ind w:left="460" w:hanging="452"/>
        <w:spacing w:after="0"/>
        <w:tabs>
          <w:tab w:leader="none" w:pos="4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11.1  This Agreement shall enter into force on the Effective Date and shall remain in force until the later of;</w:t>
      </w:r>
    </w:p>
    <w:p>
      <w:pPr>
        <w:spacing w:after="0" w:line="131" w:lineRule="exact"/>
        <w:rPr>
          <w:sz w:val="20"/>
          <w:szCs w:val="20"/>
          <w:color w:val="auto"/>
        </w:rPr>
      </w:pPr>
    </w:p>
    <w:p>
      <w:pPr>
        <w:ind w:left="900" w:hanging="446"/>
        <w:spacing w:after="0"/>
        <w:tabs>
          <w:tab w:leader="none" w:pos="9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twentieth (20th) anniversary of the Project end date;</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expiration of the term of any patent filed on Rights and containing one or more claims that would be infringed by the manufacture, sale or use of any Product in any part of the world;</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if the manufacture, use or sale of a Product is covered by a marketing exclusivity right in any part of the world, the term of such marketing exclusivity right; or</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if AVROBIO or any of its sublicensees, partners or contractors at any such point in time described above still commercializes a Product, for so long as AVROBIO or any of its sublicensees, partners or contractors continues to commercialize a Product.</w:t>
      </w:r>
    </w:p>
    <w:p>
      <w:pPr>
        <w:spacing w:after="0" w:line="76" w:lineRule="exact"/>
        <w:rPr>
          <w:sz w:val="20"/>
          <w:szCs w:val="20"/>
          <w:color w:val="auto"/>
        </w:rPr>
      </w:pPr>
    </w:p>
    <w:p>
      <w:pPr>
        <w:ind w:left="460" w:right="20" w:hanging="445"/>
        <w:spacing w:after="0" w:line="277" w:lineRule="auto"/>
        <w:rPr>
          <w:sz w:val="20"/>
          <w:szCs w:val="20"/>
          <w:color w:val="auto"/>
        </w:rPr>
      </w:pPr>
      <w:r>
        <w:rPr>
          <w:rFonts w:ascii="Arial" w:cs="Arial" w:eastAsia="Arial" w:hAnsi="Arial"/>
          <w:sz w:val="18"/>
          <w:szCs w:val="18"/>
          <w:color w:val="auto"/>
        </w:rPr>
        <w:t>11.2 Either AVROBIO on the one hand, or all Rights Holders by unanimous mutual agreement on the other hand, may terminate the Agreement immediately by giving written notice to the other Party in the following circumstances:</w:t>
      </w:r>
    </w:p>
    <w:p>
      <w:pPr>
        <w:spacing w:after="0" w:line="76" w:lineRule="exact"/>
        <w:rPr>
          <w:sz w:val="20"/>
          <w:szCs w:val="20"/>
          <w:color w:val="auto"/>
        </w:rPr>
      </w:pPr>
    </w:p>
    <w:p>
      <w:pPr>
        <w:jc w:val="both"/>
        <w:ind w:left="900" w:hanging="446"/>
        <w:spacing w:after="0" w:line="264" w:lineRule="auto"/>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if AVROBIO on the one hand, or any Rights Holder on the other hand should commit a material breach of the Agreement without fully rectifying such breach within [***] after having been given written notice thereof pursuant to Section 15 including a request for such rectification, including written notice that the Agreement may otherwise be terminated;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if the other Party should enter into liquidation, become insolvent or enter into composition or statutory reorganization proceedings.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11.3  Provisions regarding indemnification, intellectual property, confidentiality, governing law and disputes shall survive the termination of the Agreement.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same shall apply to any other provision of the Agreement, which by its nature is intended to survive the termination hereof.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67" w:name="page468"/>
    <w:bookmarkEnd w:id="467"/>
    <w:p>
      <w:pPr>
        <w:ind w:left="460" w:hanging="452"/>
        <w:spacing w:after="0"/>
        <w:tabs>
          <w:tab w:leader="none" w:pos="46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Confidentiality</w:t>
      </w:r>
    </w:p>
    <w:p>
      <w:pPr>
        <w:spacing w:after="0" w:line="135" w:lineRule="exact"/>
        <w:rPr>
          <w:sz w:val="20"/>
          <w:szCs w:val="20"/>
          <w:color w:val="auto"/>
        </w:rPr>
      </w:pPr>
    </w:p>
    <w:p>
      <w:pPr>
        <w:ind w:left="460" w:right="100" w:hanging="445"/>
        <w:spacing w:after="0" w:line="257" w:lineRule="auto"/>
        <w:rPr>
          <w:sz w:val="20"/>
          <w:szCs w:val="20"/>
          <w:color w:val="auto"/>
        </w:rPr>
      </w:pPr>
      <w:r>
        <w:rPr>
          <w:rFonts w:ascii="Arial" w:cs="Arial" w:eastAsia="Arial" w:hAnsi="Arial"/>
          <w:sz w:val="18"/>
          <w:szCs w:val="18"/>
          <w:color w:val="auto"/>
        </w:rPr>
        <w:t>12.1 Each Party (including each Rights Holder) agrees not to disclose Confidential Information of the other Party received in connection with this Agreement to any third party. Each Party (including each Rights Holder) agrees not to use any such Confidential Information of the other Party for any purpose other than as set out in this Agreement without the prior written consent of the other Party in each specific case. Each Party reserves all rights in its Confidential Information, or any other information disclosed hereunder, and no rights or obligations other than those explicitly stated herein are granted or to be implied from this Agreement.</w:t>
      </w:r>
    </w:p>
    <w:p>
      <w:pPr>
        <w:spacing w:after="0" w:line="94" w:lineRule="exact"/>
        <w:rPr>
          <w:sz w:val="20"/>
          <w:szCs w:val="20"/>
          <w:color w:val="auto"/>
        </w:rPr>
      </w:pPr>
    </w:p>
    <w:p>
      <w:pPr>
        <w:ind w:left="460" w:right="80" w:hanging="445"/>
        <w:spacing w:after="0" w:line="273" w:lineRule="auto"/>
        <w:rPr>
          <w:sz w:val="20"/>
          <w:szCs w:val="20"/>
          <w:color w:val="auto"/>
        </w:rPr>
      </w:pPr>
      <w:r>
        <w:rPr>
          <w:rFonts w:ascii="Arial" w:cs="Arial" w:eastAsia="Arial" w:hAnsi="Arial"/>
          <w:sz w:val="17"/>
          <w:szCs w:val="17"/>
          <w:color w:val="auto"/>
        </w:rPr>
        <w:t>12.2 Nothing in this Section 12 shall prevent AVROBIO from using or disclosing Confidential Information of the Rights Holders as reasonably required in connection with the exercise of rights granted to it hereunder or from disclosing such Confidential Information to its affiliates and to its or its affiliates’ directors, employees, consultants, advisors and Board members and to its or its affiliates’ potential and future collaborators, licensees, sublicensees, permitted acquirers and assignees, investment bankers, investors and lenders; provided, however, that such recipients shall be bound by confidentiality provisions that are customary and reasonable in light of the circumstances of such disclosure, meaning, in no event, less than a reasonable standard of care and a confidentiality undertaking which will remain in force for at least [***] from disclosure.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12.3  The obligations of confidentiality set forth herein do not apply to information that:</w:t>
      </w:r>
    </w:p>
    <w:p>
      <w:pPr>
        <w:spacing w:after="0" w:line="131" w:lineRule="exact"/>
        <w:rPr>
          <w:sz w:val="20"/>
          <w:szCs w:val="20"/>
          <w:color w:val="auto"/>
        </w:rPr>
      </w:pPr>
    </w:p>
    <w:p>
      <w:pPr>
        <w:ind w:left="900" w:right="440" w:hanging="446"/>
        <w:spacing w:after="0" w:line="308" w:lineRule="auto"/>
        <w:tabs>
          <w:tab w:leader="none" w:pos="90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was in the public domain at the time of disclosure or that has come into the public domain thereafter otherwise than through a breach of this Agreement or the Contract Research Agreement by the receiving Party (including by any receiving Rights Holder) or by LU;</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the receiving Party can show was already known to that Party at the time of disclosure from a source other than the disclosing Party;</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is developed by the receiving Party without use or reference to the Confidential Information of the disclosing Party; and/or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has been legitimately disclosed to the receiving Party on a non-confidential basis by a third party, and independently of, the disclosing Party.</w:t>
      </w:r>
    </w:p>
    <w:p>
      <w:pPr>
        <w:spacing w:after="0" w:line="154" w:lineRule="exact"/>
        <w:rPr>
          <w:sz w:val="20"/>
          <w:szCs w:val="20"/>
          <w:color w:val="auto"/>
        </w:rPr>
      </w:pPr>
    </w:p>
    <w:p>
      <w:pPr>
        <w:ind w:left="460" w:right="80" w:hanging="445"/>
        <w:spacing w:after="0" w:line="259" w:lineRule="auto"/>
        <w:rPr>
          <w:sz w:val="20"/>
          <w:szCs w:val="20"/>
          <w:color w:val="auto"/>
        </w:rPr>
      </w:pPr>
      <w:r>
        <w:rPr>
          <w:rFonts w:ascii="Arial" w:cs="Arial" w:eastAsia="Arial" w:hAnsi="Arial"/>
          <w:sz w:val="18"/>
          <w:szCs w:val="18"/>
          <w:color w:val="auto"/>
        </w:rPr>
        <w:t>12.4 Notwithstanding any other provision hereof, it shall not be a violation of this Agreement for the receiving Party to disclose Confidential Information of the disclosing Party to the extent such disclosure is required to comply with applicable laws or governmental regulations, provided that the receiving Party provides prior written notice of such required disclosure to the disclosing Party and takes reasonable and lawful actions to avoid and/or minimize the extent of such disclosure.</w:t>
      </w:r>
    </w:p>
    <w:p>
      <w:pPr>
        <w:spacing w:after="0" w:line="92" w:lineRule="exact"/>
        <w:rPr>
          <w:sz w:val="20"/>
          <w:szCs w:val="20"/>
          <w:color w:val="auto"/>
        </w:rPr>
      </w:pPr>
    </w:p>
    <w:p>
      <w:pPr>
        <w:ind w:left="460" w:right="40" w:hanging="445"/>
        <w:spacing w:after="0" w:line="342" w:lineRule="auto"/>
        <w:rPr>
          <w:sz w:val="20"/>
          <w:szCs w:val="20"/>
          <w:color w:val="auto"/>
        </w:rPr>
      </w:pPr>
      <w:r>
        <w:rPr>
          <w:rFonts w:ascii="Arial" w:cs="Arial" w:eastAsia="Arial" w:hAnsi="Arial"/>
          <w:sz w:val="16"/>
          <w:szCs w:val="16"/>
          <w:color w:val="auto"/>
        </w:rPr>
        <w:t>12.5 The Parties note that certain publication rights have been granted to LU under the Contract Research Agreement and (he Parties acknowledge and agree that such publication rights will apply in accordance with the terms of the Contract Research Agreement, irrespective of the terms of this Agreement.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68" w:name="page469"/>
    <w:bookmarkEnd w:id="468"/>
    <w:p>
      <w:pPr>
        <w:ind w:left="460" w:hanging="452"/>
        <w:spacing w:after="0"/>
        <w:tabs>
          <w:tab w:leader="none" w:pos="4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w:t>
      </w:r>
    </w:p>
    <w:p>
      <w:pPr>
        <w:spacing w:after="0" w:line="121" w:lineRule="exact"/>
        <w:rPr>
          <w:rFonts w:ascii="Arial" w:cs="Arial" w:eastAsia="Arial" w:hAnsi="Arial"/>
          <w:sz w:val="18"/>
          <w:szCs w:val="18"/>
          <w:b w:val="1"/>
          <w:bCs w:val="1"/>
          <w:color w:val="auto"/>
        </w:rPr>
      </w:pPr>
    </w:p>
    <w:p>
      <w:pPr>
        <w:jc w:val="both"/>
        <w:ind w:left="46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No Party (including any individual Rights Holder) may wholly or partly assign or pledge its rights and/or obligations under this Agreement to any third party without the prior written consent of the other Party which, for the Rights Holders with respect to any assignment by AVROBIO, may be provided by Dr. Stefan Karlsson, such consent to not be unreasonably withheld. Notwithstanding the foregoing, AVROBIO may, without such consent, but with notice to the Rights Holders, assign this Agreement, in whole or in part, (a) in connection with the transfer or sale of all or substantially all of its assets or the line of business to which this Agreement relates, (b) to a successor entity or acquirer in the event of a merger, consolidation or change of control, or (c) to any affiliate. Any purported assignment in violation of the preceding sentences will be void. Any permitted assignee will assume the rights and obligations of its assignor under this Agreement.</w:t>
      </w:r>
    </w:p>
    <w:p>
      <w:pPr>
        <w:spacing w:after="0" w:line="79" w:lineRule="exact"/>
        <w:rPr>
          <w:rFonts w:ascii="Arial" w:cs="Arial" w:eastAsia="Arial" w:hAnsi="Arial"/>
          <w:sz w:val="18"/>
          <w:szCs w:val="18"/>
          <w:b w:val="1"/>
          <w:bCs w:val="1"/>
          <w:color w:val="auto"/>
        </w:rPr>
      </w:pPr>
    </w:p>
    <w:p>
      <w:pPr>
        <w:ind w:left="460" w:hanging="452"/>
        <w:spacing w:after="0"/>
        <w:tabs>
          <w:tab w:leader="none" w:pos="4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14.1  Any amendments to this Agreement shall be made in writing and signed by AVROBIO and all Rights Holders.</w:t>
      </w:r>
    </w:p>
    <w:p>
      <w:pPr>
        <w:spacing w:after="0" w:line="131" w:lineRule="exact"/>
        <w:rPr>
          <w:sz w:val="20"/>
          <w:szCs w:val="20"/>
          <w:color w:val="auto"/>
        </w:rPr>
      </w:pPr>
    </w:p>
    <w:p>
      <w:pPr>
        <w:jc w:val="both"/>
        <w:ind w:left="460" w:right="40" w:hanging="445"/>
        <w:spacing w:after="0" w:line="264" w:lineRule="auto"/>
        <w:rPr>
          <w:sz w:val="20"/>
          <w:szCs w:val="20"/>
          <w:color w:val="auto"/>
        </w:rPr>
      </w:pPr>
      <w:r>
        <w:rPr>
          <w:rFonts w:ascii="Arial" w:cs="Arial" w:eastAsia="Arial" w:hAnsi="Arial"/>
          <w:sz w:val="18"/>
          <w:szCs w:val="18"/>
          <w:color w:val="auto"/>
        </w:rPr>
        <w:t>14.2 For the avoidance of any doubt, this Agreement shall not be deemed to modify the terms of any agreement that is solely between any two of the Parties hereto or of the Contract Research Agreement, including any confidentiality obligations under the Contract Research Agreement that may be applicable to the Rights Holders.</w:t>
      </w:r>
    </w:p>
    <w:p>
      <w:pPr>
        <w:spacing w:after="0" w:line="83" w:lineRule="exact"/>
        <w:rPr>
          <w:sz w:val="20"/>
          <w:szCs w:val="20"/>
          <w:color w:val="auto"/>
        </w:rPr>
      </w:pPr>
    </w:p>
    <w:p>
      <w:pPr>
        <w:ind w:left="460" w:hanging="452"/>
        <w:spacing w:after="0"/>
        <w:tabs>
          <w:tab w:leader="none" w:pos="46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5" w:lineRule="exact"/>
        <w:rPr>
          <w:sz w:val="20"/>
          <w:szCs w:val="20"/>
          <w:color w:val="auto"/>
        </w:rPr>
      </w:pPr>
    </w:p>
    <w:p>
      <w:pPr>
        <w:ind w:left="460" w:right="60" w:hanging="445"/>
        <w:spacing w:after="0" w:line="302" w:lineRule="auto"/>
        <w:rPr>
          <w:sz w:val="20"/>
          <w:szCs w:val="20"/>
          <w:color w:val="auto"/>
        </w:rPr>
      </w:pPr>
      <w:r>
        <w:rPr>
          <w:rFonts w:ascii="Arial" w:cs="Arial" w:eastAsia="Arial" w:hAnsi="Arial"/>
          <w:sz w:val="16"/>
          <w:szCs w:val="16"/>
          <w:color w:val="auto"/>
        </w:rPr>
        <w:t>15.1 Any notice required or permitted to be given under this Agreement shall be in writing and shall be (a) delivered personally, (b) sent by registered mail, return receipt requested, postage prepaid, or (c) sent by a nationally-recognized courier service guaranteeing next-day or second day delivery, charges prepaid, to the notice address(es) of the other Party set forth below, or at such other address(es) as may from time to time be furnished by similar notice by the relevant Party. The effective date of any notice under this Agreement shall be the date of confirmed receipt by the receiving Party.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AVROBIO</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AVROBIO, Inc.</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400 Technology Square, 10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Cambridge, MA 02139, USA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Chief Executive Officer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the Rights Holders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Maria Dahl</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Stefan Karlsson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BMC A12, Molecular Medicine and Gene Therapy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Lund University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Lund 22184 Sweden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69" w:name="page470"/>
    <w:bookmarkEnd w:id="469"/>
    <w:p>
      <w:pPr>
        <w:jc w:val="both"/>
        <w:ind w:left="460" w:right="360" w:hanging="445"/>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15.2 For clarity, each Rights Holder agrees that any notice to the Rights Holders given in accordance with this Section 15 shall be deemed sufficient and effective, and the Rights Holders shall be responsible for determining by separate written agreement among themselves how each individual Rights Holder is to become informed of any notice given by AVROBIO hereunder.</w:t>
      </w:r>
    </w:p>
    <w:p>
      <w:pPr>
        <w:spacing w:after="0" w:line="83" w:lineRule="exact"/>
        <w:rPr>
          <w:sz w:val="20"/>
          <w:szCs w:val="20"/>
          <w:color w:val="auto"/>
        </w:rPr>
      </w:pPr>
    </w:p>
    <w:p>
      <w:pPr>
        <w:ind w:left="460" w:hanging="452"/>
        <w:spacing w:after="0"/>
        <w:tabs>
          <w:tab w:leader="none" w:pos="4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Disputes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16.1  This Agreement shall be governed by and construed in accordance with the laws of Sweden, without reference to its conflict-of-laws rules.</w:t>
      </w:r>
    </w:p>
    <w:p>
      <w:pPr>
        <w:spacing w:after="0" w:line="131" w:lineRule="exact"/>
        <w:rPr>
          <w:sz w:val="20"/>
          <w:szCs w:val="20"/>
          <w:color w:val="auto"/>
        </w:rPr>
      </w:pPr>
    </w:p>
    <w:p>
      <w:pPr>
        <w:ind w:left="460" w:right="20" w:hanging="445"/>
        <w:spacing w:after="0" w:line="264" w:lineRule="auto"/>
        <w:rPr>
          <w:sz w:val="20"/>
          <w:szCs w:val="20"/>
          <w:color w:val="auto"/>
        </w:rPr>
      </w:pPr>
      <w:r>
        <w:rPr>
          <w:rFonts w:ascii="Arial" w:cs="Arial" w:eastAsia="Arial" w:hAnsi="Arial"/>
          <w:sz w:val="18"/>
          <w:szCs w:val="18"/>
          <w:color w:val="auto"/>
        </w:rPr>
        <w:t>16.2 Any dispute, controversy or claim arising out of or in connection with this Agreement, or the breach, termination or invalidity thereof, shall first be referred to mediation in accordance with the Mediation Rules of the Arbitration Institute of the Stockholm Chamber of Commerce, unless AVROBIO or all of the Rights Holders acting unanimously objects.</w:t>
      </w:r>
    </w:p>
    <w:p>
      <w:pPr>
        <w:spacing w:after="0" w:line="87" w:lineRule="exact"/>
        <w:rPr>
          <w:sz w:val="20"/>
          <w:szCs w:val="20"/>
          <w:color w:val="auto"/>
        </w:rPr>
      </w:pPr>
    </w:p>
    <w:p>
      <w:pPr>
        <w:jc w:val="both"/>
        <w:ind w:left="460" w:right="20" w:hanging="445"/>
        <w:spacing w:after="0" w:line="264" w:lineRule="auto"/>
        <w:rPr>
          <w:sz w:val="20"/>
          <w:szCs w:val="20"/>
          <w:color w:val="auto"/>
        </w:rPr>
      </w:pPr>
      <w:r>
        <w:rPr>
          <w:rFonts w:ascii="Arial" w:cs="Arial" w:eastAsia="Arial" w:hAnsi="Arial"/>
          <w:sz w:val="18"/>
          <w:szCs w:val="18"/>
          <w:color w:val="auto"/>
        </w:rPr>
        <w:t>16.3 If AVROBIO or all of the Rights Holders acting unanimously objects lo mediation or if the mediation is terminated, the dispute shall be finally resolved by arbitration in accordance with the Rules for Expedited Arbitrations of the Arbitration Institute of the Stockholm Chamber of Commerce. The seat of arbitration will be London, England.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16.4  The language to be used in the arbitral proceedings shall be English.</w:t>
      </w:r>
    </w:p>
    <w:p>
      <w:pPr>
        <w:spacing w:after="0" w:line="131" w:lineRule="exact"/>
        <w:rPr>
          <w:sz w:val="20"/>
          <w:szCs w:val="20"/>
          <w:color w:val="auto"/>
        </w:rPr>
      </w:pPr>
    </w:p>
    <w:p>
      <w:pPr>
        <w:ind w:left="460" w:right="20" w:hanging="445"/>
        <w:spacing w:after="0" w:line="302" w:lineRule="auto"/>
        <w:rPr>
          <w:sz w:val="20"/>
          <w:szCs w:val="20"/>
          <w:color w:val="auto"/>
        </w:rPr>
      </w:pPr>
      <w:r>
        <w:rPr>
          <w:rFonts w:ascii="Arial" w:cs="Arial" w:eastAsia="Arial" w:hAnsi="Arial"/>
          <w:sz w:val="16"/>
          <w:szCs w:val="16"/>
          <w:color w:val="auto"/>
        </w:rPr>
        <w:t>16.5 Each Party undertakes and agrees that all information disclosed in the course of arbitral proceedings conducted with reference to this arbitration clause, as well as any decision or award that is made or declared during the proceedings, will be kept strictly confidential. This notwithstanding, a Party shall not be prevented from disclosing such information in order to safeguard in the best possible way his rights vis-a-vis the other Party in connection with the dispute, or if such information must be disclosed pursuant to law, statute, regulation, a decision by an authority, a stock exchange contract or similar.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70" w:name="page471"/>
    <w:bookmarkEnd w:id="470"/>
    <w:tbl>
      <w:tblPr>
        <w:tblLayout w:type="fixed"/>
        <w:tblInd w:w="0" w:type="dxa"/>
        <w:tblCellMar>
          <w:top w:w="0" w:type="dxa"/>
          <w:left w:w="0" w:type="dxa"/>
          <w:bottom w:w="0" w:type="dxa"/>
          <w:right w:w="0" w:type="dxa"/>
        </w:tblCellMar>
      </w:tblPr>
      <w:tr>
        <w:trPr>
          <w:trHeight w:val="230"/>
        </w:trPr>
        <w:tc>
          <w:tcPr>
            <w:tcW w:w="3580" w:type="dxa"/>
            <w:vAlign w:val="bottom"/>
            <w:gridSpan w:val="3"/>
          </w:tcPr>
          <w:p>
            <w:pPr>
              <w:spacing w:after="0"/>
              <w:rPr>
                <w:sz w:val="20"/>
                <w:szCs w:val="20"/>
                <w:color w:val="auto"/>
              </w:rPr>
            </w:pPr>
            <w:r>
              <w:rPr>
                <w:rFonts w:ascii="Arial" w:cs="Arial" w:eastAsia="Arial" w:hAnsi="Arial"/>
                <w:sz w:val="18"/>
                <w:szCs w:val="18"/>
                <w:color w:val="auto"/>
              </w:rPr>
              <w:t>Place: Cambridge, MA</w:t>
            </w:r>
          </w:p>
        </w:tc>
        <w:tc>
          <w:tcPr>
            <w:tcW w:w="4680" w:type="dxa"/>
            <w:vAlign w:val="bottom"/>
            <w:gridSpan w:val="2"/>
          </w:tcPr>
          <w:p>
            <w:pPr>
              <w:ind w:left="1000"/>
              <w:spacing w:after="0"/>
              <w:rPr>
                <w:sz w:val="20"/>
                <w:szCs w:val="20"/>
                <w:color w:val="auto"/>
              </w:rPr>
            </w:pPr>
            <w:r>
              <w:rPr>
                <w:rFonts w:ascii="Arial" w:cs="Arial" w:eastAsia="Arial" w:hAnsi="Arial"/>
                <w:sz w:val="18"/>
                <w:szCs w:val="18"/>
                <w:color w:val="auto"/>
              </w:rPr>
              <w:t>Place: Lund</w:t>
            </w:r>
          </w:p>
        </w:tc>
      </w:tr>
      <w:tr>
        <w:trPr>
          <w:trHeight w:val="432"/>
        </w:trPr>
        <w:tc>
          <w:tcPr>
            <w:tcW w:w="3580" w:type="dxa"/>
            <w:vAlign w:val="bottom"/>
            <w:gridSpan w:val="3"/>
          </w:tcPr>
          <w:p>
            <w:pPr>
              <w:spacing w:after="0"/>
              <w:rPr>
                <w:sz w:val="20"/>
                <w:szCs w:val="20"/>
                <w:color w:val="auto"/>
              </w:rPr>
            </w:pPr>
            <w:r>
              <w:rPr>
                <w:rFonts w:ascii="Arial" w:cs="Arial" w:eastAsia="Arial" w:hAnsi="Arial"/>
                <w:sz w:val="18"/>
                <w:szCs w:val="18"/>
                <w:color w:val="auto"/>
              </w:rPr>
              <w:t>Date: Jan. 30</w:t>
            </w:r>
            <w:r>
              <w:rPr>
                <w:rFonts w:ascii="Arial" w:cs="Arial" w:eastAsia="Arial" w:hAnsi="Arial"/>
                <w:sz w:val="15"/>
                <w:szCs w:val="15"/>
                <w:color w:val="auto"/>
              </w:rPr>
              <w:t>th</w:t>
            </w:r>
            <w:r>
              <w:rPr>
                <w:rFonts w:ascii="Arial" w:cs="Arial" w:eastAsia="Arial" w:hAnsi="Arial"/>
                <w:sz w:val="18"/>
                <w:szCs w:val="18"/>
                <w:color w:val="auto"/>
              </w:rPr>
              <w:t>, 2017</w:t>
            </w:r>
          </w:p>
        </w:tc>
        <w:tc>
          <w:tcPr>
            <w:tcW w:w="4680" w:type="dxa"/>
            <w:vAlign w:val="bottom"/>
            <w:gridSpan w:val="2"/>
          </w:tcPr>
          <w:p>
            <w:pPr>
              <w:ind w:left="1000"/>
              <w:spacing w:after="0"/>
              <w:rPr>
                <w:sz w:val="20"/>
                <w:szCs w:val="20"/>
                <w:color w:val="auto"/>
              </w:rPr>
            </w:pPr>
            <w:r>
              <w:rPr>
                <w:rFonts w:ascii="Arial" w:cs="Arial" w:eastAsia="Arial" w:hAnsi="Arial"/>
                <w:sz w:val="18"/>
                <w:szCs w:val="18"/>
                <w:color w:val="auto"/>
              </w:rPr>
              <w:t>Date: January 27, 2017</w:t>
            </w:r>
          </w:p>
        </w:tc>
      </w:tr>
      <w:tr>
        <w:trPr>
          <w:trHeight w:val="432"/>
        </w:trPr>
        <w:tc>
          <w:tcPr>
            <w:tcW w:w="3580" w:type="dxa"/>
            <w:vAlign w:val="bottom"/>
            <w:gridSpan w:val="3"/>
          </w:tcPr>
          <w:p>
            <w:pPr>
              <w:spacing w:after="0"/>
              <w:rPr>
                <w:sz w:val="20"/>
                <w:szCs w:val="20"/>
                <w:color w:val="auto"/>
              </w:rPr>
            </w:pPr>
            <w:r>
              <w:rPr>
                <w:rFonts w:ascii="Arial" w:cs="Arial" w:eastAsia="Arial" w:hAnsi="Arial"/>
                <w:sz w:val="18"/>
                <w:szCs w:val="18"/>
                <w:color w:val="auto"/>
              </w:rPr>
              <w:t>AVROBIO INC.</w:t>
            </w:r>
          </w:p>
        </w:tc>
        <w:tc>
          <w:tcPr>
            <w:tcW w:w="4680" w:type="dxa"/>
            <w:vAlign w:val="bottom"/>
            <w:gridSpan w:val="2"/>
          </w:tcPr>
          <w:p>
            <w:pPr>
              <w:ind w:left="1000"/>
              <w:spacing w:after="0"/>
              <w:rPr>
                <w:sz w:val="20"/>
                <w:szCs w:val="20"/>
                <w:color w:val="auto"/>
              </w:rPr>
            </w:pPr>
            <w:r>
              <w:rPr>
                <w:rFonts w:ascii="Arial" w:cs="Arial" w:eastAsia="Arial" w:hAnsi="Arial"/>
                <w:sz w:val="18"/>
                <w:szCs w:val="18"/>
                <w:color w:val="auto"/>
              </w:rPr>
              <w:t>DR. STEFAN KARLSSON</w:t>
            </w:r>
          </w:p>
        </w:tc>
      </w:tr>
      <w:tr>
        <w:trPr>
          <w:trHeight w:val="392"/>
        </w:trPr>
        <w:tc>
          <w:tcPr>
            <w:tcW w:w="3580" w:type="dxa"/>
            <w:vAlign w:val="bottom"/>
            <w:gridSpan w:val="3"/>
          </w:tcPr>
          <w:p>
            <w:pPr>
              <w:spacing w:after="0"/>
              <w:rPr>
                <w:sz w:val="20"/>
                <w:szCs w:val="20"/>
                <w:color w:val="auto"/>
              </w:rPr>
            </w:pPr>
            <w:r>
              <w:rPr>
                <w:rFonts w:ascii="Arial" w:cs="Arial" w:eastAsia="Arial" w:hAnsi="Arial"/>
                <w:sz w:val="18"/>
                <w:szCs w:val="18"/>
                <w:i w:val="1"/>
                <w:iCs w:val="1"/>
                <w:color w:val="auto"/>
              </w:rPr>
              <w:t>Signature</w:t>
            </w:r>
            <w:r>
              <w:rPr>
                <w:rFonts w:ascii="Arial" w:cs="Arial" w:eastAsia="Arial" w:hAnsi="Arial"/>
                <w:sz w:val="18"/>
                <w:szCs w:val="18"/>
                <w:color w:val="auto"/>
              </w:rPr>
              <w:t>: /s/ Geoff MacKay</w:t>
            </w:r>
          </w:p>
        </w:tc>
        <w:tc>
          <w:tcPr>
            <w:tcW w:w="4680" w:type="dxa"/>
            <w:vAlign w:val="bottom"/>
            <w:gridSpan w:val="2"/>
          </w:tcPr>
          <w:p>
            <w:pPr>
              <w:ind w:left="1000"/>
              <w:spacing w:after="0"/>
              <w:rPr>
                <w:sz w:val="20"/>
                <w:szCs w:val="20"/>
                <w:color w:val="auto"/>
              </w:rPr>
            </w:pPr>
            <w:r>
              <w:rPr>
                <w:rFonts w:ascii="Arial" w:cs="Arial" w:eastAsia="Arial" w:hAnsi="Arial"/>
                <w:sz w:val="18"/>
                <w:szCs w:val="18"/>
                <w:i w:val="1"/>
                <w:iCs w:val="1"/>
                <w:color w:val="auto"/>
              </w:rPr>
              <w:t>Signature</w:t>
            </w:r>
            <w:r>
              <w:rPr>
                <w:rFonts w:ascii="Arial" w:cs="Arial" w:eastAsia="Arial" w:hAnsi="Arial"/>
                <w:sz w:val="18"/>
                <w:szCs w:val="18"/>
                <w:color w:val="auto"/>
              </w:rPr>
              <w:t>: /s/ Stefan Karlsson</w:t>
            </w:r>
          </w:p>
        </w:tc>
      </w:tr>
      <w:tr>
        <w:trPr>
          <w:trHeight w:val="20"/>
        </w:trPr>
        <w:tc>
          <w:tcPr>
            <w:tcW w:w="80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r>
      <w:tr>
        <w:trPr>
          <w:trHeight w:val="237"/>
        </w:trPr>
        <w:tc>
          <w:tcPr>
            <w:tcW w:w="3580" w:type="dxa"/>
            <w:vAlign w:val="bottom"/>
            <w:gridSpan w:val="3"/>
          </w:tcPr>
          <w:p>
            <w:pPr>
              <w:spacing w:after="0"/>
              <w:rPr>
                <w:sz w:val="20"/>
                <w:szCs w:val="20"/>
                <w:color w:val="auto"/>
              </w:rPr>
            </w:pPr>
            <w:r>
              <w:rPr>
                <w:rFonts w:ascii="Arial" w:cs="Arial" w:eastAsia="Arial" w:hAnsi="Arial"/>
                <w:sz w:val="18"/>
                <w:szCs w:val="18"/>
                <w:i w:val="1"/>
                <w:iCs w:val="1"/>
                <w:color w:val="auto"/>
              </w:rPr>
              <w:t>Name</w:t>
            </w:r>
            <w:r>
              <w:rPr>
                <w:rFonts w:ascii="Arial" w:cs="Arial" w:eastAsia="Arial" w:hAnsi="Arial"/>
                <w:sz w:val="18"/>
                <w:szCs w:val="18"/>
                <w:color w:val="auto"/>
              </w:rPr>
              <w:t>: Geoff MacKay</w:t>
            </w:r>
          </w:p>
        </w:tc>
        <w:tc>
          <w:tcPr>
            <w:tcW w:w="4680" w:type="dxa"/>
            <w:vAlign w:val="bottom"/>
            <w:gridSpan w:val="2"/>
          </w:tcPr>
          <w:p>
            <w:pPr>
              <w:ind w:left="1000"/>
              <w:spacing w:after="0"/>
              <w:rPr>
                <w:sz w:val="20"/>
                <w:szCs w:val="20"/>
                <w:color w:val="auto"/>
              </w:rPr>
            </w:pPr>
            <w:r>
              <w:rPr>
                <w:rFonts w:ascii="Arial" w:cs="Arial" w:eastAsia="Arial" w:hAnsi="Arial"/>
                <w:sz w:val="18"/>
                <w:szCs w:val="18"/>
                <w:i w:val="1"/>
                <w:iCs w:val="1"/>
                <w:color w:val="auto"/>
              </w:rPr>
              <w:t>Name</w:t>
            </w:r>
            <w:r>
              <w:rPr>
                <w:rFonts w:ascii="Arial" w:cs="Arial" w:eastAsia="Arial" w:hAnsi="Arial"/>
                <w:sz w:val="18"/>
                <w:szCs w:val="18"/>
                <w:color w:val="auto"/>
              </w:rPr>
              <w:t>: Stefan Karlsson</w:t>
            </w:r>
          </w:p>
        </w:tc>
      </w:tr>
      <w:tr>
        <w:trPr>
          <w:trHeight w:val="432"/>
        </w:trPr>
        <w:tc>
          <w:tcPr>
            <w:tcW w:w="3580" w:type="dxa"/>
            <w:vAlign w:val="bottom"/>
            <w:gridSpan w:val="3"/>
          </w:tcPr>
          <w:p>
            <w:pPr>
              <w:spacing w:after="0"/>
              <w:rPr>
                <w:sz w:val="20"/>
                <w:szCs w:val="20"/>
                <w:color w:val="auto"/>
              </w:rPr>
            </w:pPr>
            <w:r>
              <w:rPr>
                <w:rFonts w:ascii="Arial" w:cs="Arial" w:eastAsia="Arial" w:hAnsi="Arial"/>
                <w:sz w:val="18"/>
                <w:szCs w:val="18"/>
                <w:color w:val="auto"/>
              </w:rPr>
              <w:t>Place: Lund, Sweden</w:t>
            </w:r>
          </w:p>
        </w:tc>
        <w:tc>
          <w:tcPr>
            <w:tcW w:w="17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32"/>
        </w:trPr>
        <w:tc>
          <w:tcPr>
            <w:tcW w:w="3580" w:type="dxa"/>
            <w:vAlign w:val="bottom"/>
            <w:gridSpan w:val="3"/>
          </w:tcPr>
          <w:p>
            <w:pPr>
              <w:spacing w:after="0"/>
              <w:rPr>
                <w:sz w:val="20"/>
                <w:szCs w:val="20"/>
                <w:color w:val="auto"/>
              </w:rPr>
            </w:pPr>
            <w:r>
              <w:rPr>
                <w:rFonts w:ascii="Arial" w:cs="Arial" w:eastAsia="Arial" w:hAnsi="Arial"/>
                <w:sz w:val="18"/>
                <w:szCs w:val="18"/>
                <w:color w:val="auto"/>
              </w:rPr>
              <w:t>Date: January 26, 2017</w:t>
            </w:r>
          </w:p>
        </w:tc>
        <w:tc>
          <w:tcPr>
            <w:tcW w:w="17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32"/>
        </w:trPr>
        <w:tc>
          <w:tcPr>
            <w:tcW w:w="3580" w:type="dxa"/>
            <w:vAlign w:val="bottom"/>
            <w:gridSpan w:val="3"/>
          </w:tcPr>
          <w:p>
            <w:pPr>
              <w:spacing w:after="0"/>
              <w:rPr>
                <w:sz w:val="20"/>
                <w:szCs w:val="20"/>
                <w:color w:val="auto"/>
              </w:rPr>
            </w:pPr>
            <w:r>
              <w:rPr>
                <w:rFonts w:ascii="Arial" w:cs="Arial" w:eastAsia="Arial" w:hAnsi="Arial"/>
                <w:sz w:val="18"/>
                <w:szCs w:val="18"/>
                <w:color w:val="auto"/>
              </w:rPr>
              <w:t>MARIA DAHL</w:t>
            </w:r>
          </w:p>
        </w:tc>
        <w:tc>
          <w:tcPr>
            <w:tcW w:w="17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92"/>
        </w:trPr>
        <w:tc>
          <w:tcPr>
            <w:tcW w:w="3580" w:type="dxa"/>
            <w:vAlign w:val="bottom"/>
            <w:gridSpan w:val="3"/>
          </w:tcPr>
          <w:p>
            <w:pPr>
              <w:spacing w:after="0"/>
              <w:rPr>
                <w:sz w:val="20"/>
                <w:szCs w:val="20"/>
                <w:color w:val="auto"/>
              </w:rPr>
            </w:pPr>
            <w:r>
              <w:rPr>
                <w:rFonts w:ascii="Arial" w:cs="Arial" w:eastAsia="Arial" w:hAnsi="Arial"/>
                <w:sz w:val="18"/>
                <w:szCs w:val="18"/>
                <w:i w:val="1"/>
                <w:iCs w:val="1"/>
                <w:color w:val="auto"/>
              </w:rPr>
              <w:t>Signature</w:t>
            </w:r>
            <w:r>
              <w:rPr>
                <w:rFonts w:ascii="Arial" w:cs="Arial" w:eastAsia="Arial" w:hAnsi="Arial"/>
                <w:sz w:val="18"/>
                <w:szCs w:val="18"/>
                <w:color w:val="auto"/>
              </w:rPr>
              <w:t>: /s/ Maria Dahl</w:t>
            </w:r>
          </w:p>
        </w:tc>
        <w:tc>
          <w:tcPr>
            <w:tcW w:w="17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37"/>
        </w:trPr>
        <w:tc>
          <w:tcPr>
            <w:tcW w:w="3580" w:type="dxa"/>
            <w:vAlign w:val="bottom"/>
            <w:gridSpan w:val="3"/>
          </w:tcPr>
          <w:p>
            <w:pPr>
              <w:spacing w:after="0"/>
              <w:rPr>
                <w:sz w:val="20"/>
                <w:szCs w:val="20"/>
                <w:color w:val="auto"/>
              </w:rPr>
            </w:pPr>
            <w:r>
              <w:rPr>
                <w:rFonts w:ascii="Arial" w:cs="Arial" w:eastAsia="Arial" w:hAnsi="Arial"/>
                <w:sz w:val="18"/>
                <w:szCs w:val="18"/>
                <w:i w:val="1"/>
                <w:iCs w:val="1"/>
                <w:color w:val="auto"/>
              </w:rPr>
              <w:t>Name</w:t>
            </w:r>
            <w:r>
              <w:rPr>
                <w:rFonts w:ascii="Arial" w:cs="Arial" w:eastAsia="Arial" w:hAnsi="Arial"/>
                <w:sz w:val="18"/>
                <w:szCs w:val="18"/>
                <w:color w:val="auto"/>
              </w:rPr>
              <w:t>: Maria Dahl</w:t>
            </w:r>
          </w:p>
        </w:tc>
        <w:tc>
          <w:tcPr>
            <w:tcW w:w="1780" w:type="dxa"/>
            <w:vAlign w:val="bottom"/>
          </w:tcPr>
          <w:p>
            <w:pPr>
              <w:spacing w:after="0"/>
              <w:rPr>
                <w:sz w:val="20"/>
                <w:szCs w:val="20"/>
                <w:color w:val="auto"/>
              </w:rPr>
            </w:pPr>
          </w:p>
        </w:tc>
        <w:tc>
          <w:tcPr>
            <w:tcW w:w="290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71" w:name="page472"/>
    <w:bookmarkEnd w:id="4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72" w:name="page473"/>
    <w:bookmarkEnd w:id="472"/>
    <w:p>
      <w:pPr>
        <w:ind w:left="10480"/>
        <w:spacing w:after="0"/>
        <w:rPr>
          <w:sz w:val="20"/>
          <w:szCs w:val="20"/>
          <w:color w:val="auto"/>
        </w:rPr>
      </w:pPr>
      <w:r>
        <w:rPr>
          <w:rFonts w:ascii="Arial" w:cs="Arial" w:eastAsia="Arial" w:hAnsi="Arial"/>
          <w:sz w:val="16"/>
          <w:szCs w:val="16"/>
          <w:b w:val="1"/>
          <w:bCs w:val="1"/>
          <w:color w:val="auto"/>
        </w:rPr>
        <w:t>Exhibit 10.8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CONFIDENTIAL PORTIONS OF THIS EXHIBIT WERE OMITTED AND REPLACED WITH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 COMPLETE VERSION OF THIS EXHIBIT HAS BEEN FILED SEPARATELY WITH THE SECRETARY OF THE SECURITIES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COMMISSION PURSUANT TO AN APPLICATION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REQUESTING CONFIDENTIAL TREATMENT PURSUANT TO RULE 406 PROMULGATED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ACT OF 1933, AS AMENDED.</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License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effective as of October 2, 2017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GenStem Therapeutics, Inc</w:t>
      </w:r>
      <w:r>
        <w:rPr>
          <w:rFonts w:ascii="Arial" w:cs="Arial" w:eastAsia="Arial" w:hAnsi="Arial"/>
          <w:sz w:val="18"/>
          <w:szCs w:val="18"/>
          <w:color w:val="auto"/>
        </w:rPr>
        <w:t>., a Delaware corporation having an address of [***], Cardiff by the Sea, CA 92007 (“</w:t>
      </w:r>
      <w:r>
        <w:rPr>
          <w:rFonts w:ascii="Arial" w:cs="Arial" w:eastAsia="Arial" w:hAnsi="Arial"/>
          <w:sz w:val="18"/>
          <w:szCs w:val="18"/>
          <w:b w:val="1"/>
          <w:bCs w:val="1"/>
          <w:color w:val="auto"/>
        </w:rPr>
        <w:t>GenStem</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AVROBIO, Inc</w:t>
      </w:r>
      <w:r>
        <w:rPr>
          <w:rFonts w:ascii="Arial" w:cs="Arial" w:eastAsia="Arial" w:hAnsi="Arial"/>
          <w:sz w:val="17"/>
          <w:szCs w:val="17"/>
          <w:color w:val="auto"/>
        </w:rPr>
        <w:t>., a Delaware corporation having a place of business at 700 Technology Square, Suite 101, Cambridge, MA 02139 (“</w:t>
      </w:r>
      <w:r>
        <w:rPr>
          <w:rFonts w:ascii="Arial" w:cs="Arial" w:eastAsia="Arial" w:hAnsi="Arial"/>
          <w:sz w:val="17"/>
          <w:szCs w:val="17"/>
          <w:b w:val="1"/>
          <w:bCs w:val="1"/>
          <w:color w:val="auto"/>
        </w:rPr>
        <w:t>AVROBIO</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GenStem and AVROBIO each may be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5"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GenStem owns and/or controls certain patents and other intellectual property pertaining to genetic modification of stem cells and gene therapy, and</w:t>
      </w:r>
      <w:r>
        <w:rPr>
          <w:rFonts w:ascii="Arial" w:cs="Arial" w:eastAsia="Arial" w:hAnsi="Arial"/>
          <w:sz w:val="18"/>
          <w:szCs w:val="18"/>
          <w:b w:val="1"/>
          <w:bCs w:val="1"/>
          <w:color w:val="auto"/>
        </w:rPr>
        <w:t xml:space="preserve"> </w:t>
      </w:r>
      <w:r>
        <w:rPr>
          <w:rFonts w:ascii="Arial" w:cs="Arial" w:eastAsia="Arial" w:hAnsi="Arial"/>
          <w:sz w:val="18"/>
          <w:szCs w:val="18"/>
          <w:color w:val="auto"/>
        </w:rPr>
        <w:t>is developing products using such intellectual property.</w:t>
      </w:r>
    </w:p>
    <w:p>
      <w:pPr>
        <w:spacing w:after="0" w:line="54"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AVROBIO desires to obtain an exclusive license under GenStem’s intellectual property rights for the purpose of developing,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commercializing Licensed Products in the Field (each as defined below), and GenStem desires to grant AVROBIO such a license on the terms and conditions set forth in this Agreement.</w:t>
      </w:r>
    </w:p>
    <w:p>
      <w:pPr>
        <w:spacing w:after="0" w:line="18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consideration of the foregoing premises, the mutual promises and covenants set forth in this Agreement, and other good and valuable consideration, the receipt and sufficiency of which are hereby acknowledged, GenStem and AVROBIO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52" w:lineRule="exact"/>
        <w:rPr>
          <w:sz w:val="20"/>
          <w:szCs w:val="20"/>
          <w:color w:val="auto"/>
        </w:rPr>
      </w:pPr>
    </w:p>
    <w:p>
      <w:pPr>
        <w:ind w:left="460" w:hanging="452"/>
        <w:spacing w:after="0"/>
        <w:tabs>
          <w:tab w:leader="none" w:pos="4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When used in this Agreement, the following capitalized terms will have the meanings as defined below. Unless the context indicates otherwise, the singular will include the plural and the plural will include the singular.</w:t>
      </w:r>
    </w:p>
    <w:p>
      <w:pPr>
        <w:spacing w:after="0" w:line="58" w:lineRule="exact"/>
        <w:rPr>
          <w:sz w:val="20"/>
          <w:szCs w:val="20"/>
          <w:color w:val="auto"/>
        </w:rPr>
      </w:pPr>
    </w:p>
    <w:p>
      <w:pPr>
        <w:ind w:right="100" w:firstLine="456"/>
        <w:spacing w:after="0" w:line="314"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 Party, any corporation, firm, partnership or other entity that directly or indirectly controls or is controlled by or</w:t>
      </w:r>
      <w:r>
        <w:rPr>
          <w:rFonts w:ascii="Arial" w:cs="Arial" w:eastAsia="Arial" w:hAnsi="Arial"/>
          <w:sz w:val="16"/>
          <w:szCs w:val="16"/>
          <w:b w:val="1"/>
          <w:bCs w:val="1"/>
          <w:color w:val="auto"/>
        </w:rPr>
        <w:t xml:space="preserve"> </w:t>
      </w:r>
      <w:r>
        <w:rPr>
          <w:rFonts w:ascii="Arial" w:cs="Arial" w:eastAsia="Arial" w:hAnsi="Arial"/>
          <w:sz w:val="16"/>
          <w:szCs w:val="16"/>
          <w:color w:val="auto"/>
        </w:rPr>
        <w:t>is under common control with such Party, but only for so long as such control exists. As used in this definition, “control” means (with correlative meanings for the terms “controlled by” and “under common control with”) that the applicable entity has the actual ability to direct and manage the business affairs of</w:t>
      </w:r>
    </w:p>
    <w:p>
      <w:pPr>
        <w:sectPr>
          <w:pgSz w:w="11900" w:h="16838" w:orient="portrait"/>
          <w:cols w:equalWidth="0" w:num="1">
            <w:col w:w="11420"/>
          </w:cols>
          <w:pgMar w:left="240" w:top="121" w:right="239" w:bottom="1440" w:gutter="0" w:footer="0" w:header="0"/>
        </w:sectPr>
      </w:pPr>
    </w:p>
    <w:bookmarkStart w:id="473" w:name="page474"/>
    <w:bookmarkEnd w:id="473"/>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Party, whether through ownership, directly or indirectly, of fifty percent (50%) or more of the shares of stock entitled to vote for the election of directors of the Party, in the case of a corporation, or fifty percent (50%) or more of the equity interests in the case of any other type of legal entity, status as a general partner in any partnership, or by contract or any other arrangement whereby such entity controls or has the right to control the business affairs of the Party.</w:t>
      </w:r>
    </w:p>
    <w:p>
      <w:pPr>
        <w:spacing w:after="0" w:line="35"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BLA</w:t>
      </w:r>
      <w:r>
        <w:rPr>
          <w:rFonts w:ascii="Arial" w:cs="Arial" w:eastAsia="Arial" w:hAnsi="Arial"/>
          <w:sz w:val="18"/>
          <w:szCs w:val="18"/>
          <w:color w:val="auto"/>
        </w:rPr>
        <w:t>” means a Biologies License Application, as defined in</w:t>
      </w:r>
      <w:r>
        <w:rPr>
          <w:rFonts w:ascii="Arial" w:cs="Arial" w:eastAsia="Arial" w:hAnsi="Arial"/>
          <w:sz w:val="18"/>
          <w:szCs w:val="18"/>
          <w:b w:val="1"/>
          <w:bCs w:val="1"/>
          <w:color w:val="auto"/>
        </w:rPr>
        <w:t xml:space="preserve"> 21 C.F.R. Part 600-680, </w:t>
      </w:r>
      <w:r>
        <w:rPr>
          <w:rFonts w:ascii="Arial" w:cs="Arial" w:eastAsia="Arial" w:hAnsi="Arial"/>
          <w:sz w:val="18"/>
          <w:szCs w:val="18"/>
          <w:color w:val="auto"/>
        </w:rPr>
        <w:t>required to be filed with the FDA for approval to commence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sale or marketing of a biologies product in the U.S. or a similar filing in a country outside the United States.</w:t>
      </w:r>
    </w:p>
    <w:p>
      <w:pPr>
        <w:spacing w:after="0" w:line="54" w:lineRule="exact"/>
        <w:rPr>
          <w:sz w:val="20"/>
          <w:szCs w:val="20"/>
          <w:color w:val="auto"/>
        </w:rPr>
      </w:pPr>
    </w:p>
    <w:p>
      <w:pPr>
        <w:ind w:right="180" w:firstLine="456"/>
        <w:spacing w:after="0" w:line="347"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color w:val="auto"/>
        </w:rPr>
        <w:t>“</w:t>
      </w:r>
      <w:r>
        <w:rPr>
          <w:rFonts w:ascii="Arial" w:cs="Arial" w:eastAsia="Arial" w:hAnsi="Arial"/>
          <w:sz w:val="16"/>
          <w:szCs w:val="16"/>
          <w:b w:val="1"/>
          <w:bCs w:val="1"/>
          <w:color w:val="auto"/>
        </w:rPr>
        <w:t>Commercialization</w:t>
      </w:r>
      <w:r>
        <w:rPr>
          <w:rFonts w:ascii="Arial" w:cs="Arial" w:eastAsia="Arial" w:hAnsi="Arial"/>
          <w:sz w:val="16"/>
          <w:szCs w:val="16"/>
          <w:color w:val="auto"/>
        </w:rPr>
        <w:t>” means all activities relating to the manufacture, marketing, obtaining pricing and reimbursement approvals, promotion,</w:t>
      </w:r>
      <w:r>
        <w:rPr>
          <w:rFonts w:ascii="Arial" w:cs="Arial" w:eastAsia="Arial" w:hAnsi="Arial"/>
          <w:sz w:val="16"/>
          <w:szCs w:val="16"/>
          <w:b w:val="1"/>
          <w:bCs w:val="1"/>
          <w:color w:val="auto"/>
        </w:rPr>
        <w:t xml:space="preserve"> </w:t>
      </w:r>
      <w:r>
        <w:rPr>
          <w:rFonts w:ascii="Arial" w:cs="Arial" w:eastAsia="Arial" w:hAnsi="Arial"/>
          <w:sz w:val="16"/>
          <w:szCs w:val="16"/>
          <w:color w:val="auto"/>
        </w:rPr>
        <w:t>advertising, importing, selling, distribution and customer support of a Licensed Product in a country. The term “</w:t>
      </w:r>
      <w:r>
        <w:rPr>
          <w:rFonts w:ascii="Arial" w:cs="Arial" w:eastAsia="Arial" w:hAnsi="Arial"/>
          <w:sz w:val="16"/>
          <w:szCs w:val="16"/>
          <w:b w:val="1"/>
          <w:bCs w:val="1"/>
          <w:color w:val="auto"/>
        </w:rPr>
        <w:t>Commercialize</w:t>
      </w:r>
      <w:r>
        <w:rPr>
          <w:rFonts w:ascii="Arial" w:cs="Arial" w:eastAsia="Arial" w:hAnsi="Arial"/>
          <w:sz w:val="16"/>
          <w:szCs w:val="16"/>
          <w:color w:val="auto"/>
        </w:rPr>
        <w:t>” has a correlative meaning.</w:t>
      </w:r>
    </w:p>
    <w:p>
      <w:pPr>
        <w:spacing w:after="0" w:line="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color w:val="auto"/>
        </w:rPr>
        <w:t>“</w:t>
      </w:r>
      <w:r>
        <w:rPr>
          <w:rFonts w:ascii="Arial" w:cs="Arial" w:eastAsia="Arial" w:hAnsi="Arial"/>
          <w:sz w:val="16"/>
          <w:szCs w:val="16"/>
          <w:b w:val="1"/>
          <w:bCs w:val="1"/>
          <w:color w:val="auto"/>
        </w:rPr>
        <w:t>Commercially Reasonable Efforts</w:t>
      </w:r>
      <w:r>
        <w:rPr>
          <w:rFonts w:ascii="Arial" w:cs="Arial" w:eastAsia="Arial" w:hAnsi="Arial"/>
          <w:sz w:val="16"/>
          <w:szCs w:val="16"/>
          <w:color w:val="auto"/>
        </w:rPr>
        <w:t>” means, with respect to Developing or Commercializing a Licensed Product, that AVROBIO will use the</w:t>
      </w:r>
      <w:r>
        <w:rPr>
          <w:rFonts w:ascii="Arial" w:cs="Arial" w:eastAsia="Arial" w:hAnsi="Arial"/>
          <w:sz w:val="16"/>
          <w:szCs w:val="16"/>
          <w:b w:val="1"/>
          <w:bCs w:val="1"/>
          <w:color w:val="auto"/>
        </w:rPr>
        <w:t xml:space="preserve"> </w:t>
      </w:r>
      <w:r>
        <w:rPr>
          <w:rFonts w:ascii="Arial" w:cs="Arial" w:eastAsia="Arial" w:hAnsi="Arial"/>
          <w:sz w:val="16"/>
          <w:szCs w:val="16"/>
          <w:color w:val="auto"/>
        </w:rPr>
        <w:t>efforts [***] but the level of effort will be no less than: (a) marketing Licensed Products in quantities calculated to address anticipated market demand once marketing has begun and (b) seeking needed governmental approvals for marketing Licensed Products with diligence in supplying indicated information to, and replying to, appropriate governmental offices in the process. Commercially Reasonable Efforts shall in no case involve a shelving of the development, marketing or sale of Licensed Products or a suspension of the diligent pursuit of needed governmental approval for Licensed Products.</w:t>
      </w:r>
    </w:p>
    <w:p>
      <w:pPr>
        <w:spacing w:after="0" w:line="46"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 xml:space="preserve">1.5 “Control” </w:t>
      </w:r>
      <w:r>
        <w:rPr>
          <w:rFonts w:ascii="Arial" w:cs="Arial" w:eastAsia="Arial" w:hAnsi="Arial"/>
          <w:sz w:val="18"/>
          <w:szCs w:val="18"/>
          <w:color w:val="auto"/>
        </w:rPr>
        <w:t>means, with respect to any Know-How, Patent Right, or other intellectual property right, that the applicable Party owns or has a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under such Know-How, Patent Right, or other intellectual property right and has the ability to assign to the other Party, or grant to the other Party a license, sublicense or other right to or under, such Know-How, Patent Right or right as provided for herein without violating the terms of any agreement or other arrangements with any Third Party.</w:t>
      </w:r>
    </w:p>
    <w:p>
      <w:pPr>
        <w:spacing w:after="0" w:line="72" w:lineRule="exact"/>
        <w:rPr>
          <w:sz w:val="20"/>
          <w:szCs w:val="20"/>
          <w:color w:val="auto"/>
        </w:rPr>
      </w:pPr>
    </w:p>
    <w:p>
      <w:pPr>
        <w:ind w:right="380" w:firstLine="456"/>
        <w:spacing w:after="0" w:line="258"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Development</w:t>
      </w:r>
      <w:r>
        <w:rPr>
          <w:rFonts w:ascii="Arial" w:cs="Arial" w:eastAsia="Arial" w:hAnsi="Arial"/>
          <w:sz w:val="18"/>
          <w:szCs w:val="18"/>
          <w:color w:val="auto"/>
        </w:rPr>
        <w:t>” means non-clinical and clinical drug discovery, research and/or development activities reasonably related to or leading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submission of information to a Regulatory Authority, including chemical synthesis, sequencing, toxicology, pharmacology and other discovery and pre-clinical efforts, test method development and stability testing, manufacturing process development, formulation development, delivery system development, quality assurance and quality control development, manufacturing, statistical analysis, and clinical studies. When used as a verb, “</w:t>
      </w:r>
      <w:r>
        <w:rPr>
          <w:rFonts w:ascii="Arial" w:cs="Arial" w:eastAsia="Arial" w:hAnsi="Arial"/>
          <w:sz w:val="18"/>
          <w:szCs w:val="18"/>
          <w:b w:val="1"/>
          <w:bCs w:val="1"/>
          <w:color w:val="auto"/>
        </w:rPr>
        <w:t>Develop</w:t>
      </w:r>
      <w:r>
        <w:rPr>
          <w:rFonts w:ascii="Arial" w:cs="Arial" w:eastAsia="Arial" w:hAnsi="Arial"/>
          <w:sz w:val="18"/>
          <w:szCs w:val="18"/>
          <w:color w:val="auto"/>
        </w:rPr>
        <w:t>” means to engage in Development.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agency thereto.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any and all uses of Licensed Product.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74" w:name="page475"/>
    <w:bookmarkEnd w:id="474"/>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58"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 given Licensed Product in a particular country, the first sale to a Third Party of such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such country, after obtaining all required Regulatory Approvals in such country. “First Commercial Sale” shall not include the supply of any Licensed Product for use in clinical trials or for compassionate use.</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means an Investigational New Drug application filed with the FDA and sufficient to satisfy the requirements of 21 CFR 312.20.</w:t>
      </w:r>
    </w:p>
    <w:p>
      <w:pPr>
        <w:spacing w:after="0" w:line="117"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means any non-public, documented or otherwise recorded or memorialized knowledge, experience, know-how,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information, results, trade secrets, data and all other information, including formulas and formulations, processes, techniques, unpatented inventions, discoveries, ideas, and developments, test procedures, and results, together with all documents and files embodying the foregoing, and including relevant proprietary materials.</w:t>
      </w:r>
    </w:p>
    <w:p>
      <w:pPr>
        <w:spacing w:after="0" w:line="72"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Licensed Know-How</w:t>
      </w:r>
      <w:r>
        <w:rPr>
          <w:rFonts w:ascii="Arial" w:cs="Arial" w:eastAsia="Arial" w:hAnsi="Arial"/>
          <w:sz w:val="18"/>
          <w:szCs w:val="18"/>
          <w:color w:val="auto"/>
        </w:rPr>
        <w:t>” means Know-How Controlled by GenStem or its Affiliates as of the Effective Date or during the Term that is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research, Develop, manufacture and/or Commercialize Licensed Products in the Field. Licensed Know How to be shared with AVROBIO will include, without limitation, the items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attached hereto.</w:t>
      </w:r>
    </w:p>
    <w:p>
      <w:pPr>
        <w:spacing w:after="0" w:line="6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Licensed Patent Rights</w:t>
      </w:r>
      <w:r>
        <w:rPr>
          <w:rFonts w:ascii="Arial" w:cs="Arial" w:eastAsia="Arial" w:hAnsi="Arial"/>
          <w:sz w:val="18"/>
          <w:szCs w:val="18"/>
          <w:color w:val="auto"/>
        </w:rPr>
        <w:t>” means: (a) any of the Patent Rights listed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 and (b) any division, continuation and/or any foreign patent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and/or Letters Patent, and/or the equivalent thereof issuing on any of the foregoing, and/or any reissue, reexamination and/or extension thereof. Any continuation-in-part application or other patent application or patent that is directed specifically to subject matter specifically described in, at least one of the patents or patent applications described above and that has claims relevant to the Field, or that would otherwise be infringed by AVROBIO’s Development and Commercialization of Licensed Products under the terms of this Agreement shall also be included in Licensed Patent Rights to the extent such patent or patent application is Controlled by GenStem.</w:t>
      </w:r>
    </w:p>
    <w:p>
      <w:pPr>
        <w:spacing w:after="0" w:line="80"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product that utilizes, includes or incorporates a gene encoding cystinosin, or the protein produced by such gene,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case (i) the manufacture, use or sale of which would, but for the licenses granted herein, infringe a Valid Claim of the Licensed Patent Rights, (ii) that is the product described in the IND to be filed in accordance with Section 2.2.1, or (iii) that is any derivative, modification or improvement to such product described in such IND and that is to be used for the treatment of Cystinosis.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Licensed Technology</w:t>
      </w:r>
      <w:r>
        <w:rPr>
          <w:rFonts w:ascii="Arial" w:cs="Arial" w:eastAsia="Arial" w:hAnsi="Arial"/>
          <w:sz w:val="18"/>
          <w:szCs w:val="18"/>
          <w:color w:val="auto"/>
        </w:rPr>
        <w:t>” means the Licensed Patent Rights and the Licensed Know-How.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Major Country</w:t>
      </w:r>
      <w:r>
        <w:rPr>
          <w:rFonts w:ascii="Arial" w:cs="Arial" w:eastAsia="Arial" w:hAnsi="Arial"/>
          <w:sz w:val="18"/>
          <w:szCs w:val="18"/>
          <w:color w:val="auto"/>
        </w:rPr>
        <w:t>” means [***].</w:t>
      </w:r>
    </w:p>
    <w:p>
      <w:pPr>
        <w:spacing w:after="0" w:line="117"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the amount invoiced or received by AVROBIO, its Affiliates or sublicensees for sales of a Licensed Product less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deductions, to the extent included in and not already deducted from the gross amounts invoiced or otherwise charged, and to the extent applicable solely to such sales of the Licensed Product:</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75" w:name="page476"/>
    <w:bookmarkEnd w:id="4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660" w:firstLine="921"/>
        <w:spacing w:after="0" w:line="277" w:lineRule="auto"/>
        <w:tabs>
          <w:tab w:leader="none" w:pos="1168" w:val="left"/>
        </w:tabs>
        <w:numPr>
          <w:ilvl w:val="0"/>
          <w:numId w:val="333"/>
        </w:numPr>
        <w:rPr>
          <w:rFonts w:ascii="Arial" w:cs="Arial" w:eastAsia="Arial" w:hAnsi="Arial"/>
          <w:sz w:val="18"/>
          <w:szCs w:val="18"/>
          <w:b w:val="1"/>
          <w:bCs w:val="1"/>
          <w:color w:val="auto"/>
        </w:rPr>
      </w:pPr>
      <w:r>
        <w:rPr>
          <w:rFonts w:ascii="Arial" w:cs="Arial" w:eastAsia="Arial" w:hAnsi="Arial"/>
          <w:sz w:val="18"/>
          <w:szCs w:val="18"/>
          <w:color w:val="auto"/>
        </w:rPr>
        <w:t>normal and customary charges for packaging, transportation, freight and insurance actually incurred and not charged to the purchaser separately for the shipping delivery of the Licensed Product;</w:t>
      </w:r>
    </w:p>
    <w:p>
      <w:pPr>
        <w:spacing w:after="0" w:line="62" w:lineRule="exact"/>
        <w:rPr>
          <w:rFonts w:ascii="Arial" w:cs="Arial" w:eastAsia="Arial" w:hAnsi="Arial"/>
          <w:sz w:val="18"/>
          <w:szCs w:val="18"/>
          <w:b w:val="1"/>
          <w:bCs w:val="1"/>
          <w:color w:val="auto"/>
        </w:rPr>
      </w:pPr>
    </w:p>
    <w:p>
      <w:pPr>
        <w:ind w:right="160" w:firstLine="921"/>
        <w:spacing w:after="0" w:line="277" w:lineRule="auto"/>
        <w:tabs>
          <w:tab w:leader="none" w:pos="1168" w:val="left"/>
        </w:tabs>
        <w:numPr>
          <w:ilvl w:val="0"/>
          <w:numId w:val="333"/>
        </w:numPr>
        <w:rPr>
          <w:rFonts w:ascii="Arial" w:cs="Arial" w:eastAsia="Arial" w:hAnsi="Arial"/>
          <w:sz w:val="18"/>
          <w:szCs w:val="18"/>
          <w:b w:val="1"/>
          <w:bCs w:val="1"/>
          <w:color w:val="auto"/>
        </w:rPr>
      </w:pPr>
      <w:r>
        <w:rPr>
          <w:rFonts w:ascii="Arial" w:cs="Arial" w:eastAsia="Arial" w:hAnsi="Arial"/>
          <w:sz w:val="18"/>
          <w:szCs w:val="18"/>
          <w:color w:val="auto"/>
        </w:rPr>
        <w:t>sales, value added and excise taxes or customs duties or any other governmental charges imposed upon the sale of the Licensed Product and paid by the selling party, other than franchise tax or income tax of any kind;</w:t>
      </w:r>
    </w:p>
    <w:p>
      <w:pPr>
        <w:spacing w:after="0" w:line="62" w:lineRule="exact"/>
        <w:rPr>
          <w:rFonts w:ascii="Arial" w:cs="Arial" w:eastAsia="Arial" w:hAnsi="Arial"/>
          <w:sz w:val="18"/>
          <w:szCs w:val="18"/>
          <w:b w:val="1"/>
          <w:bCs w:val="1"/>
          <w:color w:val="auto"/>
        </w:rPr>
      </w:pPr>
    </w:p>
    <w:p>
      <w:pPr>
        <w:ind w:right="60" w:firstLine="921"/>
        <w:spacing w:after="0" w:line="277" w:lineRule="auto"/>
        <w:tabs>
          <w:tab w:leader="none" w:pos="1168" w:val="left"/>
        </w:tabs>
        <w:numPr>
          <w:ilvl w:val="0"/>
          <w:numId w:val="333"/>
        </w:numPr>
        <w:rPr>
          <w:rFonts w:ascii="Arial" w:cs="Arial" w:eastAsia="Arial" w:hAnsi="Arial"/>
          <w:sz w:val="18"/>
          <w:szCs w:val="18"/>
          <w:b w:val="1"/>
          <w:bCs w:val="1"/>
          <w:color w:val="auto"/>
        </w:rPr>
      </w:pPr>
      <w:r>
        <w:rPr>
          <w:rFonts w:ascii="Arial" w:cs="Arial" w:eastAsia="Arial" w:hAnsi="Arial"/>
          <w:sz w:val="18"/>
          <w:szCs w:val="18"/>
          <w:color w:val="auto"/>
        </w:rPr>
        <w:t>reasonable and customary rebates, quantity discounts, charge-backs, allowances and premiums granted or allowed in connection with the sale of the Licensed Product;</w:t>
      </w:r>
    </w:p>
    <w:p>
      <w:pPr>
        <w:spacing w:after="0" w:line="62" w:lineRule="exact"/>
        <w:rPr>
          <w:rFonts w:ascii="Arial" w:cs="Arial" w:eastAsia="Arial" w:hAnsi="Arial"/>
          <w:sz w:val="18"/>
          <w:szCs w:val="18"/>
          <w:b w:val="1"/>
          <w:bCs w:val="1"/>
          <w:color w:val="auto"/>
        </w:rPr>
      </w:pPr>
    </w:p>
    <w:p>
      <w:pPr>
        <w:ind w:right="180" w:firstLine="921"/>
        <w:spacing w:after="0" w:line="277" w:lineRule="auto"/>
        <w:tabs>
          <w:tab w:leader="none" w:pos="1168" w:val="left"/>
        </w:tabs>
        <w:numPr>
          <w:ilvl w:val="0"/>
          <w:numId w:val="333"/>
        </w:numPr>
        <w:rPr>
          <w:rFonts w:ascii="Arial" w:cs="Arial" w:eastAsia="Arial" w:hAnsi="Arial"/>
          <w:sz w:val="18"/>
          <w:szCs w:val="18"/>
          <w:b w:val="1"/>
          <w:bCs w:val="1"/>
          <w:color w:val="auto"/>
        </w:rPr>
      </w:pPr>
      <w:r>
        <w:rPr>
          <w:rFonts w:ascii="Arial" w:cs="Arial" w:eastAsia="Arial" w:hAnsi="Arial"/>
          <w:sz w:val="18"/>
          <w:szCs w:val="18"/>
          <w:color w:val="auto"/>
        </w:rPr>
        <w:t>credits or allowances given or made for rejection of or return of, and for uncollectible amounts on, previously sold Licensed Products or for retroactive price reductions; and</w:t>
      </w:r>
    </w:p>
    <w:p>
      <w:pPr>
        <w:spacing w:after="0" w:line="62" w:lineRule="exact"/>
        <w:rPr>
          <w:rFonts w:ascii="Arial" w:cs="Arial" w:eastAsia="Arial" w:hAnsi="Arial"/>
          <w:sz w:val="18"/>
          <w:szCs w:val="18"/>
          <w:b w:val="1"/>
          <w:bCs w:val="1"/>
          <w:color w:val="auto"/>
        </w:rPr>
      </w:pPr>
    </w:p>
    <w:p>
      <w:pPr>
        <w:ind w:left="1180" w:hanging="259"/>
        <w:spacing w:after="0"/>
        <w:tabs>
          <w:tab w:leader="none" w:pos="1180" w:val="left"/>
        </w:tabs>
        <w:numPr>
          <w:ilvl w:val="0"/>
          <w:numId w:val="333"/>
        </w:numPr>
        <w:rPr>
          <w:rFonts w:ascii="Arial" w:cs="Arial" w:eastAsia="Arial" w:hAnsi="Arial"/>
          <w:sz w:val="18"/>
          <w:szCs w:val="18"/>
          <w:b w:val="1"/>
          <w:bCs w:val="1"/>
          <w:color w:val="auto"/>
        </w:rPr>
      </w:pPr>
      <w:r>
        <w:rPr>
          <w:rFonts w:ascii="Arial" w:cs="Arial" w:eastAsia="Arial" w:hAnsi="Arial"/>
          <w:sz w:val="18"/>
          <w:szCs w:val="18"/>
          <w:color w:val="auto"/>
        </w:rPr>
        <w:t>credits and allowances to customers on account of governmental or managed care requirements on the Licensed Product.</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Sales shall be determined in accordance with GAAP. In the case of a sale of a Licensed Product between or among AVROBIO or any Affiliate or sublicensee thereof for resale by such transferee, Net Sales shall be based on [***]. Any deductions listed above which involve a payment by AVROBIO (or its Affiliate or sublicensee) shall be [***]. [***].</w:t>
      </w:r>
    </w:p>
    <w:p>
      <w:pPr>
        <w:spacing w:after="0" w:line="69" w:lineRule="exact"/>
        <w:rPr>
          <w:sz w:val="20"/>
          <w:szCs w:val="20"/>
          <w:color w:val="auto"/>
        </w:rPr>
      </w:pPr>
    </w:p>
    <w:p>
      <w:pPr>
        <w:ind w:right="400" w:firstLine="456"/>
        <w:spacing w:after="0" w:line="266" w:lineRule="auto"/>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 all patents and patent applications in any country or supranational jurisdiction; (b) any divisional, continuation,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continuation-in-part, reissue, reexamination, substitution, renewal and/or extension of any such patents and patent applications; and (c) any foreign counterpart patent or patent application of any of the foregoing.</w:t>
      </w:r>
    </w:p>
    <w:p>
      <w:pPr>
        <w:spacing w:after="0" w:line="68"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b w:val="1"/>
          <w:bCs w:val="1"/>
          <w:color w:val="auto"/>
        </w:rPr>
        <w:t>Pivotal Trial</w:t>
      </w:r>
      <w:r>
        <w:rPr>
          <w:rFonts w:ascii="Arial" w:cs="Arial" w:eastAsia="Arial" w:hAnsi="Arial"/>
          <w:sz w:val="18"/>
          <w:szCs w:val="18"/>
          <w:color w:val="auto"/>
        </w:rPr>
        <w:t>” means a clinical trial that is designed to: (a) establish that a Licensed Product is safe and efficacious for its intended use; (b) define</w:t>
      </w:r>
      <w:r>
        <w:rPr>
          <w:rFonts w:ascii="Arial" w:cs="Arial" w:eastAsia="Arial" w:hAnsi="Arial"/>
          <w:sz w:val="18"/>
          <w:szCs w:val="18"/>
          <w:b w:val="1"/>
          <w:bCs w:val="1"/>
          <w:color w:val="auto"/>
        </w:rPr>
        <w:t xml:space="preserve"> </w:t>
      </w:r>
      <w:r>
        <w:rPr>
          <w:rFonts w:ascii="Arial" w:cs="Arial" w:eastAsia="Arial" w:hAnsi="Arial"/>
          <w:sz w:val="18"/>
          <w:szCs w:val="18"/>
          <w:color w:val="auto"/>
        </w:rPr>
        <w:t>warnings, precautions and adverse reactions that are associated with the Licensed Product in the dosage range to be prescribed; and (c) support Regulatory Approval of such Licensed Product; and that is generally consistent with 21 CFR § 312.21(c), or a similar clinical study prescribed by the Regulatory Authorities in a country other than the United States.</w:t>
      </w:r>
    </w:p>
    <w:p>
      <w:pPr>
        <w:spacing w:after="0" w:line="72"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Product Label</w:t>
      </w:r>
      <w:r>
        <w:rPr>
          <w:rFonts w:ascii="Arial" w:cs="Arial" w:eastAsia="Arial" w:hAnsi="Arial"/>
          <w:sz w:val="18"/>
          <w:szCs w:val="18"/>
          <w:color w:val="auto"/>
        </w:rPr>
        <w:t>” means the United States prescribing information/package insert (USPI) for an approved pharmaceutical product as accepted but</w:t>
      </w:r>
      <w:r>
        <w:rPr>
          <w:rFonts w:ascii="Arial" w:cs="Arial" w:eastAsia="Arial" w:hAnsi="Arial"/>
          <w:sz w:val="18"/>
          <w:szCs w:val="18"/>
          <w:b w:val="1"/>
          <w:bCs w:val="1"/>
          <w:color w:val="auto"/>
        </w:rPr>
        <w:t xml:space="preserve"> </w:t>
      </w:r>
      <w:r>
        <w:rPr>
          <w:rFonts w:ascii="Arial" w:cs="Arial" w:eastAsia="Arial" w:hAnsi="Arial"/>
          <w:sz w:val="18"/>
          <w:szCs w:val="18"/>
          <w:color w:val="auto"/>
        </w:rPr>
        <w:t>the FDA, or the equivalent thereof approved by any other Regulatory Authority.</w:t>
      </w:r>
    </w:p>
    <w:p>
      <w:pPr>
        <w:spacing w:after="0" w:line="54" w:lineRule="exact"/>
        <w:rPr>
          <w:sz w:val="20"/>
          <w:szCs w:val="20"/>
          <w:color w:val="auto"/>
        </w:rPr>
      </w:pPr>
    </w:p>
    <w:p>
      <w:pPr>
        <w:ind w:right="340" w:firstLine="456"/>
        <w:spacing w:after="0" w:line="266"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Regulatory Approvals</w:t>
      </w:r>
      <w:r>
        <w:rPr>
          <w:rFonts w:ascii="Arial" w:cs="Arial" w:eastAsia="Arial" w:hAnsi="Arial"/>
          <w:sz w:val="18"/>
          <w:szCs w:val="18"/>
          <w:color w:val="auto"/>
        </w:rPr>
        <w:t>” means, with respect to a Licensed Product, the approvals, registrations, licenses and permits of any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in a country, including pricing and/or reimbursement approvals, that are necessary to be obtained in order to market and sell commercially such Licensed Product in that country.</w:t>
      </w:r>
    </w:p>
    <w:p>
      <w:pPr>
        <w:spacing w:after="0" w:line="68"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federal, state or local regulatory agency, department, bureau or other government entity, including the FDA,</w:t>
      </w:r>
      <w:r>
        <w:rPr>
          <w:rFonts w:ascii="Arial" w:cs="Arial" w:eastAsia="Arial" w:hAnsi="Arial"/>
          <w:sz w:val="18"/>
          <w:szCs w:val="18"/>
          <w:b w:val="1"/>
          <w:bCs w:val="1"/>
          <w:color w:val="auto"/>
        </w:rPr>
        <w:t xml:space="preserve"> </w:t>
      </w:r>
      <w:r>
        <w:rPr>
          <w:rFonts w:ascii="Arial" w:cs="Arial" w:eastAsia="Arial" w:hAnsi="Arial"/>
          <w:sz w:val="18"/>
          <w:szCs w:val="18"/>
          <w:color w:val="auto"/>
        </w:rPr>
        <w:t>which has responsibility for granting any licenses or approvals or granting pricing and/or reimbursement approvals necessary for the marketing and sale of a Licensed Product in any country.</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76" w:name="page477"/>
    <w:bookmarkEnd w:id="4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has the meaning assigned to it in Section 4.3.3.</w:t>
      </w:r>
    </w:p>
    <w:p>
      <w:pPr>
        <w:spacing w:after="0" w:line="117" w:lineRule="exact"/>
        <w:rPr>
          <w:sz w:val="20"/>
          <w:szCs w:val="20"/>
          <w:color w:val="auto"/>
        </w:rPr>
      </w:pPr>
    </w:p>
    <w:p>
      <w:pPr>
        <w:ind w:right="60" w:firstLine="456"/>
        <w:spacing w:after="0" w:line="313" w:lineRule="auto"/>
        <w:rPr>
          <w:sz w:val="20"/>
          <w:szCs w:val="20"/>
          <w:color w:val="auto"/>
        </w:rPr>
      </w:pPr>
      <w:r>
        <w:rPr>
          <w:rFonts w:ascii="Arial" w:cs="Arial" w:eastAsia="Arial" w:hAnsi="Arial"/>
          <w:sz w:val="17"/>
          <w:szCs w:val="17"/>
          <w:b w:val="1"/>
          <w:bCs w:val="1"/>
          <w:color w:val="auto"/>
        </w:rPr>
        <w:t xml:space="preserve">1.24 </w:t>
      </w:r>
      <w:r>
        <w:rPr>
          <w:rFonts w:ascii="Arial" w:cs="Arial" w:eastAsia="Arial" w:hAnsi="Arial"/>
          <w:sz w:val="17"/>
          <w:szCs w:val="17"/>
          <w:color w:val="auto"/>
        </w:rPr>
        <w:t>“</w:t>
      </w:r>
      <w:r>
        <w:rPr>
          <w:rFonts w:ascii="Arial" w:cs="Arial" w:eastAsia="Arial" w:hAnsi="Arial"/>
          <w:sz w:val="17"/>
          <w:szCs w:val="17"/>
          <w:b w:val="1"/>
          <w:bCs w:val="1"/>
          <w:color w:val="auto"/>
        </w:rPr>
        <w:t>Series B Financing</w:t>
      </w:r>
      <w:r>
        <w:rPr>
          <w:rFonts w:ascii="Arial" w:cs="Arial" w:eastAsia="Arial" w:hAnsi="Arial"/>
          <w:sz w:val="17"/>
          <w:szCs w:val="17"/>
          <w:color w:val="auto"/>
        </w:rPr>
        <w:t>” means AVROBIO’s first issuance and sale of shares of a newly authorized series of preferred stock (e.g., Series B preferred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after the Effective Date of this Agreement to venture capital funds and/or other institutional investors in a bona fide equity financing.</w:t>
      </w:r>
    </w:p>
    <w:p>
      <w:pPr>
        <w:spacing w:after="0" w:line="3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color w:val="auto"/>
        </w:rPr>
        <w:t>Sublicense Income</w:t>
      </w:r>
      <w:r>
        <w:rPr>
          <w:rFonts w:ascii="Arial" w:cs="Arial" w:eastAsia="Arial" w:hAnsi="Arial"/>
          <w:sz w:val="18"/>
          <w:szCs w:val="18"/>
          <w:color w:val="auto"/>
        </w:rPr>
        <w:t>” means license issue fees, milestone payments, maintenance fees, upfront fees, technology access fees, and any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made by a Third Party sublicensee to AVROBIO or an Affiliate of AVROBIO as consideration for a sublicense granted to such Third Party under the rights to Licensed Technology granted to AVROBIO under this Agreement. Excluded from Sublicense Income are: (a) royalties received on the sale or distribution of Licensed Products; (b) payments related to equity investments in AVROBIO or its Affiliates to the extent equal to the fair market value of the equity, with any excess being part of Sublicense Income, (c) bona fide research or development funding from Third Parties for any work related to the research or development of Licensed Products that AVROBIO or any AVROBIO Affiliate is required to perform or have performed under such sublicense agreement, and (d) payments based on the cost of goods for product manufactured and supplied by AVROBIO for a Third Party under the relevant sublicense agreement.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assigned to it in Section 8.1.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all countries of the world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party other than GenStem, AVROBIO, or their respective Affiliates.</w:t>
      </w:r>
    </w:p>
    <w:p>
      <w:pPr>
        <w:spacing w:after="0" w:line="117"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UCSD</w:t>
      </w:r>
      <w:r>
        <w:rPr>
          <w:rFonts w:ascii="Arial" w:cs="Arial" w:eastAsia="Arial" w:hAnsi="Arial"/>
          <w:sz w:val="18"/>
          <w:szCs w:val="18"/>
          <w:color w:val="auto"/>
        </w:rPr>
        <w:t>” means The Regents of the University of California, a California public corporation having its statewide administrative offices at 1111</w:t>
      </w:r>
      <w:r>
        <w:rPr>
          <w:rFonts w:ascii="Arial" w:cs="Arial" w:eastAsia="Arial" w:hAnsi="Arial"/>
          <w:sz w:val="18"/>
          <w:szCs w:val="18"/>
          <w:b w:val="1"/>
          <w:bCs w:val="1"/>
          <w:color w:val="auto"/>
        </w:rPr>
        <w:t xml:space="preserve"> </w:t>
      </w:r>
      <w:r>
        <w:rPr>
          <w:rFonts w:ascii="Arial" w:cs="Arial" w:eastAsia="Arial" w:hAnsi="Arial"/>
          <w:sz w:val="18"/>
          <w:szCs w:val="18"/>
          <w:color w:val="auto"/>
        </w:rPr>
        <w:t>Franklin Street, Oakland, California 94607-5200, represented by its San Diego campus.</w:t>
      </w:r>
    </w:p>
    <w:p>
      <w:pPr>
        <w:spacing w:after="0" w:line="5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1.30 </w:t>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either (a) a claim of an issued and unexpired patent or a supplementary protection certificate, which has not been held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permanently revoked, unenforceable or invalid by a decision of a court, patent office or other forum of competent jurisdiction, unappealable or unappealed within the time allowed for appeal and that is not admitted to be invalid or unenforceable through reissue, disclaimer or otherwise (i.e., only to the extent the subject matter is disclaimed or is sought to be deleted or amended through reissue), or (b) a claim of a pending patent application that has not been abandoned, finally rejected or expired without the possibility of appeal or refiling,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Valid Claim shall exclude any such claim in such a pending application that has not been granted within the earlier of (i) ten (10) years following the earliest priority filing date for such claim and (ii) five (5) years from the date of issuance of the first substantive patent office action considering the patentability of such claim by the applicable patent office in such country, in each case unless and until such claim is granted in such country (at which time such claim will become a Valid Claim again).</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77" w:name="page478"/>
    <w:bookmarkEnd w:id="47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460" w:hanging="452"/>
        <w:spacing w:after="0"/>
        <w:tabs>
          <w:tab w:leader="none" w:pos="46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ICENSES</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2.1 License Grant</w:t>
      </w:r>
      <w:r>
        <w:rPr>
          <w:rFonts w:ascii="Arial" w:cs="Arial" w:eastAsia="Arial" w:hAnsi="Arial"/>
          <w:sz w:val="18"/>
          <w:szCs w:val="18"/>
          <w:color w:val="auto"/>
        </w:rPr>
        <w:t>. Subject to the terms and conditions of this Agreement, GenStem hereby grants to AVROBIO an exclusive, royalty-bearing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under GenStem’s rights in the Licensed Patent Rights to research, have researched, develop, have developed, make, have made, use, have used, sell, have sold, offer for sale, have offered for sale, import, have imported, export and have exported Licensed Products in the Field in the Territory, including the right to grant sublicenses (the “</w:t>
      </w:r>
      <w:r>
        <w:rPr>
          <w:rFonts w:ascii="Arial" w:cs="Arial" w:eastAsia="Arial" w:hAnsi="Arial"/>
          <w:sz w:val="18"/>
          <w:szCs w:val="18"/>
          <w:b w:val="1"/>
          <w:bCs w:val="1"/>
          <w:color w:val="auto"/>
        </w:rPr>
        <w:t>License</w:t>
      </w:r>
      <w:r>
        <w:rPr>
          <w:rFonts w:ascii="Arial" w:cs="Arial" w:eastAsia="Arial" w:hAnsi="Arial"/>
          <w:sz w:val="18"/>
          <w:szCs w:val="18"/>
          <w:color w:val="auto"/>
        </w:rPr>
        <w:t>”). In addition, AVROBIO shall have the exclusive right in the Field to use and have used the Licensed Know-How provided to it by GenStem hereunder as reasonably required in the exercise of the rights granted above. With regards to any Licensed Patent Rights that are not owned by GenStem, notwithstanding the foregoing license grant or any other section of this Agreement, but subject to Sections 2.2.2 and 6.1, the scope of the rights granted to AVROBIO with respect to Licensed Patent Rights under the License shall be limited to the rights that GenStem has in such Licensed Patent Rights, including under the License Agreement between GenStem and UCSD effective as of June 14, 2017 (the “</w:t>
      </w:r>
      <w:r>
        <w:rPr>
          <w:rFonts w:ascii="Arial" w:cs="Arial" w:eastAsia="Arial" w:hAnsi="Arial"/>
          <w:sz w:val="18"/>
          <w:szCs w:val="18"/>
          <w:b w:val="1"/>
          <w:bCs w:val="1"/>
          <w:color w:val="auto"/>
        </w:rPr>
        <w:t>UCSD Agreement</w:t>
      </w:r>
      <w:r>
        <w:rPr>
          <w:rFonts w:ascii="Arial" w:cs="Arial" w:eastAsia="Arial" w:hAnsi="Arial"/>
          <w:sz w:val="18"/>
          <w:szCs w:val="18"/>
          <w:color w:val="auto"/>
        </w:rPr>
        <w:t>”). AVROBIO hereby agrees to comply with all obligations under the UCSD Agreement as it exists on the Effective Date that are applicable to Sublicensees (as defined in the UCSD License).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Reservation of Rights; Covenants</w:t>
      </w:r>
      <w:r>
        <w:rPr>
          <w:rFonts w:ascii="Arial" w:cs="Arial" w:eastAsia="Arial" w:hAnsi="Arial"/>
          <w:sz w:val="18"/>
          <w:szCs w:val="18"/>
          <w:color w:val="auto"/>
        </w:rPr>
        <w:t>.</w:t>
      </w:r>
    </w:p>
    <w:p>
      <w:pPr>
        <w:spacing w:after="0" w:line="121" w:lineRule="exact"/>
        <w:rPr>
          <w:sz w:val="20"/>
          <w:szCs w:val="20"/>
          <w:color w:val="auto"/>
        </w:rPr>
      </w:pPr>
    </w:p>
    <w:p>
      <w:pPr>
        <w:ind w:right="100" w:firstLine="913"/>
        <w:spacing w:after="0" w:line="269" w:lineRule="auto"/>
        <w:rPr>
          <w:sz w:val="20"/>
          <w:szCs w:val="20"/>
          <w:color w:val="auto"/>
        </w:rPr>
      </w:pPr>
      <w:r>
        <w:rPr>
          <w:rFonts w:ascii="Arial" w:cs="Arial" w:eastAsia="Arial" w:hAnsi="Arial"/>
          <w:sz w:val="17"/>
          <w:szCs w:val="17"/>
          <w:color w:val="auto"/>
        </w:rPr>
        <w:t>2.2.1 Notwithstanding the exclusive rights granted to AVROBIO in Section 2.1, GenStem shall have the right and obligation to complete the planned Phase 1/2 Trial in Cystinosis titled: “A Phase 1/2 Study to determine the safety and efficacy of transplantation with autologous CD34+ HSCs from mobilized PBSCs of patients with nephropathic cystinosis modified by ex vivo transduction using lentiviral vector”, at GenStem’s expense, provided that the Parties shall reasonably consult, cooperate and communicate regarding such efforts. For clarity, such clinical trial shall be conducted in accordance with the protocol as previously provided to AVROBIO and any amendments thereto shall require the prior written consent of AVROBIO, not to be unreasonably withheld, conditioned or delayed. GenStem will use commercially reasonable best efforts to conduct and complete the planned Phase 1/2 Trial in Cystinosis in a timely manner, with US IND filing anticipated by [***], obtainment of first patient consent anticipated by [***] and obtainment of third patient consent anticipated by [***] (each of the foregoing, the “</w:t>
      </w:r>
      <w:r>
        <w:rPr>
          <w:rFonts w:ascii="Arial" w:cs="Arial" w:eastAsia="Arial" w:hAnsi="Arial"/>
          <w:sz w:val="17"/>
          <w:szCs w:val="17"/>
          <w:b w:val="1"/>
          <w:bCs w:val="1"/>
          <w:color w:val="auto"/>
        </w:rPr>
        <w:t>Trial Dates</w:t>
      </w:r>
      <w:r>
        <w:rPr>
          <w:rFonts w:ascii="Arial" w:cs="Arial" w:eastAsia="Arial" w:hAnsi="Arial"/>
          <w:sz w:val="17"/>
          <w:szCs w:val="17"/>
          <w:color w:val="auto"/>
        </w:rPr>
        <w:t>”). GenStem will prepare and deliver to AVROBIO a final Study Report for the planned Phase 1/2 Trial as soon as practicable after trial completion. Upon written request of GenStem, AVROBIO agrees to negotiate in good faith a reasonable extension of any relevant Trial Date in order to account for unforeseen circumstances or requirements, in either case beyond the reasonable control of GenStem, including any requirements imposed by a Governmental Authority, provided that any such adjusted Trial Dates shall only be effective if mutually agreed in writing by the Parties.</w:t>
      </w:r>
    </w:p>
    <w:p>
      <w:pPr>
        <w:spacing w:after="0" w:line="72"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2.2.2 GenStem shall use all commercially reasonable efforts to maintain its rights under the UCSD Agreement with respect to Licensed Technology as in force on the Effective Date and shall promptly notify AVROBIO if it receives written notice from UCSD of any claimed breach of the UCSD Agreement. Upon termination of the UCSD Agreement for any reason, GenStem shall provide prompt written notice to AVROBIO, and upon request of AVROBIO will assign to UCSD its rights under this Agreement, provided that a) AVROBIO is not in material breach of this Agreement at such time; and b) AVROBIO is not involved in</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78" w:name="page479"/>
    <w:bookmarkEnd w:id="478"/>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litigation as an adverse party to UCSD at such time. In no case, however, will UCSD be bound by duties and obligations contained in this Agreement that extend beyond the duties and obligations of UCSD set forth in the UCSD Agreement. Upon any such assignment, AVROBIO will promptly agree in writing to be bound to UCSD by the terms of this Agreement, including but not limited to the payment obligations hereunder.</w:t>
      </w:r>
    </w:p>
    <w:p>
      <w:pPr>
        <w:spacing w:after="0" w:line="57"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2.2.3 No implied licenses are granted under this Agreement, and each Party reserves all rights to all of its technology except for the rights expressly granted to AVROBIO under this Section 2.</w:t>
      </w:r>
    </w:p>
    <w:p>
      <w:pPr>
        <w:spacing w:after="0" w:line="58"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2.3 Right to Sublicense</w:t>
      </w:r>
      <w:r>
        <w:rPr>
          <w:rFonts w:ascii="Arial" w:cs="Arial" w:eastAsia="Arial" w:hAnsi="Arial"/>
          <w:sz w:val="18"/>
          <w:szCs w:val="18"/>
          <w:color w:val="auto"/>
        </w:rPr>
        <w:t>. AVROBIO may grant sublicenses under the license set forth in Section 2.1 and any other rights granted to it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its Affiliates and Third Parties, subject to the terms and conditions set forth in this Section 2.3. An existing sublicensee in good standing may grant further sublicenses, also subject to such terms and conditions.</w:t>
      </w:r>
    </w:p>
    <w:p>
      <w:pPr>
        <w:spacing w:after="0" w:line="72"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2.3.1 Each sublicense agreement shall be consistent with and subject to the terms and conditions of this Agreement. AVROBIO shall remain responsible for the performance of all sublicensees under any such sublicense as if such performance were carried out by AVROBIO itself, including, without limitation, the payment of any royalties or other payments provided for hereunder.</w:t>
      </w:r>
    </w:p>
    <w:p>
      <w:pPr>
        <w:spacing w:after="0" w:line="73"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2.3.2 AVROBIO will provide GenStem with a copy of each sublicense agreement within [***] of execution of such agreement, which copy may be reasonably redacted except for matters relevant to a determination of AVROBIO’s compliance with its obligations and/or GenStem’s rights under this Agreement.</w:t>
      </w:r>
    </w:p>
    <w:p>
      <w:pPr>
        <w:spacing w:after="0" w:line="69" w:lineRule="exact"/>
        <w:rPr>
          <w:sz w:val="20"/>
          <w:szCs w:val="20"/>
          <w:color w:val="auto"/>
        </w:rPr>
      </w:pPr>
    </w:p>
    <w:p>
      <w:pPr>
        <w:ind w:right="120" w:firstLine="456"/>
        <w:spacing w:after="0" w:line="303" w:lineRule="auto"/>
        <w:rPr>
          <w:sz w:val="20"/>
          <w:szCs w:val="20"/>
          <w:color w:val="auto"/>
        </w:rPr>
      </w:pPr>
      <w:r>
        <w:rPr>
          <w:rFonts w:ascii="Arial" w:cs="Arial" w:eastAsia="Arial" w:hAnsi="Arial"/>
          <w:sz w:val="16"/>
          <w:szCs w:val="16"/>
          <w:b w:val="1"/>
          <w:bCs w:val="1"/>
          <w:color w:val="auto"/>
        </w:rPr>
        <w:t>2.4 Technology Transfer</w:t>
      </w:r>
      <w:r>
        <w:rPr>
          <w:rFonts w:ascii="Arial" w:cs="Arial" w:eastAsia="Arial" w:hAnsi="Arial"/>
          <w:sz w:val="16"/>
          <w:szCs w:val="16"/>
          <w:color w:val="auto"/>
        </w:rPr>
        <w:t>. GenStem will provide to AVROBIO, at no additional expense: (a) copies of the Licensed Know-How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which information shall be provided to AVROBIO promptly after the Effective Date, and (b) other Licensed Technology and related program information available to GenStem (including without limitation data and other reports generated by or on behalf of GenStem regarding the Phase 1/2 Trial referenced above) as reasonably requested by AVROBIO, which information shall be provided to AVROBIO promptly after any such reasonable request.</w:t>
      </w:r>
    </w:p>
    <w:p>
      <w:pPr>
        <w:spacing w:after="0" w:line="43"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b w:val="1"/>
          <w:bCs w:val="1"/>
          <w:color w:val="auto"/>
        </w:rPr>
        <w:t>2.5 Regulatory Cooperation</w:t>
      </w:r>
      <w:r>
        <w:rPr>
          <w:rFonts w:ascii="Arial" w:cs="Arial" w:eastAsia="Arial" w:hAnsi="Arial"/>
          <w:sz w:val="17"/>
          <w:szCs w:val="17"/>
          <w:color w:val="auto"/>
        </w:rPr>
        <w:t>. GenStem shall keep AVROBIO reasonably informed of its regulatory activities and timelines therefor. GenStem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 AVROBIO with timely notice of any material meetings or other communications with any Regulatory Authority relevant to Licensed Products, and AVROBIO shall, if permitted by law, have the right to attend all such meetings, </w:t>
      </w:r>
      <w:r>
        <w:rPr>
          <w:rFonts w:ascii="Arial" w:cs="Arial" w:eastAsia="Arial" w:hAnsi="Arial"/>
          <w:sz w:val="17"/>
          <w:szCs w:val="17"/>
          <w:u w:val="single" w:color="auto"/>
          <w:color w:val="auto"/>
        </w:rPr>
        <w:t>provided that</w:t>
      </w:r>
      <w:r>
        <w:rPr>
          <w:rFonts w:ascii="Arial" w:cs="Arial" w:eastAsia="Arial" w:hAnsi="Arial"/>
          <w:sz w:val="17"/>
          <w:szCs w:val="17"/>
          <w:color w:val="auto"/>
        </w:rPr>
        <w:t>, GenStem will not be obligated to change or delay any such scheduled meetings in order to comply with AVROBIO’s availability. GenStem shall also timely provide AVROBIO with a copy of all relevant regulatory submissions reasonably in advance of submission to the FDA or other Regulatory Authority to allow AVROBIO an opportunity for review and comment. In addition, upon reasonable request of AVROBIO, GenStem shall prepare, pursue and participate in, as applicable, additional submissions to or meetings with relevant Regulatory Authorities, provided that AVROBIO shall lead, assist and/or cooperate, at GenStem’s request and at AVROBIO’s expense, in the preparation of such submissions and conduct of such meetings.</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79" w:name="page480"/>
    <w:bookmarkEnd w:id="4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460" w:hanging="452"/>
        <w:spacing w:after="0"/>
        <w:tabs>
          <w:tab w:leader="none" w:pos="4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EVELOPMENT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OMMERCIALIZATION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RODUCTS</w:t>
      </w:r>
    </w:p>
    <w:p>
      <w:pPr>
        <w:spacing w:after="0" w:line="117" w:lineRule="exact"/>
        <w:rPr>
          <w:sz w:val="20"/>
          <w:szCs w:val="20"/>
          <w:color w:val="auto"/>
        </w:rPr>
      </w:pPr>
    </w:p>
    <w:p>
      <w:pPr>
        <w:jc w:val="both"/>
        <w:ind w:right="80" w:firstLine="456"/>
        <w:spacing w:after="0" w:line="281" w:lineRule="auto"/>
        <w:rPr>
          <w:sz w:val="20"/>
          <w:szCs w:val="20"/>
          <w:color w:val="auto"/>
        </w:rPr>
      </w:pPr>
      <w:r>
        <w:rPr>
          <w:rFonts w:ascii="Arial" w:cs="Arial" w:eastAsia="Arial" w:hAnsi="Arial"/>
          <w:sz w:val="17"/>
          <w:szCs w:val="17"/>
          <w:b w:val="1"/>
          <w:bCs w:val="1"/>
          <w:color w:val="auto"/>
        </w:rPr>
        <w:t>3.1 Responsibilities</w:t>
      </w:r>
      <w:r>
        <w:rPr>
          <w:rFonts w:ascii="Arial" w:cs="Arial" w:eastAsia="Arial" w:hAnsi="Arial"/>
          <w:sz w:val="17"/>
          <w:szCs w:val="17"/>
          <w:color w:val="auto"/>
        </w:rPr>
        <w:t>. Subject to the terms and conditions of this Agreement (including without limitation Section 2.2.1 and this Section 3), AVROBIO</w:t>
      </w:r>
      <w:r>
        <w:rPr>
          <w:rFonts w:ascii="Arial" w:cs="Arial" w:eastAsia="Arial" w:hAnsi="Arial"/>
          <w:sz w:val="17"/>
          <w:szCs w:val="17"/>
          <w:b w:val="1"/>
          <w:bCs w:val="1"/>
          <w:color w:val="auto"/>
        </w:rPr>
        <w:t xml:space="preserve"> </w:t>
      </w:r>
      <w:r>
        <w:rPr>
          <w:rFonts w:ascii="Arial" w:cs="Arial" w:eastAsia="Arial" w:hAnsi="Arial"/>
          <w:sz w:val="17"/>
          <w:szCs w:val="17"/>
          <w:color w:val="auto"/>
        </w:rPr>
        <w:t>(and/or its Affiliates and sublicensees) will be solely responsible, at AVROBIO’s expense, for the Development and Commercialization of Licensed Products in the Field in the Territory, using Commercially Reasonable Efforts. AVROBIO will conduct, and will cause its Affiliates and sublicensees to conduct, such activities in a good scientific manner and in compliance in all material respects with all applicable laws.</w:t>
      </w:r>
    </w:p>
    <w:p>
      <w:pPr>
        <w:spacing w:after="0" w:line="57" w:lineRule="exact"/>
        <w:rPr>
          <w:sz w:val="20"/>
          <w:szCs w:val="20"/>
          <w:color w:val="auto"/>
        </w:rPr>
      </w:pPr>
    </w:p>
    <w:p>
      <w:pPr>
        <w:jc w:val="both"/>
        <w:ind w:right="120" w:firstLine="456"/>
        <w:spacing w:after="0" w:line="287" w:lineRule="auto"/>
        <w:rPr>
          <w:sz w:val="20"/>
          <w:szCs w:val="20"/>
          <w:color w:val="auto"/>
        </w:rPr>
      </w:pPr>
      <w:r>
        <w:rPr>
          <w:rFonts w:ascii="Arial" w:cs="Arial" w:eastAsia="Arial" w:hAnsi="Arial"/>
          <w:sz w:val="16"/>
          <w:szCs w:val="16"/>
          <w:b w:val="1"/>
          <w:bCs w:val="1"/>
          <w:color w:val="auto"/>
        </w:rPr>
        <w:t>3.2 Communication</w:t>
      </w:r>
      <w:r>
        <w:rPr>
          <w:rFonts w:ascii="Arial" w:cs="Arial" w:eastAsia="Arial" w:hAnsi="Arial"/>
          <w:sz w:val="16"/>
          <w:szCs w:val="16"/>
          <w:color w:val="auto"/>
        </w:rPr>
        <w:t>. Each Party will appoint one of its employees to serve as a technical liaison and relationship manager hereunder (“</w:t>
      </w:r>
      <w:r>
        <w:rPr>
          <w:rFonts w:ascii="Arial" w:cs="Arial" w:eastAsia="Arial" w:hAnsi="Arial"/>
          <w:sz w:val="16"/>
          <w:szCs w:val="16"/>
          <w:b w:val="1"/>
          <w:bCs w:val="1"/>
          <w:color w:val="auto"/>
        </w:rPr>
        <w:t>Relationship Manager</w:t>
      </w:r>
      <w:r>
        <w:rPr>
          <w:rFonts w:ascii="Arial" w:cs="Arial" w:eastAsia="Arial" w:hAnsi="Arial"/>
          <w:sz w:val="16"/>
          <w:szCs w:val="16"/>
          <w:color w:val="auto"/>
        </w:rPr>
        <w:t>”) with responsibility for overseeing communications between the Parties relevant to this Agreement, including without limitation communications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(a) the conduct of the Phase 1/2 Trial referenced above, (b) the transfer of the Licensed Technology to AVROBIO as contemplated in Section 2.4 above, and (c) patent matters. The initial Relationship Manager for AVROBIO shall be Dr. Nerissa Kreher and for GenStem shall be Dr. Stephanie Cherqui.</w:t>
      </w:r>
    </w:p>
    <w:p>
      <w:pPr>
        <w:spacing w:after="0" w:line="3"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Each Party may replace its Relationship Manager at any time by notice in writing to the other Party. Notwithstanding the foregoing, all information regarding the Licensed Patent Rights that is to be provided to AVROBIO pursuant to Section 6.1 shall be directed to Dr. Chris Mason at AVROBIO [***].</w:t>
      </w:r>
    </w:p>
    <w:p>
      <w:pPr>
        <w:spacing w:after="0" w:line="27"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b w:val="1"/>
          <w:bCs w:val="1"/>
          <w:color w:val="auto"/>
        </w:rPr>
        <w:t>3.3 Diligence</w:t>
      </w:r>
      <w:r>
        <w:rPr>
          <w:rFonts w:ascii="Arial" w:cs="Arial" w:eastAsia="Arial" w:hAnsi="Arial"/>
          <w:sz w:val="18"/>
          <w:szCs w:val="18"/>
          <w:color w:val="auto"/>
        </w:rPr>
        <w:t>. AVROBIO will use Commercially Reasonable Efforts to Develop, and Commercialize one or more Licensed Products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and in at least one Major Country. All efforts of AVROBIO’s Affiliates, Third Party contractors and sublicensees will be considered efforts of AVROBIO for the purpose of determining AVROBIO’s compliance with its obligations under this Section 3.3.</w:t>
      </w:r>
    </w:p>
    <w:p>
      <w:pPr>
        <w:spacing w:after="0" w:line="68"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3.4 Progress Reports</w:t>
      </w:r>
      <w:r>
        <w:rPr>
          <w:rFonts w:ascii="Arial" w:cs="Arial" w:eastAsia="Arial" w:hAnsi="Arial"/>
          <w:sz w:val="18"/>
          <w:szCs w:val="18"/>
          <w:color w:val="auto"/>
        </w:rPr>
        <w:t>. Within [***] after the end of each calendar year, AVROBIO shall furnish GenStem with a written report on the progress of its</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during the immediately preceding year to Develop and Commercialize Licensed Products under this Agreement, and of intended efforts for the Licensed Products for the year in which the report is submitted.</w:t>
      </w:r>
    </w:p>
    <w:p>
      <w:pPr>
        <w:spacing w:after="0" w:line="68" w:lineRule="exact"/>
        <w:rPr>
          <w:sz w:val="20"/>
          <w:szCs w:val="20"/>
          <w:color w:val="auto"/>
        </w:rPr>
      </w:pPr>
    </w:p>
    <w:p>
      <w:pPr>
        <w:ind w:right="40" w:firstLine="456"/>
        <w:spacing w:after="0" w:line="292" w:lineRule="auto"/>
        <w:rPr>
          <w:sz w:val="20"/>
          <w:szCs w:val="20"/>
          <w:color w:val="auto"/>
        </w:rPr>
      </w:pPr>
      <w:r>
        <w:rPr>
          <w:rFonts w:ascii="Arial" w:cs="Arial" w:eastAsia="Arial" w:hAnsi="Arial"/>
          <w:sz w:val="16"/>
          <w:szCs w:val="16"/>
          <w:b w:val="1"/>
          <w:bCs w:val="1"/>
          <w:color w:val="auto"/>
        </w:rPr>
        <w:t>3.5 Access Requirements</w:t>
      </w:r>
      <w:r>
        <w:rPr>
          <w:rFonts w:ascii="Arial" w:cs="Arial" w:eastAsia="Arial" w:hAnsi="Arial"/>
          <w:sz w:val="16"/>
          <w:szCs w:val="16"/>
          <w:color w:val="auto"/>
        </w:rPr>
        <w:t>. In addition to the obligations set forth above, to the extent required by applicable law, unless a- waiver is obtained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agency, AVROBIO shall submit an access plan to California Institute for Regenerative Medicine (“</w:t>
      </w:r>
      <w:r>
        <w:rPr>
          <w:rFonts w:ascii="Arial" w:cs="Arial" w:eastAsia="Arial" w:hAnsi="Arial"/>
          <w:sz w:val="16"/>
          <w:szCs w:val="16"/>
          <w:b w:val="1"/>
          <w:bCs w:val="1"/>
          <w:color w:val="auto"/>
        </w:rPr>
        <w:t>CIRM</w:t>
      </w:r>
      <w:r>
        <w:rPr>
          <w:rFonts w:ascii="Arial" w:cs="Arial" w:eastAsia="Arial" w:hAnsi="Arial"/>
          <w:sz w:val="16"/>
          <w:szCs w:val="16"/>
          <w:color w:val="auto"/>
        </w:rPr>
        <w:t>”) within [***] following final approval of any Licensed Product by the FDA. The plan must afford access to Licensed Products to Californians who have no other means to purchase the Licensed Product in a manner consistent with CIRM regulations (see Title 17, California Code of Regulations, Section 100607). Further, to the extent required by applicable law, unless a waiver is obtained from the appropriate agency, AVROBIO acknowledges that CIRM may request that AVROBIO enter into a license agreement with respect to Licensed Product in any field of use or territory with a responsible applicant or applicants, upon terms that are reasonable under the circumstances in accordance with CIRM regulations (see Title 17, California Code of Regulations, Section 100610).</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80" w:name="page481"/>
    <w:bookmarkEnd w:id="4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460" w:hanging="452"/>
        <w:spacing w:after="0"/>
        <w:tabs>
          <w:tab w:leader="none" w:pos="4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INANCIAL</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ERMS</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License Fees.</w:t>
      </w:r>
    </w:p>
    <w:p>
      <w:pPr>
        <w:spacing w:after="0" w:line="121"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4.1.1 As initial consideration for the grant of rights set forth herein, AVROBIO will pay to GenStem a non-creditable, non-refundable initial license fee of One Million U.S Dollars (US$1,000,000), payable within [***] of the Effective Date.</w:t>
      </w:r>
    </w:p>
    <w:p>
      <w:pPr>
        <w:spacing w:after="0" w:line="62"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4.1.2 As an additional license fee, AVROBIO will pay to GenStem a non-creditable, non-refundable additional license fee of [***] within [***] of receiving written notice from GenStem of treatment of the first patient with Licensed Product in the Phase 1/2 Trial to be conducted by GenStem pursuant to Section 2.2.1, provided that, if such milestone is achieved prior to the closing of AVROBIO’s Series B Financing, AVROBIO shall have the right to delay payment until the earlier of the closing of such Series B Financing and April 1, 2018.</w:t>
      </w:r>
    </w:p>
    <w:p>
      <w:pPr>
        <w:spacing w:after="0" w:line="21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Milestone Payments.</w:t>
      </w:r>
    </w:p>
    <w:p>
      <w:pPr>
        <w:spacing w:after="0" w:line="117" w:lineRule="exact"/>
        <w:rPr>
          <w:sz w:val="20"/>
          <w:szCs w:val="20"/>
          <w:color w:val="auto"/>
        </w:rPr>
      </w:pPr>
    </w:p>
    <w:p>
      <w:pPr>
        <w:ind w:right="20" w:firstLine="913"/>
        <w:spacing w:after="0" w:line="281" w:lineRule="auto"/>
        <w:rPr>
          <w:sz w:val="20"/>
          <w:szCs w:val="20"/>
          <w:color w:val="auto"/>
        </w:rPr>
      </w:pPr>
      <w:r>
        <w:rPr>
          <w:rFonts w:ascii="Arial" w:cs="Arial" w:eastAsia="Arial" w:hAnsi="Arial"/>
          <w:sz w:val="17"/>
          <w:szCs w:val="17"/>
          <w:color w:val="auto"/>
        </w:rPr>
        <w:t xml:space="preserve">4.2.1 </w:t>
      </w:r>
      <w:r>
        <w:rPr>
          <w:rFonts w:ascii="Arial" w:cs="Arial" w:eastAsia="Arial" w:hAnsi="Arial"/>
          <w:sz w:val="17"/>
          <w:szCs w:val="17"/>
          <w:b w:val="1"/>
          <w:bCs w:val="1"/>
          <w:color w:val="auto"/>
        </w:rPr>
        <w:t>Development Milestones</w:t>
      </w:r>
      <w:r>
        <w:rPr>
          <w:rFonts w:ascii="Arial" w:cs="Arial" w:eastAsia="Arial" w:hAnsi="Arial"/>
          <w:sz w:val="17"/>
          <w:szCs w:val="17"/>
          <w:color w:val="auto"/>
        </w:rPr>
        <w:t>. AVROBIO will pay to GenStem the following non-creditable, non-refundable milestone payments within [***] following the first achievement of the corresponding events described in the table below by the first Licensed Product being Developed, either directly or indirectly, by or on behalf of AVROBIO, its Affiliates or sublicensees to achieve such event. For clarity, each Development Milestone payment below shall be made only once, upon the first attainment of the applicable milestone event by any such Licensed Product.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ILESTONE</w:t>
            </w:r>
            <w:r>
              <w:rPr>
                <w:rFonts w:ascii="Arial" w:cs="Arial" w:eastAsia="Arial" w:hAnsi="Arial"/>
                <w:sz w:val="14"/>
                <w:szCs w:val="14"/>
                <w:b w:val="1"/>
                <w:bCs w:val="1"/>
                <w:color w:val="auto"/>
              </w:rPr>
              <w:t xml:space="preserve"> E</w:t>
            </w:r>
            <w:r>
              <w:rPr>
                <w:rFonts w:ascii="Arial" w:cs="Arial" w:eastAsia="Arial" w:hAnsi="Arial"/>
                <w:sz w:val="11"/>
                <w:szCs w:val="11"/>
                <w:b w:val="1"/>
                <w:bCs w:val="1"/>
                <w:color w:val="auto"/>
              </w:rPr>
              <w:t>VENT</w:t>
            </w:r>
          </w:p>
        </w:tc>
        <w:tc>
          <w:tcPr>
            <w:tcW w:w="682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ILESTONE</w:t>
            </w:r>
            <w:r>
              <w:rPr>
                <w:rFonts w:ascii="Arial" w:cs="Arial" w:eastAsia="Arial" w:hAnsi="Arial"/>
                <w:sz w:val="14"/>
                <w:szCs w:val="14"/>
                <w:b w:val="1"/>
                <w:bCs w:val="1"/>
                <w:color w:val="auto"/>
              </w:rPr>
              <w:t xml:space="preserve"> P</w:t>
            </w:r>
            <w:r>
              <w:rPr>
                <w:rFonts w:ascii="Arial" w:cs="Arial" w:eastAsia="Arial" w:hAnsi="Arial"/>
                <w:sz w:val="11"/>
                <w:szCs w:val="11"/>
                <w:b w:val="1"/>
                <w:bCs w:val="1"/>
                <w:color w:val="auto"/>
              </w:rPr>
              <w:t>AYMENT</w:t>
            </w:r>
          </w:p>
        </w:tc>
      </w:tr>
      <w:tr>
        <w:trPr>
          <w:trHeight w:val="318"/>
        </w:trPr>
        <w:tc>
          <w:tcPr>
            <w:tcW w:w="1220" w:type="dxa"/>
            <w:vAlign w:val="bottom"/>
          </w:tcPr>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 [***]</w:t>
            </w:r>
          </w:p>
        </w:tc>
        <w:tc>
          <w:tcPr>
            <w:tcW w:w="8220" w:type="dxa"/>
            <w:vAlign w:val="bottom"/>
            <w:gridSpan w:val="2"/>
          </w:tcPr>
          <w:p>
            <w:pPr>
              <w:jc w:val="center"/>
              <w:ind w:left="6730"/>
              <w:spacing w:after="0"/>
              <w:rPr>
                <w:sz w:val="20"/>
                <w:szCs w:val="20"/>
                <w:color w:val="auto"/>
              </w:rPr>
            </w:pPr>
            <w:r>
              <w:rPr>
                <w:rFonts w:ascii="Arial" w:cs="Arial" w:eastAsia="Arial" w:hAnsi="Arial"/>
                <w:sz w:val="18"/>
                <w:szCs w:val="18"/>
                <w:color w:val="auto"/>
              </w:rPr>
              <w:t>$[***]</w:t>
            </w:r>
          </w:p>
        </w:tc>
      </w:tr>
      <w:tr>
        <w:trPr>
          <w:trHeight w:val="324"/>
        </w:trPr>
        <w:tc>
          <w:tcPr>
            <w:tcW w:w="1220" w:type="dxa"/>
            <w:vAlign w:val="bottom"/>
          </w:tcPr>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 [***]</w:t>
            </w:r>
          </w:p>
        </w:tc>
        <w:tc>
          <w:tcPr>
            <w:tcW w:w="8220" w:type="dxa"/>
            <w:vAlign w:val="bottom"/>
            <w:gridSpan w:val="2"/>
          </w:tcPr>
          <w:p>
            <w:pPr>
              <w:jc w:val="center"/>
              <w:ind w:left="6730"/>
              <w:spacing w:after="0"/>
              <w:rPr>
                <w:sz w:val="20"/>
                <w:szCs w:val="20"/>
                <w:color w:val="auto"/>
              </w:rPr>
            </w:pPr>
            <w:r>
              <w:rPr>
                <w:rFonts w:ascii="Arial" w:cs="Arial" w:eastAsia="Arial" w:hAnsi="Arial"/>
                <w:sz w:val="18"/>
                <w:szCs w:val="18"/>
                <w:color w:val="auto"/>
              </w:rPr>
              <w:t>$[***]</w:t>
            </w:r>
          </w:p>
        </w:tc>
      </w:tr>
      <w:tr>
        <w:trPr>
          <w:trHeight w:val="324"/>
        </w:trPr>
        <w:tc>
          <w:tcPr>
            <w:tcW w:w="1220" w:type="dxa"/>
            <w:vAlign w:val="bottom"/>
          </w:tcPr>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 [***]</w:t>
            </w:r>
          </w:p>
        </w:tc>
        <w:tc>
          <w:tcPr>
            <w:tcW w:w="8220" w:type="dxa"/>
            <w:vAlign w:val="bottom"/>
            <w:gridSpan w:val="2"/>
          </w:tcPr>
          <w:p>
            <w:pPr>
              <w:jc w:val="center"/>
              <w:ind w:left="6730"/>
              <w:spacing w:after="0"/>
              <w:rPr>
                <w:sz w:val="20"/>
                <w:szCs w:val="20"/>
                <w:color w:val="auto"/>
              </w:rPr>
            </w:pPr>
            <w:r>
              <w:rPr>
                <w:rFonts w:ascii="Arial" w:cs="Arial" w:eastAsia="Arial" w:hAnsi="Arial"/>
                <w:sz w:val="18"/>
                <w:szCs w:val="18"/>
                <w:color w:val="auto"/>
              </w:rPr>
              <w:t>$[***]</w:t>
            </w:r>
          </w:p>
        </w:tc>
      </w:tr>
      <w:tr>
        <w:trPr>
          <w:trHeight w:val="324"/>
        </w:trPr>
        <w:tc>
          <w:tcPr>
            <w:tcW w:w="1220" w:type="dxa"/>
            <w:vAlign w:val="bottom"/>
          </w:tcPr>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color w:val="auto"/>
              </w:rPr>
              <w:t>. [***]</w:t>
            </w:r>
          </w:p>
        </w:tc>
        <w:tc>
          <w:tcPr>
            <w:tcW w:w="8220" w:type="dxa"/>
            <w:vAlign w:val="bottom"/>
            <w:gridSpan w:val="2"/>
          </w:tcPr>
          <w:p>
            <w:pPr>
              <w:jc w:val="center"/>
              <w:ind w:left="673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Notwithstanding the foregoing, the [***] and [***] milestone payments specified above shall be reduced by [***]% if at the time of achievement [***]. In addition, notwithstanding the foregoing, in the event that [***] (a) [***] and Milestone Payment 1 above has not been paid at such time, then such amount shall instead be payable within [***] irrespective of whether or not [***], and (b) [***] and Milestone Payment 2 above has not been paid at such time, then such amount shall instead be payable within [***] irrespective of whether or not [***].</w:t>
      </w:r>
    </w:p>
    <w:p>
      <w:pPr>
        <w:spacing w:after="0" w:line="21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Royalties.</w:t>
      </w:r>
    </w:p>
    <w:p>
      <w:pPr>
        <w:spacing w:after="0" w:line="117" w:lineRule="exact"/>
        <w:rPr>
          <w:sz w:val="20"/>
          <w:szCs w:val="20"/>
          <w:color w:val="auto"/>
        </w:rPr>
      </w:pPr>
    </w:p>
    <w:p>
      <w:pPr>
        <w:ind w:right="420" w:firstLine="913"/>
        <w:spacing w:after="0" w:line="289"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b w:val="1"/>
          <w:bCs w:val="1"/>
          <w:color w:val="auto"/>
        </w:rPr>
        <w:t>Royalty Rates</w:t>
      </w:r>
      <w:r>
        <w:rPr>
          <w:rFonts w:ascii="Arial" w:cs="Arial" w:eastAsia="Arial" w:hAnsi="Arial"/>
          <w:sz w:val="17"/>
          <w:szCs w:val="17"/>
          <w:color w:val="auto"/>
        </w:rPr>
        <w:t>. With respect to all Licensed Products in the aggregate that are Commercialized by AVROBIO, its Affiliates and sublicensees in the Territory during the Term of this Agreement and subject to Sections 4.3.2 and 4.3.3, AVROBIO shall pay to GenStem tiered royalties based annual Net Sales of such Licensed Products in the Territory in any given calendar year. The royalty rates will be as follows: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81" w:name="page482"/>
    <w:bookmarkEnd w:id="48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60" w:type="dxa"/>
            <w:vAlign w:val="bottom"/>
            <w:gridSpan w:val="2"/>
          </w:tcPr>
          <w:p>
            <w:pPr>
              <w:spacing w:after="0"/>
              <w:rPr>
                <w:sz w:val="20"/>
                <w:szCs w:val="20"/>
                <w:color w:val="auto"/>
              </w:rPr>
            </w:pPr>
            <w:r>
              <w:rPr>
                <w:rFonts w:ascii="Arial" w:cs="Arial" w:eastAsia="Arial" w:hAnsi="Arial"/>
                <w:sz w:val="14"/>
                <w:szCs w:val="14"/>
                <w:color w:val="auto"/>
              </w:rPr>
              <w:t>Net Sales in Calendar Year between</w:t>
            </w:r>
          </w:p>
        </w:tc>
        <w:tc>
          <w:tcPr>
            <w:tcW w:w="760" w:type="dxa"/>
            <w:vAlign w:val="bottom"/>
          </w:tcPr>
          <w:p>
            <w:pPr>
              <w:spacing w:after="0"/>
              <w:rPr>
                <w:sz w:val="20"/>
                <w:szCs w:val="20"/>
                <w:color w:val="auto"/>
              </w:rPr>
            </w:pPr>
            <w:r>
              <w:rPr>
                <w:rFonts w:ascii="Arial" w:cs="Arial" w:eastAsia="Arial" w:hAnsi="Arial"/>
                <w:sz w:val="14"/>
                <w:szCs w:val="14"/>
                <w:color w:val="auto"/>
                <w:w w:val="92"/>
              </w:rPr>
              <w:t>Royalty Rate</w:t>
            </w:r>
          </w:p>
        </w:tc>
      </w:tr>
      <w:tr>
        <w:trPr>
          <w:trHeight w:val="182"/>
        </w:trPr>
        <w:tc>
          <w:tcPr>
            <w:tcW w:w="20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 - $[***]</w:t>
            </w:r>
          </w:p>
        </w:tc>
        <w:tc>
          <w:tcPr>
            <w:tcW w:w="3980" w:type="dxa"/>
            <w:vAlign w:val="bottom"/>
          </w:tcPr>
          <w:p>
            <w:pPr>
              <w:spacing w:after="0"/>
              <w:rPr>
                <w:sz w:val="15"/>
                <w:szCs w:val="15"/>
                <w:color w:val="auto"/>
              </w:rPr>
            </w:pPr>
          </w:p>
        </w:tc>
        <w:tc>
          <w:tcPr>
            <w:tcW w:w="7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&gt;[***] and £ $[***]</w:t>
            </w:r>
          </w:p>
        </w:tc>
        <w:tc>
          <w:tcPr>
            <w:tcW w:w="7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&gt; $[***]</w:t>
            </w:r>
          </w:p>
        </w:tc>
        <w:tc>
          <w:tcPr>
            <w:tcW w:w="39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b w:val="1"/>
          <w:bCs w:val="1"/>
          <w:color w:val="auto"/>
        </w:rPr>
        <w:t>Royalty Reduction/ Offset</w:t>
      </w:r>
      <w:r>
        <w:rPr>
          <w:rFonts w:ascii="Arial" w:cs="Arial" w:eastAsia="Arial" w:hAnsi="Arial"/>
          <w:sz w:val="16"/>
          <w:szCs w:val="16"/>
          <w:color w:val="auto"/>
        </w:rPr>
        <w:t>. The royalty due on Licensed Products as specified above in Section 4.3.1 shall be reduced by [***] ([***]%)</w:t>
      </w:r>
    </w:p>
    <w:p>
      <w:pPr>
        <w:spacing w:after="0" w:line="50" w:lineRule="exact"/>
        <w:rPr>
          <w:sz w:val="20"/>
          <w:szCs w:val="20"/>
          <w:color w:val="auto"/>
        </w:rPr>
      </w:pPr>
    </w:p>
    <w:p>
      <w:pPr>
        <w:ind w:right="20" w:firstLine="8"/>
        <w:spacing w:after="0" w:line="286" w:lineRule="auto"/>
        <w:tabs>
          <w:tab w:leader="none" w:pos="215" w:val="left"/>
        </w:tabs>
        <w:numPr>
          <w:ilvl w:val="0"/>
          <w:numId w:val="337"/>
        </w:numPr>
        <w:rPr>
          <w:rFonts w:ascii="Arial" w:cs="Arial" w:eastAsia="Arial" w:hAnsi="Arial"/>
          <w:sz w:val="16"/>
          <w:szCs w:val="16"/>
          <w:color w:val="auto"/>
        </w:rPr>
      </w:pPr>
      <w:r>
        <w:rPr>
          <w:rFonts w:ascii="Arial" w:cs="Arial" w:eastAsia="Arial" w:hAnsi="Arial"/>
          <w:sz w:val="16"/>
          <w:szCs w:val="16"/>
          <w:color w:val="auto"/>
        </w:rPr>
        <w:t>for sales in a given country where (a) the approved Product Label for the Licensed Product in such country at the time of sale specifically excludes females or does not include human clinical safety and efficacy data from females, or (b) the manufacture, use or sale of the Licensed Product would not infringe a Valid Claim of the Licensed Patent Rights in such country, or (ii) if GenStem has not achieved any relevant event specified in Section 2.2.1 as of the relevant Trial Date, as such Trial Date may be adjusted in accordance with Section 2.2.1. Further, AVROBIO shall have the right to offset [***] ([***]%) of any royalties or other license fees paid to Third Parties for sales of Licensed Product in a particular country in order to commercialize Licensed Products against royalties due hereunder for such country, up to a maximum of [***] ([***]%) of the amounts otherwise due to GenStem under Section 4.3.1. Notwithstanding anything in this Agreement, in no event shall the royalty payable to GenStem under this Agreement be reduced pursuant to any provision of this Section 4.3.2 or any other section of this Agreement to less than [***] of the relevant amount provided in Section 4.3.1. For clarity, if human clinical safety and efficacy data from females becomes available at any time during the Term, AVROBIO shall use Commercially Reasonable Efforts to obtain access to such data and to file it with the appropriate Regulatory Authorities in order to expand the approved Product Label for the Licensed Product.</w:t>
      </w:r>
    </w:p>
    <w:p>
      <w:pPr>
        <w:spacing w:after="0" w:line="58" w:lineRule="exact"/>
        <w:rPr>
          <w:sz w:val="20"/>
          <w:szCs w:val="20"/>
          <w:color w:val="auto"/>
        </w:rPr>
      </w:pPr>
    </w:p>
    <w:p>
      <w:pPr>
        <w:ind w:right="440" w:firstLine="913"/>
        <w:spacing w:after="0" w:line="293"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b w:val="1"/>
          <w:bCs w:val="1"/>
          <w:color w:val="auto"/>
        </w:rPr>
        <w:t>Royalty Term</w:t>
      </w:r>
      <w:r>
        <w:rPr>
          <w:rFonts w:ascii="Arial" w:cs="Arial" w:eastAsia="Arial" w:hAnsi="Arial"/>
          <w:sz w:val="16"/>
          <w:szCs w:val="16"/>
          <w:color w:val="auto"/>
        </w:rPr>
        <w:t>. Running royalties as specified above shall be payable on Net Sales on a Licensed Product-by-Licensed Product and country-by-country basis until the later of (i) the eleventh (11</w:t>
      </w:r>
      <w:r>
        <w:rPr>
          <w:rFonts w:ascii="Arial" w:cs="Arial" w:eastAsia="Arial" w:hAnsi="Arial"/>
          <w:sz w:val="13"/>
          <w:szCs w:val="13"/>
          <w:color w:val="auto"/>
        </w:rPr>
        <w:t>th</w:t>
      </w:r>
      <w:r>
        <w:rPr>
          <w:rFonts w:ascii="Arial" w:cs="Arial" w:eastAsia="Arial" w:hAnsi="Arial"/>
          <w:sz w:val="16"/>
          <w:szCs w:val="16"/>
          <w:color w:val="auto"/>
        </w:rPr>
        <w:t>) anniversary of the First Commercial Sale of such Licensed Product in such country, and</w:t>
      </w:r>
    </w:p>
    <w:p>
      <w:pPr>
        <w:spacing w:after="0" w:line="1" w:lineRule="exact"/>
        <w:rPr>
          <w:sz w:val="20"/>
          <w:szCs w:val="20"/>
          <w:color w:val="auto"/>
        </w:rPr>
      </w:pPr>
    </w:p>
    <w:p>
      <w:pPr>
        <w:ind w:right="600" w:firstLine="8"/>
        <w:spacing w:after="0" w:line="261" w:lineRule="auto"/>
        <w:tabs>
          <w:tab w:leader="none" w:pos="26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expiration of the last Valid Claim under the Licensed Patent Rights covering such Licensed Product in such country (the “</w:t>
      </w:r>
      <w:r>
        <w:rPr>
          <w:rFonts w:ascii="Arial" w:cs="Arial" w:eastAsia="Arial" w:hAnsi="Arial"/>
          <w:sz w:val="18"/>
          <w:szCs w:val="18"/>
          <w:b w:val="1"/>
          <w:bCs w:val="1"/>
          <w:color w:val="auto"/>
        </w:rPr>
        <w:t>Royalty Term</w:t>
      </w:r>
      <w:r>
        <w:rPr>
          <w:rFonts w:ascii="Arial" w:cs="Arial" w:eastAsia="Arial" w:hAnsi="Arial"/>
          <w:sz w:val="18"/>
          <w:szCs w:val="18"/>
          <w:color w:val="auto"/>
        </w:rPr>
        <w:t>” for such Licensed Product in such country).</w:t>
      </w:r>
    </w:p>
    <w:p>
      <w:pPr>
        <w:spacing w:after="0" w:line="72"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4.4 Royalty Reports; Payment</w:t>
      </w:r>
      <w:r>
        <w:rPr>
          <w:rFonts w:ascii="Arial" w:cs="Arial" w:eastAsia="Arial" w:hAnsi="Arial"/>
          <w:sz w:val="18"/>
          <w:szCs w:val="18"/>
          <w:color w:val="auto"/>
        </w:rPr>
        <w:t>. Following the First Commercial Sale of any Licensed Product for which royalties are due pursuant to Section 4.3,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for so long as royalties are due hereunder, within [***] after the end of [***], AVROBIO shall provide a royalty report showing, on a Licensed Product-by-Licensed Product and country-by-country basis:</w:t>
      </w:r>
    </w:p>
    <w:p>
      <w:pPr>
        <w:spacing w:after="0" w:line="72" w:lineRule="exact"/>
        <w:rPr>
          <w:sz w:val="20"/>
          <w:szCs w:val="20"/>
          <w:color w:val="auto"/>
        </w:rPr>
      </w:pPr>
    </w:p>
    <w:p>
      <w:pPr>
        <w:ind w:left="1580" w:hanging="239"/>
        <w:spacing w:after="0"/>
        <w:tabs>
          <w:tab w:leader="none" w:pos="158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Net Sales of each Licensed Product sold by AVROBIO, its Affiliates and sublicensees during such calendar quarter reporting period;</w:t>
      </w:r>
    </w:p>
    <w:p>
      <w:pPr>
        <w:spacing w:after="0" w:line="140" w:lineRule="exact"/>
        <w:rPr>
          <w:rFonts w:ascii="Arial" w:cs="Arial" w:eastAsia="Arial" w:hAnsi="Arial"/>
          <w:sz w:val="16"/>
          <w:szCs w:val="16"/>
          <w:color w:val="auto"/>
        </w:rPr>
      </w:pPr>
    </w:p>
    <w:p>
      <w:pPr>
        <w:ind w:left="1600" w:hanging="259"/>
        <w:spacing w:after="0"/>
        <w:tabs>
          <w:tab w:leader="none" w:pos="16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royalties payable in United States dollars which shall have accrued hereunder with respect to such Net Sales;</w:t>
      </w:r>
    </w:p>
    <w:p>
      <w:pPr>
        <w:spacing w:after="0" w:line="157" w:lineRule="exact"/>
        <w:rPr>
          <w:rFonts w:ascii="Arial" w:cs="Arial" w:eastAsia="Arial" w:hAnsi="Arial"/>
          <w:sz w:val="18"/>
          <w:szCs w:val="18"/>
          <w:color w:val="auto"/>
        </w:rPr>
      </w:pPr>
    </w:p>
    <w:p>
      <w:pPr>
        <w:ind w:left="8640" w:hanging="323"/>
        <w:spacing w:after="0"/>
        <w:tabs>
          <w:tab w:leader="none" w:pos="8640" w:val="left"/>
        </w:tabs>
        <w:numPr>
          <w:ilvl w:val="1"/>
          <w:numId w:val="339"/>
        </w:numPr>
        <w:rPr>
          <w:rFonts w:ascii="Arial" w:cs="Arial" w:eastAsia="Arial" w:hAnsi="Arial"/>
          <w:sz w:val="16"/>
          <w:szCs w:val="16"/>
          <w:color w:val="auto"/>
        </w:rPr>
      </w:pPr>
      <w:r>
        <w:rPr>
          <w:rFonts w:ascii="Arial" w:cs="Arial" w:eastAsia="Arial" w:hAnsi="Arial"/>
          <w:sz w:val="16"/>
          <w:szCs w:val="16"/>
          <w:color w:val="auto"/>
        </w:rPr>
        <w:t>Confidential Treatment Requested ***</w:t>
      </w:r>
    </w:p>
    <w:p>
      <w:pPr>
        <w:sectPr>
          <w:pgSz w:w="11900" w:h="16838" w:orient="portrait"/>
          <w:cols w:equalWidth="0" w:num="1">
            <w:col w:w="11420"/>
          </w:cols>
          <w:pgMar w:left="240" w:top="270" w:right="239" w:bottom="1440" w:gutter="0" w:footer="0" w:header="0"/>
        </w:sectPr>
      </w:pPr>
    </w:p>
    <w:bookmarkStart w:id="482" w:name="page483"/>
    <w:bookmarkEnd w:id="48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left="1580" w:hanging="239"/>
        <w:spacing w:after="0"/>
        <w:tabs>
          <w:tab w:leader="none" w:pos="15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withholding taxes, if any, required by applicable law to be deducted with respect to such royalties; and</w:t>
      </w:r>
    </w:p>
    <w:p>
      <w:pPr>
        <w:spacing w:after="0" w:line="117" w:lineRule="exact"/>
        <w:rPr>
          <w:rFonts w:ascii="Arial" w:cs="Arial" w:eastAsia="Arial" w:hAnsi="Arial"/>
          <w:sz w:val="18"/>
          <w:szCs w:val="18"/>
          <w:color w:val="auto"/>
        </w:rPr>
      </w:pPr>
    </w:p>
    <w:p>
      <w:pPr>
        <w:ind w:left="460" w:right="280" w:firstLine="881"/>
        <w:spacing w:after="0" w:line="277" w:lineRule="auto"/>
        <w:tabs>
          <w:tab w:leader="none" w:pos="1591"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rate of exchange with supporting calculations, determined in accordance with Section 4.5, used by AVROBIO in determining the amount of United States dollars payable hereunder.</w:t>
      </w:r>
    </w:p>
    <w:p>
      <w:pPr>
        <w:spacing w:after="0" w:line="62"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Such reports shall also include, following written request of GenStem, any other reasonable data and information reasonably requested by GenStem, including any additional data and information required under the UCSD License.</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AVROBIO shall pay to GenStem the royalties for [***] at the time of submission of AVROBIO’s royalty report. If no royalty is due for any royalty period hereunder following commencement of the reporting obligation, AVROBIO shall so report.</w:t>
      </w:r>
    </w:p>
    <w:p>
      <w:pPr>
        <w:spacing w:after="0" w:line="5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4.5 Sublicense Income</w:t>
      </w:r>
      <w:r>
        <w:rPr>
          <w:rFonts w:ascii="Arial" w:cs="Arial" w:eastAsia="Arial" w:hAnsi="Arial"/>
          <w:sz w:val="16"/>
          <w:szCs w:val="16"/>
          <w:color w:val="auto"/>
        </w:rPr>
        <w:t>. AVROBIO will pay to GenStem [***] of Sublicense Income received from Third Party sublicensees if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sublicense agreement is entered into by the relevant parties prior to the [***] anniversary of the Effective Date and [***] of Sublicense Income received from Third Party sublicensees if the applicable sublicense agreement is entered into by the relevant parties on or after the [***] anniversary of the Effective Date and prior to the [***] anniversary of the Effective Date. For the avoidance of doubt, no portion of Sublicense Income shall be payable to GenStem with respect to any sublicense agreement entered into by the relevant parties on or after the [***] anniversary of the Effective Date. AVROBIO will make such payment to GenStem within [***] of receipt of the relevant Sublicense Income. Any such payments with respect to the Sublicense Income shall be non-creditable against any other payment obligations of AVROBIO under this Agreement; provided, however, that AVROBIO shall not be required to make any payments to GenStem which would amount to “double-dipping” for the same milestone event. Accordingly, if AVROBIO receives Sublicense Income as a result of a sublicensee’s achievement of a milestone event for which a milestone payment is due to GenStem as provided in Section 4.2 above, amounts paid by AVROBIO to GenStem on account of the relevant Sublicense Income shall be fully creditable against any amounts payable by AVROBIO to GenStem for such milestone event under Section 4.2. For example, if a sublicense agreement is entered into prior to the [***] anniversary of the Effective Date and the sublicensee pays to AVROBIO the sum of $[***] upon the achievement of milestone event 1, GenStem shall receive the $[***] due pursuant to Section 4.2, and an additional [***]% of the excess milestone payment of $[***] – $[***] under this Section 4.5.</w:t>
      </w:r>
    </w:p>
    <w:p>
      <w:pPr>
        <w:spacing w:after="0" w:line="57"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color w:val="auto"/>
        </w:rPr>
        <w:t>4.6 Currency Exchange</w:t>
      </w:r>
      <w:r>
        <w:rPr>
          <w:rFonts w:ascii="Arial" w:cs="Arial" w:eastAsia="Arial" w:hAnsi="Arial"/>
          <w:sz w:val="17"/>
          <w:szCs w:val="17"/>
          <w:color w:val="auto"/>
        </w:rPr>
        <w:t>. In the case of Net Sales outside the United States, the rate of exchange to be used in computing the amount of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equivalent in United States dollars shall be the rate of exchange used by AVROBIO or its Affiliate or sublicensee, as relevant, for its own financial reporting purposes in connection with its other products or accounts, which shall be consistent with GAAP. Upon request by GenStem, AVROBIO shall provide GenStem with a copy of AVROBIO’s (or its Affiliate’s or sublicensee’s, as relevant) then-current currency exchange policy.</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83" w:name="page484"/>
    <w:bookmarkEnd w:id="483"/>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b w:val="1"/>
          <w:bCs w:val="1"/>
          <w:color w:val="auto"/>
        </w:rPr>
        <w:t>4.7 Records; Audit, Records and Audits</w:t>
      </w:r>
      <w:r>
        <w:rPr>
          <w:rFonts w:ascii="Arial" w:cs="Arial" w:eastAsia="Arial" w:hAnsi="Arial"/>
          <w:sz w:val="16"/>
          <w:szCs w:val="16"/>
          <w:color w:val="auto"/>
        </w:rPr>
        <w:t>. AVROBIO shall keep, and shall require its Affiliates and (sub)licensees to keep (all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accepted accounting principles, consistently applied), complete and accurate records in sufficient detail to properly reflect Net Sales and to enable any milestones payable hereunder to be determined. Upon the written request of GenStem and not more than once in each calendar year, AVROBIO and its Affiliates shall permit an independent certified public accounting firm of nationally recognized standing selected by GenStem and reasonably acceptable to AVROBIO, at GenStem’s expense, to have access during normal business hours to such records of AVROBIO and/or its Affiliates as may be reasonably necessary to verify the accuracy of the payments hereunder for any calendar year ending not more than [***] prior to the date of such request. These rights with respect to any calendar year shall terminate [***] after the end of any such calendar year. GenStem shall provide AVROBIO with a copy of the accounting firm’s written report within [***] of completion of such report. If such accounting firm correctly concludes that an underpayment was made, then AVROBIO shall pay the amount due within [***] of the date GenStem delivers to AVROBIO such accounting firm’s written report so correctly concluding. GenStem shall bear the full cost of such audit unless such audit correctly discloses that the additional payment payable by AVROBIO for the audited period is more than [***] of the amount otherwise paid for that audited period, in which case AVROBIO shall pay the reasonable fees and expenses charged by the accounting firm. GenStem shall treat all financial information, subject to review under this Section in accordance with the confidentiality provisions of this Agreement, and shall cause its accounting firm to enter into a confidentiality agreement with AVROBIO obligating it to treat all such financial information in confidence pursuant to such confidentiality provisions. AVROBIO and its Affiliates shall include in each relevant license granted by it a provision requiring any (sub)licensee to maintain records of sales of Licensed Products made pursuant to such license, and to grant access to such records by AVROBIO’s independent accountant to the same extent and under the same obligations as required of AVROBIO under this Agreement. AVROBIO shall advise GenStem in advance of each audit of any such (sub)licensee with respect to Licensed Product sales. AVROBIO will provide GenStem with a summary of the results received from the audit and, if GenStem so requests, a copy of the audit report, with respect to relevant Licensed Product sales.</w:t>
      </w:r>
    </w:p>
    <w:p>
      <w:pPr>
        <w:spacing w:after="0" w:line="65" w:lineRule="exact"/>
        <w:rPr>
          <w:sz w:val="20"/>
          <w:szCs w:val="20"/>
          <w:color w:val="auto"/>
        </w:rPr>
      </w:pPr>
    </w:p>
    <w:p>
      <w:pPr>
        <w:jc w:val="both"/>
        <w:ind w:right="240" w:firstLine="456"/>
        <w:spacing w:after="0" w:line="266" w:lineRule="auto"/>
        <w:rPr>
          <w:sz w:val="20"/>
          <w:szCs w:val="20"/>
          <w:color w:val="auto"/>
        </w:rPr>
      </w:pPr>
      <w:r>
        <w:rPr>
          <w:rFonts w:ascii="Arial" w:cs="Arial" w:eastAsia="Arial" w:hAnsi="Arial"/>
          <w:sz w:val="18"/>
          <w:szCs w:val="18"/>
          <w:b w:val="1"/>
          <w:bCs w:val="1"/>
          <w:color w:val="auto"/>
        </w:rPr>
        <w:t>4.8 Confidentiality</w:t>
      </w:r>
      <w:r>
        <w:rPr>
          <w:rFonts w:ascii="Arial" w:cs="Arial" w:eastAsia="Arial" w:hAnsi="Arial"/>
          <w:sz w:val="18"/>
          <w:szCs w:val="18"/>
          <w:color w:val="auto"/>
        </w:rPr>
        <w:t>. Each Party will treat all information subject to review under Section 4.6 in accordance with the provisions of Section 7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cause its accounting firm and the independent expert to enter into a reasonably acceptable confidentiality agreement with the audited Party obligating such entity to maintain all such financial information in confidence pursuant to such confidentiality agreement.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4.9 Payment Terms; Interest</w:t>
      </w:r>
      <w:r>
        <w:rPr>
          <w:rFonts w:ascii="Arial" w:cs="Arial" w:eastAsia="Arial" w:hAnsi="Arial"/>
          <w:sz w:val="18"/>
          <w:szCs w:val="18"/>
          <w:color w:val="auto"/>
        </w:rPr>
        <w:t>.</w:t>
      </w:r>
    </w:p>
    <w:p>
      <w:pPr>
        <w:spacing w:after="0" w:line="121"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color w:val="auto"/>
        </w:rPr>
        <w:t>4.9.1 Payments under this Agreement shall be made in U.S. Dollars by wire transfer of immediately available funds to an account at a commercial bank designated by GenStem, such designation in writing to be provided to AVROBIO at least [***] before payment is due. Any payments due under this Agreement shall be due on such date as specified in the Agreement or, in the event that such date is not a business day, the next succeeding business day. Any payments based on invoices shall be made within [***] from AVROBIO’s receipt of such invoice.</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84" w:name="page485"/>
    <w:bookmarkEnd w:id="484"/>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4.9.2 If AVROBIO does not make a payment that is owed under the terms of this Agreement by the date when due, then AVROBIO shall be obligated to pay computed simple interest, the interest period commencing from such date and ending on the date that payment of the amount owed is actually made, at an interest rate per annum equal to the [***], or the highest rate allowed by law, whichever is lower. The interest calculation shall be based on the act/360 computation method. Such interest shall be due and payable on the tender of the underlying principal payment.</w:t>
      </w:r>
    </w:p>
    <w:p>
      <w:pPr>
        <w:spacing w:after="0" w:line="5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color w:val="auto"/>
        </w:rPr>
        <w:t>4.10 Taxes</w:t>
      </w:r>
      <w:r>
        <w:rPr>
          <w:rFonts w:ascii="Arial" w:cs="Arial" w:eastAsia="Arial" w:hAnsi="Arial"/>
          <w:sz w:val="17"/>
          <w:szCs w:val="17"/>
          <w:color w:val="auto"/>
        </w:rPr>
        <w:t>. GenStem will be responsible for any income or other taxes owed by GenStem and required by applicable law to be withheld or deducted</w:t>
      </w:r>
      <w:r>
        <w:rPr>
          <w:rFonts w:ascii="Arial" w:cs="Arial" w:eastAsia="Arial" w:hAnsi="Arial"/>
          <w:sz w:val="17"/>
          <w:szCs w:val="17"/>
          <w:b w:val="1"/>
          <w:bCs w:val="1"/>
          <w:color w:val="auto"/>
        </w:rPr>
        <w:t xml:space="preserve"> </w:t>
      </w:r>
      <w:r>
        <w:rPr>
          <w:rFonts w:ascii="Arial" w:cs="Arial" w:eastAsia="Arial" w:hAnsi="Arial"/>
          <w:sz w:val="17"/>
          <w:szCs w:val="17"/>
          <w:color w:val="auto"/>
        </w:rPr>
        <w:t>from any of the royalty and other payments made by or on behalf of AVROBIO to GenStem hereunder (“</w:t>
      </w:r>
      <w:r>
        <w:rPr>
          <w:rFonts w:ascii="Arial" w:cs="Arial" w:eastAsia="Arial" w:hAnsi="Arial"/>
          <w:sz w:val="17"/>
          <w:szCs w:val="17"/>
          <w:b w:val="1"/>
          <w:bCs w:val="1"/>
          <w:color w:val="auto"/>
        </w:rPr>
        <w:t>Withholding Taxes</w:t>
      </w:r>
      <w:r>
        <w:rPr>
          <w:rFonts w:ascii="Arial" w:cs="Arial" w:eastAsia="Arial" w:hAnsi="Arial"/>
          <w:sz w:val="17"/>
          <w:szCs w:val="17"/>
          <w:color w:val="auto"/>
        </w:rPr>
        <w:t>”). AVROBIO may deduct from any amounts that AVROBIO is required to pay hereunder to GenStem an amount equal to any such Withholding Taxes required by AVROBIO to be withheld and paid to the proper tax authority. Upon request, GenStem will provide AVROBIO any information available to GenStem that is necessary to allow any such Withholding Taxes to be determined. Such Withholding Taxes will be paid to the proper taxing authority for GenStem’s account and evidence of such payment will be secured and sent to GenStem within [***] of such payment. The Parties will use reasonable efforts to do such lawful acts and sign such lawful deeds and documents as either Party may reasonably request from the other Party to enable GenStem and AVROBIO or its Affiliates or sublicensees to take advantage of any applicable legal provision or any double taxation treaties with the object of paying the sums due to GenStem hereunder without, or to minimize the amount of, such withholding or deduction of any Withholding Taxes.</w:t>
      </w:r>
    </w:p>
    <w:p>
      <w:pPr>
        <w:spacing w:after="0" w:line="200" w:lineRule="exact"/>
        <w:rPr>
          <w:sz w:val="20"/>
          <w:szCs w:val="20"/>
          <w:color w:val="auto"/>
        </w:rPr>
      </w:pPr>
    </w:p>
    <w:p>
      <w:pPr>
        <w:spacing w:after="0" w:line="258" w:lineRule="exact"/>
        <w:rPr>
          <w:sz w:val="20"/>
          <w:szCs w:val="20"/>
          <w:color w:val="auto"/>
        </w:rPr>
      </w:pPr>
    </w:p>
    <w:p>
      <w:pPr>
        <w:ind w:left="460" w:hanging="452"/>
        <w:spacing w:after="0"/>
        <w:tabs>
          <w:tab w:leader="none" w:pos="46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NTELLECTUAL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ROPERTY</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 Prosecution of Licensed Patent Rights</w:t>
      </w:r>
      <w:r>
        <w:rPr>
          <w:rFonts w:ascii="Arial" w:cs="Arial" w:eastAsia="Arial" w:hAnsi="Arial"/>
          <w:sz w:val="18"/>
          <w:szCs w:val="18"/>
          <w:color w:val="auto"/>
        </w:rPr>
        <w:t>.</w:t>
      </w:r>
    </w:p>
    <w:p>
      <w:pPr>
        <w:spacing w:after="0" w:line="229"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5.1.1 In accordance with this Section 5.1.1, unless the Parties otherwise agree in writing for a given Licensed Patent Right, as between the Parties, GenStem will have lead responsibility for the preparation, filing, prosecution, defense and maintenance (“</w:t>
      </w:r>
      <w:r>
        <w:rPr>
          <w:rFonts w:ascii="Arial" w:cs="Arial" w:eastAsia="Arial" w:hAnsi="Arial"/>
          <w:sz w:val="17"/>
          <w:szCs w:val="17"/>
          <w:b w:val="1"/>
          <w:bCs w:val="1"/>
          <w:color w:val="auto"/>
        </w:rPr>
        <w:t>Prosecution</w:t>
      </w:r>
      <w:r>
        <w:rPr>
          <w:rFonts w:ascii="Arial" w:cs="Arial" w:eastAsia="Arial" w:hAnsi="Arial"/>
          <w:sz w:val="17"/>
          <w:szCs w:val="17"/>
          <w:color w:val="auto"/>
        </w:rPr>
        <w:t>”) in the Territory of the Licensed Patent Rights, provided that AVROBIO acknowledges that UCSD may be performing such activities for GenStem. GenStem shall be responsible for all costs and expenses with respect to such activities. GenStem will perform or have performed such activities through patent counsel of its choice. GenStem will provide AVROBIO with copies of all official correspondence received from patent offices with respect to any Licensed Patent Rights, and with any proposed substantive responses thereto sufficiently in advance for AVROBIO to provide comments and suggestions on such proposed responses, which comments and suggestions shall be considered by GenStem in good faith, and GenStem shall use all reasonable efforts to have them taken into consideration by UCSD. GenStem will provide AVROBIO with an update of the filing, prosecution and maintenance status for each Licensed Patent Right on a periodic basis. In the event that GenStem elects not to pursue or continue the Prosecution of any Licensed Patent Right in any country, GenStem shall provide AVROBIO with notice of this decision at least [***] prior to any pending lapse or abandonment thereof and provide AVROBIO with an opportunity to request that GenStem continue such Prosecution at AVROBIO’s expense.</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85" w:name="page486"/>
    <w:bookmarkEnd w:id="48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Enforcement.</w:t>
      </w:r>
    </w:p>
    <w:p>
      <w:pPr>
        <w:spacing w:after="0" w:line="117"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 xml:space="preserve">5.2.1 </w:t>
      </w:r>
      <w:r>
        <w:rPr>
          <w:rFonts w:ascii="Arial" w:cs="Arial" w:eastAsia="Arial" w:hAnsi="Arial"/>
          <w:sz w:val="17"/>
          <w:szCs w:val="17"/>
          <w:b w:val="1"/>
          <w:bCs w:val="1"/>
          <w:color w:val="auto"/>
        </w:rPr>
        <w:t>Initiation</w:t>
      </w:r>
      <w:r>
        <w:rPr>
          <w:rFonts w:ascii="Arial" w:cs="Arial" w:eastAsia="Arial" w:hAnsi="Arial"/>
          <w:sz w:val="17"/>
          <w:szCs w:val="17"/>
          <w:color w:val="auto"/>
        </w:rPr>
        <w:t>. If either Party learns of any infringement or threatened infringement by a Third Party of any Licensed Patent Right, such Party shall promptly notify the other Party and shall provide such other Party with available evidence of such infringement (the “</w:t>
      </w:r>
      <w:r>
        <w:rPr>
          <w:rFonts w:ascii="Arial" w:cs="Arial" w:eastAsia="Arial" w:hAnsi="Arial"/>
          <w:sz w:val="17"/>
          <w:szCs w:val="17"/>
          <w:b w:val="1"/>
          <w:bCs w:val="1"/>
          <w:color w:val="auto"/>
        </w:rPr>
        <w:t>Infringement Notice</w:t>
      </w:r>
      <w:r>
        <w:rPr>
          <w:rFonts w:ascii="Arial" w:cs="Arial" w:eastAsia="Arial" w:hAnsi="Arial"/>
          <w:sz w:val="17"/>
          <w:szCs w:val="17"/>
          <w:color w:val="auto"/>
        </w:rPr>
        <w:t>”). Neither AVROBIO nor GenStem will notify a Third Party (including the infringer) of infringement or put such Third Party on notice of the existence of any Licensed Patent Rights without first obtaining consent of the other, such consent not to be unreasonably withheld, conditioned or delayed. AVROBIO and GenStem agree to discuss and determine how best to proceed. AVROBIO and GenStem agree to use diligent efforts to cooperate with each other to terminate such infringement without litigation. If such infringement has not ended within [***] of the effective date of the Infringement Notice, then AVROBIO shall have the first right, but not the obligation, at its sole expense, to bring suit or other appropriate legal action against any actual or suspected infringement of any Licensed Patent Rights relating to the Development or Commercialization of Licensed Products in the Field in the Territory. If AVROBIO does not take such action within [***] after the Infringement Notice, then GenStem shall have the right but not the obligation, at its own expense, to bring suit or other appropriate legal action against such infringement.</w:t>
      </w:r>
    </w:p>
    <w:p>
      <w:pPr>
        <w:spacing w:after="0" w:line="7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5.2.2 </w:t>
      </w:r>
      <w:r>
        <w:rPr>
          <w:rFonts w:ascii="Arial" w:cs="Arial" w:eastAsia="Arial" w:hAnsi="Arial"/>
          <w:sz w:val="17"/>
          <w:szCs w:val="17"/>
          <w:b w:val="1"/>
          <w:bCs w:val="1"/>
          <w:color w:val="auto"/>
        </w:rPr>
        <w:t>Cooperation</w:t>
      </w:r>
      <w:r>
        <w:rPr>
          <w:rFonts w:ascii="Arial" w:cs="Arial" w:eastAsia="Arial" w:hAnsi="Arial"/>
          <w:sz w:val="17"/>
          <w:szCs w:val="17"/>
          <w:color w:val="auto"/>
        </w:rPr>
        <w:t>. Each Party shall, at the other Party’s expense, execute all papers and perform such other acts as may be reasonably required to bring and/or maintain any infringement suit brought by the other Party in accordance with Section 5.2.1 above (including joining as a party to such actions or proceedings if reasonably requested by the other Party or required by applicable law), and at its option and expense, may be represented in such suit by counsel of its choice. GenStem shall use all reasonable efforts to obtain UCSD’s similar cooperation with respect to any such actions or proceedings as relevant. In addition, the Parties shall cooperate with each other in obtaining patent term restoration or supplemental protection certificates or their equivalents in any country where applicable to Licensed Patent Rights. In the event that elections with respect to obtaining such patent term restoration, supplemental protection certificates or their equivalents are to be made, the Parties shall agree upon such elections.</w:t>
      </w:r>
    </w:p>
    <w:p>
      <w:pPr>
        <w:spacing w:after="0" w:line="64" w:lineRule="exact"/>
        <w:rPr>
          <w:sz w:val="20"/>
          <w:szCs w:val="20"/>
          <w:color w:val="auto"/>
        </w:rPr>
      </w:pPr>
    </w:p>
    <w:p>
      <w:pPr>
        <w:jc w:val="both"/>
        <w:ind w:right="80" w:firstLine="913"/>
        <w:spacing w:after="0" w:line="266" w:lineRule="auto"/>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b w:val="1"/>
          <w:bCs w:val="1"/>
          <w:color w:val="auto"/>
        </w:rPr>
        <w:t>Recovery</w:t>
      </w:r>
      <w:r>
        <w:rPr>
          <w:rFonts w:ascii="Arial" w:cs="Arial" w:eastAsia="Arial" w:hAnsi="Arial"/>
          <w:sz w:val="18"/>
          <w:szCs w:val="18"/>
          <w:color w:val="auto"/>
        </w:rPr>
        <w:t>. Any amount recovered, whether by judgment or settlement, shall first be applied to reimburse the costs and expenses (including attorneys’ fees) of the Party bringing suit, then to the costs and expenses (including attorneys’ fees), if any, of the other Party. With regards to net amounts of recovery (remaining after payment of costs and expenses as above), such shall be allocated [***].</w:t>
      </w:r>
    </w:p>
    <w:p>
      <w:pPr>
        <w:spacing w:after="0" w:line="6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5.3 Defense of Infringement Claims</w:t>
      </w:r>
      <w:r>
        <w:rPr>
          <w:rFonts w:ascii="Arial" w:cs="Arial" w:eastAsia="Arial" w:hAnsi="Arial"/>
          <w:sz w:val="18"/>
          <w:szCs w:val="18"/>
          <w:color w:val="auto"/>
        </w:rPr>
        <w:t>. If the manufacture, sale or use of a Licensed Product pursuant to this Agreement results in, or may result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claim, suit, or proceeding by a Third Party alleging patent infringement by AVROBIO (or its Affiliates or sublicensees) in the Field in the Territory, AVROBIO will promptly notify GenStem thereof in writing. AVROBIO or its Affiliate or sublicensee will have the exclusive right to defend and control the defense of any such claim, suit, action or proceeding at its own expense, using counsel of its own choice, and may settle any such claim, suit, action or proceeding at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such settlement would admit or concede that any material aspect of the Licensed Patent Rights are invalid or unenforceable, or require GenStem to pay any amounts, the aspects of such settlement directly involving such admission or concession or payment shall require the prior written consent of GenStem. AVROBIO will keep GenStem reasonably informed of all material developments in connection with any such claim, suit, or proceeding.</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86" w:name="page487"/>
    <w:bookmarkEnd w:id="486"/>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58"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5.4 Patent Marking</w:t>
      </w:r>
      <w:r>
        <w:rPr>
          <w:rFonts w:ascii="Arial" w:cs="Arial" w:eastAsia="Arial" w:hAnsi="Arial"/>
          <w:sz w:val="18"/>
          <w:szCs w:val="18"/>
          <w:color w:val="auto"/>
        </w:rPr>
        <w:t>. AVROBIO shall mark all Licensed Products made, used, sold, offered for sale, or imported under the terms of this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their containers, in accordance with the applicable patent marking laws.</w:t>
      </w:r>
    </w:p>
    <w:p>
      <w:pPr>
        <w:spacing w:after="0" w:line="54"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5.5 Preference for United States Industry</w:t>
      </w:r>
      <w:r>
        <w:rPr>
          <w:rFonts w:ascii="Arial" w:cs="Arial" w:eastAsia="Arial" w:hAnsi="Arial"/>
          <w:sz w:val="18"/>
          <w:szCs w:val="18"/>
          <w:color w:val="auto"/>
        </w:rPr>
        <w:t>. If AVROBIO sells a Licensed Product in the U.S., AVROBIO shall manufacture said Licensed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in the U.S. unless a written waiver of such obligation is obtained.</w:t>
      </w:r>
    </w:p>
    <w:p>
      <w:pPr>
        <w:spacing w:after="0" w:line="189" w:lineRule="exact"/>
        <w:rPr>
          <w:sz w:val="20"/>
          <w:szCs w:val="20"/>
          <w:color w:val="auto"/>
        </w:rPr>
      </w:pPr>
    </w:p>
    <w:p>
      <w:pPr>
        <w:ind w:left="460" w:hanging="452"/>
        <w:spacing w:after="0"/>
        <w:tabs>
          <w:tab w:leader="none" w:pos="46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w:t>
      </w:r>
      <w:r>
        <w:rPr>
          <w:rFonts w:ascii="Arial" w:cs="Arial" w:eastAsia="Arial" w:hAnsi="Arial"/>
          <w:sz w:val="18"/>
          <w:szCs w:val="18"/>
          <w:b w:val="1"/>
          <w:bCs w:val="1"/>
          <w:color w:val="auto"/>
        </w:rPr>
        <w:t>; C</w:t>
      </w:r>
      <w:r>
        <w:rPr>
          <w:rFonts w:ascii="Arial" w:cs="Arial" w:eastAsia="Arial" w:hAnsi="Arial"/>
          <w:sz w:val="15"/>
          <w:szCs w:val="15"/>
          <w:b w:val="1"/>
          <w:bCs w:val="1"/>
          <w:color w:val="auto"/>
        </w:rPr>
        <w:t>OVENANTS</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b w:val="1"/>
          <w:bCs w:val="1"/>
          <w:color w:val="auto"/>
        </w:rPr>
        <w:t>6.1 GenStem Warranties</w:t>
      </w:r>
      <w:r>
        <w:rPr>
          <w:rFonts w:ascii="Arial" w:cs="Arial" w:eastAsia="Arial" w:hAnsi="Arial"/>
          <w:sz w:val="17"/>
          <w:szCs w:val="17"/>
          <w:color w:val="auto"/>
        </w:rPr>
        <w:t>. GenStem hereby warrants and represents to AVROBIO as of the Effective Date that: (i) GenStem owns or Controls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right, title and interest in and to the Licensed Technology and no Third Party other than UCSD has any ownership rights thereto; (ii) GenStem has the right to grant the licenses under the Licensed Technology as set forth in this Agreement; (iii) GenStem has not entered into any agreement, arrangement or understanding regarding any of the Licensed Technology that conflicts with the terms of this Agreement; (iv) to its knowledge no Third Party has any license rights, options or other rights in, under or to the Licensed Technology that conflict with the terms of this Agreement and during the Term of this Agreement GenStem and its Affiliates shall not grant any such rights to any Third Party; (v) GenStem is not aware of (a) any Patent Rights owned by a Third Party that would be infringed by the use or practice of the Licensed Technology in the Field in the Territory under the license granted in Section 2.1, (b) any Patent Rights owned or licensed by GenStem or its Affiliates that are not Licensed Patent Rights and that would likely be infringed by the use or practice the Licensed Technology in the Field in the Territory under the license granted in Section 2.1, or (c) any prior art or other facts or circumstances that would reasonably lead GenStem or its Affiliates to believe that any of the Licensed Patent Rights are likely invalid or unenforceable; and (vi) none of the Licensed Technology has been misappropriated from any Third Party.</w:t>
      </w:r>
    </w:p>
    <w:p>
      <w:pPr>
        <w:spacing w:after="0" w:line="66"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6.2 Reciprocal Representations and Warranties</w:t>
      </w:r>
      <w:r>
        <w:rPr>
          <w:rFonts w:ascii="Arial" w:cs="Arial" w:eastAsia="Arial" w:hAnsi="Arial"/>
          <w:sz w:val="18"/>
          <w:szCs w:val="18"/>
          <w:color w:val="auto"/>
        </w:rPr>
        <w:t>. Each Party represents and warrants to the other Party that: (i) this Agreement is a legal and valid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binding upon its execution and enforceable against it in accordance with its terms and conditions; and (ii) the execution, delivery and performance of this Agreement by such Party has been duly authorized by all necessary corporate action, and (iii) the person executing this Agreement on behalf of such Party has been duly authorized to do so by all requisite corporate actions.</w:t>
      </w:r>
    </w:p>
    <w:p>
      <w:pPr>
        <w:spacing w:after="0" w:line="7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6.3 DISCLAIMER OF WARRANTY</w:t>
      </w:r>
      <w:r>
        <w:rPr>
          <w:rFonts w:ascii="Arial" w:cs="Arial" w:eastAsia="Arial" w:hAnsi="Arial"/>
          <w:sz w:val="18"/>
          <w:szCs w:val="18"/>
          <w:color w:val="auto"/>
        </w:rPr>
        <w:t>. EXCEPT FOR THE EXPRESS WARRANTIES SET FORTH IN SECTIONS 6.1 AND 6.2, NEITHER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MAKES ANY REPRESENTATIONS NOR GRANTS ANY OTHER WARRANTIES, EXPRESS OR IMPLIED, EITHER IN FACT OR BY OPERATION OF LAW, BY STATUTE OR OTHERWISE, AND GENSTEM AND AVROBIO EACH SPECIFICALLY DISCLAIMS ANY OTHER WARRANTIES, WHETHER WRITTEN OR ORAL, OR EXPRESS OR IMPLIED, INCLUDING ANY WARRANTY OF QUALITY OR MERCHANTABILITY, OR ANY WARRANTY AS TO THE VALIDITY OR ENFORCEABILITY OF ANY PATENTS OR THE NON-INFRINGEMENT OF ANY INTELLECTUAL PROPERTY RIGHTS OF THIRD PARTIES.</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87" w:name="page488"/>
    <w:bookmarkEnd w:id="4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460" w:hanging="452"/>
        <w:spacing w:after="0"/>
        <w:tabs>
          <w:tab w:leader="none" w:pos="46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ONFIDENTIALITY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7.1 Definition</w:t>
      </w:r>
      <w:r>
        <w:rPr>
          <w:rFonts w:ascii="Arial" w:cs="Arial" w:eastAsia="Arial" w:hAnsi="Arial"/>
          <w:sz w:val="18"/>
          <w:szCs w:val="18"/>
          <w:color w:val="auto"/>
        </w:rPr>
        <w:t>. During the Term, a Party (the “</w:t>
      </w:r>
      <w:r>
        <w:rPr>
          <w:rFonts w:ascii="Arial" w:cs="Arial" w:eastAsia="Arial" w:hAnsi="Arial"/>
          <w:sz w:val="18"/>
          <w:szCs w:val="18"/>
          <w:b w:val="1"/>
          <w:bCs w:val="1"/>
          <w:color w:val="auto"/>
        </w:rPr>
        <w:t>Disclosing Party</w:t>
      </w:r>
      <w:r>
        <w:rPr>
          <w:rFonts w:ascii="Arial" w:cs="Arial" w:eastAsia="Arial" w:hAnsi="Arial"/>
          <w:sz w:val="18"/>
          <w:szCs w:val="18"/>
          <w:color w:val="auto"/>
        </w:rPr>
        <w:t>”, with respect to information disclosed by such Party) may disclose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communicate to the other Party (the “</w:t>
      </w:r>
      <w:r>
        <w:rPr>
          <w:rFonts w:ascii="Arial" w:cs="Arial" w:eastAsia="Arial" w:hAnsi="Arial"/>
          <w:sz w:val="18"/>
          <w:szCs w:val="18"/>
          <w:b w:val="1"/>
          <w:bCs w:val="1"/>
          <w:color w:val="auto"/>
        </w:rPr>
        <w:t>Receiving Party</w:t>
      </w:r>
      <w:r>
        <w:rPr>
          <w:rFonts w:ascii="Arial" w:cs="Arial" w:eastAsia="Arial" w:hAnsi="Arial"/>
          <w:sz w:val="18"/>
          <w:szCs w:val="18"/>
          <w:color w:val="auto"/>
        </w:rPr>
        <w:t>”, with respect to information disclosed to such Party by the other Party) its information in connection with this Agreement or the performance of its obligations hereunder (the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of the disclosing Party), which may include scientific and manufacturing information and plans, marketing and business plans, and financial and personnel matters relating to a Party or its present or future products, sales, suppliers, customers, employees, investors or business. Without limiting the foregoing, “Confidential Information” of a Party is hereby deemed to include any information disclosed by such Party to the other Party pursuant to that certain confidentiality agreement between the Parties dated as of February 9, 2017 (the “</w:t>
      </w:r>
      <w:r>
        <w:rPr>
          <w:rFonts w:ascii="Arial" w:cs="Arial" w:eastAsia="Arial" w:hAnsi="Arial"/>
          <w:sz w:val="18"/>
          <w:szCs w:val="18"/>
          <w:b w:val="1"/>
          <w:bCs w:val="1"/>
          <w:color w:val="auto"/>
        </w:rPr>
        <w:t>Prior CDA</w:t>
      </w:r>
      <w:r>
        <w:rPr>
          <w:rFonts w:ascii="Arial" w:cs="Arial" w:eastAsia="Arial" w:hAnsi="Arial"/>
          <w:sz w:val="18"/>
          <w:szCs w:val="18"/>
          <w:color w:val="auto"/>
        </w:rPr>
        <w:t>”).</w:t>
      </w:r>
    </w:p>
    <w:p>
      <w:pPr>
        <w:spacing w:after="0" w:line="81"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7.2 Exclusions</w:t>
      </w:r>
      <w:r>
        <w:rPr>
          <w:rFonts w:ascii="Arial" w:cs="Arial" w:eastAsia="Arial" w:hAnsi="Arial"/>
          <w:sz w:val="18"/>
          <w:szCs w:val="18"/>
          <w:color w:val="auto"/>
        </w:rPr>
        <w:t>. Notwithstanding the foregoing, information disclosed by a Disclosing Party will not be deemed Confidential Information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Receiving Party for purposes of this Agreement if such information:</w:t>
      </w:r>
    </w:p>
    <w:p>
      <w:pPr>
        <w:spacing w:after="0" w:line="58" w:lineRule="exact"/>
        <w:rPr>
          <w:sz w:val="20"/>
          <w:szCs w:val="20"/>
          <w:color w:val="auto"/>
        </w:rPr>
      </w:pPr>
    </w:p>
    <w:p>
      <w:pPr>
        <w:ind w:left="460" w:right="460" w:firstLine="881"/>
        <w:spacing w:after="0" w:line="277" w:lineRule="auto"/>
        <w:tabs>
          <w:tab w:leader="none" w:pos="158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was already known to the Receiving Party or its Affiliates, as evidenced by their written records, other than under an obligation of confidentiality or non-use, at the time of disclosure to the Receiving Party;</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was generally available or was otherwise part of the public domain at the time of its disclosure to the Receiving Party;</w:t>
      </w:r>
    </w:p>
    <w:p>
      <w:pPr>
        <w:spacing w:after="0" w:line="117" w:lineRule="exact"/>
        <w:rPr>
          <w:rFonts w:ascii="Arial" w:cs="Arial" w:eastAsia="Arial" w:hAnsi="Arial"/>
          <w:sz w:val="18"/>
          <w:szCs w:val="18"/>
          <w:color w:val="auto"/>
        </w:rPr>
      </w:pPr>
    </w:p>
    <w:p>
      <w:pPr>
        <w:ind w:left="460" w:right="20" w:firstLine="881"/>
        <w:spacing w:after="0" w:line="277" w:lineRule="auto"/>
        <w:tabs>
          <w:tab w:leader="none" w:pos="158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became generally available or otherwise became part of the public domain after its disclosure to the Receiving Party, through no fault of or breach of its obligations under this Section 9 or the Prior CDA (as defined above) by the Receiving Party;</w:t>
      </w:r>
    </w:p>
    <w:p>
      <w:pPr>
        <w:spacing w:after="0" w:line="62" w:lineRule="exact"/>
        <w:rPr>
          <w:rFonts w:ascii="Arial" w:cs="Arial" w:eastAsia="Arial" w:hAnsi="Arial"/>
          <w:sz w:val="18"/>
          <w:szCs w:val="18"/>
          <w:color w:val="auto"/>
        </w:rPr>
      </w:pPr>
    </w:p>
    <w:p>
      <w:pPr>
        <w:ind w:left="460" w:right="60" w:firstLine="881"/>
        <w:spacing w:after="0" w:line="264" w:lineRule="auto"/>
        <w:tabs>
          <w:tab w:leader="none" w:pos="159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was disclosed to the Receiving Party, other than under an obligation of confidentiality or non-use, by a Third Party who had no obligation to the Party that controls such information and know-how not to disclose such information or know-how to others and has the lawful right to disclose it; or</w:t>
      </w:r>
    </w:p>
    <w:p>
      <w:pPr>
        <w:spacing w:after="0" w:line="73" w:lineRule="exact"/>
        <w:rPr>
          <w:rFonts w:ascii="Arial" w:cs="Arial" w:eastAsia="Arial" w:hAnsi="Arial"/>
          <w:sz w:val="18"/>
          <w:szCs w:val="18"/>
          <w:color w:val="auto"/>
        </w:rPr>
      </w:pPr>
    </w:p>
    <w:p>
      <w:pPr>
        <w:ind w:left="460" w:right="180" w:firstLine="881"/>
        <w:spacing w:after="0" w:line="277" w:lineRule="auto"/>
        <w:tabs>
          <w:tab w:leader="none" w:pos="158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was independently discovered or developed by the Receiving Party or its Affiliate, as evidenced by written records, without the use of Confidential Information belonging to the Disclosing Party.</w:t>
      </w:r>
    </w:p>
    <w:p>
      <w:pPr>
        <w:spacing w:after="0" w:line="58"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b w:val="1"/>
          <w:bCs w:val="1"/>
          <w:color w:val="auto"/>
        </w:rPr>
        <w:t>7.3 Disclosure and Use Restriction</w:t>
      </w:r>
      <w:r>
        <w:rPr>
          <w:rFonts w:ascii="Arial" w:cs="Arial" w:eastAsia="Arial" w:hAnsi="Arial"/>
          <w:sz w:val="18"/>
          <w:szCs w:val="18"/>
          <w:color w:val="auto"/>
        </w:rPr>
        <w:t>. Except as expressly otherwise provided herein, each Party agrees that, during the Term and for [***] thereafter,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Party (as the Receiving Party with respect to Confidential Information of the other Party) and its Affiliates and sublicensees will keep completely confidential, and will not publish or otherwise disclose and will not use for any purpose except for the purposes expressly contemplated by this Agreement, any Confidential Information of the Disclosing Party.</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88" w:name="page489"/>
    <w:bookmarkEnd w:id="48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7.4 Authorized Disclosure</w:t>
      </w:r>
      <w:r>
        <w:rPr>
          <w:rFonts w:ascii="Arial" w:cs="Arial" w:eastAsia="Arial" w:hAnsi="Arial"/>
          <w:sz w:val="17"/>
          <w:szCs w:val="17"/>
          <w:color w:val="auto"/>
        </w:rPr>
        <w:t>. A Receiving Party may disclose specific Confidential Information of the Disclosing Party to the extent that such disclosure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is:</w:t>
      </w:r>
    </w:p>
    <w:p>
      <w:pPr>
        <w:spacing w:after="0" w:line="103"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7.4.1 required by a valid order of a court of competent jurisdiction or other governmental or regulatory body of competent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Receiving Party will first have given reasonable prior notice of such disclosure requirement to the Disclosing Party and given the Disclosing Party a reasonable opportunity to quash such order and/or to obtain a protective or order limiting such disclosure and/or requiring that the Confidential Information and documents that are the subject of such order be held in confidence by such court or governmental or regulatory body and/or, if disclosed, be used only for the purposes for which the order was issued;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the disclosure requirement is not quashed, the Confidential Information disclosed in response to such court or governmental order will be limited to that information that is legally required to be disclosed in response to such court or governmental order, taking into account any protective or other similar order limiting such disclosure obligation;</w:t>
      </w:r>
    </w:p>
    <w:p>
      <w:pPr>
        <w:spacing w:after="0" w:line="59"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 xml:space="preserve">7.4.2 required by law; </w:t>
      </w:r>
      <w:r>
        <w:rPr>
          <w:rFonts w:ascii="Arial" w:cs="Arial" w:eastAsia="Arial" w:hAnsi="Arial"/>
          <w:sz w:val="18"/>
          <w:szCs w:val="18"/>
          <w:i w:val="1"/>
          <w:iCs w:val="1"/>
          <w:color w:val="auto"/>
        </w:rPr>
        <w:t>provided</w:t>
      </w:r>
      <w:r>
        <w:rPr>
          <w:rFonts w:ascii="Arial" w:cs="Arial" w:eastAsia="Arial" w:hAnsi="Arial"/>
          <w:sz w:val="18"/>
          <w:szCs w:val="18"/>
          <w:color w:val="auto"/>
        </w:rPr>
        <w:t>, that the Disclosing Party will provide the Receiving Party with notice of such disclosure in advance thereof to the extent practicable and the disclosure will be limited to that information that is legally required to be disclosed in response to such court or governmental order;</w:t>
      </w:r>
    </w:p>
    <w:p>
      <w:pPr>
        <w:spacing w:after="0" w:line="73" w:lineRule="exact"/>
        <w:rPr>
          <w:sz w:val="20"/>
          <w:szCs w:val="20"/>
          <w:color w:val="auto"/>
        </w:rPr>
      </w:pPr>
    </w:p>
    <w:p>
      <w:pPr>
        <w:ind w:right="760" w:firstLine="913"/>
        <w:spacing w:after="0" w:line="342" w:lineRule="auto"/>
        <w:rPr>
          <w:sz w:val="20"/>
          <w:szCs w:val="20"/>
          <w:color w:val="auto"/>
        </w:rPr>
      </w:pPr>
      <w:r>
        <w:rPr>
          <w:rFonts w:ascii="Arial" w:cs="Arial" w:eastAsia="Arial" w:hAnsi="Arial"/>
          <w:sz w:val="16"/>
          <w:szCs w:val="16"/>
          <w:color w:val="auto"/>
        </w:rPr>
        <w:t xml:space="preserve">7.4.3 made by the Receiving Party to regulatory authorities as required in connection with any regulatory filing or application made in accordance with the terms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that reasonable measures will be taken to assure confidential treatment of such information;</w:t>
      </w:r>
    </w:p>
    <w:p>
      <w:pPr>
        <w:spacing w:after="0" w:line="16"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7.4.4 made by the Receiving Party as reasonably required in connection with the performance of this Agreement, to Affiliates, employees, consultants, representatives or agents, each of whom prior to disclosure must be bound by obligations of confidentiality and non-use at least equivalent in scope to those set forth in this Section 7.4;</w:t>
      </w:r>
    </w:p>
    <w:p>
      <w:pPr>
        <w:spacing w:after="0" w:line="7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7.4.5 made by the Receiving Party to existing or potential acquirers or merger candidates; potential sublicensees or collaborators (to the extent contemplated hereunder); investment bankers; existing or potential investors, venture capital firms or other financial institutions or investors for purposes of obtaining financing; or Affiliates, each of whom prior to disclosure must be bound by obligations of confidentiality and non-use at least equivalent in scope to those set forth in this Section 7.4;</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7.4.6 made by the Receiving Party with the prior written consent of the Disclosing Party.</w:t>
      </w:r>
    </w:p>
    <w:p>
      <w:pPr>
        <w:spacing w:after="0" w:line="113" w:lineRule="exact"/>
        <w:rPr>
          <w:sz w:val="20"/>
          <w:szCs w:val="20"/>
          <w:color w:val="auto"/>
        </w:rPr>
      </w:pPr>
    </w:p>
    <w:p>
      <w:pPr>
        <w:ind w:right="380" w:firstLine="456"/>
        <w:spacing w:after="0" w:line="313" w:lineRule="auto"/>
        <w:rPr>
          <w:sz w:val="20"/>
          <w:szCs w:val="20"/>
          <w:color w:val="auto"/>
        </w:rPr>
      </w:pPr>
      <w:r>
        <w:rPr>
          <w:rFonts w:ascii="Arial" w:cs="Arial" w:eastAsia="Arial" w:hAnsi="Arial"/>
          <w:sz w:val="17"/>
          <w:szCs w:val="17"/>
          <w:b w:val="1"/>
          <w:bCs w:val="1"/>
          <w:color w:val="auto"/>
        </w:rPr>
        <w:t>7.5 Use of Name</w:t>
      </w:r>
      <w:r>
        <w:rPr>
          <w:rFonts w:ascii="Arial" w:cs="Arial" w:eastAsia="Arial" w:hAnsi="Arial"/>
          <w:sz w:val="17"/>
          <w:szCs w:val="17"/>
          <w:color w:val="auto"/>
        </w:rPr>
        <w:t>. Neither Party may make public use of the other Party’s name except (a) in connection with the activities contemplated hereby as</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in this Section 7, (b) as required by applicable law, and (c) otherwise as agreed in writing by such other Party.</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89" w:name="page490"/>
    <w:bookmarkEnd w:id="489"/>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7.6 Terms of Agreement to be Maintained in Confidence</w:t>
      </w:r>
      <w:r>
        <w:rPr>
          <w:rFonts w:ascii="Arial" w:cs="Arial" w:eastAsia="Arial" w:hAnsi="Arial"/>
          <w:sz w:val="18"/>
          <w:szCs w:val="18"/>
          <w:color w:val="auto"/>
        </w:rPr>
        <w:t>. The Parties agree that the terms of this Agreement are confidential and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disclosed by either Party to any Third Party (except to a Party’s professional advisor) without prior written permission of the other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either Party may make any filings of this Agreement required by law or regulation in any country so long as such Party uses its reasonable efforts to obtain confidential treatment for portions of this Agreement as available, consults with the other Party, and permits the other Party to participate, to the extent practicable, in seeking a protective order or other confidential treatment;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 Party may publicly disclose, without regard to the preceding requirements of this Section 7.6, information that was previously disclosed in compliance with such requirements;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a Party may disclose such terms in confidence as provided in Section 7.4.5.</w:t>
      </w:r>
    </w:p>
    <w:p>
      <w:pPr>
        <w:spacing w:after="0" w:line="216" w:lineRule="exact"/>
        <w:rPr>
          <w:sz w:val="20"/>
          <w:szCs w:val="20"/>
          <w:color w:val="auto"/>
        </w:rPr>
      </w:pPr>
    </w:p>
    <w:p>
      <w:pPr>
        <w:ind w:left="460" w:hanging="452"/>
        <w:spacing w:after="0"/>
        <w:tabs>
          <w:tab w:leader="none" w:pos="46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 AND</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ERMINATION</w:t>
      </w:r>
    </w:p>
    <w:p>
      <w:pPr>
        <w:spacing w:after="0" w:line="117"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8.1 Term</w:t>
      </w:r>
      <w:r>
        <w:rPr>
          <w:rFonts w:ascii="Arial" w:cs="Arial" w:eastAsia="Arial" w:hAnsi="Arial"/>
          <w:sz w:val="18"/>
          <w:szCs w:val="18"/>
          <w:color w:val="auto"/>
        </w:rPr>
        <w:t>. The term of this Agreement will commence as of the Effective Date and, will expire upon the expiration of the last Royalty Term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Products in all countries in the Territory, or will terminate if the Agreement is earlier terminated in accordance with this Section 8 (such period,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 Termination for Material Breach</w:t>
      </w:r>
      <w:r>
        <w:rPr>
          <w:rFonts w:ascii="Arial" w:cs="Arial" w:eastAsia="Arial" w:hAnsi="Arial"/>
          <w:sz w:val="18"/>
          <w:szCs w:val="18"/>
          <w:color w:val="auto"/>
        </w:rPr>
        <w:t>.</w:t>
      </w:r>
    </w:p>
    <w:p>
      <w:pPr>
        <w:spacing w:after="0" w:line="117" w:lineRule="exact"/>
        <w:rPr>
          <w:sz w:val="20"/>
          <w:szCs w:val="20"/>
          <w:color w:val="auto"/>
        </w:rPr>
      </w:pPr>
    </w:p>
    <w:p>
      <w:pPr>
        <w:jc w:val="both"/>
        <w:ind w:right="40" w:firstLine="913"/>
        <w:spacing w:after="0" w:line="314" w:lineRule="auto"/>
        <w:rPr>
          <w:sz w:val="20"/>
          <w:szCs w:val="20"/>
          <w:color w:val="auto"/>
        </w:rPr>
      </w:pPr>
      <w:r>
        <w:rPr>
          <w:rFonts w:ascii="Arial" w:cs="Arial" w:eastAsia="Arial" w:hAnsi="Arial"/>
          <w:sz w:val="16"/>
          <w:szCs w:val="16"/>
          <w:color w:val="auto"/>
        </w:rPr>
        <w:t>8.2.1 Any material failure by a Party (the “</w:t>
      </w:r>
      <w:r>
        <w:rPr>
          <w:rFonts w:ascii="Arial" w:cs="Arial" w:eastAsia="Arial" w:hAnsi="Arial"/>
          <w:sz w:val="16"/>
          <w:szCs w:val="16"/>
          <w:b w:val="1"/>
          <w:bCs w:val="1"/>
          <w:color w:val="auto"/>
        </w:rPr>
        <w:t>Breaching Party</w:t>
      </w:r>
      <w:r>
        <w:rPr>
          <w:rFonts w:ascii="Arial" w:cs="Arial" w:eastAsia="Arial" w:hAnsi="Arial"/>
          <w:sz w:val="16"/>
          <w:szCs w:val="16"/>
          <w:color w:val="auto"/>
        </w:rPr>
        <w:t>”) to comply with its material obligations contained in this Agreement (such failure a “</w:t>
      </w:r>
      <w:r>
        <w:rPr>
          <w:rFonts w:ascii="Arial" w:cs="Arial" w:eastAsia="Arial" w:hAnsi="Arial"/>
          <w:sz w:val="16"/>
          <w:szCs w:val="16"/>
          <w:b w:val="1"/>
          <w:bCs w:val="1"/>
          <w:color w:val="auto"/>
        </w:rPr>
        <w:t>Material Breach</w:t>
      </w:r>
      <w:r>
        <w:rPr>
          <w:rFonts w:ascii="Arial" w:cs="Arial" w:eastAsia="Arial" w:hAnsi="Arial"/>
          <w:sz w:val="16"/>
          <w:szCs w:val="16"/>
          <w:color w:val="auto"/>
        </w:rPr>
        <w:t>”) will entitle the other Party (“</w:t>
      </w:r>
      <w:r>
        <w:rPr>
          <w:rFonts w:ascii="Arial" w:cs="Arial" w:eastAsia="Arial" w:hAnsi="Arial"/>
          <w:sz w:val="16"/>
          <w:szCs w:val="16"/>
          <w:b w:val="1"/>
          <w:bCs w:val="1"/>
          <w:color w:val="auto"/>
        </w:rPr>
        <w:t>Non-Breaching Party</w:t>
      </w:r>
      <w:r>
        <w:rPr>
          <w:rFonts w:ascii="Arial" w:cs="Arial" w:eastAsia="Arial" w:hAnsi="Arial"/>
          <w:sz w:val="16"/>
          <w:szCs w:val="16"/>
          <w:color w:val="auto"/>
        </w:rPr>
        <w:t>”) to give to the Breaching Party written notice of the Material Breach, which notice shall specify in detail the nature of the breach and shall, require the Breaching Party to make good or otherwise cure such Material Breach.</w:t>
      </w:r>
    </w:p>
    <w:p>
      <w:pPr>
        <w:spacing w:after="0" w:line="146"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8.2.2 If such Material Breach is not cured within [***] ([***] for Material Breach of any payment obligation) after the receipt of notice pursuant to Section 8.2.1 above, the Non-Breaching Party will be entitled to terminate this Agreement on written notice to the Breaching Party and without prejudice to any of its other rights conferred on it by this Agreement and other remedies available under applicable law.</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8.3 Termination at Will</w:t>
      </w:r>
      <w:r>
        <w:rPr>
          <w:rFonts w:ascii="Arial" w:cs="Arial" w:eastAsia="Arial" w:hAnsi="Arial"/>
          <w:sz w:val="18"/>
          <w:szCs w:val="18"/>
          <w:color w:val="auto"/>
        </w:rPr>
        <w:t>. AVROBIO may terminate this Agreement at will upon [***] prior written notice to GenStem.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Consequences of Expiration and Termination</w:t>
      </w:r>
      <w:r>
        <w:rPr>
          <w:rFonts w:ascii="Arial" w:cs="Arial" w:eastAsia="Arial" w:hAnsi="Arial"/>
          <w:sz w:val="18"/>
          <w:szCs w:val="18"/>
          <w:color w:val="auto"/>
        </w:rPr>
        <w:t>.</w:t>
      </w:r>
    </w:p>
    <w:p>
      <w:pPr>
        <w:spacing w:after="0" w:line="225" w:lineRule="exact"/>
        <w:rPr>
          <w:sz w:val="20"/>
          <w:szCs w:val="20"/>
          <w:color w:val="auto"/>
        </w:rPr>
      </w:pPr>
    </w:p>
    <w:p>
      <w:pPr>
        <w:ind w:right="740" w:firstLine="913"/>
        <w:spacing w:after="0" w:line="313" w:lineRule="auto"/>
        <w:rPr>
          <w:sz w:val="20"/>
          <w:szCs w:val="20"/>
          <w:color w:val="auto"/>
        </w:rPr>
      </w:pPr>
      <w:r>
        <w:rPr>
          <w:rFonts w:ascii="Arial" w:cs="Arial" w:eastAsia="Arial" w:hAnsi="Arial"/>
          <w:sz w:val="17"/>
          <w:szCs w:val="17"/>
          <w:color w:val="auto"/>
        </w:rPr>
        <w:t xml:space="preserve">8.4.1 </w:t>
      </w:r>
      <w:r>
        <w:rPr>
          <w:rFonts w:ascii="Arial" w:cs="Arial" w:eastAsia="Arial" w:hAnsi="Arial"/>
          <w:sz w:val="17"/>
          <w:szCs w:val="17"/>
          <w:b w:val="1"/>
          <w:bCs w:val="1"/>
          <w:color w:val="auto"/>
        </w:rPr>
        <w:t>Expiration</w:t>
      </w:r>
      <w:r>
        <w:rPr>
          <w:rFonts w:ascii="Arial" w:cs="Arial" w:eastAsia="Arial" w:hAnsi="Arial"/>
          <w:sz w:val="17"/>
          <w:szCs w:val="17"/>
          <w:color w:val="auto"/>
        </w:rPr>
        <w:t>. Upon expiration of the Royalty Term in a particular country for a given Licensed Product, AVROBIO’s license under Section 2.1 with respect to such Licensed Product in the Field in such country will become irrevocable, perpetual and fully-paid.</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8.4.2 </w:t>
      </w:r>
      <w:r>
        <w:rPr>
          <w:rFonts w:ascii="Arial" w:cs="Arial" w:eastAsia="Arial" w:hAnsi="Arial"/>
          <w:sz w:val="16"/>
          <w:szCs w:val="16"/>
          <w:b w:val="1"/>
          <w:bCs w:val="1"/>
          <w:color w:val="auto"/>
        </w:rPr>
        <w:t>Early Termination or Material Breach by AVROBIO</w:t>
      </w:r>
      <w:r>
        <w:rPr>
          <w:rFonts w:ascii="Arial" w:cs="Arial" w:eastAsia="Arial" w:hAnsi="Arial"/>
          <w:sz w:val="16"/>
          <w:szCs w:val="16"/>
          <w:color w:val="auto"/>
        </w:rPr>
        <w:t>. Upon termination of this Agreement pursuant to Section 8.3, or a termination by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GenStem for Material Breach by AVROBIO pursuant to Section 8.2, the following provisions will apply:</w:t>
      </w:r>
    </w:p>
    <w:p>
      <w:pPr>
        <w:spacing w:after="0" w:line="103" w:lineRule="exact"/>
        <w:rPr>
          <w:sz w:val="20"/>
          <w:szCs w:val="20"/>
          <w:color w:val="auto"/>
        </w:rPr>
      </w:pPr>
    </w:p>
    <w:p>
      <w:pPr>
        <w:ind w:left="1580" w:hanging="239"/>
        <w:spacing w:after="0"/>
        <w:tabs>
          <w:tab w:leader="none" w:pos="15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All rights and licenses granted by GenStem to AVROBIO under this Agreement will terminate immediately.</w:t>
      </w:r>
    </w:p>
    <w:p>
      <w:pPr>
        <w:spacing w:after="0" w:line="117" w:lineRule="exact"/>
        <w:rPr>
          <w:rFonts w:ascii="Arial" w:cs="Arial" w:eastAsia="Arial" w:hAnsi="Arial"/>
          <w:sz w:val="18"/>
          <w:szCs w:val="18"/>
          <w:color w:val="auto"/>
        </w:rPr>
      </w:pPr>
    </w:p>
    <w:p>
      <w:pPr>
        <w:ind w:left="460" w:right="80" w:firstLine="881"/>
        <w:spacing w:after="0" w:line="277" w:lineRule="auto"/>
        <w:tabs>
          <w:tab w:leader="none" w:pos="159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Any sublicense granted by AVROBIO or any of its Affiliates to a subicensee shall survive termination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subicensee</w:t>
      </w:r>
    </w:p>
    <w:p>
      <w:pPr>
        <w:spacing w:after="0" w:line="102" w:lineRule="exact"/>
        <w:rPr>
          <w:rFonts w:ascii="Arial" w:cs="Arial" w:eastAsia="Arial" w:hAnsi="Arial"/>
          <w:sz w:val="18"/>
          <w:szCs w:val="18"/>
          <w:color w:val="auto"/>
        </w:rPr>
      </w:pPr>
    </w:p>
    <w:p>
      <w:pPr>
        <w:ind w:left="8640" w:hanging="323"/>
        <w:spacing w:after="0"/>
        <w:tabs>
          <w:tab w:leader="none" w:pos="8640" w:val="left"/>
        </w:tabs>
        <w:numPr>
          <w:ilvl w:val="1"/>
          <w:numId w:val="346"/>
        </w:numPr>
        <w:rPr>
          <w:rFonts w:ascii="Arial" w:cs="Arial" w:eastAsia="Arial" w:hAnsi="Arial"/>
          <w:sz w:val="16"/>
          <w:szCs w:val="16"/>
          <w:color w:val="auto"/>
        </w:rPr>
      </w:pPr>
      <w:r>
        <w:rPr>
          <w:rFonts w:ascii="Arial" w:cs="Arial" w:eastAsia="Arial" w:hAnsi="Arial"/>
          <w:sz w:val="16"/>
          <w:szCs w:val="16"/>
          <w:color w:val="auto"/>
        </w:rPr>
        <w:t>Confidential Treatment Requested ***</w:t>
      </w:r>
    </w:p>
    <w:p>
      <w:pPr>
        <w:sectPr>
          <w:pgSz w:w="11900" w:h="16838" w:orient="portrait"/>
          <w:cols w:equalWidth="0" w:num="1">
            <w:col w:w="11420"/>
          </w:cols>
          <w:pgMar w:left="240" w:top="270" w:right="239" w:bottom="1440" w:gutter="0" w:footer="0" w:header="0"/>
        </w:sectPr>
      </w:pPr>
    </w:p>
    <w:bookmarkStart w:id="490" w:name="page491"/>
    <w:bookmarkEnd w:id="490"/>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left="460" w:right="180"/>
        <w:spacing w:after="0" w:line="308" w:lineRule="auto"/>
        <w:rPr>
          <w:sz w:val="20"/>
          <w:szCs w:val="20"/>
          <w:color w:val="auto"/>
        </w:rPr>
      </w:pPr>
      <w:r>
        <w:rPr>
          <w:rFonts w:ascii="Arial" w:cs="Arial" w:eastAsia="Arial" w:hAnsi="Arial"/>
          <w:sz w:val="17"/>
          <w:szCs w:val="17"/>
          <w:color w:val="auto"/>
        </w:rPr>
        <w:t>agrees in writing within [***] of termination of this Agreement to fully perform what would otherwise be AVROBIO’s obligations to GenStem under this Agreement, including without limitation an agreement to cure any then-existing breaches of this Agreement by AVROBIO.</w:t>
      </w:r>
    </w:p>
    <w:p>
      <w:pPr>
        <w:spacing w:after="0" w:line="38"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8.4.3 Upon termination or expiration of the Agreement in whole or in part, upon the request of the Disclosing Party, the Receiving Party shall promptly return to the Disclosing Party or destroy the Disclosing Party’s Confidential Information, including all copies thereof, except to the extent that retention of such Confidential Information is reasonably necessary for the Receiving Party to exploit any continuing rights it may have (including, without limitation, the right to exploit any fully paid-up license pursuant to Section 8.4.1 in the event of an expiration of the Agreement in whole or in part) and/or to fulfill its obligations contemplated herein, including its obligations of non-disclosure and non-use hereunder. The return and/or destruction of such Confidential Information as provided above shall not relieve the Receiving Party of its obligations under the Agreement. The provisions of this section shall not apply to copies of electronically exchanged Confidential Information made as a matter of routine information technology backup and maintained in a secure manner, or to Confidential Information or copies thereof which must be stored by the Receiving Party according to provisions of applicable law.</w:t>
      </w:r>
    </w:p>
    <w:p>
      <w:pPr>
        <w:spacing w:after="0" w:line="54" w:lineRule="exact"/>
        <w:rPr>
          <w:sz w:val="20"/>
          <w:szCs w:val="20"/>
          <w:color w:val="auto"/>
        </w:rPr>
      </w:pPr>
    </w:p>
    <w:p>
      <w:pPr>
        <w:ind w:right="240" w:firstLine="913"/>
        <w:spacing w:after="0" w:line="266" w:lineRule="auto"/>
        <w:rPr>
          <w:sz w:val="20"/>
          <w:szCs w:val="20"/>
          <w:color w:val="auto"/>
        </w:rPr>
      </w:pPr>
      <w:r>
        <w:rPr>
          <w:rFonts w:ascii="Arial" w:cs="Arial" w:eastAsia="Arial" w:hAnsi="Arial"/>
          <w:sz w:val="18"/>
          <w:szCs w:val="18"/>
          <w:color w:val="auto"/>
        </w:rPr>
        <w:t xml:space="preserve">8.4.4 </w:t>
      </w:r>
      <w:r>
        <w:rPr>
          <w:rFonts w:ascii="Arial" w:cs="Arial" w:eastAsia="Arial" w:hAnsi="Arial"/>
          <w:sz w:val="18"/>
          <w:szCs w:val="18"/>
          <w:b w:val="1"/>
          <w:bCs w:val="1"/>
          <w:color w:val="auto"/>
        </w:rPr>
        <w:t>Survival</w:t>
      </w:r>
      <w:r>
        <w:rPr>
          <w:rFonts w:ascii="Arial" w:cs="Arial" w:eastAsia="Arial" w:hAnsi="Arial"/>
          <w:sz w:val="18"/>
          <w:szCs w:val="18"/>
          <w:color w:val="auto"/>
        </w:rPr>
        <w:t xml:space="preserve">. Expiration or termination of this Agreement will not relieve the Parties of any obligation accruing prior to such expiration or termination. The provisions of Sections </w:t>
      </w:r>
      <w:r>
        <w:rPr>
          <w:rFonts w:ascii="Arial" w:cs="Arial" w:eastAsia="Arial" w:hAnsi="Arial"/>
          <w:sz w:val="18"/>
          <w:szCs w:val="18"/>
          <w:b w:val="1"/>
          <w:bCs w:val="1"/>
          <w:color w:val="auto"/>
        </w:rPr>
        <w:t>1</w:t>
      </w:r>
      <w:r>
        <w:rPr>
          <w:rFonts w:ascii="Arial" w:cs="Arial" w:eastAsia="Arial" w:hAnsi="Arial"/>
          <w:sz w:val="18"/>
          <w:szCs w:val="18"/>
          <w:color w:val="auto"/>
        </w:rPr>
        <w:t xml:space="preserve">, </w:t>
      </w:r>
      <w:r>
        <w:rPr>
          <w:rFonts w:ascii="Arial" w:cs="Arial" w:eastAsia="Arial" w:hAnsi="Arial"/>
          <w:sz w:val="18"/>
          <w:szCs w:val="18"/>
          <w:b w:val="1"/>
          <w:bCs w:val="1"/>
          <w:color w:val="auto"/>
        </w:rPr>
        <w:t>2.2.3</w:t>
      </w:r>
      <w:r>
        <w:rPr>
          <w:rFonts w:ascii="Arial" w:cs="Arial" w:eastAsia="Arial" w:hAnsi="Arial"/>
          <w:sz w:val="18"/>
          <w:szCs w:val="18"/>
          <w:color w:val="auto"/>
        </w:rPr>
        <w:t xml:space="preserve">, </w:t>
      </w:r>
      <w:r>
        <w:rPr>
          <w:rFonts w:ascii="Arial" w:cs="Arial" w:eastAsia="Arial" w:hAnsi="Arial"/>
          <w:sz w:val="18"/>
          <w:szCs w:val="18"/>
          <w:b w:val="1"/>
          <w:bCs w:val="1"/>
          <w:color w:val="auto"/>
        </w:rPr>
        <w:t>4.4</w:t>
      </w:r>
      <w:r>
        <w:rPr>
          <w:rFonts w:ascii="Arial" w:cs="Arial" w:eastAsia="Arial" w:hAnsi="Arial"/>
          <w:sz w:val="18"/>
          <w:szCs w:val="18"/>
          <w:color w:val="auto"/>
        </w:rPr>
        <w:t xml:space="preserve">, </w:t>
      </w:r>
      <w:r>
        <w:rPr>
          <w:rFonts w:ascii="Arial" w:cs="Arial" w:eastAsia="Arial" w:hAnsi="Arial"/>
          <w:sz w:val="18"/>
          <w:szCs w:val="18"/>
          <w:b w:val="1"/>
          <w:bCs w:val="1"/>
          <w:color w:val="auto"/>
        </w:rPr>
        <w:t>4.5</w:t>
      </w:r>
      <w:r>
        <w:rPr>
          <w:rFonts w:ascii="Arial" w:cs="Arial" w:eastAsia="Arial" w:hAnsi="Arial"/>
          <w:sz w:val="18"/>
          <w:szCs w:val="18"/>
          <w:color w:val="auto"/>
        </w:rPr>
        <w:t xml:space="preserve">, </w:t>
      </w:r>
      <w:r>
        <w:rPr>
          <w:rFonts w:ascii="Arial" w:cs="Arial" w:eastAsia="Arial" w:hAnsi="Arial"/>
          <w:sz w:val="18"/>
          <w:szCs w:val="18"/>
          <w:b w:val="1"/>
          <w:bCs w:val="1"/>
          <w:color w:val="auto"/>
        </w:rPr>
        <w:t>4.6</w:t>
      </w:r>
      <w:r>
        <w:rPr>
          <w:rFonts w:ascii="Arial" w:cs="Arial" w:eastAsia="Arial" w:hAnsi="Arial"/>
          <w:sz w:val="18"/>
          <w:szCs w:val="18"/>
          <w:color w:val="auto"/>
        </w:rPr>
        <w:t xml:space="preserve">, </w:t>
      </w:r>
      <w:r>
        <w:rPr>
          <w:rFonts w:ascii="Arial" w:cs="Arial" w:eastAsia="Arial" w:hAnsi="Arial"/>
          <w:sz w:val="18"/>
          <w:szCs w:val="18"/>
          <w:b w:val="1"/>
          <w:bCs w:val="1"/>
          <w:color w:val="auto"/>
        </w:rPr>
        <w:t>4.7</w:t>
      </w:r>
      <w:r>
        <w:rPr>
          <w:rFonts w:ascii="Arial" w:cs="Arial" w:eastAsia="Arial" w:hAnsi="Arial"/>
          <w:sz w:val="18"/>
          <w:szCs w:val="18"/>
          <w:color w:val="auto"/>
        </w:rPr>
        <w:t xml:space="preserve">, </w:t>
      </w:r>
      <w:r>
        <w:rPr>
          <w:rFonts w:ascii="Arial" w:cs="Arial" w:eastAsia="Arial" w:hAnsi="Arial"/>
          <w:sz w:val="18"/>
          <w:szCs w:val="18"/>
          <w:b w:val="1"/>
          <w:bCs w:val="1"/>
          <w:color w:val="auto"/>
        </w:rPr>
        <w:t>4.8</w:t>
      </w:r>
      <w:r>
        <w:rPr>
          <w:rFonts w:ascii="Arial" w:cs="Arial" w:eastAsia="Arial" w:hAnsi="Arial"/>
          <w:sz w:val="18"/>
          <w:szCs w:val="18"/>
          <w:color w:val="auto"/>
        </w:rPr>
        <w:t xml:space="preserve">, </w:t>
      </w:r>
      <w:r>
        <w:rPr>
          <w:rFonts w:ascii="Arial" w:cs="Arial" w:eastAsia="Arial" w:hAnsi="Arial"/>
          <w:sz w:val="18"/>
          <w:szCs w:val="18"/>
          <w:b w:val="1"/>
          <w:bCs w:val="1"/>
          <w:color w:val="auto"/>
        </w:rPr>
        <w:t>4.9</w:t>
      </w:r>
      <w:r>
        <w:rPr>
          <w:rFonts w:ascii="Arial" w:cs="Arial" w:eastAsia="Arial" w:hAnsi="Arial"/>
          <w:sz w:val="18"/>
          <w:szCs w:val="18"/>
          <w:color w:val="auto"/>
        </w:rPr>
        <w:t xml:space="preserve">, </w:t>
      </w:r>
      <w:r>
        <w:rPr>
          <w:rFonts w:ascii="Arial" w:cs="Arial" w:eastAsia="Arial" w:hAnsi="Arial"/>
          <w:sz w:val="18"/>
          <w:szCs w:val="18"/>
          <w:b w:val="1"/>
          <w:bCs w:val="1"/>
          <w:color w:val="auto"/>
        </w:rPr>
        <w:t>4.10</w:t>
      </w:r>
      <w:r>
        <w:rPr>
          <w:rFonts w:ascii="Arial" w:cs="Arial" w:eastAsia="Arial" w:hAnsi="Arial"/>
          <w:sz w:val="18"/>
          <w:szCs w:val="18"/>
          <w:color w:val="auto"/>
        </w:rPr>
        <w:t xml:space="preserve">, </w:t>
      </w:r>
      <w:r>
        <w:rPr>
          <w:rFonts w:ascii="Arial" w:cs="Arial" w:eastAsia="Arial" w:hAnsi="Arial"/>
          <w:sz w:val="18"/>
          <w:szCs w:val="18"/>
          <w:b w:val="1"/>
          <w:bCs w:val="1"/>
          <w:color w:val="auto"/>
        </w:rPr>
        <w:t>5.3</w:t>
      </w:r>
      <w:r>
        <w:rPr>
          <w:rFonts w:ascii="Arial" w:cs="Arial" w:eastAsia="Arial" w:hAnsi="Arial"/>
          <w:sz w:val="18"/>
          <w:szCs w:val="18"/>
          <w:color w:val="auto"/>
        </w:rPr>
        <w:t xml:space="preserve">, </w:t>
      </w:r>
      <w:r>
        <w:rPr>
          <w:rFonts w:ascii="Arial" w:cs="Arial" w:eastAsia="Arial" w:hAnsi="Arial"/>
          <w:sz w:val="18"/>
          <w:szCs w:val="18"/>
          <w:b w:val="1"/>
          <w:bCs w:val="1"/>
          <w:color w:val="auto"/>
        </w:rPr>
        <w:t>6.3</w:t>
      </w:r>
      <w:r>
        <w:rPr>
          <w:rFonts w:ascii="Arial" w:cs="Arial" w:eastAsia="Arial" w:hAnsi="Arial"/>
          <w:sz w:val="18"/>
          <w:szCs w:val="18"/>
          <w:color w:val="auto"/>
        </w:rPr>
        <w:t xml:space="preserve">, </w:t>
      </w:r>
      <w:r>
        <w:rPr>
          <w:rFonts w:ascii="Arial" w:cs="Arial" w:eastAsia="Arial" w:hAnsi="Arial"/>
          <w:sz w:val="18"/>
          <w:szCs w:val="18"/>
          <w:b w:val="1"/>
          <w:bCs w:val="1"/>
          <w:color w:val="auto"/>
        </w:rPr>
        <w:t>7</w:t>
      </w:r>
      <w:r>
        <w:rPr>
          <w:rFonts w:ascii="Arial" w:cs="Arial" w:eastAsia="Arial" w:hAnsi="Arial"/>
          <w:sz w:val="18"/>
          <w:szCs w:val="18"/>
          <w:color w:val="auto"/>
        </w:rPr>
        <w:t xml:space="preserve">, </w:t>
      </w:r>
      <w:r>
        <w:rPr>
          <w:rFonts w:ascii="Arial" w:cs="Arial" w:eastAsia="Arial" w:hAnsi="Arial"/>
          <w:sz w:val="18"/>
          <w:szCs w:val="18"/>
          <w:b w:val="1"/>
          <w:bCs w:val="1"/>
          <w:color w:val="auto"/>
        </w:rPr>
        <w:t>8.4</w:t>
      </w:r>
      <w:r>
        <w:rPr>
          <w:rFonts w:ascii="Arial" w:cs="Arial" w:eastAsia="Arial" w:hAnsi="Arial"/>
          <w:sz w:val="18"/>
          <w:szCs w:val="18"/>
          <w:color w:val="auto"/>
        </w:rPr>
        <w:t xml:space="preserve">, </w:t>
      </w:r>
      <w:r>
        <w:rPr>
          <w:rFonts w:ascii="Arial" w:cs="Arial" w:eastAsia="Arial" w:hAnsi="Arial"/>
          <w:sz w:val="18"/>
          <w:szCs w:val="18"/>
          <w:b w:val="1"/>
          <w:bCs w:val="1"/>
          <w:color w:val="auto"/>
        </w:rPr>
        <w:t>9.1</w:t>
      </w:r>
      <w:r>
        <w:rPr>
          <w:rFonts w:ascii="Arial" w:cs="Arial" w:eastAsia="Arial" w:hAnsi="Arial"/>
          <w:sz w:val="18"/>
          <w:szCs w:val="18"/>
          <w:color w:val="auto"/>
        </w:rPr>
        <w:t xml:space="preserve">, </w:t>
      </w:r>
      <w:r>
        <w:rPr>
          <w:rFonts w:ascii="Arial" w:cs="Arial" w:eastAsia="Arial" w:hAnsi="Arial"/>
          <w:sz w:val="18"/>
          <w:szCs w:val="18"/>
          <w:b w:val="1"/>
          <w:bCs w:val="1"/>
          <w:color w:val="auto"/>
        </w:rPr>
        <w:t>9.2</w:t>
      </w:r>
      <w:r>
        <w:rPr>
          <w:rFonts w:ascii="Arial" w:cs="Arial" w:eastAsia="Arial" w:hAnsi="Arial"/>
          <w:sz w:val="18"/>
          <w:szCs w:val="18"/>
          <w:color w:val="auto"/>
        </w:rPr>
        <w:t xml:space="preserve">, </w:t>
      </w:r>
      <w:r>
        <w:rPr>
          <w:rFonts w:ascii="Arial" w:cs="Arial" w:eastAsia="Arial" w:hAnsi="Arial"/>
          <w:sz w:val="18"/>
          <w:szCs w:val="18"/>
          <w:b w:val="1"/>
          <w:bCs w:val="1"/>
          <w:color w:val="auto"/>
        </w:rPr>
        <w:t>9.3</w:t>
      </w:r>
      <w:r>
        <w:rPr>
          <w:rFonts w:ascii="Arial" w:cs="Arial" w:eastAsia="Arial" w:hAnsi="Arial"/>
          <w:sz w:val="18"/>
          <w:szCs w:val="18"/>
          <w:color w:val="auto"/>
        </w:rPr>
        <w:t xml:space="preserve">, </w:t>
      </w:r>
      <w:r>
        <w:rPr>
          <w:rFonts w:ascii="Arial" w:cs="Arial" w:eastAsia="Arial" w:hAnsi="Arial"/>
          <w:sz w:val="18"/>
          <w:szCs w:val="18"/>
          <w:b w:val="1"/>
          <w:bCs w:val="1"/>
          <w:color w:val="auto"/>
        </w:rPr>
        <w:t>9.4</w:t>
      </w:r>
      <w:r>
        <w:rPr>
          <w:rFonts w:ascii="Arial" w:cs="Arial" w:eastAsia="Arial" w:hAnsi="Arial"/>
          <w:sz w:val="18"/>
          <w:szCs w:val="18"/>
          <w:color w:val="auto"/>
        </w:rPr>
        <w:t xml:space="preserve">, </w:t>
      </w:r>
      <w:r>
        <w:rPr>
          <w:rFonts w:ascii="Arial" w:cs="Arial" w:eastAsia="Arial" w:hAnsi="Arial"/>
          <w:sz w:val="18"/>
          <w:szCs w:val="18"/>
          <w:b w:val="1"/>
          <w:bCs w:val="1"/>
          <w:color w:val="auto"/>
        </w:rPr>
        <w:t>10</w:t>
      </w:r>
      <w:r>
        <w:rPr>
          <w:rFonts w:ascii="Arial" w:cs="Arial" w:eastAsia="Arial" w:hAnsi="Arial"/>
          <w:sz w:val="18"/>
          <w:szCs w:val="18"/>
          <w:color w:val="auto"/>
        </w:rPr>
        <w:t xml:space="preserve"> and </w:t>
      </w:r>
      <w:r>
        <w:rPr>
          <w:rFonts w:ascii="Arial" w:cs="Arial" w:eastAsia="Arial" w:hAnsi="Arial"/>
          <w:sz w:val="18"/>
          <w:szCs w:val="18"/>
          <w:b w:val="1"/>
          <w:bCs w:val="1"/>
          <w:color w:val="auto"/>
        </w:rPr>
        <w:t>11</w:t>
      </w:r>
      <w:r>
        <w:rPr>
          <w:rFonts w:ascii="Arial" w:cs="Arial" w:eastAsia="Arial" w:hAnsi="Arial"/>
          <w:sz w:val="18"/>
          <w:szCs w:val="18"/>
          <w:color w:val="auto"/>
        </w:rPr>
        <w:t xml:space="preserve"> will survive any termination or expiration of this Agreement.</w:t>
      </w:r>
      <w:r>
        <w:rPr>
          <w:rFonts w:ascii="Arial" w:cs="Arial" w:eastAsia="Arial" w:hAnsi="Arial"/>
          <w:sz w:val="15"/>
          <w:szCs w:val="15"/>
          <w:color w:val="auto"/>
        </w:rPr>
        <w:t>1</w:t>
      </w:r>
    </w:p>
    <w:p>
      <w:pPr>
        <w:spacing w:after="0" w:line="203" w:lineRule="exact"/>
        <w:rPr>
          <w:sz w:val="20"/>
          <w:szCs w:val="20"/>
          <w:color w:val="auto"/>
        </w:rPr>
      </w:pPr>
    </w:p>
    <w:p>
      <w:pPr>
        <w:ind w:left="460" w:hanging="452"/>
        <w:spacing w:after="0"/>
        <w:tabs>
          <w:tab w:leader="none" w:pos="46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NDEMNIFICATION AND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NSURANCE</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9.1 Indemnification by GenStem</w:t>
      </w:r>
      <w:r>
        <w:rPr>
          <w:rFonts w:ascii="Arial" w:cs="Arial" w:eastAsia="Arial" w:hAnsi="Arial"/>
          <w:sz w:val="17"/>
          <w:szCs w:val="17"/>
          <w:color w:val="auto"/>
        </w:rPr>
        <w:t>. GenStem will indemnify AVROBIO, its Affiliates, its sublicensees, and their respective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employees and agents, and defend and hold each of them harmless, from and against any losses, damages, liabilities, costs and expenses (including reasonable attorneys’ fees and expenses) (collectively, </w:t>
      </w:r>
      <w:r>
        <w:rPr>
          <w:rFonts w:ascii="Arial" w:cs="Arial" w:eastAsia="Arial" w:hAnsi="Arial"/>
          <w:sz w:val="17"/>
          <w:szCs w:val="17"/>
          <w:b w:val="1"/>
          <w:bCs w:val="1"/>
          <w:color w:val="auto"/>
        </w:rPr>
        <w:t>“Losses”)</w:t>
      </w:r>
      <w:r>
        <w:rPr>
          <w:rFonts w:ascii="Arial" w:cs="Arial" w:eastAsia="Arial" w:hAnsi="Arial"/>
          <w:sz w:val="17"/>
          <w:szCs w:val="17"/>
          <w:color w:val="auto"/>
        </w:rPr>
        <w:t xml:space="preserve"> based on or suffered in connection with any liability suits, investigations, allegations, actions, claims or demands by Third Parties (“</w:t>
      </w:r>
      <w:r>
        <w:rPr>
          <w:rFonts w:ascii="Arial" w:cs="Arial" w:eastAsia="Arial" w:hAnsi="Arial"/>
          <w:sz w:val="17"/>
          <w:szCs w:val="17"/>
          <w:b w:val="1"/>
          <w:bCs w:val="1"/>
          <w:color w:val="auto"/>
        </w:rPr>
        <w:t>Third Party Claims</w:t>
      </w:r>
      <w:r>
        <w:rPr>
          <w:rFonts w:ascii="Arial" w:cs="Arial" w:eastAsia="Arial" w:hAnsi="Arial"/>
          <w:sz w:val="17"/>
          <w:szCs w:val="17"/>
          <w:color w:val="auto"/>
        </w:rPr>
        <w:t>”) to the extent arising from or occurring as a result of or in connection with (i) any breach by GenStem of its representations, warranties or other obligations under this Agreement, or (ii) the gross negligence or willful misconduct of GenStem or its Affiliate; except to the extent that such Losses or Third Party Claims arise out of or result from the gross negligence or willful misconduct of a party seeking indemnification hereunder, or a breach by AVROBIO of any provision of this Agreement.</w:t>
      </w:r>
    </w:p>
    <w:p>
      <w:pPr>
        <w:spacing w:after="0" w:line="64" w:lineRule="exact"/>
        <w:rPr>
          <w:sz w:val="20"/>
          <w:szCs w:val="20"/>
          <w:color w:val="auto"/>
        </w:rPr>
      </w:pPr>
    </w:p>
    <w:p>
      <w:pPr>
        <w:jc w:val="both"/>
        <w:ind w:right="120" w:firstLine="456"/>
        <w:spacing w:after="0" w:line="281" w:lineRule="auto"/>
        <w:rPr>
          <w:sz w:val="20"/>
          <w:szCs w:val="20"/>
          <w:color w:val="auto"/>
        </w:rPr>
      </w:pPr>
      <w:r>
        <w:rPr>
          <w:rFonts w:ascii="Arial" w:cs="Arial" w:eastAsia="Arial" w:hAnsi="Arial"/>
          <w:sz w:val="17"/>
          <w:szCs w:val="17"/>
          <w:b w:val="1"/>
          <w:bCs w:val="1"/>
          <w:color w:val="auto"/>
        </w:rPr>
        <w:t>9.2 Indemnification by AVROBIO</w:t>
      </w:r>
      <w:r>
        <w:rPr>
          <w:rFonts w:ascii="Arial" w:cs="Arial" w:eastAsia="Arial" w:hAnsi="Arial"/>
          <w:sz w:val="17"/>
          <w:szCs w:val="17"/>
          <w:color w:val="auto"/>
        </w:rPr>
        <w:t>. AVROBIO will indemnify GenStem, its Affiliates, UCSD and their respective directors, officers, employees and</w:t>
      </w:r>
      <w:r>
        <w:rPr>
          <w:rFonts w:ascii="Arial" w:cs="Arial" w:eastAsia="Arial" w:hAnsi="Arial"/>
          <w:sz w:val="17"/>
          <w:szCs w:val="17"/>
          <w:b w:val="1"/>
          <w:bCs w:val="1"/>
          <w:color w:val="auto"/>
        </w:rPr>
        <w:t xml:space="preserve"> </w:t>
      </w:r>
      <w:r>
        <w:rPr>
          <w:rFonts w:ascii="Arial" w:cs="Arial" w:eastAsia="Arial" w:hAnsi="Arial"/>
          <w:sz w:val="17"/>
          <w:szCs w:val="17"/>
          <w:color w:val="auto"/>
        </w:rPr>
        <w:t>agents, and defend and save each of them harmless, from and against any Losses based on or suffered in connection with any Third Party Claims against any such indemnified party arising from or occurring as a result of or in connection with: (i) any theory of product liability (including actions in the form of tort, warranty or strict liability) concerning a Licensed Product that is Developed or Commercialized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48"/>
        </w:numPr>
        <w:rPr>
          <w:rFonts w:ascii="Arial" w:cs="Arial" w:eastAsia="Arial" w:hAnsi="Arial"/>
          <w:sz w:val="15"/>
          <w:szCs w:val="15"/>
          <w:color w:val="auto"/>
        </w:rPr>
      </w:pPr>
      <w:r>
        <w:rPr>
          <w:rFonts w:ascii="Arial" w:cs="Arial" w:eastAsia="Arial" w:hAnsi="Arial"/>
          <w:sz w:val="18"/>
          <w:szCs w:val="18"/>
          <w:color w:val="auto"/>
        </w:rPr>
        <w:t>To be updated upon finalization of the Agreement.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91" w:name="page492"/>
    <w:bookmarkEnd w:id="491"/>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by AVROBIO, its Affiliates or sublicensees, (ii) any breach by AVROBIO of its representations, warranties or obligations under this Agreement, or (iii) the gross negligence or willful misconduct of AVROBIO, its Affiliates or sublicensees; except to the extent that such Losses or Third Party Claims arise out of or result from the gross negligence or willful misconduct of a party seeking indemnification hereunder, or a breach by GenStem of any provision of this Agreement.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9.3 Indemnification Procedure</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9.3.1 </w:t>
      </w:r>
      <w:r>
        <w:rPr>
          <w:rFonts w:ascii="Arial" w:cs="Arial" w:eastAsia="Arial" w:hAnsi="Arial"/>
          <w:sz w:val="18"/>
          <w:szCs w:val="18"/>
          <w:b w:val="1"/>
          <w:bCs w:val="1"/>
          <w:color w:val="auto"/>
        </w:rPr>
        <w:t>Notice of Claim</w:t>
      </w:r>
      <w:r>
        <w:rPr>
          <w:rFonts w:ascii="Arial" w:cs="Arial" w:eastAsia="Arial" w:hAnsi="Arial"/>
          <w:sz w:val="18"/>
          <w:szCs w:val="18"/>
          <w:color w:val="auto"/>
        </w:rPr>
        <w:t>. The indemnified Party will give the indemnifying Party (the “</w:t>
      </w:r>
      <w:r>
        <w:rPr>
          <w:rFonts w:ascii="Arial" w:cs="Arial" w:eastAsia="Arial" w:hAnsi="Arial"/>
          <w:sz w:val="18"/>
          <w:szCs w:val="18"/>
          <w:b w:val="1"/>
          <w:bCs w:val="1"/>
          <w:color w:val="auto"/>
        </w:rPr>
        <w:t>Indemnifying Party</w:t>
      </w:r>
      <w:r>
        <w:rPr>
          <w:rFonts w:ascii="Arial" w:cs="Arial" w:eastAsia="Arial" w:hAnsi="Arial"/>
          <w:sz w:val="18"/>
          <w:szCs w:val="18"/>
          <w:color w:val="auto"/>
        </w:rPr>
        <w:t>”) prompt written notice (an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Indemnification Claim Notice</w:t>
      </w:r>
      <w:r>
        <w:rPr>
          <w:rFonts w:ascii="Arial" w:cs="Arial" w:eastAsia="Arial" w:hAnsi="Arial"/>
          <w:sz w:val="16"/>
          <w:szCs w:val="16"/>
          <w:color w:val="auto"/>
        </w:rPr>
        <w:t>”) of any Losses or discovery of fact upon which such Indemnified Party intends to base a request for indemnification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9.1 or Section 9.2;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failure to give such prompt written notice will not relieve Indemnifying Party of its indemnification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obligation under this Agreement except and only to the extent that the Indemnifying Party is actually prejudiced as a result of such failure. In no event will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Indemnifying Party be liable for any Losses that result from any delay in providing such notice. Each Indemnification Claim Notice must contain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the claim and the nature and amount of such Loss (to the extent that the nature and amount of such Loss are known at such time).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indemnified Party will furnish promptly to the indemnifying Party copies of all papers and official documents received in respect of any Losses. 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indemnification claims in respect of a Party, its Affiliates or their respective directors, officers, employees and agents (collectively, the “</w:t>
      </w:r>
      <w:r>
        <w:rPr>
          <w:rFonts w:ascii="Arial" w:cs="Arial" w:eastAsia="Arial" w:hAnsi="Arial"/>
          <w:sz w:val="16"/>
          <w:szCs w:val="16"/>
          <w:b w:val="1"/>
          <w:bCs w:val="1"/>
          <w:color w:val="auto"/>
        </w:rPr>
        <w:t>Indemnitees</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each an “</w:t>
      </w:r>
      <w:r>
        <w:rPr>
          <w:rFonts w:ascii="Arial" w:cs="Arial" w:eastAsia="Arial" w:hAnsi="Arial"/>
          <w:sz w:val="18"/>
          <w:szCs w:val="18"/>
          <w:b w:val="1"/>
          <w:bCs w:val="1"/>
          <w:color w:val="auto"/>
        </w:rPr>
        <w:t>Indemnitee</w:t>
      </w:r>
      <w:r>
        <w:rPr>
          <w:rFonts w:ascii="Arial" w:cs="Arial" w:eastAsia="Arial" w:hAnsi="Arial"/>
          <w:sz w:val="18"/>
          <w:szCs w:val="18"/>
          <w:color w:val="auto"/>
        </w:rPr>
        <w:t>”) will be made solely by such Party to this Agreement (the “</w:t>
      </w:r>
      <w:r>
        <w:rPr>
          <w:rFonts w:ascii="Arial" w:cs="Arial" w:eastAsia="Arial" w:hAnsi="Arial"/>
          <w:sz w:val="18"/>
          <w:szCs w:val="18"/>
          <w:b w:val="1"/>
          <w:bCs w:val="1"/>
          <w:color w:val="auto"/>
        </w:rPr>
        <w:t>Indemnified Party</w:t>
      </w:r>
      <w:r>
        <w:rPr>
          <w:rFonts w:ascii="Arial" w:cs="Arial" w:eastAsia="Arial" w:hAnsi="Arial"/>
          <w:sz w:val="18"/>
          <w:szCs w:val="18"/>
          <w:color w:val="auto"/>
        </w:rPr>
        <w:t>”).</w:t>
      </w:r>
    </w:p>
    <w:p>
      <w:pPr>
        <w:spacing w:after="0" w:line="99" w:lineRule="exact"/>
        <w:rPr>
          <w:sz w:val="20"/>
          <w:szCs w:val="20"/>
          <w:color w:val="auto"/>
        </w:rPr>
      </w:pPr>
    </w:p>
    <w:p>
      <w:pPr>
        <w:ind w:right="20" w:firstLine="913"/>
        <w:spacing w:after="0" w:line="292" w:lineRule="auto"/>
        <w:rPr>
          <w:sz w:val="20"/>
          <w:szCs w:val="20"/>
          <w:color w:val="auto"/>
        </w:rPr>
      </w:pPr>
      <w:r>
        <w:rPr>
          <w:rFonts w:ascii="Arial" w:cs="Arial" w:eastAsia="Arial" w:hAnsi="Arial"/>
          <w:sz w:val="16"/>
          <w:szCs w:val="16"/>
          <w:color w:val="auto"/>
        </w:rPr>
        <w:t xml:space="preserve">9.3.2 </w:t>
      </w:r>
      <w:r>
        <w:rPr>
          <w:rFonts w:ascii="Arial" w:cs="Arial" w:eastAsia="Arial" w:hAnsi="Arial"/>
          <w:sz w:val="16"/>
          <w:szCs w:val="16"/>
          <w:b w:val="1"/>
          <w:bCs w:val="1"/>
          <w:color w:val="auto"/>
        </w:rPr>
        <w:t>Control of Defense</w:t>
      </w:r>
      <w:r>
        <w:rPr>
          <w:rFonts w:ascii="Arial" w:cs="Arial" w:eastAsia="Arial" w:hAnsi="Arial"/>
          <w:sz w:val="16"/>
          <w:szCs w:val="16"/>
          <w:color w:val="auto"/>
        </w:rPr>
        <w:t>. At its option, the Indemnifying Party may assume the defense of any Third Party Claim by giving written notice to the Indemnified Party within [***] after the Indemnifying Party’s receipt of an Indemnification Claim Notice. Upon assuming the defense of a Third Party Claim, the Indemnifying Party may appoint as lead counsel in the defense of the Third Party Claim any legal counsel selected by the Indemnifying Party. In the event the Indemnifying Party assumes the defense of a Third Party Claim, the Indemnified Party will immediately deliver to the Indemnifying Party all original notices and documents (including court papers) received by any Indemnitee in connection with the Third Party Claim. Should the Indemnifying Party assume the defense of a Third Party Claim, the Indemnifying Party will not be liable to the Indemnified Party or any other Indemnitee for any legal expenses subsequently incurred by such Indemnified Party or other Indemnitee in connection with the analysis, defense or settlement of the Third Party Claim.</w:t>
      </w:r>
    </w:p>
    <w:p>
      <w:pPr>
        <w:spacing w:after="0" w:line="54" w:lineRule="exact"/>
        <w:rPr>
          <w:sz w:val="20"/>
          <w:szCs w:val="20"/>
          <w:color w:val="auto"/>
        </w:rPr>
      </w:pPr>
    </w:p>
    <w:p>
      <w:pPr>
        <w:ind w:right="20" w:firstLine="913"/>
        <w:spacing w:after="0" w:line="281" w:lineRule="auto"/>
        <w:rPr>
          <w:sz w:val="20"/>
          <w:szCs w:val="20"/>
          <w:color w:val="auto"/>
        </w:rPr>
      </w:pPr>
      <w:r>
        <w:rPr>
          <w:rFonts w:ascii="Arial" w:cs="Arial" w:eastAsia="Arial" w:hAnsi="Arial"/>
          <w:sz w:val="17"/>
          <w:szCs w:val="17"/>
          <w:color w:val="auto"/>
        </w:rPr>
        <w:t xml:space="preserve">9.3.3 </w:t>
      </w:r>
      <w:r>
        <w:rPr>
          <w:rFonts w:ascii="Arial" w:cs="Arial" w:eastAsia="Arial" w:hAnsi="Arial"/>
          <w:sz w:val="17"/>
          <w:szCs w:val="17"/>
          <w:b w:val="1"/>
          <w:bCs w:val="1"/>
          <w:color w:val="auto"/>
        </w:rPr>
        <w:t>Right to Participate in Defense</w:t>
      </w:r>
      <w:r>
        <w:rPr>
          <w:rFonts w:ascii="Arial" w:cs="Arial" w:eastAsia="Arial" w:hAnsi="Arial"/>
          <w:sz w:val="17"/>
          <w:szCs w:val="17"/>
          <w:color w:val="auto"/>
        </w:rPr>
        <w:t xml:space="preserve">. Without limiting Section 9.3.2 above, any Indemnitee will be entitled to participate in, but not control, the defense of such Third Party Claim and to employ counsel of its choice for such purpose;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employment will be at the Indemnitee’s own expense unless (i) the employment thereof has been specifically authorized by the Indemnifying Party in writing, or (ii) the Indemnifying Party has failed to assume the defense and employ counsel in accordance with Section 9.3.2 (in which case the Indemnified Party will control the defense).</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92" w:name="page493"/>
    <w:bookmarkEnd w:id="492"/>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9.3.4 </w:t>
      </w:r>
      <w:r>
        <w:rPr>
          <w:rFonts w:ascii="Arial" w:cs="Arial" w:eastAsia="Arial" w:hAnsi="Arial"/>
          <w:sz w:val="17"/>
          <w:szCs w:val="17"/>
          <w:b w:val="1"/>
          <w:bCs w:val="1"/>
          <w:color w:val="auto"/>
        </w:rPr>
        <w:t>Settlement</w:t>
      </w:r>
      <w:r>
        <w:rPr>
          <w:rFonts w:ascii="Arial" w:cs="Arial" w:eastAsia="Arial" w:hAnsi="Arial"/>
          <w:sz w:val="17"/>
          <w:szCs w:val="17"/>
          <w:color w:val="auto"/>
        </w:rPr>
        <w:t>. With respect to any Losses relating solely to the payment of money damages in connection with a Third Party Claim and that will not result in the Indemnitee’s becoming subject to injunctive or other relief or otherwise adversely affect the business of the Indemnitee in any manner, and as to which the Indemnifying Party will have acknowledged in writing the obligation to indemnify the Indemnitee hereunder, the Indemnifying Party will have the sole right to consent to the entry of any judgment, enter into any settlement or otherwise dispose of such Loss, on such terms as the Indemnifying Party, in its sole discretion, will deem appropriate, and will transfer to the Indemnified Party all amounts which said Indemnified Party will be liable to pay prior to the time prior to the entry of judgment. With respect to all other Losses in connection with Third Party Claims, where the Indemnifying Party has assumed the defense of the Third Party Claim in accordance with Section 9.3.2, the Indemnifying Party will have authority to consent to the entry of any judgment, enter into any settlement or otherwise dispose of such Loss provided it obtains the prior written consent of the Indemnified Party (which consent will be at the Indemnified Party’s sole and absolute discretion). The Indemnifying Party will not be liable for any settlement or other disposition of a Loss by an Indemnitee that is reached without the written consent of the Indemnifying Party. Regardless of whether the Indemnifying Party chooses to defend or prosecute any Third Party Claim, no Indemnitee will admit any liability with respect to, or settle, compromise or discharge, any Third Party Claim without the prior written consent of the Indemnifying Party.</w:t>
      </w:r>
    </w:p>
    <w:p>
      <w:pPr>
        <w:spacing w:after="0" w:line="72"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9.3.5 </w:t>
      </w:r>
      <w:r>
        <w:rPr>
          <w:rFonts w:ascii="Arial" w:cs="Arial" w:eastAsia="Arial" w:hAnsi="Arial"/>
          <w:sz w:val="17"/>
          <w:szCs w:val="17"/>
          <w:b w:val="1"/>
          <w:bCs w:val="1"/>
          <w:color w:val="auto"/>
        </w:rPr>
        <w:t>Cooperation</w:t>
      </w:r>
      <w:r>
        <w:rPr>
          <w:rFonts w:ascii="Arial" w:cs="Arial" w:eastAsia="Arial" w:hAnsi="Arial"/>
          <w:sz w:val="17"/>
          <w:szCs w:val="17"/>
          <w:color w:val="auto"/>
        </w:rPr>
        <w:t>. The Indemnified Party will, and will cause each other Indemnitee to, cooperate in the defense or prosecution thereof and will furnish such records, information and testimony, provide such witnesses and attend such conferences, discovery proceedings, hearings, trials and appeals as may be reasonably requested in connection with the defense or prosecution of any Third Party Claim. Such cooperation will include access during normal business hours afforded to the Indemnifying Party to, and reasonable retention by the Indemnified Party of, records and information that are reasonably relevant to such Third Party Claim, and making Indemnitees and other employees and agents available on a mutually convenient basis to provide additional information and explanation of any material provided hereunder, and the Indemnifying Party will reimburse the Indemnified Party for all its reasonable out-of-pocket expenses in connection therewith.</w:t>
      </w:r>
    </w:p>
    <w:p>
      <w:pPr>
        <w:spacing w:after="0" w:line="64"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9.4 Expenses</w:t>
      </w:r>
      <w:r>
        <w:rPr>
          <w:rFonts w:ascii="Arial" w:cs="Arial" w:eastAsia="Arial" w:hAnsi="Arial"/>
          <w:sz w:val="18"/>
          <w:szCs w:val="18"/>
          <w:color w:val="auto"/>
        </w:rPr>
        <w:t>. Except as provided above, the reasonable and verifiable costs and expenses, including fees and disbursements of counsel, incurred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Indemnified Party in connection with any claim will be reimbursed on a [***] basis by the Indemnifying Party, without prejudice to the Indemnifying Party’s right to contest the Indemnified Party’s right to indemnification and subject to refund in the event the Indemnifying Party is ultimately held not to be obligated to indemnify the Indemnified Party.</w:t>
      </w:r>
    </w:p>
    <w:p>
      <w:pPr>
        <w:spacing w:after="0" w:line="7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9.5 Insurance</w:t>
      </w:r>
      <w:r>
        <w:rPr>
          <w:rFonts w:ascii="Arial" w:cs="Arial" w:eastAsia="Arial" w:hAnsi="Arial"/>
          <w:sz w:val="18"/>
          <w:szCs w:val="18"/>
          <w:color w:val="auto"/>
        </w:rPr>
        <w:t>. Each Party will have and maintain such types and amounts of liability insurance as is normal and customary in the industry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parties similarly situated, and will upon request provide the other Party with a copy of its policies of insurance in that regard, along with any amendments and revisions thereto. Without limiting the foregoing, AVROBIO shall have and maintain at its sole cost and expense, adequate liability insurance (including product liability insurance) to protect against potential liabilities and risk arising out of its activities under this Agreement and any agreement related hereto and upon such terms (including coverages, deductible limits and self-insured retentions) as are customary in the pharmaceutical industry generally for drug development activities; provided that, prior to commencement of clinical trials of Licensed Product, such coverage will include a minimum per occurrence limit of</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93" w:name="page494"/>
    <w:bookmarkEnd w:id="493"/>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Such liability insurance shall insure against all types of liability, including personal injury, physical injury or property damage arising out of such AVROBIO’s activities hereunder. Such policy shall include GenStem as an additional insured and shall include a waiver of subrogation. Within [***] of written request, AVROBIO shall provide to GenStem certificates of insurance evidencing the above required insurance. This Section 9.5 shall not create any limitation on AVROBIO’s liability under this Agreement, including with respect to its indemnification obligations under this Article 9.</w:t>
      </w:r>
    </w:p>
    <w:p>
      <w:pPr>
        <w:spacing w:after="0" w:line="194" w:lineRule="exact"/>
        <w:rPr>
          <w:sz w:val="20"/>
          <w:szCs w:val="20"/>
          <w:color w:val="auto"/>
        </w:rPr>
      </w:pPr>
    </w:p>
    <w:p>
      <w:pPr>
        <w:ind w:left="460" w:hanging="452"/>
        <w:spacing w:after="0"/>
        <w:tabs>
          <w:tab w:leader="none" w:pos="46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IMITATION OF LIABILITY</w:t>
      </w:r>
    </w:p>
    <w:p>
      <w:pPr>
        <w:spacing w:after="0" w:line="12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NO EVENT WILL EITHER PARTY BE LIABLE TO THE OTHER PARTY FOR LOST PROFITS, LOSS OF DATA, OR FOR ANY SPECIAL, INDIRECT, INCIDENTAL, CONSEQUENTIAL OR PUNITIVE DAMAGES, HOWEVER CAUSED, ON ANY THEORY OF LIABILITY AND WHETHER OR NOT SUCH PARTY HAS BEEN ADVISED OF THE POSSIBILITY OF SUCH DAMAGES, ARISING UNDER ANY CAUSE OF ACTION AND ARISING IN ANY WAY OUT OF THIS AGREEMENT. THE FOREGOING LIMITATIONS WILL NOT APPLY TO AN AWARD OF ENHANCED DAMAGES AVAILABLE UNDER THE PATENT LAWS FOR WILLFUL PATENT INFRINGEMENT AND WILL NOT LIMIT EITHER PARTY’S OBLIGATIONS TO THE OTHER PARTY UNDER SECTIONS 7 OR 9 OF THIS AGREEMENT.</w:t>
      </w:r>
    </w:p>
    <w:p>
      <w:pPr>
        <w:spacing w:after="0" w:line="216" w:lineRule="exact"/>
        <w:rPr>
          <w:sz w:val="20"/>
          <w:szCs w:val="20"/>
          <w:color w:val="auto"/>
        </w:rPr>
      </w:pPr>
    </w:p>
    <w:p>
      <w:pPr>
        <w:ind w:left="460" w:hanging="452"/>
        <w:spacing w:after="0"/>
        <w:tabs>
          <w:tab w:leader="none" w:pos="46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color w:val="auto"/>
        </w:rPr>
        <w:t>11.1 Assignment</w:t>
      </w:r>
      <w:r>
        <w:rPr>
          <w:rFonts w:ascii="Arial" w:cs="Arial" w:eastAsia="Arial" w:hAnsi="Arial"/>
          <w:sz w:val="17"/>
          <w:szCs w:val="17"/>
          <w:color w:val="auto"/>
        </w:rPr>
        <w:t>. Without the prior written consent of the other Party hereto (which consent shall not be unreasonably withheld), a Party will not sell,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transfer, assign, delegate, pledge or otherwise dispose of, whether voluntarily, involuntarily, by operation of law or otherwise, this Agreement or any of its rights or duties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Party hereto may assign or transfer this Agreement and its rights or obligations hereunder without the consent of the other Party: (a) to any Affiliate of such Party; or (b) to any Third Party with which it merges or consolidates, or to which it transfers all or substantially all of its assets to which this Agreement relates, and provided that the foregoing consent obligation shall not limit the ability to grant sublicenses as permitted in this Agreement or to engage subcontractors to perform certain obligations hereunder. The assigning Party (except if it is not the surviving entity) will remain jointly and severally liable with the relevant Affiliate or Third Party assignee under this Agreement, and the relevant Affiliate assignee, Third Party assignee or surviving entity will assume in writing all of the assigning Party’s obligations under this Agreement. Any purported assignment or transfer in violation of this Section 11.1 will be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 force or effect.</w:t>
      </w:r>
    </w:p>
    <w:p>
      <w:pPr>
        <w:spacing w:after="0" w:line="6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color w:val="auto"/>
        </w:rPr>
        <w:t>11.2 Severability</w:t>
      </w:r>
      <w:r>
        <w:rPr>
          <w:rFonts w:ascii="Arial" w:cs="Arial" w:eastAsia="Arial" w:hAnsi="Arial"/>
          <w:sz w:val="16"/>
          <w:szCs w:val="16"/>
          <w:color w:val="auto"/>
        </w:rPr>
        <w:t>. If any provision of this Agreement is held to be illegal, invalid or unenforceable under any present or future law, and if the rights or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of either Party under this Agreement will not be materially and adversely affected thereby, (a) such provision will be fully severable, (b) this Agreement will be construed and enforced as if such illegal, invalid or unenforceable provision had never comprised a part hereof, (c) the remaining provisions of this Agreement will remain in full force and effect and will not be affected by the illegal, invalid or unenforceable provision or by its severance herefrom, and (d) in lieu of such illegal, invalid or unenforceable provision, there will be added automatically as a part of this</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94" w:name="page495"/>
    <w:bookmarkEnd w:id="494"/>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Agreement a legal, valid and enforceable provision as similar in terms to such illegal, invalid or unenforceable provision as may be possible and reasonably acceptable to the Parties herein. To the fullest extent permitted by applicable law, each Party hereby waives any provision of law that would render any provision prohibited or unenforceable in any respect.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Governing Law; Dispute Resolution.</w:t>
      </w:r>
    </w:p>
    <w:p>
      <w:pPr>
        <w:spacing w:after="0" w:line="121" w:lineRule="exact"/>
        <w:rPr>
          <w:sz w:val="20"/>
          <w:szCs w:val="20"/>
          <w:color w:val="auto"/>
        </w:rPr>
      </w:pPr>
    </w:p>
    <w:p>
      <w:pPr>
        <w:ind w:right="260" w:firstLine="913"/>
        <w:spacing w:after="0" w:line="279" w:lineRule="auto"/>
        <w:rPr>
          <w:sz w:val="20"/>
          <w:szCs w:val="20"/>
          <w:color w:val="auto"/>
        </w:rPr>
      </w:pPr>
      <w:r>
        <w:rPr>
          <w:rFonts w:ascii="Arial" w:cs="Arial" w:eastAsia="Arial" w:hAnsi="Arial"/>
          <w:sz w:val="17"/>
          <w:szCs w:val="17"/>
          <w:color w:val="auto"/>
        </w:rPr>
        <w:t>11.3.1 This Agreement, and any disputes between the Parties related to or arising out of this Agreement (including the Parties’ relationship created hereby, the negotiations for and entry into this Agreement, its conclusion, binding effect, amendment, coverage, termination, or the performance or alleged non-performance of a Party of its obligations under this Agreement) (each a “</w:t>
      </w:r>
      <w:r>
        <w:rPr>
          <w:rFonts w:ascii="Arial" w:cs="Arial" w:eastAsia="Arial" w:hAnsi="Arial"/>
          <w:sz w:val="17"/>
          <w:szCs w:val="17"/>
          <w:b w:val="1"/>
          <w:bCs w:val="1"/>
          <w:color w:val="auto"/>
        </w:rPr>
        <w:t>Dispute</w:t>
      </w:r>
      <w:r>
        <w:rPr>
          <w:rFonts w:ascii="Arial" w:cs="Arial" w:eastAsia="Arial" w:hAnsi="Arial"/>
          <w:sz w:val="17"/>
          <w:szCs w:val="17"/>
          <w:color w:val="auto"/>
        </w:rPr>
        <w:t>”), will be governed by the laws of the State of Delaware without reference to any choice of law principles thereof that would cause the application of the laws of a different jurisdiction.</w:t>
      </w:r>
    </w:p>
    <w:p>
      <w:pPr>
        <w:spacing w:after="0" w:line="63"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11.3.2 In the event of any Dispute, a Party may notify the other Party in writing of such Dispute, and such Dispute will be promptly referred to the Chief Executive Officers of each of the Parties (or their respective designees) who will use their good faith efforts to resolve the Dispute within [***] after it was referred to the Chief Executive Officers.</w:t>
      </w:r>
    </w:p>
    <w:p>
      <w:pPr>
        <w:spacing w:after="0" w:line="7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11.3.3 In the event that any Dispute is not resolved as provided in Section 11.3.2 within the relevant time period, then such Dispute will be finally settled by arbitration in accordance with this Section 11.3. The arbitration will be conducted in accordance with the Commercial Arbitration Rules of the American Arbitration Association (or its successor organization) (“</w:t>
      </w:r>
      <w:r>
        <w:rPr>
          <w:rFonts w:ascii="Arial" w:cs="Arial" w:eastAsia="Arial" w:hAnsi="Arial"/>
          <w:sz w:val="18"/>
          <w:szCs w:val="18"/>
          <w:b w:val="1"/>
          <w:bCs w:val="1"/>
          <w:color w:val="auto"/>
        </w:rPr>
        <w:t>AAA</w:t>
      </w:r>
      <w:r>
        <w:rPr>
          <w:rFonts w:ascii="Arial" w:cs="Arial" w:eastAsia="Arial" w:hAnsi="Arial"/>
          <w:sz w:val="18"/>
          <w:szCs w:val="18"/>
          <w:color w:val="auto"/>
        </w:rPr>
        <w:t>”) and as further provided below, and judgment on the arbitration award may be entered in any court having jurisdiction thereof.</w:t>
      </w:r>
    </w:p>
    <w:p>
      <w:pPr>
        <w:spacing w:after="0" w:line="79"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11.3.4 The arbitration shall be conducted by a panel of three (3) persons experienced in the pharmaceutical business: within [***] after initiation of arbitration, each Party shall select one person to act as arbitrator and the two Party-selected arbitrators shall select a third arbitrator within [***] of their appointment. If the arbitrators selected by the Parties are unable or fail to agree upon the third arbitrator, the third arbitrator shall be appointed by the AAA. The arbitrators shall have scientific and legal experience relevant to the subject matter of the dispute. In any case the arbitrator shall not be an Affiliate, employee, consultant, officer, director or stockholder of either Party, or otherwise have any current or previous relationship with either Party or their respective Affiliates. The place of arbitration shall be New York, New York, and all proceedings and communications shall be in English. Within [***] after the designation of the arbitrators, the arbitrators and the Parties shall meet, and each Party shall provide to the arbitrator a written summary of all disputed issues, such Party’s position on such disputed issues and such Party’s proposed ruling on the merits of each such issue.</w:t>
      </w:r>
    </w:p>
    <w:p>
      <w:pPr>
        <w:spacing w:after="0" w:line="58"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11.3.5 The arbitrator shall set a date for a hearing, which shall be no later than [***] after the submission of written proposals pursuant to Section 11.3.4, for the presentation of evidence and legal argument concerning each of the issues identified by the Parties. The Parties shall have the right to be represented by counsel.</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95" w:name="page496"/>
    <w:bookmarkEnd w:id="495"/>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11.3.6 The arbitrators shall use best efforts to rule on each disputed issue within [***] after completion of the hearing described in Section 11.3.5 The determination of the arbitrators as to the resolution of any dispute shall be binding and conclusive upon all Parties. All rulings of the arbitrators shall be in writing and shall be delivered to the Parties except to the extent that the Commercial Arbitration Rules of the AAA provide otherwise. Nothing contained herein shall be construed to permit the arbitrator to award punitive, exemplary or any similar damages. The arbitrator shall render a “reasoned decision” within the meaning of the Commercial Arbitration Rules, which shall include findings of fact and conclusions of law.</w:t>
      </w:r>
    </w:p>
    <w:p>
      <w:pPr>
        <w:spacing w:after="0" w:line="64"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11.3.7 Either Party may apply to the arbitrators for interim injunctive relief until the arbitration award is rendered or the controversy is otherwise resolved. Either Party also may, without waiving any remedy under this Agreement or violating this Section 11.3, seek from any court having jurisdiction any injunctive or provisional relief necessary to protect the rights or property of that Party. The arbitrators shall have no authority to award punitive or any other type of damages excluded under Section 10. Each Party shall bear its own costs and expenses and attorneys’ fees and an equal share of the arbitrators’ fees and any administrative fees of arbitration.</w:t>
      </w:r>
    </w:p>
    <w:p>
      <w:pPr>
        <w:spacing w:after="0" w:line="80"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11.3.8 Except to the extent necessary to confirm an award or as may be required by applicable laws, neither a Party nor an arbitrator may disclose the existence, content, or results of an arbitration without the prior written consent of both Parties. In no event shall an arbitration be initiated after the date when commencement of a legal or equitable proceeding based on the dispute, controversy or claim would be barred by the applicable statute of limitations.</w:t>
      </w:r>
    </w:p>
    <w:p>
      <w:pPr>
        <w:spacing w:after="0" w:line="39"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11.3.9 The Parties agree that any payments made pursuant to this Agreement pending resolution of any dispute hereunder shall be promptly refunded if an arbitrator or court determines that such payments are not due.</w:t>
      </w:r>
    </w:p>
    <w:p>
      <w:pPr>
        <w:spacing w:after="0" w:line="58"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11.4 Notices</w:t>
      </w:r>
      <w:r>
        <w:rPr>
          <w:rFonts w:ascii="Arial" w:cs="Arial" w:eastAsia="Arial" w:hAnsi="Arial"/>
          <w:sz w:val="18"/>
          <w:szCs w:val="18"/>
          <w:color w:val="auto"/>
        </w:rPr>
        <w:t>. All notices or other communications that are required or permitted hereunder will be in writing and delivered personally, sent by facsimile</w:t>
      </w:r>
      <w:r>
        <w:rPr>
          <w:rFonts w:ascii="Arial" w:cs="Arial" w:eastAsia="Arial" w:hAnsi="Arial"/>
          <w:sz w:val="18"/>
          <w:szCs w:val="18"/>
          <w:b w:val="1"/>
          <w:bCs w:val="1"/>
          <w:color w:val="auto"/>
        </w:rPr>
        <w:t xml:space="preserve"> </w:t>
      </w:r>
      <w:r>
        <w:rPr>
          <w:rFonts w:ascii="Arial" w:cs="Arial" w:eastAsia="Arial" w:hAnsi="Arial"/>
          <w:sz w:val="18"/>
          <w:szCs w:val="18"/>
          <w:color w:val="auto"/>
        </w:rPr>
        <w:t>(and promptly confirmed by personal delivery or overnight courier as provided herein), or sent by internationally-recognized overnight courier addressed as follows: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GenStem,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GenStem Therapeutics,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Cardiff by the Sea, CA 92007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Chief Executive Officer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AVROBIO,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700 Technology Square, Suite 101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Chief Executive Officer</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96" w:name="page497"/>
    <w:bookmarkEnd w:id="496"/>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or to such other address as the Party to whom notice is to be given may have furnished to the other Party in writing in accordance herewith. Any such communication will be deemed to have been given (i) when delivered, if personally delivered, and (ii) on the second business day after dispatch, if sent by internationally-recognized overnight courier. It is understood and agreed that this Section 11.4 is not intended to govern the day-to-day business communications necessary between the Parties in performing their duties, in due course, under the terms of this Agreement.</w:t>
      </w:r>
    </w:p>
    <w:p>
      <w:pPr>
        <w:spacing w:after="0" w:line="59"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11.5 Entire Agreement; Modifications</w:t>
      </w:r>
      <w:r>
        <w:rPr>
          <w:rFonts w:ascii="Arial" w:cs="Arial" w:eastAsia="Arial" w:hAnsi="Arial"/>
          <w:sz w:val="17"/>
          <w:szCs w:val="17"/>
          <w:color w:val="auto"/>
        </w:rPr>
        <w:t>. This Agreement including the Exhibits attached hereto, each of which is hereby incorporated and made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in this Agreement by reference, sets forth and constitutes the entire agreement and understanding between the Parties with respect to the subject matter hereof and all prior agreements, understanding, promises and representations, whether written or oral, with respect thereto. Each Party confirms that it is not relying on any representations or warranties of the other Party except as specifically set forth herein. No amendment or modification of this Agreement will be binding upon the Parties unless in writing and duly executed by authorized representatives of both Parties.</w:t>
      </w:r>
    </w:p>
    <w:p>
      <w:pPr>
        <w:spacing w:after="0" w:line="6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11.6 Relationship of the Parties</w:t>
      </w:r>
      <w:r>
        <w:rPr>
          <w:rFonts w:ascii="Arial" w:cs="Arial" w:eastAsia="Arial" w:hAnsi="Arial"/>
          <w:sz w:val="18"/>
          <w:szCs w:val="18"/>
          <w:color w:val="auto"/>
        </w:rPr>
        <w:t>. It is expressly agreed that the Parties’ relationship under this Agreement is strictly one of a pure contract relationship</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GenStem and AVROBIO, and that this Agreement does not create or constitute a partnership, joint venture, or agency. Neither Party will have the authority to make any statements, representations or commitments of any kind, or to take any action, which will be binding (or purport to be binding) on the other.</w:t>
      </w:r>
    </w:p>
    <w:p>
      <w:pPr>
        <w:spacing w:after="0" w:line="72"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11.7 Waiver</w:t>
      </w:r>
      <w:r>
        <w:rPr>
          <w:rFonts w:ascii="Arial" w:cs="Arial" w:eastAsia="Arial" w:hAnsi="Arial"/>
          <w:sz w:val="18"/>
          <w:szCs w:val="18"/>
          <w:color w:val="auto"/>
        </w:rPr>
        <w:t>. Any term or condition of this Agreement may be waived at any time by the Party that is entitled to the benefit thereof, but no such waiver</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effective unless set forth in a written instrument duly executed by or on behalf of the Party waiving such term or condition. The waiver by either Party hereto of any right hereunder or of claims based on the failure to perform or a breach by the other Party will not be deemed a waiver of any other right hereunder or of any other breach or failure by said other Party whether of a similar nature or otherwise.</w:t>
      </w:r>
    </w:p>
    <w:p>
      <w:pPr>
        <w:spacing w:after="0" w:line="72"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11.8 Counterparts</w:t>
      </w:r>
      <w:r>
        <w:rPr>
          <w:rFonts w:ascii="Arial" w:cs="Arial" w:eastAsia="Arial" w:hAnsi="Arial"/>
          <w:sz w:val="18"/>
          <w:szCs w:val="18"/>
          <w:color w:val="auto"/>
        </w:rPr>
        <w:t>. This Agreement may be executed in two or more counterparts, each of which will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w:t>
      </w:r>
    </w:p>
    <w:p>
      <w:pPr>
        <w:spacing w:after="0" w:line="54" w:lineRule="exact"/>
        <w:rPr>
          <w:sz w:val="20"/>
          <w:szCs w:val="20"/>
          <w:color w:val="auto"/>
        </w:rPr>
      </w:pPr>
    </w:p>
    <w:p>
      <w:pPr>
        <w:ind w:right="100" w:firstLine="456"/>
        <w:spacing w:after="0" w:line="313" w:lineRule="auto"/>
        <w:rPr>
          <w:sz w:val="20"/>
          <w:szCs w:val="20"/>
          <w:color w:val="auto"/>
        </w:rPr>
      </w:pPr>
      <w:r>
        <w:rPr>
          <w:rFonts w:ascii="Arial" w:cs="Arial" w:eastAsia="Arial" w:hAnsi="Arial"/>
          <w:sz w:val="17"/>
          <w:szCs w:val="17"/>
          <w:b w:val="1"/>
          <w:bCs w:val="1"/>
          <w:color w:val="auto"/>
        </w:rPr>
        <w:t>11.9 No Benefit to Third Parties</w:t>
      </w:r>
      <w:r>
        <w:rPr>
          <w:rFonts w:ascii="Arial" w:cs="Arial" w:eastAsia="Arial" w:hAnsi="Arial"/>
          <w:sz w:val="17"/>
          <w:szCs w:val="17"/>
          <w:color w:val="auto"/>
        </w:rPr>
        <w:t>. The representations, warranties, covenants and agreements set forth in this Agreement are for the sole benefit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hereto and their successors and permitted assigns, and they will not be construed as conferring any rights on any other parties.</w:t>
      </w:r>
    </w:p>
    <w:p>
      <w:pPr>
        <w:spacing w:after="0" w:line="30"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11.10 Further Assurance</w:t>
      </w:r>
      <w:r>
        <w:rPr>
          <w:rFonts w:ascii="Arial" w:cs="Arial" w:eastAsia="Arial" w:hAnsi="Arial"/>
          <w:sz w:val="18"/>
          <w:szCs w:val="18"/>
          <w:color w:val="auto"/>
        </w:rPr>
        <w:t>. Each Party will duly execute and deliver, or cause to be duly executed and delivered, such further instruments and do and</w:t>
      </w:r>
      <w:r>
        <w:rPr>
          <w:rFonts w:ascii="Arial" w:cs="Arial" w:eastAsia="Arial" w:hAnsi="Arial"/>
          <w:sz w:val="18"/>
          <w:szCs w:val="18"/>
          <w:b w:val="1"/>
          <w:bCs w:val="1"/>
          <w:color w:val="auto"/>
        </w:rPr>
        <w:t xml:space="preserve"> </w:t>
      </w:r>
      <w:r>
        <w:rPr>
          <w:rFonts w:ascii="Arial" w:cs="Arial" w:eastAsia="Arial" w:hAnsi="Arial"/>
          <w:sz w:val="18"/>
          <w:szCs w:val="18"/>
          <w:color w:val="auto"/>
        </w:rPr>
        <w:t>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or to better assure and confirm unto such other Party its rights and remedies under this Agreement.</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97" w:name="page498"/>
    <w:bookmarkEnd w:id="497"/>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right="40" w:firstLine="456"/>
        <w:spacing w:after="0" w:line="314" w:lineRule="auto"/>
        <w:rPr>
          <w:sz w:val="20"/>
          <w:szCs w:val="20"/>
          <w:color w:val="auto"/>
        </w:rPr>
      </w:pPr>
      <w:r>
        <w:rPr>
          <w:rFonts w:ascii="Arial" w:cs="Arial" w:eastAsia="Arial" w:hAnsi="Arial"/>
          <w:sz w:val="16"/>
          <w:szCs w:val="16"/>
          <w:b w:val="1"/>
          <w:bCs w:val="1"/>
          <w:color w:val="auto"/>
        </w:rPr>
        <w:t>11.11 English Language</w:t>
      </w:r>
      <w:r>
        <w:rPr>
          <w:rFonts w:ascii="Arial" w:cs="Arial" w:eastAsia="Arial" w:hAnsi="Arial"/>
          <w:sz w:val="16"/>
          <w:szCs w:val="16"/>
          <w:color w:val="auto"/>
        </w:rPr>
        <w:t>. This Agreement has been written and executed in the English language as used in the United States of America and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interpreted in accordance with the English language as used in the United States of America. Any translation by a Party into any other language will not be an official version thereof, and in the event of any conflict in interpretation between the English version and such translation, the English version will control.</w:t>
      </w:r>
    </w:p>
    <w:p>
      <w:pPr>
        <w:spacing w:after="0" w:line="34" w:lineRule="exact"/>
        <w:rPr>
          <w:sz w:val="20"/>
          <w:szCs w:val="20"/>
          <w:color w:val="auto"/>
        </w:rPr>
      </w:pPr>
    </w:p>
    <w:p>
      <w:pPr>
        <w:jc w:val="both"/>
        <w:ind w:right="20" w:firstLine="456"/>
        <w:spacing w:after="0" w:line="266" w:lineRule="auto"/>
        <w:rPr>
          <w:sz w:val="20"/>
          <w:szCs w:val="20"/>
          <w:color w:val="auto"/>
        </w:rPr>
      </w:pPr>
      <w:r>
        <w:rPr>
          <w:rFonts w:ascii="Arial" w:cs="Arial" w:eastAsia="Arial" w:hAnsi="Arial"/>
          <w:sz w:val="18"/>
          <w:szCs w:val="18"/>
          <w:b w:val="1"/>
          <w:bCs w:val="1"/>
          <w:color w:val="auto"/>
        </w:rPr>
        <w:t>11.12 No Drafting Party</w:t>
      </w:r>
      <w:r>
        <w:rPr>
          <w:rFonts w:ascii="Arial" w:cs="Arial" w:eastAsia="Arial" w:hAnsi="Arial"/>
          <w:sz w:val="18"/>
          <w:szCs w:val="18"/>
          <w:color w:val="auto"/>
        </w:rPr>
        <w:t>. This Agreement has been submitted to the scrutiny of, and has been negotiated by, both Parties and their counsel, and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given a fair and reasonable interpretation in accordance with its terms, without consideration or weight being given to any such terms having been drafted by any Party or its counsel. No rule of strict construction will be applied against either Party.</w:t>
      </w:r>
    </w:p>
    <w:p>
      <w:pPr>
        <w:spacing w:after="0" w:line="6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11.13 Construction</w:t>
      </w:r>
      <w:r>
        <w:rPr>
          <w:rFonts w:ascii="Arial" w:cs="Arial" w:eastAsia="Arial" w:hAnsi="Arial"/>
          <w:sz w:val="16"/>
          <w:szCs w:val="16"/>
          <w:color w:val="auto"/>
        </w:rPr>
        <w:t>. Except where the context otherwise requires, wherever used, the use of any gender will be applicable to all genders and the word</w:t>
      </w:r>
      <w:r>
        <w:rPr>
          <w:rFonts w:ascii="Arial" w:cs="Arial" w:eastAsia="Arial" w:hAnsi="Arial"/>
          <w:sz w:val="16"/>
          <w:szCs w:val="16"/>
          <w:b w:val="1"/>
          <w:bCs w:val="1"/>
          <w:color w:val="auto"/>
        </w:rPr>
        <w:t xml:space="preserve"> </w:t>
      </w:r>
      <w:r>
        <w:rPr>
          <w:rFonts w:ascii="Arial" w:cs="Arial" w:eastAsia="Arial" w:hAnsi="Arial"/>
          <w:sz w:val="16"/>
          <w:szCs w:val="16"/>
          <w:color w:val="auto"/>
        </w:rPr>
        <w:t>“or” is used in the inclusive sense (and/or). The captions of this Agreement are for convenience of reference only and in no way define, describe, extend or limit the scope or intent of this Agreement or the intent of any provision contained in this Agreement. The term “including” as used herein means including, without limiting the generality of any description preceding such term. The word “any” will mean “any” unless otherwise clearly indicated by context. Unless the context requires otherwise, (a) any definition of or reference to any agreement, instrument or other document refer to such agreement, instrument or other document as from time to time amended, supplemented or otherwise modified (subject to any restrictions on such amendments, supplements or modifications set forth herein or therein), (b) any reference to any laws refer to such laws as from time to time enacted, repealed or amended, (c) the words “herein”, “hereof and “hereunder”, and words of similar import, refer to this Agreement in its entirety and not to any particular provision hereof, and (d) all references herein to Sections and Exhibits, unless otherwise specifically provided, refer to the Sections and Exhibits of this Agreement.</w:t>
      </w:r>
    </w:p>
    <w:p>
      <w:pPr>
        <w:spacing w:after="0" w:line="160"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Remainder of page intentionally left blank. Signature page follows</w:t>
      </w:r>
      <w:r>
        <w:rPr>
          <w:rFonts w:ascii="Arial" w:cs="Arial" w:eastAsia="Arial" w:hAnsi="Arial"/>
          <w:sz w:val="18"/>
          <w:szCs w:val="18"/>
          <w:color w:val="auto"/>
        </w:rPr>
        <w: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98" w:name="page499"/>
    <w:bookmarkEnd w:id="498"/>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7"/>
          <w:szCs w:val="17"/>
          <w:color w:val="auto"/>
        </w:rPr>
        <w:t>, the Parties have executed this Agreement by their respective authorized representatives as of the date first written above.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w:t>
      </w:r>
      <w:r>
        <w:rPr>
          <w:rFonts w:ascii="Arial" w:cs="Arial" w:eastAsia="Arial" w:hAnsi="Arial"/>
          <w:sz w:val="18"/>
          <w:szCs w:val="18"/>
          <w:b w:val="1"/>
          <w:bCs w:val="1"/>
          <w:color w:val="auto"/>
        </w:rPr>
        <w:t>S</w:t>
      </w:r>
      <w:r>
        <w:rPr>
          <w:rFonts w:ascii="Arial" w:cs="Arial" w:eastAsia="Arial" w:hAnsi="Arial"/>
          <w:sz w:val="15"/>
          <w:szCs w:val="15"/>
          <w:b w:val="1"/>
          <w:bCs w:val="1"/>
          <w:color w:val="auto"/>
        </w:rPr>
        <w:t>TEM</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HERAPEUTICS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M. Ostrove, Ph.D.</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Jeffrey M. Ostrove, Ph.D.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VROBIO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Geoff MacKay</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Geoff MacKay</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99" w:name="page500"/>
    <w:bookmarkEnd w:id="499"/>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00" w:type="dxa"/>
            <w:vAlign w:val="bottom"/>
          </w:tcPr>
          <w:p>
            <w:pPr>
              <w:ind w:left="100"/>
              <w:spacing w:after="0"/>
              <w:rPr>
                <w:sz w:val="20"/>
                <w:szCs w:val="20"/>
                <w:color w:val="auto"/>
              </w:rPr>
            </w:pPr>
            <w:r>
              <w:rPr>
                <w:rFonts w:ascii="Arial" w:cs="Arial" w:eastAsia="Arial" w:hAnsi="Arial"/>
                <w:sz w:val="18"/>
                <w:szCs w:val="18"/>
                <w:b w:val="1"/>
                <w:bCs w:val="1"/>
                <w:color w:val="auto"/>
              </w:rPr>
              <w:t>CONFIDENTIAL</w:t>
            </w: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7140" w:type="dxa"/>
            <w:vAlign w:val="bottom"/>
            <w:gridSpan w:val="3"/>
          </w:tcPr>
          <w:p>
            <w:pPr>
              <w:jc w:val="center"/>
              <w:ind w:left="2230"/>
              <w:spacing w:after="0"/>
              <w:rPr>
                <w:sz w:val="20"/>
                <w:szCs w:val="20"/>
                <w:color w:val="auto"/>
              </w:rPr>
            </w:pPr>
            <w:r>
              <w:rPr>
                <w:rFonts w:ascii="Arial" w:cs="Arial" w:eastAsia="Arial" w:hAnsi="Arial"/>
                <w:sz w:val="18"/>
                <w:szCs w:val="18"/>
                <w:b w:val="1"/>
                <w:bCs w:val="1"/>
                <w:color w:val="auto"/>
                <w:w w:val="99"/>
              </w:rPr>
              <w:t>S</w:t>
            </w:r>
            <w:r>
              <w:rPr>
                <w:rFonts w:ascii="Arial" w:cs="Arial" w:eastAsia="Arial" w:hAnsi="Arial"/>
                <w:sz w:val="15"/>
                <w:szCs w:val="15"/>
                <w:b w:val="1"/>
                <w:bCs w:val="1"/>
                <w:color w:val="auto"/>
                <w:w w:val="99"/>
              </w:rPr>
              <w:t>CHEDULE</w:t>
            </w:r>
            <w:r>
              <w:rPr>
                <w:rFonts w:ascii="Arial" w:cs="Arial" w:eastAsia="Arial" w:hAnsi="Arial"/>
                <w:sz w:val="18"/>
                <w:szCs w:val="18"/>
                <w:b w:val="1"/>
                <w:bCs w:val="1"/>
                <w:color w:val="auto"/>
                <w:w w:val="99"/>
              </w:rPr>
              <w:t xml:space="preserve"> A</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7140" w:type="dxa"/>
            <w:vAlign w:val="bottom"/>
            <w:gridSpan w:val="3"/>
          </w:tcPr>
          <w:p>
            <w:pPr>
              <w:jc w:val="center"/>
              <w:ind w:left="223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ATENT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93"/>
              </w:rPr>
              <w:t>Application No.</w:t>
            </w:r>
          </w:p>
        </w:tc>
        <w:tc>
          <w:tcPr>
            <w:tcW w:w="5600" w:type="dxa"/>
            <w:vAlign w:val="bottom"/>
          </w:tcPr>
          <w:p>
            <w:pPr>
              <w:spacing w:after="0"/>
              <w:rPr>
                <w:sz w:val="24"/>
                <w:szCs w:val="24"/>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Filing Date</w:t>
            </w:r>
          </w:p>
        </w:tc>
        <w:tc>
          <w:tcPr>
            <w:tcW w:w="960" w:type="dxa"/>
            <w:vAlign w:val="bottom"/>
          </w:tcPr>
          <w:p>
            <w:pPr>
              <w:spacing w:after="0"/>
              <w:rPr>
                <w:sz w:val="20"/>
                <w:szCs w:val="20"/>
                <w:color w:val="auto"/>
              </w:rPr>
            </w:pPr>
            <w:r>
              <w:rPr>
                <w:rFonts w:ascii="Arial" w:cs="Arial" w:eastAsia="Arial" w:hAnsi="Arial"/>
                <w:sz w:val="14"/>
                <w:szCs w:val="14"/>
                <w:b w:val="1"/>
                <w:bCs w:val="1"/>
                <w:color w:val="auto"/>
                <w:w w:val="92"/>
              </w:rPr>
              <w:t>UCSD Attorney</w:t>
            </w:r>
          </w:p>
        </w:tc>
        <w:tc>
          <w:tcPr>
            <w:tcW w:w="840" w:type="dxa"/>
            <w:vAlign w:val="bottom"/>
          </w:tcPr>
          <w:p>
            <w:pPr>
              <w:spacing w:after="0"/>
              <w:rPr>
                <w:sz w:val="24"/>
                <w:szCs w:val="24"/>
                <w:color w:val="auto"/>
              </w:rPr>
            </w:pPr>
          </w:p>
        </w:tc>
        <w:tc>
          <w:tcPr>
            <w:tcW w:w="1500" w:type="dxa"/>
            <w:vAlign w:val="bottom"/>
          </w:tcPr>
          <w:p>
            <w:pPr>
              <w:ind w:left="360"/>
              <w:spacing w:after="0"/>
              <w:rPr>
                <w:sz w:val="20"/>
                <w:szCs w:val="20"/>
                <w:color w:val="auto"/>
              </w:rPr>
            </w:pPr>
            <w:r>
              <w:rPr>
                <w:rFonts w:ascii="Arial" w:cs="Arial" w:eastAsia="Arial" w:hAnsi="Arial"/>
                <w:sz w:val="14"/>
                <w:szCs w:val="14"/>
                <w:b w:val="1"/>
                <w:bCs w:val="1"/>
                <w:color w:val="auto"/>
              </w:rPr>
              <w:t>Summary of</w:t>
            </w:r>
          </w:p>
        </w:tc>
        <w:tc>
          <w:tcPr>
            <w:tcW w:w="0" w:type="dxa"/>
            <w:vAlign w:val="bottom"/>
          </w:tcPr>
          <w:p>
            <w:pPr>
              <w:spacing w:after="0"/>
              <w:rPr>
                <w:sz w:val="1"/>
                <w:szCs w:val="1"/>
                <w:color w:val="auto"/>
              </w:rPr>
            </w:pPr>
          </w:p>
        </w:tc>
      </w:tr>
      <w:tr>
        <w:trPr>
          <w:trHeight w:val="171"/>
        </w:trPr>
        <w:tc>
          <w:tcPr>
            <w:tcW w:w="980" w:type="dxa"/>
            <w:vAlign w:val="bottom"/>
            <w:vMerge w:val="continue"/>
          </w:tcPr>
          <w:p>
            <w:pPr>
              <w:spacing w:after="0"/>
              <w:rPr>
                <w:sz w:val="14"/>
                <w:szCs w:val="14"/>
                <w:color w:val="auto"/>
              </w:rPr>
            </w:pPr>
          </w:p>
        </w:tc>
        <w:tc>
          <w:tcPr>
            <w:tcW w:w="56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960" w:type="dxa"/>
            <w:vAlign w:val="bottom"/>
          </w:tcPr>
          <w:p>
            <w:pPr>
              <w:ind w:left="140"/>
              <w:spacing w:after="0"/>
              <w:rPr>
                <w:sz w:val="20"/>
                <w:szCs w:val="20"/>
                <w:color w:val="auto"/>
              </w:rPr>
            </w:pPr>
            <w:r>
              <w:rPr>
                <w:rFonts w:ascii="Arial" w:cs="Arial" w:eastAsia="Arial" w:hAnsi="Arial"/>
                <w:sz w:val="14"/>
                <w:szCs w:val="14"/>
                <w:b w:val="1"/>
                <w:bCs w:val="1"/>
                <w:color w:val="auto"/>
              </w:rPr>
              <w:t>Docket No.</w:t>
            </w:r>
          </w:p>
        </w:tc>
        <w:tc>
          <w:tcPr>
            <w:tcW w:w="84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Arial" w:cs="Arial" w:eastAsia="Arial" w:hAnsi="Arial"/>
                <w:sz w:val="14"/>
                <w:szCs w:val="14"/>
                <w:b w:val="1"/>
                <w:bCs w:val="1"/>
                <w:color w:val="auto"/>
                <w:w w:val="95"/>
              </w:rPr>
              <w:t>Claimed Subject Matter</w:t>
            </w:r>
          </w:p>
        </w:tc>
        <w:tc>
          <w:tcPr>
            <w:tcW w:w="0" w:type="dxa"/>
            <w:vAlign w:val="bottom"/>
          </w:tcPr>
          <w:p>
            <w:pPr>
              <w:spacing w:after="0"/>
              <w:rPr>
                <w:sz w:val="1"/>
                <w:szCs w:val="1"/>
                <w:color w:val="auto"/>
              </w:rPr>
            </w:pPr>
          </w:p>
        </w:tc>
      </w:tr>
      <w:tr>
        <w:trPr>
          <w:trHeight w:val="210"/>
        </w:trPr>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w:t>
            </w:r>
          </w:p>
        </w:tc>
        <w:tc>
          <w:tcPr>
            <w:tcW w:w="6300" w:type="dxa"/>
            <w:vAlign w:val="bottom"/>
            <w:gridSpan w:val="2"/>
          </w:tcPr>
          <w:p>
            <w:pPr>
              <w:ind w:left="56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500" w:name="page501"/>
    <w:bookmarkEnd w:id="50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NOW</w:t>
      </w:r>
      <w:r>
        <w:rPr>
          <w:rFonts w:ascii="Arial" w:cs="Arial" w:eastAsia="Arial" w:hAnsi="Arial"/>
          <w:sz w:val="18"/>
          <w:szCs w:val="18"/>
          <w:b w:val="1"/>
          <w:bCs w:val="1"/>
          <w:color w:val="auto"/>
        </w:rPr>
        <w:t>-H</w:t>
      </w:r>
      <w:r>
        <w:rPr>
          <w:rFonts w:ascii="Arial" w:cs="Arial" w:eastAsia="Arial" w:hAnsi="Arial"/>
          <w:sz w:val="15"/>
          <w:szCs w:val="15"/>
          <w:b w:val="1"/>
          <w:bCs w:val="1"/>
          <w:color w:val="auto"/>
        </w:rPr>
        <w:t>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GenStem Know-How List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501" w:name="page502"/>
    <w:bookmarkEnd w:id="501"/>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AGREEMENT</w:t>
      </w:r>
    </w:p>
    <w:p>
      <w:pPr>
        <w:spacing w:after="0" w:line="225"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THIS LEASE AGREEMENT (this “</w:t>
      </w:r>
      <w:r>
        <w:rPr>
          <w:rFonts w:ascii="Arial" w:cs="Arial" w:eastAsia="Arial" w:hAnsi="Arial"/>
          <w:sz w:val="18"/>
          <w:szCs w:val="18"/>
          <w:b w:val="1"/>
          <w:bCs w:val="1"/>
          <w:color w:val="auto"/>
        </w:rPr>
        <w:t>Lease</w:t>
      </w:r>
      <w:r>
        <w:rPr>
          <w:rFonts w:ascii="Arial" w:cs="Arial" w:eastAsia="Arial" w:hAnsi="Arial"/>
          <w:sz w:val="18"/>
          <w:szCs w:val="18"/>
          <w:color w:val="auto"/>
        </w:rPr>
        <w:t>”) is made as of this 12</w:t>
      </w:r>
      <w:r>
        <w:rPr>
          <w:rFonts w:ascii="Arial" w:cs="Arial" w:eastAsia="Arial" w:hAnsi="Arial"/>
          <w:sz w:val="15"/>
          <w:szCs w:val="15"/>
          <w:color w:val="auto"/>
        </w:rPr>
        <w:t>th</w:t>
      </w:r>
      <w:r>
        <w:rPr>
          <w:rFonts w:ascii="Arial" w:cs="Arial" w:eastAsia="Arial" w:hAnsi="Arial"/>
          <w:sz w:val="18"/>
          <w:szCs w:val="18"/>
          <w:color w:val="auto"/>
        </w:rPr>
        <w:t xml:space="preserve"> day of January, 2018, between </w:t>
      </w:r>
      <w:r>
        <w:rPr>
          <w:rFonts w:ascii="Arial" w:cs="Arial" w:eastAsia="Arial" w:hAnsi="Arial"/>
          <w:sz w:val="18"/>
          <w:szCs w:val="18"/>
          <w:b w:val="1"/>
          <w:bCs w:val="1"/>
          <w:color w:val="auto"/>
        </w:rPr>
        <w:t>ARE-MA REGION NO</w:t>
      </w:r>
      <w:r>
        <w:rPr>
          <w:rFonts w:ascii="Arial" w:cs="Arial" w:eastAsia="Arial" w:hAnsi="Arial"/>
          <w:sz w:val="18"/>
          <w:szCs w:val="18"/>
          <w:color w:val="auto"/>
        </w:rPr>
        <w:t xml:space="preserve">. </w:t>
      </w:r>
      <w:r>
        <w:rPr>
          <w:rFonts w:ascii="Arial" w:cs="Arial" w:eastAsia="Arial" w:hAnsi="Arial"/>
          <w:sz w:val="18"/>
          <w:szCs w:val="18"/>
          <w:b w:val="1"/>
          <w:bCs w:val="1"/>
          <w:color w:val="auto"/>
        </w:rPr>
        <w:t>59,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AVROBIO,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7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BASIC LEASE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of Building</w:t>
      </w:r>
      <w:r>
        <w:rPr>
          <w:rFonts w:ascii="Arial" w:cs="Arial" w:eastAsia="Arial" w:hAnsi="Arial"/>
          <w:sz w:val="18"/>
          <w:szCs w:val="18"/>
          <w:color w:val="auto"/>
        </w:rPr>
        <w:t>: 300 One Kendall Square, Cambridge, MA 02139</w:t>
      </w:r>
    </w:p>
    <w:p>
      <w:pPr>
        <w:spacing w:after="0" w:line="252" w:lineRule="exact"/>
        <w:rPr>
          <w:sz w:val="20"/>
          <w:szCs w:val="20"/>
          <w:color w:val="auto"/>
        </w:rPr>
      </w:pPr>
    </w:p>
    <w:p>
      <w:pPr>
        <w:jc w:val="both"/>
        <w:ind w:left="1160" w:right="100" w:hanging="1159"/>
        <w:spacing w:after="0" w:line="264" w:lineRule="auto"/>
        <w:tabs>
          <w:tab w:leader="none" w:pos="1140" w:val="left"/>
        </w:tabs>
        <w:rPr>
          <w:sz w:val="20"/>
          <w:szCs w:val="20"/>
          <w:color w:val="auto"/>
        </w:rPr>
      </w:pPr>
      <w:r>
        <w:rPr>
          <w:rFonts w:ascii="Arial" w:cs="Arial" w:eastAsia="Arial" w:hAnsi="Arial"/>
          <w:sz w:val="18"/>
          <w:szCs w:val="18"/>
          <w:b w:val="1"/>
          <w:bCs w:val="1"/>
          <w:color w:val="auto"/>
        </w:rPr>
        <w:t>Premises:</w:t>
      </w:r>
      <w:r>
        <w:rPr>
          <w:sz w:val="20"/>
          <w:szCs w:val="20"/>
          <w:color w:val="auto"/>
        </w:rPr>
        <w:tab/>
      </w:r>
      <w:r>
        <w:rPr>
          <w:rFonts w:ascii="Arial" w:cs="Arial" w:eastAsia="Arial" w:hAnsi="Arial"/>
          <w:sz w:val="18"/>
          <w:szCs w:val="18"/>
          <w:color w:val="auto"/>
        </w:rPr>
        <w:t>That portion of the second floor of the Building in the Project (each as defined below) containing approximately 11,218 rentable square feet, consisting of (i) approximately 4,580 rentable square feet of space (the “</w:t>
      </w:r>
      <w:r>
        <w:rPr>
          <w:rFonts w:ascii="Arial" w:cs="Arial" w:eastAsia="Arial" w:hAnsi="Arial"/>
          <w:sz w:val="18"/>
          <w:szCs w:val="18"/>
          <w:b w:val="1"/>
          <w:bCs w:val="1"/>
          <w:color w:val="auto"/>
        </w:rPr>
        <w:t>Initial Premises</w:t>
      </w:r>
      <w:r>
        <w:rPr>
          <w:rFonts w:ascii="Arial" w:cs="Arial" w:eastAsia="Arial" w:hAnsi="Arial"/>
          <w:sz w:val="18"/>
          <w:szCs w:val="18"/>
          <w:color w:val="auto"/>
        </w:rPr>
        <w:t>”), and (ii) approximately 6,638 rentable square feet of space (the “</w:t>
      </w:r>
      <w:r>
        <w:rPr>
          <w:rFonts w:ascii="Arial" w:cs="Arial" w:eastAsia="Arial" w:hAnsi="Arial"/>
          <w:sz w:val="18"/>
          <w:szCs w:val="18"/>
          <w:b w:val="1"/>
          <w:bCs w:val="1"/>
          <w:color w:val="auto"/>
        </w:rPr>
        <w:t>Subsequent Premises</w:t>
      </w:r>
      <w:r>
        <w:rPr>
          <w:rFonts w:ascii="Arial" w:cs="Arial" w:eastAsia="Arial" w:hAnsi="Arial"/>
          <w:sz w:val="18"/>
          <w:szCs w:val="18"/>
          <w:color w:val="auto"/>
        </w:rPr>
        <w:t xml:space="preserve">”), all as shown on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81" w:lineRule="exact"/>
        <w:rPr>
          <w:sz w:val="20"/>
          <w:szCs w:val="20"/>
          <w:color w:val="auto"/>
        </w:rPr>
      </w:pPr>
    </w:p>
    <w:p>
      <w:pPr>
        <w:ind w:left="1160" w:right="280" w:hanging="1159"/>
        <w:spacing w:after="0" w:line="277" w:lineRule="auto"/>
        <w:tabs>
          <w:tab w:leader="none" w:pos="1140" w:val="left"/>
        </w:tabs>
        <w:rPr>
          <w:sz w:val="20"/>
          <w:szCs w:val="20"/>
          <w:color w:val="auto"/>
        </w:rPr>
      </w:pPr>
      <w:r>
        <w:rPr>
          <w:rFonts w:ascii="Arial" w:cs="Arial" w:eastAsia="Arial" w:hAnsi="Arial"/>
          <w:sz w:val="18"/>
          <w:szCs w:val="18"/>
          <w:b w:val="1"/>
          <w:bCs w:val="1"/>
          <w:color w:val="auto"/>
        </w:rPr>
        <w:t>Building:</w:t>
      </w:r>
      <w:r>
        <w:rPr>
          <w:sz w:val="20"/>
          <w:szCs w:val="20"/>
          <w:color w:val="auto"/>
        </w:rPr>
        <w:tab/>
      </w:r>
      <w:r>
        <w:rPr>
          <w:rFonts w:ascii="Arial" w:cs="Arial" w:eastAsia="Arial" w:hAnsi="Arial"/>
          <w:sz w:val="18"/>
          <w:szCs w:val="18"/>
          <w:color w:val="auto"/>
        </w:rPr>
        <w:t xml:space="preserve">The building in the Project currently known and numbered as 300 One Kendall Square, Cambridge, Massachusetts, and located on the real property owned by Landlord and described on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70" w:lineRule="exact"/>
        <w:rPr>
          <w:sz w:val="20"/>
          <w:szCs w:val="20"/>
          <w:color w:val="auto"/>
        </w:rPr>
      </w:pPr>
    </w:p>
    <w:p>
      <w:pPr>
        <w:ind w:left="1160" w:right="180" w:hanging="1159"/>
        <w:spacing w:after="0" w:line="277" w:lineRule="auto"/>
        <w:tabs>
          <w:tab w:leader="none" w:pos="1140" w:val="left"/>
        </w:tabs>
        <w:rPr>
          <w:sz w:val="20"/>
          <w:szCs w:val="20"/>
          <w:color w:val="auto"/>
        </w:rPr>
      </w:pPr>
      <w:r>
        <w:rPr>
          <w:rFonts w:ascii="Arial" w:cs="Arial" w:eastAsia="Arial" w:hAnsi="Arial"/>
          <w:sz w:val="18"/>
          <w:szCs w:val="18"/>
          <w:b w:val="1"/>
          <w:bCs w:val="1"/>
          <w:color w:val="auto"/>
        </w:rPr>
        <w:t>Project:</w:t>
      </w:r>
      <w:r>
        <w:rPr>
          <w:sz w:val="20"/>
          <w:szCs w:val="20"/>
          <w:color w:val="auto"/>
        </w:rPr>
        <w:tab/>
      </w:r>
      <w:r>
        <w:rPr>
          <w:rFonts w:ascii="Arial" w:cs="Arial" w:eastAsia="Arial" w:hAnsi="Arial"/>
          <w:sz w:val="18"/>
          <w:szCs w:val="18"/>
          <w:color w:val="auto"/>
        </w:rPr>
        <w:t>The project commonly known as One Kendall Square, located on the Property and property owned by affiliates of Landlord and operated as single mixed-use complex.</w:t>
      </w:r>
    </w:p>
    <w:p>
      <w:pPr>
        <w:spacing w:after="0" w:line="1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Base Rent:</w:t>
      </w:r>
      <w:r>
        <w:rPr>
          <w:sz w:val="20"/>
          <w:szCs w:val="20"/>
          <w:color w:val="auto"/>
        </w:rPr>
        <w:tab/>
      </w:r>
      <w:r>
        <w:rPr>
          <w:rFonts w:ascii="Arial" w:cs="Arial" w:eastAsia="Arial" w:hAnsi="Arial"/>
          <w:sz w:val="16"/>
          <w:szCs w:val="16"/>
          <w:color w:val="auto"/>
        </w:rPr>
        <w:t xml:space="preserve">$56.00 per rentable square foot of the Premises per year, subject to adjustment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Rentable Area of Premises: </w:t>
      </w:r>
      <w:r>
        <w:rPr>
          <w:rFonts w:ascii="Arial" w:cs="Arial" w:eastAsia="Arial" w:hAnsi="Arial"/>
          <w:sz w:val="18"/>
          <w:szCs w:val="18"/>
          <w:color w:val="auto"/>
        </w:rPr>
        <w:t>11,218 rentable square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Rentable Area of Project: </w:t>
      </w:r>
      <w:r>
        <w:rPr>
          <w:rFonts w:ascii="Arial" w:cs="Arial" w:eastAsia="Arial" w:hAnsi="Arial"/>
          <w:sz w:val="18"/>
          <w:szCs w:val="18"/>
          <w:color w:val="auto"/>
        </w:rPr>
        <w:t>644,771 rentable square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Rentable Area of Building: </w:t>
      </w:r>
      <w:r>
        <w:rPr>
          <w:rFonts w:ascii="Arial" w:cs="Arial" w:eastAsia="Arial" w:hAnsi="Arial"/>
          <w:sz w:val="18"/>
          <w:szCs w:val="18"/>
          <w:color w:val="auto"/>
        </w:rPr>
        <w:t>65,527 rentable square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Building’s Share of Project: </w:t>
      </w:r>
      <w:r>
        <w:rPr>
          <w:rFonts w:ascii="Arial" w:cs="Arial" w:eastAsia="Arial" w:hAnsi="Arial"/>
          <w:sz w:val="18"/>
          <w:szCs w:val="18"/>
          <w:color w:val="auto"/>
        </w:rPr>
        <w:t>10.12%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Tenant’s Share: </w:t>
      </w:r>
      <w:r>
        <w:rPr>
          <w:rFonts w:ascii="Arial" w:cs="Arial" w:eastAsia="Arial" w:hAnsi="Arial"/>
          <w:sz w:val="18"/>
          <w:szCs w:val="18"/>
          <w:color w:val="auto"/>
        </w:rPr>
        <w:t>17.11% (6.98% attributable to the Initial Premises and 10.13% attributable to the Subsequent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Security Deposit: </w:t>
      </w:r>
      <w:r>
        <w:rPr>
          <w:rFonts w:ascii="Arial" w:cs="Arial" w:eastAsia="Arial" w:hAnsi="Arial"/>
          <w:sz w:val="18"/>
          <w:szCs w:val="18"/>
          <w:color w:val="auto"/>
        </w:rPr>
        <w:t>$209,402.67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Target Commencement Date: </w:t>
      </w:r>
      <w:r>
        <w:rPr>
          <w:rFonts w:ascii="Arial" w:cs="Arial" w:eastAsia="Arial" w:hAnsi="Arial"/>
          <w:sz w:val="18"/>
          <w:szCs w:val="18"/>
          <w:color w:val="auto"/>
        </w:rPr>
        <w:t>February 1, 2018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Arial" w:cs="Arial" w:eastAsia="Arial" w:hAnsi="Arial"/>
                <w:sz w:val="18"/>
                <w:szCs w:val="18"/>
                <w:b w:val="1"/>
                <w:bCs w:val="1"/>
                <w:color w:val="auto"/>
              </w:rPr>
              <w:t>Rent Adjustment Percentage:</w:t>
            </w:r>
          </w:p>
        </w:tc>
        <w:tc>
          <w:tcPr>
            <w:tcW w:w="660" w:type="dxa"/>
            <w:vAlign w:val="bottom"/>
          </w:tcPr>
          <w:p>
            <w:pPr>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80" w:type="dxa"/>
            <w:vAlign w:val="bottom"/>
          </w:tcPr>
          <w:p>
            <w:pPr>
              <w:spacing w:after="0"/>
              <w:rPr>
                <w:sz w:val="20"/>
                <w:szCs w:val="20"/>
                <w:color w:val="auto"/>
              </w:rPr>
            </w:pPr>
          </w:p>
        </w:tc>
      </w:tr>
      <w:tr>
        <w:trPr>
          <w:trHeight w:val="418"/>
        </w:trPr>
        <w:tc>
          <w:tcPr>
            <w:tcW w:w="2880" w:type="dxa"/>
            <w:vAlign w:val="bottom"/>
          </w:tcPr>
          <w:p>
            <w:pPr>
              <w:spacing w:after="0"/>
              <w:rPr>
                <w:sz w:val="20"/>
                <w:szCs w:val="20"/>
                <w:color w:val="auto"/>
              </w:rPr>
            </w:pPr>
            <w:r>
              <w:rPr>
                <w:rFonts w:ascii="Arial" w:cs="Arial" w:eastAsia="Arial" w:hAnsi="Arial"/>
                <w:sz w:val="18"/>
                <w:szCs w:val="18"/>
                <w:b w:val="1"/>
                <w:bCs w:val="1"/>
                <w:color w:val="auto"/>
              </w:rPr>
              <w:t>Base Term:</w:t>
            </w:r>
          </w:p>
        </w:tc>
        <w:tc>
          <w:tcPr>
            <w:tcW w:w="8520" w:type="dxa"/>
            <w:vAlign w:val="bottom"/>
            <w:gridSpan w:val="4"/>
          </w:tcPr>
          <w:p>
            <w:pPr>
              <w:spacing w:after="0"/>
              <w:rPr>
                <w:sz w:val="20"/>
                <w:szCs w:val="20"/>
                <w:color w:val="auto"/>
              </w:rPr>
            </w:pPr>
            <w:r>
              <w:rPr>
                <w:rFonts w:ascii="Arial" w:cs="Arial" w:eastAsia="Arial" w:hAnsi="Arial"/>
                <w:sz w:val="18"/>
                <w:szCs w:val="18"/>
                <w:color w:val="auto"/>
                <w:w w:val="91"/>
              </w:rPr>
              <w:t>Beginning on the Commencement Date and ending 60 months from the first day of the first full month of the Term (as</w:t>
            </w:r>
          </w:p>
        </w:tc>
      </w:tr>
      <w:tr>
        <w:trPr>
          <w:trHeight w:val="190"/>
        </w:trPr>
        <w:tc>
          <w:tcPr>
            <w:tcW w:w="2880" w:type="dxa"/>
            <w:vAlign w:val="bottom"/>
          </w:tcPr>
          <w:p>
            <w:pPr>
              <w:spacing w:after="0"/>
              <w:rPr>
                <w:sz w:val="16"/>
                <w:szCs w:val="16"/>
                <w:color w:val="auto"/>
              </w:rPr>
            </w:pPr>
          </w:p>
        </w:tc>
        <w:tc>
          <w:tcPr>
            <w:tcW w:w="8520" w:type="dxa"/>
            <w:vAlign w:val="bottom"/>
            <w:gridSpan w:val="4"/>
          </w:tcPr>
          <w:p>
            <w:pPr>
              <w:spacing w:after="0" w:line="190" w:lineRule="exact"/>
              <w:rPr>
                <w:sz w:val="20"/>
                <w:szCs w:val="20"/>
                <w:color w:val="auto"/>
              </w:rPr>
            </w:pPr>
            <w:r>
              <w:rPr>
                <w:rFonts w:ascii="Arial" w:cs="Arial" w:eastAsia="Arial" w:hAnsi="Arial"/>
                <w:sz w:val="18"/>
                <w:szCs w:val="18"/>
                <w:color w:val="auto"/>
                <w:w w:val="91"/>
              </w:rPr>
              <w:t>defined in Section 2) hereof. For clarity, if the Commencement Date occurs on the first day of a month, the expiration</w:t>
            </w:r>
          </w:p>
        </w:tc>
      </w:tr>
      <w:tr>
        <w:trPr>
          <w:trHeight w:val="20"/>
        </w:trPr>
        <w:tc>
          <w:tcPr>
            <w:tcW w:w="2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222"/>
        </w:trPr>
        <w:tc>
          <w:tcPr>
            <w:tcW w:w="2880" w:type="dxa"/>
            <w:vAlign w:val="bottom"/>
          </w:tcPr>
          <w:p>
            <w:pPr>
              <w:spacing w:after="0"/>
              <w:rPr>
                <w:sz w:val="19"/>
                <w:szCs w:val="19"/>
                <w:color w:val="auto"/>
              </w:rPr>
            </w:pPr>
          </w:p>
        </w:tc>
        <w:tc>
          <w:tcPr>
            <w:tcW w:w="8520" w:type="dxa"/>
            <w:vAlign w:val="bottom"/>
            <w:gridSpan w:val="4"/>
          </w:tcPr>
          <w:p>
            <w:pPr>
              <w:spacing w:after="0"/>
              <w:rPr>
                <w:sz w:val="20"/>
                <w:szCs w:val="20"/>
                <w:color w:val="auto"/>
              </w:rPr>
            </w:pPr>
            <w:r>
              <w:rPr>
                <w:rFonts w:ascii="Arial" w:cs="Arial" w:eastAsia="Arial" w:hAnsi="Arial"/>
                <w:sz w:val="18"/>
                <w:szCs w:val="18"/>
                <w:color w:val="auto"/>
                <w:w w:val="92"/>
              </w:rPr>
              <w:t>of the Base Term shall be measured from that date. If the Commencement Date occurs on a day other than the first</w:t>
            </w:r>
          </w:p>
        </w:tc>
      </w:tr>
      <w:tr>
        <w:trPr>
          <w:trHeight w:val="230"/>
        </w:trPr>
        <w:tc>
          <w:tcPr>
            <w:tcW w:w="2880" w:type="dxa"/>
            <w:vAlign w:val="bottom"/>
          </w:tcPr>
          <w:p>
            <w:pPr>
              <w:spacing w:after="0"/>
              <w:rPr>
                <w:sz w:val="20"/>
                <w:szCs w:val="20"/>
                <w:color w:val="auto"/>
              </w:rPr>
            </w:pPr>
          </w:p>
        </w:tc>
        <w:tc>
          <w:tcPr>
            <w:tcW w:w="8520" w:type="dxa"/>
            <w:vAlign w:val="bottom"/>
            <w:gridSpan w:val="4"/>
          </w:tcPr>
          <w:p>
            <w:pPr>
              <w:spacing w:after="0"/>
              <w:rPr>
                <w:sz w:val="20"/>
                <w:szCs w:val="20"/>
                <w:color w:val="auto"/>
              </w:rPr>
            </w:pPr>
            <w:r>
              <w:rPr>
                <w:rFonts w:ascii="Arial" w:cs="Arial" w:eastAsia="Arial" w:hAnsi="Arial"/>
                <w:sz w:val="18"/>
                <w:szCs w:val="18"/>
                <w:color w:val="auto"/>
                <w:w w:val="99"/>
              </w:rPr>
              <w:t>day of a month, the expiration of the Base Term shall be measured from the first day of the following month.</w:t>
            </w:r>
          </w:p>
        </w:tc>
      </w:tr>
      <w:tr>
        <w:trPr>
          <w:trHeight w:val="418"/>
        </w:trPr>
        <w:tc>
          <w:tcPr>
            <w:tcW w:w="2880" w:type="dxa"/>
            <w:vAlign w:val="bottom"/>
          </w:tcPr>
          <w:p>
            <w:pPr>
              <w:spacing w:after="0"/>
              <w:rPr>
                <w:sz w:val="20"/>
                <w:szCs w:val="20"/>
                <w:color w:val="auto"/>
              </w:rPr>
            </w:pPr>
            <w:r>
              <w:rPr>
                <w:rFonts w:ascii="Arial" w:cs="Arial" w:eastAsia="Arial" w:hAnsi="Arial"/>
                <w:sz w:val="18"/>
                <w:szCs w:val="18"/>
                <w:b w:val="1"/>
                <w:bCs w:val="1"/>
                <w:color w:val="auto"/>
              </w:rPr>
              <w:t>Permitted Use</w:t>
            </w:r>
            <w:r>
              <w:rPr>
                <w:rFonts w:ascii="Arial" w:cs="Arial" w:eastAsia="Arial" w:hAnsi="Arial"/>
                <w:sz w:val="18"/>
                <w:szCs w:val="18"/>
                <w:color w:val="auto"/>
              </w:rPr>
              <w:t>:</w:t>
            </w:r>
          </w:p>
        </w:tc>
        <w:tc>
          <w:tcPr>
            <w:tcW w:w="8520" w:type="dxa"/>
            <w:vAlign w:val="bottom"/>
            <w:gridSpan w:val="4"/>
          </w:tcPr>
          <w:p>
            <w:pPr>
              <w:spacing w:after="0"/>
              <w:rPr>
                <w:sz w:val="20"/>
                <w:szCs w:val="20"/>
                <w:color w:val="auto"/>
              </w:rPr>
            </w:pPr>
            <w:r>
              <w:rPr>
                <w:rFonts w:ascii="Arial" w:cs="Arial" w:eastAsia="Arial" w:hAnsi="Arial"/>
                <w:sz w:val="18"/>
                <w:szCs w:val="18"/>
                <w:color w:val="auto"/>
                <w:w w:val="90"/>
              </w:rPr>
              <w:t>Office and related uses consistent with the character of the Project and otherwise in compliance with the provisions of</w:t>
            </w:r>
          </w:p>
        </w:tc>
      </w:tr>
      <w:tr>
        <w:trPr>
          <w:trHeight w:val="190"/>
        </w:trPr>
        <w:tc>
          <w:tcPr>
            <w:tcW w:w="2880" w:type="dxa"/>
            <w:vAlign w:val="bottom"/>
          </w:tcPr>
          <w:p>
            <w:pPr>
              <w:spacing w:after="0"/>
              <w:rPr>
                <w:sz w:val="16"/>
                <w:szCs w:val="16"/>
                <w:color w:val="auto"/>
              </w:rPr>
            </w:pPr>
          </w:p>
        </w:tc>
        <w:tc>
          <w:tcPr>
            <w:tcW w:w="8520" w:type="dxa"/>
            <w:vAlign w:val="bottom"/>
            <w:gridSpan w:val="4"/>
          </w:tcPr>
          <w:p>
            <w:pPr>
              <w:spacing w:after="0" w:line="190" w:lineRule="exact"/>
              <w:rPr>
                <w:sz w:val="20"/>
                <w:szCs w:val="20"/>
                <w:color w:val="auto"/>
              </w:rPr>
            </w:pPr>
            <w:r>
              <w:rPr>
                <w:rFonts w:ascii="Arial" w:cs="Arial" w:eastAsia="Arial" w:hAnsi="Arial"/>
                <w:sz w:val="18"/>
                <w:szCs w:val="18"/>
                <w:color w:val="auto"/>
              </w:rPr>
              <w:t>Section 7 hereof.</w:t>
            </w:r>
          </w:p>
        </w:tc>
      </w:tr>
      <w:tr>
        <w:trPr>
          <w:trHeight w:val="20"/>
        </w:trPr>
        <w:tc>
          <w:tcPr>
            <w:tcW w:w="2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111760</wp:posOffset>
            </wp:positionV>
            <wp:extent cx="2418080" cy="51435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2" w:name="page503"/>
    <w:bookmarkEnd w:id="502"/>
    <w:p>
      <w:pPr>
        <w:spacing w:after="0"/>
        <w:rPr>
          <w:sz w:val="20"/>
          <w:szCs w:val="20"/>
          <w:color w:val="auto"/>
        </w:rPr>
      </w:pPr>
      <w:r>
        <w:rPr>
          <w:rFonts w:ascii="Arial" w:cs="Arial" w:eastAsia="Arial" w:hAnsi="Arial"/>
          <w:sz w:val="16"/>
          <w:szCs w:val="16"/>
          <w:b w:val="1"/>
          <w:bCs w:val="1"/>
          <w:color w:val="auto"/>
        </w:rPr>
        <w:t>Multi-Tenant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One Kendall Square/Avrobio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-5404485</wp:posOffset>
            </wp:positionH>
            <wp:positionV relativeFrom="paragraph">
              <wp:posOffset>-198755</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7780" w:space="720"/>
            <w:col w:w="2920"/>
          </w:cols>
          <w:pgMar w:left="240" w:top="270" w:right="239" w:bottom="1440" w:gutter="0" w:footer="0" w:header="0"/>
        </w:sectPr>
      </w:pPr>
    </w:p>
    <w:p>
      <w:pPr>
        <w:spacing w:after="0"/>
        <w:rPr>
          <w:sz w:val="20"/>
          <w:szCs w:val="20"/>
          <w:color w:val="auto"/>
        </w:rPr>
      </w:pPr>
      <w:r>
        <w:rPr>
          <w:rFonts w:ascii="Arial" w:cs="Arial" w:eastAsia="Arial" w:hAnsi="Arial"/>
          <w:sz w:val="17"/>
          <w:szCs w:val="17"/>
          <w:b w:val="1"/>
          <w:bCs w:val="1"/>
          <w:color w:val="auto"/>
        </w:rPr>
        <w:t>Address for Rent Payment: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ARE-MA Region No. 59,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P.O. Box 944193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Cleveland, OH 44194-4193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Landlord’s Notice Address: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385 East Colorado Boulevard, Suite 299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20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Tenant’s Notice Address: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300 One Kendall Square, Suite 3-201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Lease Administrator</w:t>
      </w:r>
    </w:p>
    <w:p>
      <w:pPr>
        <w:sectPr>
          <w:pgSz w:w="11900" w:h="16838" w:orient="portrait"/>
          <w:cols w:equalWidth="0" w:num="1">
            <w:col w:w="11420"/>
          </w:cols>
          <w:pgMar w:left="240" w:top="270" w:right="2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and Addenda are attached hereto and incorporated herein by this reference:</w:t>
      </w:r>
    </w:p>
    <w:p>
      <w:pPr>
        <w:spacing w:after="0" w:line="248"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 PREMISES DESCRIPTION</w:t>
      </w:r>
      <w:r>
        <w:rPr>
          <w:sz w:val="20"/>
          <w:szCs w:val="20"/>
          <w:color w:val="auto"/>
        </w:rPr>
        <w:tab/>
      </w:r>
      <w:r>
        <w:rPr>
          <w:rFonts w:ascii="Arial" w:cs="Arial" w:eastAsia="Arial" w:hAnsi="Arial"/>
          <w:sz w:val="17"/>
          <w:szCs w:val="17"/>
          <w:color w:val="auto"/>
        </w:rPr>
        <w:t xml:space="preserve">[X]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 DESCRIPTION OF PROPERTY</w:t>
      </w:r>
    </w:p>
    <w:p>
      <w:pPr>
        <w:spacing w:after="0" w:line="2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 WORK LETTER</w:t>
      </w:r>
      <w:r>
        <w:rPr>
          <w:sz w:val="20"/>
          <w:szCs w:val="20"/>
          <w:color w:val="auto"/>
        </w:rPr>
        <w:tab/>
      </w:r>
      <w:r>
        <w:rPr>
          <w:rFonts w:ascii="Arial" w:cs="Arial" w:eastAsia="Arial" w:hAnsi="Arial"/>
          <w:sz w:val="18"/>
          <w:szCs w:val="18"/>
          <w:color w:val="auto"/>
        </w:rPr>
        <w:t xml:space="preserve">[X]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 COMMENCEMENT DATE</w:t>
      </w:r>
    </w:p>
    <w:p>
      <w:pPr>
        <w:spacing w:after="0" w:line="9"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 RULES AND REGULATIONS</w:t>
      </w:r>
      <w:r>
        <w:rPr>
          <w:sz w:val="20"/>
          <w:szCs w:val="20"/>
          <w:color w:val="auto"/>
        </w:rPr>
        <w:tab/>
      </w:r>
      <w:r>
        <w:rPr>
          <w:rFonts w:ascii="Arial" w:cs="Arial" w:eastAsia="Arial" w:hAnsi="Arial"/>
          <w:sz w:val="17"/>
          <w:szCs w:val="17"/>
          <w:color w:val="auto"/>
        </w:rPr>
        <w:t xml:space="preserve">[X] </w:t>
      </w:r>
      <w:r>
        <w:rPr>
          <w:rFonts w:ascii="Arial" w:cs="Arial" w:eastAsia="Arial" w:hAnsi="Arial"/>
          <w:sz w:val="17"/>
          <w:szCs w:val="17"/>
          <w:b w:val="1"/>
          <w:bCs w:val="1"/>
          <w:color w:val="auto"/>
        </w:rPr>
        <w:t>EXHIBIT F</w:t>
      </w:r>
      <w:r>
        <w:rPr>
          <w:rFonts w:ascii="Arial" w:cs="Arial" w:eastAsia="Arial" w:hAnsi="Arial"/>
          <w:sz w:val="17"/>
          <w:szCs w:val="17"/>
          <w:color w:val="auto"/>
        </w:rPr>
        <w:t xml:space="preserve"> - TENANT’S PERSONAL PROPERTY</w:t>
      </w:r>
    </w:p>
    <w:p>
      <w:pPr>
        <w:spacing w:after="0" w:line="9" w:lineRule="exact"/>
        <w:rPr>
          <w:sz w:val="20"/>
          <w:szCs w:val="20"/>
          <w:color w:val="auto"/>
        </w:rPr>
      </w:pPr>
    </w:p>
    <w:p>
      <w:pPr>
        <w:ind w:left="300" w:hanging="292"/>
        <w:spacing w:after="0"/>
        <w:tabs>
          <w:tab w:leader="none" w:pos="300" w:val="left"/>
        </w:tabs>
        <w:numPr>
          <w:ilvl w:val="0"/>
          <w:numId w:val="351"/>
        </w:numPr>
        <w:rPr>
          <w:rFonts w:ascii="Arial" w:cs="Arial" w:eastAsia="Arial" w:hAnsi="Arial"/>
          <w:sz w:val="18"/>
          <w:szCs w:val="18"/>
          <w:color w:val="auto"/>
        </w:rPr>
      </w:pPr>
      <w:r>
        <w:rPr>
          <w:rFonts w:ascii="Arial" w:cs="Arial" w:eastAsia="Arial" w:hAnsi="Arial"/>
          <w:sz w:val="18"/>
          <w:szCs w:val="18"/>
          <w:b w:val="1"/>
          <w:bCs w:val="1"/>
          <w:color w:val="auto"/>
        </w:rPr>
        <w:t xml:space="preserve">EXHIBIT G </w:t>
      </w:r>
      <w:r>
        <w:rPr>
          <w:rFonts w:ascii="Arial" w:cs="Arial" w:eastAsia="Arial" w:hAnsi="Arial"/>
          <w:sz w:val="18"/>
          <w:szCs w:val="18"/>
          <w:color w:val="auto"/>
        </w:rPr>
        <w:t>- NOTIFICATION OF PRESENCE OF ASBESTOS CONTAINING MATERIALS</w:t>
      </w:r>
    </w:p>
    <w:p>
      <w:pPr>
        <w:spacing w:after="0" w:line="98" w:lineRule="exact"/>
        <w:rPr>
          <w:rFonts w:ascii="Arial" w:cs="Arial" w:eastAsia="Arial" w:hAnsi="Arial"/>
          <w:sz w:val="18"/>
          <w:szCs w:val="18"/>
          <w:color w:val="auto"/>
        </w:rPr>
      </w:pPr>
    </w:p>
    <w:p>
      <w:pPr>
        <w:ind w:right="20" w:firstLine="464"/>
        <w:spacing w:after="0" w:line="286" w:lineRule="auto"/>
        <w:tabs>
          <w:tab w:leader="none" w:pos="636" w:val="left"/>
        </w:tabs>
        <w:numPr>
          <w:ilvl w:val="1"/>
          <w:numId w:val="351"/>
        </w:numPr>
        <w:rPr>
          <w:rFonts w:ascii="Arial" w:cs="Arial" w:eastAsia="Arial" w:hAnsi="Arial"/>
          <w:sz w:val="16"/>
          <w:szCs w:val="16"/>
          <w:color w:val="auto"/>
        </w:rPr>
      </w:pPr>
      <w:r>
        <w:rPr>
          <w:rFonts w:ascii="Arial" w:cs="Arial" w:eastAsia="Arial" w:hAnsi="Arial"/>
          <w:sz w:val="16"/>
          <w:szCs w:val="16"/>
          <w:b w:val="1"/>
          <w:bCs w:val="1"/>
          <w:color w:val="auto"/>
        </w:rPr>
        <w:t>Lease of Premises</w:t>
      </w:r>
      <w:r>
        <w:rPr>
          <w:rFonts w:ascii="Arial" w:cs="Arial" w:eastAsia="Arial" w:hAnsi="Arial"/>
          <w:sz w:val="16"/>
          <w:szCs w:val="16"/>
          <w:color w:val="auto"/>
        </w:rPr>
        <w:t>. Upon and subject to all of the terms and conditions of this Lease, Landlord hereby leases the Premises to Tenant and Tenant</w:t>
      </w:r>
      <w:r>
        <w:rPr>
          <w:rFonts w:ascii="Arial" w:cs="Arial" w:eastAsia="Arial" w:hAnsi="Arial"/>
          <w:sz w:val="16"/>
          <w:szCs w:val="16"/>
          <w:b w:val="1"/>
          <w:bCs w:val="1"/>
          <w:color w:val="auto"/>
        </w:rPr>
        <w:t xml:space="preserve"> </w:t>
      </w:r>
      <w:r>
        <w:rPr>
          <w:rFonts w:ascii="Arial" w:cs="Arial" w:eastAsia="Arial" w:hAnsi="Arial"/>
          <w:sz w:val="16"/>
          <w:szCs w:val="16"/>
          <w:color w:val="auto"/>
        </w:rPr>
        <w:t>hereby leases the Premises from Landlord. The portions of the Project which are for the non-exclusive use of tenants of the Building are collectively referred to herein as the “</w:t>
      </w:r>
      <w:r>
        <w:rPr>
          <w:rFonts w:ascii="Arial" w:cs="Arial" w:eastAsia="Arial" w:hAnsi="Arial"/>
          <w:sz w:val="16"/>
          <w:szCs w:val="16"/>
          <w:b w:val="1"/>
          <w:bCs w:val="1"/>
          <w:color w:val="auto"/>
        </w:rPr>
        <w:t>Common Areas</w:t>
      </w:r>
      <w:r>
        <w:rPr>
          <w:rFonts w:ascii="Arial" w:cs="Arial" w:eastAsia="Arial" w:hAnsi="Arial"/>
          <w:sz w:val="16"/>
          <w:szCs w:val="16"/>
          <w:color w:val="auto"/>
        </w:rPr>
        <w:t>.” Subject to the terms and conditions of this Lease, Tenant shall have the appurtenant right to use the Common Areas for their intended uses. The Common Areas shall include, without limitation, the common loading areas located in and serving the Building, pedestrian sidewalks and landscaped areas serving the Project, as well as the common elevators, lobbies, hallways, corridors and stairwells and, if applicable, restrooms, within the Building and serving the Premises or necessary for access to and use of the Premises. In addition to other rights reserved herein or by law, Landlord reserves the right from time to time, without material interruption of Tenant’s use and access to the Premises (except in emergency): (i) to make additions to or reconstructions of the Building, Property and Project and to install, use, maintain, repair, replace and relocate for service to the Premises or other parts of the Building, Property and/or Project, pipes, ducts, conduits, wires and appurtenant fixtures, wherever located in the Premises, the Building, the Property or elsewhere in the Project, including without limitation, the installation of such facilities in the plenums of the ceilings of the Premises (or, if there is no drop ceiling, within the space above 10 feet of any floor of the Premises), and coring therefor between the ceiling or top surface of any portion of the Premises, and the space above the Premises in the plenum or below the top of the Premises as aforesaid; and (ii) to alter or relocate any Common Area or facility. From and after the Commencement Date through the expiration of the Term, Tenant shall have access to the Building and the Premises 24 hours a day, 7 days a week, except in the case of emergencies, as the result of Legal Requirements, the performance by Landlord of any installation, maintenance or repairs, or any other temporary interruptions, and otherwise subject to the terms of this Lease.</w:t>
      </w:r>
    </w:p>
    <w:p>
      <w:pPr>
        <w:spacing w:after="0" w:line="60" w:lineRule="exact"/>
        <w:rPr>
          <w:rFonts w:ascii="Arial" w:cs="Arial" w:eastAsia="Arial" w:hAnsi="Arial"/>
          <w:sz w:val="16"/>
          <w:szCs w:val="16"/>
          <w:color w:val="auto"/>
        </w:rPr>
      </w:pPr>
    </w:p>
    <w:p>
      <w:pPr>
        <w:ind w:left="640" w:hanging="176"/>
        <w:spacing w:after="0"/>
        <w:tabs>
          <w:tab w:leader="none" w:pos="640" w:val="left"/>
        </w:tabs>
        <w:numPr>
          <w:ilvl w:val="1"/>
          <w:numId w:val="351"/>
        </w:numPr>
        <w:rPr>
          <w:rFonts w:ascii="Arial" w:cs="Arial" w:eastAsia="Arial" w:hAnsi="Arial"/>
          <w:sz w:val="18"/>
          <w:szCs w:val="18"/>
          <w:color w:val="auto"/>
        </w:rPr>
      </w:pPr>
      <w:r>
        <w:rPr>
          <w:rFonts w:ascii="Arial" w:cs="Arial" w:eastAsia="Arial" w:hAnsi="Arial"/>
          <w:sz w:val="18"/>
          <w:szCs w:val="18"/>
          <w:b w:val="1"/>
          <w:bCs w:val="1"/>
          <w:color w:val="auto"/>
        </w:rPr>
        <w:t>Delivery; Acceptance of Premises; Commencement Date</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right="60" w:firstLine="921"/>
        <w:spacing w:after="0" w:line="272" w:lineRule="auto"/>
        <w:tabs>
          <w:tab w:leader="none" w:pos="1157" w:val="left"/>
        </w:tabs>
        <w:numPr>
          <w:ilvl w:val="2"/>
          <w:numId w:val="351"/>
        </w:numPr>
        <w:rPr>
          <w:rFonts w:ascii="Arial" w:cs="Arial" w:eastAsia="Arial" w:hAnsi="Arial"/>
          <w:sz w:val="17"/>
          <w:szCs w:val="17"/>
          <w:color w:val="auto"/>
        </w:rPr>
      </w:pPr>
      <w:r>
        <w:rPr>
          <w:rFonts w:ascii="Arial" w:cs="Arial" w:eastAsia="Arial" w:hAnsi="Arial"/>
          <w:sz w:val="17"/>
          <w:szCs w:val="17"/>
          <w:b w:val="1"/>
          <w:bCs w:val="1"/>
          <w:color w:val="auto"/>
        </w:rPr>
        <w:t>Initial Premises</w:t>
      </w:r>
      <w:r>
        <w:rPr>
          <w:rFonts w:ascii="Arial" w:cs="Arial" w:eastAsia="Arial" w:hAnsi="Arial"/>
          <w:sz w:val="17"/>
          <w:szCs w:val="17"/>
          <w:color w:val="auto"/>
        </w:rPr>
        <w:t>. Landlord shall deliver to Tenant (“</w:t>
      </w:r>
      <w:r>
        <w:rPr>
          <w:rFonts w:ascii="Arial" w:cs="Arial" w:eastAsia="Arial" w:hAnsi="Arial"/>
          <w:sz w:val="17"/>
          <w:szCs w:val="17"/>
          <w:b w:val="1"/>
          <w:bCs w:val="1"/>
          <w:color w:val="auto"/>
        </w:rPr>
        <w:t>Delivery</w:t>
      </w:r>
      <w:r>
        <w:rPr>
          <w:rFonts w:ascii="Arial" w:cs="Arial" w:eastAsia="Arial" w:hAnsi="Arial"/>
          <w:sz w:val="17"/>
          <w:szCs w:val="17"/>
          <w:color w:val="auto"/>
        </w:rPr>
        <w:t>” or “</w:t>
      </w:r>
      <w:r>
        <w:rPr>
          <w:rFonts w:ascii="Arial" w:cs="Arial" w:eastAsia="Arial" w:hAnsi="Arial"/>
          <w:sz w:val="17"/>
          <w:szCs w:val="17"/>
          <w:b w:val="1"/>
          <w:bCs w:val="1"/>
          <w:color w:val="auto"/>
        </w:rPr>
        <w:t>Deliver</w:t>
      </w:r>
      <w:r>
        <w:rPr>
          <w:rFonts w:ascii="Arial" w:cs="Arial" w:eastAsia="Arial" w:hAnsi="Arial"/>
          <w:sz w:val="17"/>
          <w:szCs w:val="17"/>
          <w:color w:val="auto"/>
        </w:rPr>
        <w:t>”) the Initial Premises on or before the Target Commencement</w:t>
      </w:r>
      <w:r>
        <w:rPr>
          <w:rFonts w:ascii="Arial" w:cs="Arial" w:eastAsia="Arial" w:hAnsi="Arial"/>
          <w:sz w:val="17"/>
          <w:szCs w:val="17"/>
          <w:b w:val="1"/>
          <w:bCs w:val="1"/>
          <w:color w:val="auto"/>
        </w:rPr>
        <w:t xml:space="preserve"> </w:t>
      </w:r>
      <w:r>
        <w:rPr>
          <w:rFonts w:ascii="Arial" w:cs="Arial" w:eastAsia="Arial" w:hAnsi="Arial"/>
          <w:sz w:val="17"/>
          <w:szCs w:val="17"/>
          <w:color w:val="auto"/>
        </w:rPr>
        <w:t>Date with Landlord’s Work in the Initial Premises Substantially Completed. If Landlord fails to timely Deliver the Initial Premises, Landlord shall not be liable to Tenant for any loss or damage resulting therefrom, and this Lease shall not be void or voidable except as provided herein. Notwithstanding anything to the contrary contained herein, if Landlord fails to Deliver the Initial Premises to Tenant on or before the date that is 90 days after the Target Commencement Date (as such date may be extended for Force Majeure delays and Tenant Delays) (“</w:t>
      </w:r>
      <w:r>
        <w:rPr>
          <w:rFonts w:ascii="Arial" w:cs="Arial" w:eastAsia="Arial" w:hAnsi="Arial"/>
          <w:sz w:val="17"/>
          <w:szCs w:val="17"/>
          <w:b w:val="1"/>
          <w:bCs w:val="1"/>
          <w:color w:val="auto"/>
        </w:rPr>
        <w:t>Initial Premises Abatement Date</w:t>
      </w:r>
      <w:r>
        <w:rPr>
          <w:rFonts w:ascii="Arial" w:cs="Arial" w:eastAsia="Arial" w:hAnsi="Arial"/>
          <w:sz w:val="17"/>
          <w:szCs w:val="17"/>
          <w:color w:val="auto"/>
        </w:rPr>
        <w:t>”), Base Rent payable with respect to the Initial Premises shall be abated 1 day for each day after the Initial Premises Abatement Date (as such date may be extended for Force Majeure delays and Tenant Delays) that Landlord fails to Deliver the Initial Premises to Tenant. As used herein, the terms “</w:t>
      </w:r>
      <w:r>
        <w:rPr>
          <w:rFonts w:ascii="Arial" w:cs="Arial" w:eastAsia="Arial" w:hAnsi="Arial"/>
          <w:sz w:val="17"/>
          <w:szCs w:val="17"/>
          <w:b w:val="1"/>
          <w:bCs w:val="1"/>
          <w:color w:val="auto"/>
        </w:rPr>
        <w:t>Landlord’s Work</w:t>
      </w:r>
      <w:r>
        <w:rPr>
          <w:rFonts w:ascii="Arial" w:cs="Arial" w:eastAsia="Arial" w:hAnsi="Arial"/>
          <w:sz w:val="17"/>
          <w:szCs w:val="17"/>
          <w:color w:val="auto"/>
        </w:rPr>
        <w:t>” and “</w:t>
      </w:r>
      <w:r>
        <w:rPr>
          <w:rFonts w:ascii="Arial" w:cs="Arial" w:eastAsia="Arial" w:hAnsi="Arial"/>
          <w:sz w:val="17"/>
          <w:szCs w:val="17"/>
          <w:b w:val="1"/>
          <w:bCs w:val="1"/>
          <w:color w:val="auto"/>
        </w:rPr>
        <w:t>Substantially Completed</w:t>
      </w:r>
      <w:r>
        <w:rPr>
          <w:rFonts w:ascii="Arial" w:cs="Arial" w:eastAsia="Arial" w:hAnsi="Arial"/>
          <w:sz w:val="17"/>
          <w:szCs w:val="17"/>
          <w:color w:val="auto"/>
        </w:rPr>
        <w:t>” shall have the meanings set forth for such terms in the Work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78105</wp:posOffset>
            </wp:positionV>
            <wp:extent cx="2418080" cy="51435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bookmarkStart w:id="503" w:name="page504"/>
    <w:bookmarkEnd w:id="503"/>
    <w:p>
      <w:pPr>
        <w:spacing w:after="0"/>
        <w:tabs>
          <w:tab w:leader="none" w:pos="8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3</w:t>
      </w:r>
    </w:p>
    <w:p>
      <w:pPr>
        <w:spacing w:after="0" w:line="158" w:lineRule="exact"/>
        <w:rPr>
          <w:sz w:val="20"/>
          <w:szCs w:val="20"/>
          <w:color w:val="auto"/>
        </w:rPr>
      </w:pPr>
    </w:p>
    <w:p>
      <w:pPr>
        <w:jc w:val="both"/>
        <w:ind w:right="260" w:firstLine="456"/>
        <w:spacing w:after="0" w:line="26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Commencement Date</w:t>
      </w:r>
      <w:r>
        <w:rPr>
          <w:rFonts w:ascii="Arial" w:cs="Arial" w:eastAsia="Arial" w:hAnsi="Arial"/>
          <w:sz w:val="18"/>
          <w:szCs w:val="18"/>
          <w:color w:val="auto"/>
        </w:rPr>
        <w:t>” shall be the earliest of: (i) the date Landlord Delivers the Initial Premises to Tenant with Landlord’s Work in the Initial Premises Substantially Completed; (ii) the date Landlord could have Delivered the Initial Premises but for Tenant Delays; or (iii) the date Tenant conducts any business in the Initial Premises or any part thereof.</w:t>
      </w:r>
    </w:p>
    <w:p>
      <w:pPr>
        <w:spacing w:after="0" w:line="18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Except as otherwise set forth in this Lease: (i) Tenant shall accept the Initial Premises in their condition as of the Commencement Date; (ii) Landlord shall have no obligation for any defects in the Initial Premises; and (iii) Tenant’s taking possession of the Initial Premises shall be conclusive evidence that Tenant accepts the Initial Premises. Any occupancy of the Initial Premises by Tenant before the Commencement Date shall be subject to all of the terms and conditions of this Lease, including the obligation to pay Base Rent and Operating Expenses.</w:t>
      </w:r>
    </w:p>
    <w:p>
      <w:pPr>
        <w:spacing w:after="0" w:line="75" w:lineRule="exact"/>
        <w:rPr>
          <w:sz w:val="20"/>
          <w:szCs w:val="20"/>
          <w:color w:val="auto"/>
        </w:rPr>
      </w:pPr>
    </w:p>
    <w:p>
      <w:pPr>
        <w:ind w:firstLine="464"/>
        <w:spacing w:after="0" w:line="255" w:lineRule="auto"/>
        <w:tabs>
          <w:tab w:leader="none" w:pos="711" w:val="left"/>
        </w:tabs>
        <w:numPr>
          <w:ilvl w:val="0"/>
          <w:numId w:val="352"/>
        </w:numPr>
        <w:rPr>
          <w:rFonts w:ascii="Arial" w:cs="Arial" w:eastAsia="Arial" w:hAnsi="Arial"/>
          <w:sz w:val="18"/>
          <w:szCs w:val="18"/>
          <w:color w:val="auto"/>
        </w:rPr>
      </w:pPr>
      <w:r>
        <w:rPr>
          <w:rFonts w:ascii="Arial" w:cs="Arial" w:eastAsia="Arial" w:hAnsi="Arial"/>
          <w:sz w:val="18"/>
          <w:szCs w:val="18"/>
          <w:b w:val="1"/>
          <w:bCs w:val="1"/>
          <w:color w:val="auto"/>
        </w:rPr>
        <w:t>Subsequent Premises</w:t>
      </w:r>
      <w:r>
        <w:rPr>
          <w:rFonts w:ascii="Arial" w:cs="Arial" w:eastAsia="Arial" w:hAnsi="Arial"/>
          <w:sz w:val="18"/>
          <w:szCs w:val="18"/>
          <w:color w:val="auto"/>
        </w:rPr>
        <w:t>. Landlord shall use reasonable efforts to deliver the Subsequent Premises to Tenant with Landlord’s Work in the Subsequent</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Substantially Completed on or before June 8, 2018 (the “</w:t>
      </w:r>
      <w:r>
        <w:rPr>
          <w:rFonts w:ascii="Arial" w:cs="Arial" w:eastAsia="Arial" w:hAnsi="Arial"/>
          <w:sz w:val="18"/>
          <w:szCs w:val="18"/>
          <w:b w:val="1"/>
          <w:bCs w:val="1"/>
          <w:color w:val="auto"/>
        </w:rPr>
        <w:t>Subsequent Premises Target Commencement Date</w:t>
      </w:r>
      <w:r>
        <w:rPr>
          <w:rFonts w:ascii="Arial" w:cs="Arial" w:eastAsia="Arial" w:hAnsi="Arial"/>
          <w:sz w:val="18"/>
          <w:szCs w:val="18"/>
          <w:color w:val="auto"/>
        </w:rPr>
        <w:t>”). If Landlord fails to timely Deliver the Subsequent Premises, Landlord shall not be liable to Tenant for any loss or damage resulting therefrom, and this Lease shall not be void or voidable except as provided herein. Notwithstanding anything to the contrary contained herein, if Landlord fails to Deliver the Subsequent Premises to Tenant on or before the date that is 60 days after the Subsequent Premises Target Commencement Date (as such date may be extended for Force Majeure delays and Tenant Delays) (“</w:t>
      </w:r>
      <w:r>
        <w:rPr>
          <w:rFonts w:ascii="Arial" w:cs="Arial" w:eastAsia="Arial" w:hAnsi="Arial"/>
          <w:sz w:val="18"/>
          <w:szCs w:val="18"/>
          <w:b w:val="1"/>
          <w:bCs w:val="1"/>
          <w:color w:val="auto"/>
        </w:rPr>
        <w:t>Subsequent Premises Abatement Date</w:t>
      </w:r>
      <w:r>
        <w:rPr>
          <w:rFonts w:ascii="Arial" w:cs="Arial" w:eastAsia="Arial" w:hAnsi="Arial"/>
          <w:sz w:val="18"/>
          <w:szCs w:val="18"/>
          <w:color w:val="auto"/>
        </w:rPr>
        <w:t>”), Base Rent payable with respect to the Subsequent Premises shall be abated 1 day for each day after the Subsequent Premises Abatement Date (as such date may be extended for Force Majeure delays and Tenant Delays) that Landlord fails to Deliver the Subsequent Premises to Tenant.</w:t>
      </w:r>
    </w:p>
    <w:p>
      <w:pPr>
        <w:spacing w:after="0" w:line="185"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Subsequent Premises Commencement Date</w:t>
      </w:r>
      <w:r>
        <w:rPr>
          <w:rFonts w:ascii="Arial" w:cs="Arial" w:eastAsia="Arial" w:hAnsi="Arial"/>
          <w:sz w:val="18"/>
          <w:szCs w:val="18"/>
          <w:color w:val="auto"/>
        </w:rPr>
        <w:t>” shall be the earliest of: (i) the date Landlord Delivers the Subsequent Premises to Tenant with Landlord’s Work in the Subsequent Premises Substantially Completed; (ii) the date Landlord could have Delivered the Subsequent Premises but for Tenant Delays; or (iii) the date Tenant conducts any business in the Subsequent Premises or any part thereof.</w:t>
      </w:r>
    </w:p>
    <w:p>
      <w:pPr>
        <w:spacing w:after="0" w:line="18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Except as set forth in the Work Letter: (i) Tenant shall accept the Subsequent Premises in their condition as of the Subsequent Premises Commencement Date; (ii) Landlord shall have no obligation for any defects in the Subsequent Premises; and (iii) Tenant’s taking possession of the Subsequent Premises shall be conclusive evidence that Tenant accepts the Subsequent Premises. Any occupancy of the Subsequent Premises by Tenant before the Subsequent Premises Commencement Date shall be subject to all of the terms and conditions of this Lease, including the obligation to pay Base Rent and Operating Expenses.</w:t>
      </w:r>
    </w:p>
    <w:p>
      <w:pPr>
        <w:spacing w:after="0" w:line="42" w:lineRule="exact"/>
        <w:rPr>
          <w:sz w:val="20"/>
          <w:szCs w:val="20"/>
          <w:color w:val="auto"/>
        </w:rPr>
      </w:pPr>
    </w:p>
    <w:p>
      <w:pPr>
        <w:ind w:right="80" w:firstLine="464"/>
        <w:spacing w:after="0" w:line="281" w:lineRule="auto"/>
        <w:tabs>
          <w:tab w:leader="none" w:pos="701" w:val="left"/>
        </w:tabs>
        <w:numPr>
          <w:ilvl w:val="0"/>
          <w:numId w:val="353"/>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Upon request of Landlord, Tenant shall execute and deliver a written acknowledgment of the Commencement Date, the Subsequent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Premises Commencement Date and the expiration date of the Term when such are established in the form of the “Acknowledgement of Commencement Date” attached to this Lease as </w:t>
      </w:r>
      <w:r>
        <w:rPr>
          <w:rFonts w:ascii="Arial" w:cs="Arial" w:eastAsia="Arial" w:hAnsi="Arial"/>
          <w:sz w:val="17"/>
          <w:szCs w:val="17"/>
          <w:b w:val="1"/>
          <w:bCs w:val="1"/>
          <w:color w:val="auto"/>
        </w:rPr>
        <w:t>Exhibit 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Tenant’s failure to execute and deliver such acknowledgment shall not affect Landlord’s rights hereunder. The “</w:t>
      </w:r>
      <w:r>
        <w:rPr>
          <w:rFonts w:ascii="Arial" w:cs="Arial" w:eastAsia="Arial" w:hAnsi="Arial"/>
          <w:sz w:val="17"/>
          <w:szCs w:val="17"/>
          <w:b w:val="1"/>
          <w:bCs w:val="1"/>
          <w:color w:val="auto"/>
        </w:rPr>
        <w:t>Term</w:t>
      </w:r>
      <w:r>
        <w:rPr>
          <w:rFonts w:ascii="Arial" w:cs="Arial" w:eastAsia="Arial" w:hAnsi="Arial"/>
          <w:sz w:val="17"/>
          <w:szCs w:val="17"/>
          <w:color w:val="auto"/>
        </w:rPr>
        <w:t>” of this Lease shall be the Base Term, as defined above in the Basic Lease Provisions</w:t>
      </w:r>
      <w:r>
        <w:rPr>
          <w:rFonts w:ascii="Arial" w:cs="Arial" w:eastAsia="Arial" w:hAnsi="Arial"/>
          <w:sz w:val="17"/>
          <w:szCs w:val="17"/>
          <w:i w:val="1"/>
          <w:iCs w:val="1"/>
          <w:color w:val="auto"/>
        </w:rPr>
        <w:t>.</w:t>
      </w:r>
    </w:p>
    <w:p>
      <w:pPr>
        <w:spacing w:after="0" w:line="16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 supersedes any and all prior representations, inducements, promises, agreements, understandings and negotiations which are not contained herein. Landlord in executing this Lease does so in reliance upon Tenant’s representations, warranties, acknowledgments and agreements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88900</wp:posOffset>
            </wp:positionV>
            <wp:extent cx="2418080" cy="5143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04" w:name="page505"/>
    <w:bookmarkEnd w:id="504"/>
    <w:p>
      <w:pPr>
        <w:spacing w:after="0"/>
        <w:tabs>
          <w:tab w:leader="none" w:pos="8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4</w:t>
      </w:r>
    </w:p>
    <w:p>
      <w:pPr>
        <w:spacing w:after="0" w:line="158" w:lineRule="exact"/>
        <w:rPr>
          <w:sz w:val="20"/>
          <w:szCs w:val="20"/>
          <w:color w:val="auto"/>
        </w:rPr>
      </w:pPr>
    </w:p>
    <w:p>
      <w:pPr>
        <w:ind w:left="640" w:hanging="176"/>
        <w:spacing w:after="0"/>
        <w:tabs>
          <w:tab w:leader="none" w:pos="640" w:val="left"/>
        </w:tabs>
        <w:numPr>
          <w:ilvl w:val="0"/>
          <w:numId w:val="354"/>
        </w:numPr>
        <w:rPr>
          <w:rFonts w:ascii="Arial" w:cs="Arial" w:eastAsia="Arial" w:hAnsi="Arial"/>
          <w:sz w:val="18"/>
          <w:szCs w:val="18"/>
          <w:color w:val="auto"/>
        </w:rPr>
      </w:pP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21"/>
        <w:spacing w:after="0" w:line="272" w:lineRule="auto"/>
        <w:tabs>
          <w:tab w:leader="none" w:pos="1157" w:val="left"/>
        </w:tabs>
        <w:numPr>
          <w:ilvl w:val="1"/>
          <w:numId w:val="354"/>
        </w:numPr>
        <w:rPr>
          <w:rFonts w:ascii="Arial" w:cs="Arial" w:eastAsia="Arial" w:hAnsi="Arial"/>
          <w:sz w:val="17"/>
          <w:szCs w:val="17"/>
          <w:color w:val="auto"/>
        </w:rPr>
      </w:pPr>
      <w:r>
        <w:rPr>
          <w:rFonts w:ascii="Arial" w:cs="Arial" w:eastAsia="Arial" w:hAnsi="Arial"/>
          <w:sz w:val="17"/>
          <w:szCs w:val="17"/>
          <w:b w:val="1"/>
          <w:bCs w:val="1"/>
          <w:color w:val="auto"/>
        </w:rPr>
        <w:t>Base Rent</w:t>
      </w:r>
      <w:r>
        <w:rPr>
          <w:rFonts w:ascii="Arial" w:cs="Arial" w:eastAsia="Arial" w:hAnsi="Arial"/>
          <w:sz w:val="17"/>
          <w:szCs w:val="17"/>
          <w:color w:val="auto"/>
        </w:rPr>
        <w:t>. The first full month’s Base Rent payable with respect to the Initial Premises shall be due and payable on the Commencement 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the first full month’s Base Rent payable with respect to the Subsequent Premises and the Security Deposit shall be due and payable on February 1, 2018. Tenant shall pay to Landlord in advance, without demand, abatement, deduction or set-off, equal monthly installments of Base Rent on or before the first day of each calendar month during the Term hereof, in lawful money of the United States of America, at the office of Landlord for payment of Rent set forth above, or to such other person or at such other place as Landlord may from time to time designate in writing. Payments of Base Rent for any fractional calendar month shall be prorated. The obligation of Tenant to pay Base Rent, Additional Rent and any other sums to Landlord and the obligations of Landlord under this Lease are independent obligations. Tenant shall have no right at any time to abate, reduce, or set-off any Rent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due hereunder except for any abatement as may be expressly provided in this Lease.</w:t>
      </w:r>
    </w:p>
    <w:p>
      <w:pPr>
        <w:spacing w:after="0" w:line="64" w:lineRule="exact"/>
        <w:rPr>
          <w:rFonts w:ascii="Arial" w:cs="Arial" w:eastAsia="Arial" w:hAnsi="Arial"/>
          <w:sz w:val="17"/>
          <w:szCs w:val="17"/>
          <w:color w:val="auto"/>
        </w:rPr>
      </w:pPr>
    </w:p>
    <w:p>
      <w:pPr>
        <w:ind w:right="120" w:firstLine="921"/>
        <w:spacing w:after="0" w:line="298" w:lineRule="auto"/>
        <w:tabs>
          <w:tab w:leader="none" w:pos="1168" w:val="left"/>
        </w:tabs>
        <w:numPr>
          <w:ilvl w:val="1"/>
          <w:numId w:val="354"/>
        </w:numPr>
        <w:rPr>
          <w:rFonts w:ascii="Arial" w:cs="Arial" w:eastAsia="Arial" w:hAnsi="Arial"/>
          <w:sz w:val="16"/>
          <w:szCs w:val="16"/>
          <w:color w:val="auto"/>
        </w:rPr>
      </w:pPr>
      <w:r>
        <w:rPr>
          <w:rFonts w:ascii="Arial" w:cs="Arial" w:eastAsia="Arial" w:hAnsi="Arial"/>
          <w:sz w:val="16"/>
          <w:szCs w:val="16"/>
          <w:b w:val="1"/>
          <w:bCs w:val="1"/>
          <w:color w:val="auto"/>
        </w:rPr>
        <w:t>Additional Rent</w:t>
      </w:r>
      <w:r>
        <w:rPr>
          <w:rFonts w:ascii="Arial" w:cs="Arial" w:eastAsia="Arial" w:hAnsi="Arial"/>
          <w:sz w:val="16"/>
          <w:szCs w:val="16"/>
          <w:color w:val="auto"/>
        </w:rPr>
        <w:t>. In addition to Base Rent, Tenant agrees to pay to Landlord as additional rent (“</w:t>
      </w:r>
      <w:r>
        <w:rPr>
          <w:rFonts w:ascii="Arial" w:cs="Arial" w:eastAsia="Arial" w:hAnsi="Arial"/>
          <w:sz w:val="16"/>
          <w:szCs w:val="16"/>
          <w:b w:val="1"/>
          <w:bCs w:val="1"/>
          <w:color w:val="auto"/>
        </w:rPr>
        <w:t>Additional Rent</w:t>
      </w:r>
      <w:r>
        <w:rPr>
          <w:rFonts w:ascii="Arial" w:cs="Arial" w:eastAsia="Arial" w:hAnsi="Arial"/>
          <w:sz w:val="16"/>
          <w:szCs w:val="16"/>
          <w:color w:val="auto"/>
        </w:rPr>
        <w:t>”): (i) commencing 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Commencement Date with respect to the Initial Premises and commencing on the Subsequent Premises Commencement Date with respect to the Subsequent Premises, Tenant’s Share of Operating Expenses (as defined in </w:t>
      </w:r>
      <w:r>
        <w:rPr>
          <w:rFonts w:ascii="Arial" w:cs="Arial" w:eastAsia="Arial" w:hAnsi="Arial"/>
          <w:sz w:val="16"/>
          <w:szCs w:val="16"/>
          <w:u w:val="single" w:color="auto"/>
          <w:color w:val="auto"/>
        </w:rPr>
        <w:t>Section 5</w:t>
      </w:r>
      <w:r>
        <w:rPr>
          <w:rFonts w:ascii="Arial" w:cs="Arial" w:eastAsia="Arial" w:hAnsi="Arial"/>
          <w:sz w:val="16"/>
          <w:szCs w:val="16"/>
          <w:color w:val="auto"/>
        </w:rPr>
        <w:t>),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46" w:lineRule="exact"/>
        <w:rPr>
          <w:rFonts w:ascii="Arial" w:cs="Arial" w:eastAsia="Arial" w:hAnsi="Arial"/>
          <w:sz w:val="16"/>
          <w:szCs w:val="16"/>
          <w:color w:val="auto"/>
        </w:rPr>
      </w:pPr>
    </w:p>
    <w:p>
      <w:pPr>
        <w:ind w:right="20" w:firstLine="464"/>
        <w:spacing w:after="0" w:line="261" w:lineRule="auto"/>
        <w:tabs>
          <w:tab w:leader="none" w:pos="636" w:val="left"/>
        </w:tabs>
        <w:numPr>
          <w:ilvl w:val="0"/>
          <w:numId w:val="354"/>
        </w:numPr>
        <w:rPr>
          <w:rFonts w:ascii="Arial" w:cs="Arial" w:eastAsia="Arial" w:hAnsi="Arial"/>
          <w:sz w:val="18"/>
          <w:szCs w:val="18"/>
          <w:color w:val="auto"/>
        </w:rPr>
      </w:pPr>
      <w:r>
        <w:rPr>
          <w:rFonts w:ascii="Arial" w:cs="Arial" w:eastAsia="Arial" w:hAnsi="Arial"/>
          <w:sz w:val="18"/>
          <w:szCs w:val="18"/>
          <w:b w:val="1"/>
          <w:bCs w:val="1"/>
          <w:color w:val="auto"/>
        </w:rPr>
        <w:t>Base Rent Adjustments</w:t>
      </w:r>
      <w:r>
        <w:rPr>
          <w:rFonts w:ascii="Arial" w:cs="Arial" w:eastAsia="Arial" w:hAnsi="Arial"/>
          <w:sz w:val="18"/>
          <w:szCs w:val="18"/>
          <w:color w:val="auto"/>
        </w:rPr>
        <w:t>. Base Rent shall be increased on each annual anniversary of the first day of the first full month during the Term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(each an “</w:t>
      </w:r>
      <w:r>
        <w:rPr>
          <w:rFonts w:ascii="Arial" w:cs="Arial" w:eastAsia="Arial" w:hAnsi="Arial"/>
          <w:sz w:val="18"/>
          <w:szCs w:val="18"/>
          <w:b w:val="1"/>
          <w:bCs w:val="1"/>
          <w:color w:val="auto"/>
        </w:rPr>
        <w:t>Adjustment Date</w:t>
      </w:r>
      <w:r>
        <w:rPr>
          <w:rFonts w:ascii="Arial" w:cs="Arial" w:eastAsia="Arial" w:hAnsi="Arial"/>
          <w:sz w:val="18"/>
          <w:szCs w:val="18"/>
          <w:color w:val="auto"/>
        </w:rPr>
        <w:t>”) by multiplying the Base Rent payable immediately before such Adjustment Date by the Rent Adjustment Percentage and adding the resulting amount to the Base Rent payable immediately before such Adjustment Date. Base Rent, as so adjusted, shall thereafter be due as provided herein. Base Rent adjustments for any fractional calendar month shall be prorated.</w:t>
      </w:r>
    </w:p>
    <w:p>
      <w:pPr>
        <w:spacing w:after="0" w:line="71" w:lineRule="exact"/>
        <w:rPr>
          <w:rFonts w:ascii="Arial" w:cs="Arial" w:eastAsia="Arial" w:hAnsi="Arial"/>
          <w:sz w:val="18"/>
          <w:szCs w:val="18"/>
          <w:color w:val="auto"/>
        </w:rPr>
      </w:pPr>
    </w:p>
    <w:p>
      <w:pPr>
        <w:jc w:val="both"/>
        <w:ind w:right="220" w:firstLine="464"/>
        <w:spacing w:after="0" w:line="287" w:lineRule="auto"/>
        <w:tabs>
          <w:tab w:leader="none" w:pos="636" w:val="left"/>
        </w:tabs>
        <w:numPr>
          <w:ilvl w:val="0"/>
          <w:numId w:val="354"/>
        </w:numPr>
        <w:rPr>
          <w:rFonts w:ascii="Arial" w:cs="Arial" w:eastAsia="Arial" w:hAnsi="Arial"/>
          <w:sz w:val="16"/>
          <w:szCs w:val="16"/>
          <w:color w:val="auto"/>
        </w:rPr>
      </w:pPr>
      <w:r>
        <w:rPr>
          <w:rFonts w:ascii="Arial" w:cs="Arial" w:eastAsia="Arial" w:hAnsi="Arial"/>
          <w:sz w:val="16"/>
          <w:szCs w:val="16"/>
          <w:b w:val="1"/>
          <w:bCs w:val="1"/>
          <w:color w:val="auto"/>
        </w:rPr>
        <w:t>Operating Expense Payments</w:t>
      </w:r>
      <w:r>
        <w:rPr>
          <w:rFonts w:ascii="Arial" w:cs="Arial" w:eastAsia="Arial" w:hAnsi="Arial"/>
          <w:sz w:val="16"/>
          <w:szCs w:val="16"/>
          <w:color w:val="auto"/>
        </w:rPr>
        <w:t>. Landlord shall deliver to Tenant a written estimate of Operating Expenses for each calendar year during the Term</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Annual Estimate</w:t>
      </w:r>
      <w:r>
        <w:rPr>
          <w:rFonts w:ascii="Arial" w:cs="Arial" w:eastAsia="Arial" w:hAnsi="Arial"/>
          <w:sz w:val="16"/>
          <w:szCs w:val="16"/>
          <w:color w:val="auto"/>
        </w:rPr>
        <w:t>”), which may be revised by Landlord from time to time during such calendar year. Commencing on the Commencement Date with respect to the Initial Premises and commencing on the Subsequent Premises Commencement Date with respect to the Subsequent Premises, and continuing thereafter on the first day of each month during the Term, Tenant shall pay Landlord an amount equal to 1/12th of Tenant’s Share of the Annual Estimate.</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Payments for any fractional calendar month shall be prorated</w:t>
      </w:r>
      <w:r>
        <w:rPr>
          <w:rFonts w:ascii="Arial" w:cs="Arial" w:eastAsia="Arial" w:hAnsi="Arial"/>
          <w:sz w:val="18"/>
          <w:szCs w:val="18"/>
          <w:i w:val="1"/>
          <w:iCs w:val="1"/>
          <w:color w:val="auto"/>
        </w:rPr>
        <w:t>.</w:t>
      </w:r>
    </w:p>
    <w:p>
      <w:pPr>
        <w:spacing w:after="0" w:line="20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Operating Expenses</w:t>
      </w:r>
      <w:r>
        <w:rPr>
          <w:rFonts w:ascii="Arial" w:cs="Arial" w:eastAsia="Arial" w:hAnsi="Arial"/>
          <w:sz w:val="17"/>
          <w:szCs w:val="17"/>
          <w:color w:val="auto"/>
        </w:rPr>
        <w:t xml:space="preserve">” means all costs and expenses of any kind or description whatsoever incurred or accrued each calendar year by Landlord in accordance with Landlord’s regular accounting practices with respect to the Building and Property (including, without duplication, the Building’s Share of Project with respect to all costs and expenses of any kind or description incurred or accrued by Landlord with respect to the Project which are not specific to the Building or Property or any other building or property located in the Project) including, without duplication or limitation, (w) Taxes (as defined in </w:t>
      </w:r>
      <w:r>
        <w:rPr>
          <w:rFonts w:ascii="Arial" w:cs="Arial" w:eastAsia="Arial" w:hAnsi="Arial"/>
          <w:sz w:val="17"/>
          <w:szCs w:val="17"/>
          <w:u w:val="single" w:color="auto"/>
          <w:color w:val="auto"/>
        </w:rPr>
        <w:t>Section 9</w:t>
      </w:r>
      <w:r>
        <w:rPr>
          <w:rFonts w:ascii="Arial" w:cs="Arial" w:eastAsia="Arial" w:hAnsi="Arial"/>
          <w:sz w:val="17"/>
          <w:szCs w:val="17"/>
          <w:color w:val="auto"/>
        </w:rPr>
        <w:t>), (x) capital repairs, replacements and improvements amortized over the lesser of 10 years or the useful life of such capital items (except for capital repairs, replacements and improvements to the roof, which shall be amortized over 15 years), adjusted to reflect Building operations 24 hours per day, 7 days per week and 365 days per year (provided that those Operating Expenses incurred or accrued by Landlord with respect to any capital repairs, replacements or improvements which are for the intended purpose of promoting sustainability (for example, without limitation, by reducing energy usage at the Project) (a “</w:t>
      </w:r>
      <w:r>
        <w:rPr>
          <w:rFonts w:ascii="Arial" w:cs="Arial" w:eastAsia="Arial" w:hAnsi="Arial"/>
          <w:sz w:val="17"/>
          <w:szCs w:val="17"/>
          <w:b w:val="1"/>
          <w:bCs w:val="1"/>
          <w:color w:val="auto"/>
        </w:rPr>
        <w:t>Capital Sustainability Expenditure</w:t>
      </w:r>
      <w:r>
        <w:rPr>
          <w:rFonts w:ascii="Arial" w:cs="Arial" w:eastAsia="Arial" w:hAnsi="Arial"/>
          <w:sz w:val="17"/>
          <w:szCs w:val="17"/>
          <w:color w:val="auto"/>
        </w:rPr>
        <w:t>”) may be amortized over a shorter period, at Landlord’s discretion, to the extent the cost of a Capital Sustainability Expenditure is offset by a reduction in Operating Expenses), (y) transportation services, and (z) the costs of Landlord’s third party property manager (not to exceed 3% of Base Rent) or, if there is no third party property manager, administration rent in the amount of 3% of Base Rent, excluding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83185</wp:posOffset>
            </wp:positionV>
            <wp:extent cx="2418080" cy="51435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05" w:name="page506"/>
    <w:bookmarkEnd w:id="505"/>
    <w:p>
      <w:pPr>
        <w:spacing w:after="0"/>
        <w:tabs>
          <w:tab w:leader="none" w:pos="8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5</w:t>
      </w:r>
    </w:p>
    <w:p>
      <w:pPr>
        <w:spacing w:after="0" w:line="162" w:lineRule="exact"/>
        <w:rPr>
          <w:sz w:val="20"/>
          <w:szCs w:val="20"/>
          <w:color w:val="auto"/>
        </w:rPr>
      </w:pPr>
    </w:p>
    <w:p>
      <w:pPr>
        <w:ind w:right="440" w:firstLine="921"/>
        <w:spacing w:after="0" w:line="277" w:lineRule="auto"/>
        <w:tabs>
          <w:tab w:leader="none" w:pos="115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original construction costs of the Project and renovation prior to the date of the Lease and costs of correcting defects in such original construction or renovation;</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capital expenditures for expansion of the Project;</w:t>
      </w:r>
    </w:p>
    <w:p>
      <w:pPr>
        <w:spacing w:after="0" w:line="117" w:lineRule="exact"/>
        <w:rPr>
          <w:rFonts w:ascii="Arial" w:cs="Arial" w:eastAsia="Arial" w:hAnsi="Arial"/>
          <w:sz w:val="18"/>
          <w:szCs w:val="18"/>
          <w:color w:val="auto"/>
        </w:rPr>
      </w:pPr>
    </w:p>
    <w:p>
      <w:pPr>
        <w:jc w:val="both"/>
        <w:ind w:right="60" w:firstLine="921"/>
        <w:spacing w:after="0" w:line="264" w:lineRule="auto"/>
        <w:tabs>
          <w:tab w:leader="none" w:pos="115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interest, principal payments of Mortgage (as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 debts of Landlord, financing costs and amortization of funds borrowed by Landlord, whether secured or unsecured and all payments of base rent (but not taxes or operating expenses) under any ground lease or other underlying lease of all or any portion of the Project;</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depreciation of the Project (except for capital improvements, the cost of which is includable in Operating Expenses);</w:t>
      </w:r>
    </w:p>
    <w:p>
      <w:pPr>
        <w:spacing w:after="0" w:line="117" w:lineRule="exact"/>
        <w:rPr>
          <w:rFonts w:ascii="Arial" w:cs="Arial" w:eastAsia="Arial" w:hAnsi="Arial"/>
          <w:sz w:val="18"/>
          <w:szCs w:val="18"/>
          <w:color w:val="auto"/>
        </w:rPr>
      </w:pPr>
    </w:p>
    <w:p>
      <w:pPr>
        <w:ind w:right="40" w:firstLine="921"/>
        <w:spacing w:after="0" w:line="308" w:lineRule="auto"/>
        <w:tabs>
          <w:tab w:leader="none" w:pos="1158" w:val="left"/>
        </w:tabs>
        <w:numPr>
          <w:ilvl w:val="0"/>
          <w:numId w:val="355"/>
        </w:numPr>
        <w:rPr>
          <w:rFonts w:ascii="Arial" w:cs="Arial" w:eastAsia="Arial" w:hAnsi="Arial"/>
          <w:sz w:val="17"/>
          <w:szCs w:val="17"/>
          <w:color w:val="auto"/>
        </w:rPr>
      </w:pPr>
      <w:r>
        <w:rPr>
          <w:rFonts w:ascii="Arial" w:cs="Arial" w:eastAsia="Arial" w:hAnsi="Arial"/>
          <w:sz w:val="17"/>
          <w:szCs w:val="17"/>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38" w:lineRule="exact"/>
        <w:rPr>
          <w:rFonts w:ascii="Arial" w:cs="Arial" w:eastAsia="Arial" w:hAnsi="Arial"/>
          <w:sz w:val="17"/>
          <w:szCs w:val="17"/>
          <w:color w:val="auto"/>
        </w:rPr>
      </w:pPr>
    </w:p>
    <w:p>
      <w:pPr>
        <w:ind w:left="1140" w:hanging="219"/>
        <w:spacing w:after="0"/>
        <w:tabs>
          <w:tab w:leader="none" w:pos="11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legal and other expenses incurred in the negotiation or enforcement of leases;</w:t>
      </w:r>
    </w:p>
    <w:p>
      <w:pPr>
        <w:spacing w:after="0" w:line="117" w:lineRule="exact"/>
        <w:rPr>
          <w:rFonts w:ascii="Arial" w:cs="Arial" w:eastAsia="Arial" w:hAnsi="Arial"/>
          <w:sz w:val="18"/>
          <w:szCs w:val="18"/>
          <w:color w:val="auto"/>
        </w:rPr>
      </w:pPr>
    </w:p>
    <w:p>
      <w:pPr>
        <w:ind w:right="340" w:firstLine="921"/>
        <w:spacing w:after="0" w:line="277" w:lineRule="auto"/>
        <w:tabs>
          <w:tab w:leader="none" w:pos="116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completing, fixturing, improving, renovating, painting, redecorating or other work, which Landlord pays for or performs for other tenants within their premises, and costs of correcting defects in such work;</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costs of utilities outside normal business hours sold to tenants of the Project;</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costs to be reimbursed by other tenants of the Project or Taxes to be paid directly by Tenant or other tenants of the Project, whether or not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actually paid;</w:t>
      </w:r>
    </w:p>
    <w:p>
      <w:pPr>
        <w:spacing w:after="0" w:line="102" w:lineRule="exact"/>
        <w:rPr>
          <w:rFonts w:ascii="Arial" w:cs="Arial" w:eastAsia="Arial" w:hAnsi="Arial"/>
          <w:sz w:val="16"/>
          <w:szCs w:val="16"/>
          <w:color w:val="auto"/>
        </w:rPr>
      </w:pPr>
    </w:p>
    <w:p>
      <w:pPr>
        <w:ind w:right="40" w:firstLine="921"/>
        <w:spacing w:after="0" w:line="255" w:lineRule="auto"/>
        <w:tabs>
          <w:tab w:leader="none" w:pos="112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salaries, wages, benefits and other compensation paid to (i) personnel of Landlord or its agents or contractors above the position of the person, regardless of title, who has day-to-day management responsibility for the Project or (ii) officers and employees of Landlord or its affiliates who are not assigned in whole or in part to the operation, management, maintenance or repair of the Project; provided, however, that with respect to any such person who does not devote substantially all of his or her employed time to the Project, the salaries, wages, benefits and other compensation of such person shall be prorated to reflect time spent on matters related to operating, managing, maintaining or repairing the Project in comparison to the time spent on matters unrelated to operating, managing, maintaining or repairing the Project;</w:t>
      </w:r>
    </w:p>
    <w:p>
      <w:pPr>
        <w:spacing w:after="0" w:line="85" w:lineRule="exact"/>
        <w:rPr>
          <w:rFonts w:ascii="Arial" w:cs="Arial" w:eastAsia="Arial" w:hAnsi="Arial"/>
          <w:sz w:val="18"/>
          <w:szCs w:val="18"/>
          <w:color w:val="auto"/>
        </w:rPr>
      </w:pPr>
    </w:p>
    <w:p>
      <w:pPr>
        <w:ind w:right="60" w:firstLine="921"/>
        <w:spacing w:after="0" w:line="277" w:lineRule="auto"/>
        <w:tabs>
          <w:tab w:leader="none" w:pos="116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general organizational, administrative and overhead costs relating to maintaining Landlord’s existence, either as a corporation, partnership, or other entity, including general corporate, legal and accounting expenses;</w:t>
      </w:r>
    </w:p>
    <w:p>
      <w:pPr>
        <w:spacing w:after="0" w:line="62" w:lineRule="exact"/>
        <w:rPr>
          <w:rFonts w:ascii="Arial" w:cs="Arial" w:eastAsia="Arial" w:hAnsi="Arial"/>
          <w:sz w:val="18"/>
          <w:szCs w:val="18"/>
          <w:color w:val="auto"/>
        </w:rPr>
      </w:pPr>
    </w:p>
    <w:p>
      <w:pPr>
        <w:ind w:right="320" w:firstLine="921"/>
        <w:spacing w:after="0" w:line="286" w:lineRule="auto"/>
        <w:tabs>
          <w:tab w:leader="none" w:pos="1128" w:val="left"/>
        </w:tabs>
        <w:numPr>
          <w:ilvl w:val="0"/>
          <w:numId w:val="355"/>
        </w:numPr>
        <w:rPr>
          <w:rFonts w:ascii="Arial" w:cs="Arial" w:eastAsia="Arial" w:hAnsi="Arial"/>
          <w:sz w:val="17"/>
          <w:szCs w:val="17"/>
          <w:color w:val="auto"/>
        </w:rPr>
      </w:pPr>
      <w:r>
        <w:rPr>
          <w:rFonts w:ascii="Arial" w:cs="Arial" w:eastAsia="Arial" w:hAnsi="Arial"/>
          <w:sz w:val="17"/>
          <w:szCs w:val="17"/>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 or Property;</w:t>
      </w:r>
    </w:p>
    <w:p>
      <w:pPr>
        <w:spacing w:after="0" w:line="57" w:lineRule="exact"/>
        <w:rPr>
          <w:rFonts w:ascii="Arial" w:cs="Arial" w:eastAsia="Arial" w:hAnsi="Arial"/>
          <w:sz w:val="17"/>
          <w:szCs w:val="17"/>
          <w:color w:val="auto"/>
        </w:rPr>
      </w:pPr>
    </w:p>
    <w:p>
      <w:pPr>
        <w:ind w:right="40" w:firstLine="921"/>
        <w:spacing w:after="0" w:line="277" w:lineRule="auto"/>
        <w:tabs>
          <w:tab w:leader="none" w:pos="121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74930</wp:posOffset>
            </wp:positionV>
            <wp:extent cx="2418080" cy="51435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06" w:name="page507"/>
    <w:bookmarkEnd w:id="506"/>
    <w:p>
      <w:pPr>
        <w:spacing w:after="0"/>
        <w:tabs>
          <w:tab w:leader="none" w:pos="8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6</w:t>
      </w:r>
    </w:p>
    <w:p>
      <w:pPr>
        <w:spacing w:after="0" w:line="162" w:lineRule="exact"/>
        <w:rPr>
          <w:sz w:val="20"/>
          <w:szCs w:val="20"/>
          <w:color w:val="auto"/>
        </w:rPr>
      </w:pPr>
    </w:p>
    <w:p>
      <w:pPr>
        <w:ind w:right="280" w:firstLine="921"/>
        <w:spacing w:after="0" w:line="342" w:lineRule="auto"/>
        <w:tabs>
          <w:tab w:leader="none" w:pos="1168" w:val="left"/>
        </w:tabs>
        <w:numPr>
          <w:ilvl w:val="0"/>
          <w:numId w:val="356"/>
        </w:numPr>
        <w:rPr>
          <w:rFonts w:ascii="Arial" w:cs="Arial" w:eastAsia="Arial" w:hAnsi="Arial"/>
          <w:sz w:val="16"/>
          <w:szCs w:val="16"/>
          <w:color w:val="auto"/>
        </w:rPr>
      </w:pPr>
      <w:r>
        <w:rPr>
          <w:rFonts w:ascii="Arial" w:cs="Arial" w:eastAsia="Arial" w:hAnsi="Arial"/>
          <w:sz w:val="16"/>
          <w:szCs w:val="16"/>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15" w:lineRule="exact"/>
        <w:rPr>
          <w:rFonts w:ascii="Arial" w:cs="Arial" w:eastAsia="Arial" w:hAnsi="Arial"/>
          <w:sz w:val="16"/>
          <w:szCs w:val="16"/>
          <w:color w:val="auto"/>
        </w:rPr>
      </w:pPr>
    </w:p>
    <w:p>
      <w:pPr>
        <w:ind w:right="100" w:firstLine="921"/>
        <w:spacing w:after="0" w:line="277" w:lineRule="auto"/>
        <w:tabs>
          <w:tab w:leader="none" w:pos="1168" w:val="left"/>
        </w:tabs>
        <w:numPr>
          <w:ilvl w:val="0"/>
          <w:numId w:val="356"/>
        </w:numPr>
        <w:rPr>
          <w:rFonts w:ascii="Arial" w:cs="Arial" w:eastAsia="Arial" w:hAnsi="Arial"/>
          <w:sz w:val="18"/>
          <w:szCs w:val="18"/>
          <w:color w:val="auto"/>
        </w:rPr>
      </w:pPr>
      <w:r>
        <w:rPr>
          <w:rFonts w:ascii="Arial" w:cs="Arial" w:eastAsia="Arial" w:hAnsi="Arial"/>
          <w:sz w:val="18"/>
          <w:szCs w:val="18"/>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costs of Landlord’s charitable or political contributions, or of fine art maintained at the Project;</w:t>
      </w:r>
    </w:p>
    <w:p>
      <w:pPr>
        <w:spacing w:after="0" w:line="117" w:lineRule="exact"/>
        <w:rPr>
          <w:rFonts w:ascii="Arial" w:cs="Arial" w:eastAsia="Arial" w:hAnsi="Arial"/>
          <w:sz w:val="18"/>
          <w:szCs w:val="18"/>
          <w:color w:val="auto"/>
        </w:rPr>
      </w:pPr>
    </w:p>
    <w:p>
      <w:pPr>
        <w:jc w:val="both"/>
        <w:ind w:right="40" w:firstLine="921"/>
        <w:spacing w:after="0" w:line="264" w:lineRule="auto"/>
        <w:tabs>
          <w:tab w:leader="none" w:pos="1168" w:val="left"/>
        </w:tabs>
        <w:numPr>
          <w:ilvl w:val="0"/>
          <w:numId w:val="356"/>
        </w:numPr>
        <w:rPr>
          <w:rFonts w:ascii="Arial" w:cs="Arial" w:eastAsia="Arial" w:hAnsi="Arial"/>
          <w:sz w:val="18"/>
          <w:szCs w:val="18"/>
          <w:color w:val="auto"/>
        </w:rPr>
      </w:pPr>
      <w:r>
        <w:rPr>
          <w:rFonts w:ascii="Arial" w:cs="Arial" w:eastAsia="Arial" w:hAnsi="Arial"/>
          <w:sz w:val="18"/>
          <w:szCs w:val="18"/>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73" w:lineRule="exact"/>
        <w:rPr>
          <w:rFonts w:ascii="Arial" w:cs="Arial" w:eastAsia="Arial" w:hAnsi="Arial"/>
          <w:sz w:val="18"/>
          <w:szCs w:val="18"/>
          <w:color w:val="auto"/>
        </w:rPr>
      </w:pPr>
    </w:p>
    <w:p>
      <w:pPr>
        <w:ind w:left="1140" w:hanging="219"/>
        <w:spacing w:after="0"/>
        <w:tabs>
          <w:tab w:leader="none" w:pos="11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costs incurred in the sale or refinancing of the Property or Project;</w:t>
      </w:r>
    </w:p>
    <w:p>
      <w:pPr>
        <w:spacing w:after="0" w:line="117" w:lineRule="exact"/>
        <w:rPr>
          <w:rFonts w:ascii="Arial" w:cs="Arial" w:eastAsia="Arial" w:hAnsi="Arial"/>
          <w:sz w:val="18"/>
          <w:szCs w:val="18"/>
          <w:color w:val="auto"/>
        </w:rPr>
      </w:pPr>
    </w:p>
    <w:p>
      <w:pPr>
        <w:ind w:right="20" w:firstLine="921"/>
        <w:spacing w:after="0" w:line="308" w:lineRule="auto"/>
        <w:tabs>
          <w:tab w:leader="none" w:pos="1148" w:val="left"/>
        </w:tabs>
        <w:numPr>
          <w:ilvl w:val="0"/>
          <w:numId w:val="356"/>
        </w:numPr>
        <w:rPr>
          <w:rFonts w:ascii="Arial" w:cs="Arial" w:eastAsia="Arial" w:hAnsi="Arial"/>
          <w:sz w:val="17"/>
          <w:szCs w:val="17"/>
          <w:color w:val="auto"/>
        </w:rPr>
      </w:pPr>
      <w:r>
        <w:rPr>
          <w:rFonts w:ascii="Arial" w:cs="Arial" w:eastAsia="Arial" w:hAnsi="Arial"/>
          <w:sz w:val="17"/>
          <w:szCs w:val="17"/>
          <w:color w:val="auto"/>
        </w:rPr>
        <w:t>net income taxes of Landlord or the owner of any interest in the Property or Project, franchise, capital stock, gift, estate or inheritance taxes or any federal, state or local documentary taxes imposed against the Property or Project or any portion thereof or interest therein;</w:t>
      </w:r>
    </w:p>
    <w:p>
      <w:pPr>
        <w:spacing w:after="0" w:line="38" w:lineRule="exact"/>
        <w:rPr>
          <w:rFonts w:ascii="Arial" w:cs="Arial" w:eastAsia="Arial" w:hAnsi="Arial"/>
          <w:sz w:val="17"/>
          <w:szCs w:val="17"/>
          <w:color w:val="auto"/>
        </w:rPr>
      </w:pPr>
    </w:p>
    <w:p>
      <w:pPr>
        <w:ind w:right="380" w:firstLine="921"/>
        <w:spacing w:after="0" w:line="277" w:lineRule="auto"/>
        <w:tabs>
          <w:tab w:leader="none" w:pos="1128"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any costs incurred to remove, study, test or remediate Hazardous Materials in or about the Premises, the Building or the Project for which Tenant is not responsible under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hereof; and</w:t>
      </w:r>
    </w:p>
    <w:p>
      <w:pPr>
        <w:spacing w:after="0" w:line="62"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any expenses otherwise includable within Operating Expenses to the extent actually reimbursed by persons other than tenants of the Project under leases for space in the Project.</w:t>
      </w:r>
    </w:p>
    <w:p>
      <w:pPr>
        <w:spacing w:after="0" w:line="17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Within 90 days after the end of each calendar year (or such longer period as may be reasonably required), Landlord shall furnish to Tenant a statement (an “</w:t>
      </w:r>
      <w:r>
        <w:rPr>
          <w:rFonts w:ascii="Arial" w:cs="Arial" w:eastAsia="Arial" w:hAnsi="Arial"/>
          <w:sz w:val="16"/>
          <w:szCs w:val="16"/>
          <w:b w:val="1"/>
          <w:bCs w:val="1"/>
          <w:color w:val="auto"/>
        </w:rPr>
        <w:t>Annual Statement</w:t>
      </w:r>
      <w:r>
        <w:rPr>
          <w:rFonts w:ascii="Arial" w:cs="Arial" w:eastAsia="Arial" w:hAnsi="Arial"/>
          <w:sz w:val="16"/>
          <w:szCs w:val="16"/>
          <w:color w:val="auto"/>
        </w:rPr>
        <w:t>”) showing in reasonable detail: (a) the total and Tenant’s Share of actual Operating Expenses for the previous calendar year, and</w:t>
      </w:r>
    </w:p>
    <w:p>
      <w:pPr>
        <w:ind w:right="100" w:firstLine="8"/>
        <w:spacing w:after="0" w:line="292" w:lineRule="auto"/>
        <w:tabs>
          <w:tab w:leader="none" w:pos="255"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the total of Tenant’s payments in respect of Operating Expenses for such year. If Tenant’s Share of actual Operating Expenses for such year exceeds Tenant’s payments of Operating Expenses for such year, the excess shall be due and payable by Tenant as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w:t>
      </w:r>
      <w:r>
        <w:rPr>
          <w:rFonts w:ascii="Arial" w:cs="Arial" w:eastAsia="Arial" w:hAnsi="Arial"/>
          <w:sz w:val="16"/>
          <w:szCs w:val="16"/>
          <w:i w:val="1"/>
          <w:iCs w:val="1"/>
          <w:color w:val="auto"/>
        </w:rPr>
        <w:t>.</w:t>
      </w:r>
    </w:p>
    <w:p>
      <w:pPr>
        <w:spacing w:after="0" w:line="16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Annual Statement shall be final and binding upon Tenant unless Tenant, within 90 days after Tenant’s receipt thereof, shall contest any item therein by giving written notice to Landlord, specifying each item contested and the reason therefor. If, during such 90 day period, Tenant reasonably and in good faith questions or contests the accuracy of Landlord’s statement of Tenant’s Share of Operating Expenses, Landlord will provide Tenant with access to Landlord’s books and records relating to the operation of the Project and such information as Landlord reasonably determines to be responsive to Tenant’s questions (the “</w:t>
      </w:r>
      <w:r>
        <w:rPr>
          <w:rFonts w:ascii="Arial" w:cs="Arial" w:eastAsia="Arial" w:hAnsi="Arial"/>
          <w:sz w:val="17"/>
          <w:szCs w:val="17"/>
          <w:b w:val="1"/>
          <w:bCs w:val="1"/>
          <w:color w:val="auto"/>
        </w:rPr>
        <w:t>Expense Information</w:t>
      </w:r>
      <w:r>
        <w:rPr>
          <w:rFonts w:ascii="Arial" w:cs="Arial" w:eastAsia="Arial" w:hAnsi="Arial"/>
          <w:sz w:val="17"/>
          <w:szCs w:val="17"/>
          <w:color w:val="auto"/>
        </w:rPr>
        <w:t>”). If after Tenant’s review of such Expense Information, Landlord and Tenant cannot agree upon the amount of Tenant’s Share of Operating Expenses, then Tenant shall have the right to have an independent public accounting firm selected by Tenant from among the 5 largest in the United States, working pursuant to a fee arrangement other than a contingent fee (at Tenant’s sole cost and expense) and approved by Landlord (which approval shall not be unreasonably withheld or delayed), audit and/or review the Expense Information for the year in question (the “</w:t>
      </w:r>
      <w:r>
        <w:rPr>
          <w:rFonts w:ascii="Arial" w:cs="Arial" w:eastAsia="Arial" w:hAnsi="Arial"/>
          <w:sz w:val="17"/>
          <w:szCs w:val="17"/>
          <w:b w:val="1"/>
          <w:bCs w:val="1"/>
          <w:color w:val="auto"/>
        </w:rPr>
        <w:t>Independent</w:t>
      </w:r>
      <w:r>
        <w:rPr>
          <w:rFonts w:ascii="Arial" w:cs="Arial" w:eastAsia="Arial" w:hAnsi="Arial"/>
          <w:sz w:val="17"/>
          <w:szCs w:val="17"/>
          <w:color w:val="auto"/>
        </w:rPr>
        <w:t xml:space="preserve"> </w:t>
      </w:r>
      <w:r>
        <w:rPr>
          <w:rFonts w:ascii="Arial" w:cs="Arial" w:eastAsia="Arial" w:hAnsi="Arial"/>
          <w:sz w:val="17"/>
          <w:szCs w:val="17"/>
          <w:b w:val="1"/>
          <w:bCs w:val="1"/>
          <w:color w:val="auto"/>
        </w:rPr>
        <w:t>Review</w:t>
      </w:r>
      <w:r>
        <w:rPr>
          <w:rFonts w:ascii="Arial" w:cs="Arial" w:eastAsia="Arial" w:hAnsi="Arial"/>
          <w:sz w:val="17"/>
          <w:szCs w:val="17"/>
          <w:color w:val="auto"/>
        </w:rPr>
        <w:t>”). The results of any such Independent Review shall be binding on Landlord and Tenant. If the Independent Review shows that the payments actually</w:t>
      </w:r>
      <w:r>
        <w:rPr>
          <w:rFonts w:ascii="Arial" w:cs="Arial" w:eastAsia="Arial" w:hAnsi="Arial"/>
          <w:sz w:val="17"/>
          <w:szCs w:val="17"/>
          <w:b w:val="1"/>
          <w:bCs w:val="1"/>
          <w:color w:val="auto"/>
        </w:rPr>
        <w:t xml:space="preserve"> </w:t>
      </w:r>
      <w:r>
        <w:rPr>
          <w:rFonts w:ascii="Arial" w:cs="Arial" w:eastAsia="Arial" w:hAnsi="Arial"/>
          <w:sz w:val="17"/>
          <w:szCs w:val="17"/>
          <w:color w:val="auto"/>
        </w:rPr>
        <w:t>made by Tenant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78740</wp:posOffset>
            </wp:positionV>
            <wp:extent cx="2418080" cy="51435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07" w:name="page508"/>
    <w:bookmarkEnd w:id="507"/>
    <w:p>
      <w:pPr>
        <w:spacing w:after="0"/>
        <w:tabs>
          <w:tab w:leader="none" w:pos="8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7</w:t>
      </w:r>
    </w:p>
    <w:p>
      <w:pPr>
        <w:spacing w:after="0" w:line="1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 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with respect to Operating Expenses by more than 5% then Landlord shall reimburse Tenant for all costs incurred by Tenant for the Independent Review. Operating Expenses for the calendar years in which Tenant’s obligation to share therein begins and ends shall be prorated. Notwithstanding anything set forth herein to the contrary, if the Building is not at least 95% occupied on average during any year of the Term, Tenant’s Share of Operating Expenses for such year shall be computed as though the Building had been 95% occupied on average during such year.</w:t>
      </w:r>
    </w:p>
    <w:p>
      <w:pPr>
        <w:spacing w:after="0" w:line="174"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Tenant’s Share</w:t>
      </w:r>
      <w:r>
        <w:rPr>
          <w:rFonts w:ascii="Arial" w:cs="Arial" w:eastAsia="Arial" w:hAnsi="Arial"/>
          <w:sz w:val="17"/>
          <w:szCs w:val="17"/>
          <w:color w:val="auto"/>
        </w:rPr>
        <w:t>” shall be the percentage set forth in the Basic Lease Provisions as Tenant’s Share, and “</w:t>
      </w:r>
      <w:r>
        <w:rPr>
          <w:rFonts w:ascii="Arial" w:cs="Arial" w:eastAsia="Arial" w:hAnsi="Arial"/>
          <w:sz w:val="17"/>
          <w:szCs w:val="17"/>
          <w:b w:val="1"/>
          <w:bCs w:val="1"/>
          <w:color w:val="auto"/>
        </w:rPr>
        <w:t>Building’s Share of Project</w:t>
      </w:r>
      <w:r>
        <w:rPr>
          <w:rFonts w:ascii="Arial" w:cs="Arial" w:eastAsia="Arial" w:hAnsi="Arial"/>
          <w:sz w:val="17"/>
          <w:szCs w:val="17"/>
          <w:color w:val="auto"/>
        </w:rPr>
        <w:t>” shall be the percentage set forth in the Basic Lease Provisions as the Building’s Share of Project, each as may be reasonably adjusted by Landlord for changes in the physical size of the Premises, Building, Property or Project occurring thereafter. Landlord may equitably increase Tenant’s Share for any item of expense or cost reimbursable by Tenant that relates to a repair, replacement, or service that benefits only the Premises or only a portion of the Building, Property or Project that includes the Premises or that varies with occupancy or use. Landlord may equitably increase the Building’s Share of Project for any item of expense or cost reimbursable by Tenant that relates to a repair, replacement, or service that benefits only the Building or only a portion of the Property or Project that includes the Building or that varies with occupancy or use of the Building. Base Rent, Tenant’s Share of Operating Expenses and all other amounts payable by Tenant to Landlord hereunder are collectively referred to herein as “</w:t>
      </w:r>
      <w:r>
        <w:rPr>
          <w:rFonts w:ascii="Arial" w:cs="Arial" w:eastAsia="Arial" w:hAnsi="Arial"/>
          <w:sz w:val="17"/>
          <w:szCs w:val="17"/>
          <w:b w:val="1"/>
          <w:bCs w:val="1"/>
          <w:color w:val="auto"/>
        </w:rPr>
        <w:t>Rent</w:t>
      </w:r>
      <w:r>
        <w:rPr>
          <w:rFonts w:ascii="Arial" w:cs="Arial" w:eastAsia="Arial" w:hAnsi="Arial"/>
          <w:sz w:val="17"/>
          <w:szCs w:val="17"/>
          <w:color w:val="auto"/>
        </w:rPr>
        <w:t>.”</w:t>
      </w:r>
    </w:p>
    <w:p>
      <w:pPr>
        <w:spacing w:after="0" w:line="64" w:lineRule="exact"/>
        <w:rPr>
          <w:sz w:val="20"/>
          <w:szCs w:val="20"/>
          <w:color w:val="auto"/>
        </w:rPr>
      </w:pPr>
    </w:p>
    <w:p>
      <w:pPr>
        <w:ind w:right="20" w:firstLine="464"/>
        <w:spacing w:after="0" w:line="268" w:lineRule="auto"/>
        <w:tabs>
          <w:tab w:leader="none" w:pos="636" w:val="left"/>
        </w:tabs>
        <w:numPr>
          <w:ilvl w:val="0"/>
          <w:numId w:val="358"/>
        </w:numPr>
        <w:rPr>
          <w:rFonts w:ascii="Arial" w:cs="Arial" w:eastAsia="Arial" w:hAnsi="Arial"/>
          <w:sz w:val="17"/>
          <w:szCs w:val="17"/>
          <w:color w:val="auto"/>
        </w:rPr>
      </w:pPr>
      <w:r>
        <w:rPr>
          <w:rFonts w:ascii="Arial" w:cs="Arial" w:eastAsia="Arial" w:hAnsi="Arial"/>
          <w:sz w:val="17"/>
          <w:szCs w:val="17"/>
          <w:b w:val="1"/>
          <w:bCs w:val="1"/>
          <w:color w:val="auto"/>
        </w:rPr>
        <w:t>Security Deposit</w:t>
      </w:r>
      <w:r>
        <w:rPr>
          <w:rFonts w:ascii="Arial" w:cs="Arial" w:eastAsia="Arial" w:hAnsi="Arial"/>
          <w:sz w:val="17"/>
          <w:szCs w:val="17"/>
          <w:color w:val="auto"/>
        </w:rPr>
        <w:t>. Tenant shall deposit with Landlord, on or before February 1, 2018, a security deposit (the “</w:t>
      </w:r>
      <w:r>
        <w:rPr>
          <w:rFonts w:ascii="Arial" w:cs="Arial" w:eastAsia="Arial" w:hAnsi="Arial"/>
          <w:sz w:val="17"/>
          <w:szCs w:val="17"/>
          <w:b w:val="1"/>
          <w:bCs w:val="1"/>
          <w:color w:val="auto"/>
        </w:rPr>
        <w:t>Security Deposit</w:t>
      </w:r>
      <w:r>
        <w:rPr>
          <w:rFonts w:ascii="Arial" w:cs="Arial" w:eastAsia="Arial" w:hAnsi="Arial"/>
          <w:sz w:val="17"/>
          <w:szCs w:val="17"/>
          <w:color w:val="auto"/>
        </w:rPr>
        <w:t>”)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all of Tenant’s obligations hereunder in the amount set forth in the Basic Lease Provisions, which Security Deposit shall be in the form of an unconditional and irrevocable letter of credit (the “</w:t>
      </w:r>
      <w:r>
        <w:rPr>
          <w:rFonts w:ascii="Arial" w:cs="Arial" w:eastAsia="Arial" w:hAnsi="Arial"/>
          <w:sz w:val="17"/>
          <w:szCs w:val="17"/>
          <w:b w:val="1"/>
          <w:bCs w:val="1"/>
          <w:color w:val="auto"/>
        </w:rPr>
        <w:t>Letter of Credit</w:t>
      </w:r>
      <w:r>
        <w:rPr>
          <w:rFonts w:ascii="Arial" w:cs="Arial" w:eastAsia="Arial" w:hAnsi="Arial"/>
          <w:sz w:val="17"/>
          <w:szCs w:val="17"/>
          <w:color w:val="auto"/>
        </w:rPr>
        <w:t xml:space="preserve">”): (i) in form and substance reasonably satisfactory to Landlord, (ii) naming Landlord as beneficiary, (iii) expressly allowing Landlord to draw upon it at any time from time to time by delivering to the issuer notice that Landlord is entitled to draw thereunder, (iv) issued by an FDIC-insured financial institution satisfactory to Landlord, and (v) redeemable by presentation of a sight draft in the Commonwealth of Massachusetts. If Tenant does not provide Landlord with a substitute Letter of Credit complying with all of the requirements hereof at least 10 days before the stated expiration date of any then current Letter of Credit, Landlord shall have the right to draw the full amount of the current Letter of Credit and hold the funds drawn in cash without obligation for interest thereon as the Security Deposit. The Security Deposit shall be held by Landlord as security for the performance of Tenant’s obligations under this Lease. The Security Deposit is not an advance rental deposit or a measure of Landlord’s damages in case of Tenant’s default. Upon each occurrence of a Default (as defined in </w:t>
      </w:r>
      <w:r>
        <w:rPr>
          <w:rFonts w:ascii="Arial" w:cs="Arial" w:eastAsia="Arial" w:hAnsi="Arial"/>
          <w:sz w:val="17"/>
          <w:szCs w:val="17"/>
          <w:u w:val="single" w:color="auto"/>
          <w:color w:val="auto"/>
        </w:rPr>
        <w:t>Section 20</w:t>
      </w:r>
      <w:r>
        <w:rPr>
          <w:rFonts w:ascii="Arial" w:cs="Arial" w:eastAsia="Arial" w:hAnsi="Arial"/>
          <w:sz w:val="17"/>
          <w:szCs w:val="17"/>
          <w:color w:val="auto"/>
        </w:rPr>
        <w:t>), Landlord may use all or any part of the Security Deposit to pay delinquent payments due under this Lease, and the cost of any damage, injury, expense or liability caused by such Default, without prejudice to any other remedy provided herein or provided by law. Upon any such use of all or any portion of the Security Deposit, Tenant shall pay Landlord on demand the amount that will restore the Security Deposit to the amount set forth in the Basic Lease Provisions. Tenant hereby waives the provisions of any law, now or hereafter in force,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Upon bankruptcy or other debtor-creditor proceedings against Tenant, the Security Deposit shall be deemed to be applied first to the payment of Rent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80645</wp:posOffset>
            </wp:positionV>
            <wp:extent cx="2418080" cy="51435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08" w:name="page509"/>
    <w:bookmarkEnd w:id="508"/>
    <w:p>
      <w:pPr>
        <w:spacing w:after="0"/>
        <w:tabs>
          <w:tab w:leader="none" w:pos="8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8</w:t>
      </w:r>
    </w:p>
    <w:p>
      <w:pPr>
        <w:spacing w:after="0" w:line="1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charges due Landlord for periods prior to the filing of such proceedings. Upon any such use of all or any portion of the Security Deposit, Tenant shall, within 5 days after demand from Landlord, restore the Security Deposit to its original amount. If Tenant shall fully perform every provision of this Lease to be performed by Tenant, the Security Deposit, or any balance thereof (i.e., after deducting therefrom all amounts to which Landlord is entitled under the provisions of this Lease), shall be returned to Tenant (or, at Landlord’s option, to the last assignee of Tenant’s interest hereunder) within 60 days after the expiration or earlier termination of this Lease.</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If Landlord transfers its interest in the Project or this Lease, Landlord shall either (a) transfer any Security Deposit then held by Landlord to a person or entity assuming Landlord’s obligations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 transferee. The Security Deposit is not an advance rental deposit or a measure of Landlord’s damages in case of Tenant’s default. Landlord’s obligation respecting the Security Deposit is that of a debtor, not a trustee, and no interest shall accrue thereon.</w:t>
      </w:r>
    </w:p>
    <w:p>
      <w:pPr>
        <w:spacing w:after="0" w:line="81" w:lineRule="exact"/>
        <w:rPr>
          <w:sz w:val="20"/>
          <w:szCs w:val="20"/>
          <w:color w:val="auto"/>
        </w:rPr>
      </w:pPr>
    </w:p>
    <w:p>
      <w:pPr>
        <w:ind w:left="640" w:hanging="176"/>
        <w:spacing w:after="0"/>
        <w:tabs>
          <w:tab w:leader="none" w:pos="640" w:val="left"/>
        </w:tabs>
        <w:numPr>
          <w:ilvl w:val="0"/>
          <w:numId w:val="359"/>
        </w:numPr>
        <w:rPr>
          <w:rFonts w:ascii="Arial" w:cs="Arial" w:eastAsia="Arial" w:hAnsi="Arial"/>
          <w:sz w:val="18"/>
          <w:szCs w:val="18"/>
          <w:color w:val="auto"/>
        </w:rPr>
      </w:pPr>
      <w:r>
        <w:rPr>
          <w:rFonts w:ascii="Arial" w:cs="Arial" w:eastAsia="Arial" w:hAnsi="Arial"/>
          <w:sz w:val="18"/>
          <w:szCs w:val="18"/>
          <w:b w:val="1"/>
          <w:bCs w:val="1"/>
          <w:color w:val="auto"/>
        </w:rPr>
        <w:t>Use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21"/>
        <w:spacing w:after="0" w:line="267" w:lineRule="auto"/>
        <w:tabs>
          <w:tab w:leader="none" w:pos="1157" w:val="left"/>
        </w:tabs>
        <w:numPr>
          <w:ilvl w:val="1"/>
          <w:numId w:val="359"/>
        </w:numPr>
        <w:rPr>
          <w:rFonts w:ascii="Arial" w:cs="Arial" w:eastAsia="Arial" w:hAnsi="Arial"/>
          <w:sz w:val="17"/>
          <w:szCs w:val="17"/>
          <w:color w:val="auto"/>
        </w:rPr>
      </w:pPr>
      <w:r>
        <w:rPr>
          <w:rFonts w:ascii="Arial" w:cs="Arial" w:eastAsia="Arial" w:hAnsi="Arial"/>
          <w:sz w:val="17"/>
          <w:szCs w:val="17"/>
          <w:b w:val="1"/>
          <w:bCs w:val="1"/>
          <w:color w:val="auto"/>
        </w:rPr>
        <w:t>Tenant’s Use</w:t>
      </w:r>
      <w:r>
        <w:rPr>
          <w:rFonts w:ascii="Arial" w:cs="Arial" w:eastAsia="Arial" w:hAnsi="Arial"/>
          <w:sz w:val="17"/>
          <w:szCs w:val="17"/>
          <w:color w:val="auto"/>
        </w:rPr>
        <w:t>. The Premises shall be used solely for the Permitted Use set forth in the Basic Lease Provisions, and in compliance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laws, orders, judgments, ordinances, regulations, codes, directives, permits, licenses, 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Arial" w:cs="Arial" w:eastAsia="Arial" w:hAnsi="Arial"/>
          <w:sz w:val="17"/>
          <w:szCs w:val="17"/>
          <w:b w:val="1"/>
          <w:bCs w:val="1"/>
          <w:color w:val="auto"/>
        </w:rPr>
        <w:t>ADA</w:t>
      </w:r>
      <w:r>
        <w:rPr>
          <w:rFonts w:ascii="Arial" w:cs="Arial" w:eastAsia="Arial" w:hAnsi="Arial"/>
          <w:sz w:val="17"/>
          <w:szCs w:val="17"/>
          <w:color w:val="auto"/>
        </w:rPr>
        <w:t>”) (collectively, “</w:t>
      </w:r>
      <w:r>
        <w:rPr>
          <w:rFonts w:ascii="Arial" w:cs="Arial" w:eastAsia="Arial" w:hAnsi="Arial"/>
          <w:sz w:val="17"/>
          <w:szCs w:val="17"/>
          <w:b w:val="1"/>
          <w:bCs w:val="1"/>
          <w:color w:val="auto"/>
        </w:rPr>
        <w:t>Legal Requirements</w:t>
      </w:r>
      <w:r>
        <w:rPr>
          <w:rFonts w:ascii="Arial" w:cs="Arial" w:eastAsia="Arial" w:hAnsi="Arial"/>
          <w:sz w:val="17"/>
          <w:szCs w:val="17"/>
          <w:color w:val="auto"/>
        </w:rPr>
        <w:t>” and each, a “</w:t>
      </w:r>
      <w:r>
        <w:rPr>
          <w:rFonts w:ascii="Arial" w:cs="Arial" w:eastAsia="Arial" w:hAnsi="Arial"/>
          <w:sz w:val="17"/>
          <w:szCs w:val="17"/>
          <w:b w:val="1"/>
          <w:bCs w:val="1"/>
          <w:color w:val="auto"/>
        </w:rPr>
        <w:t>Legal Requirement</w:t>
      </w:r>
      <w:r>
        <w:rPr>
          <w:rFonts w:ascii="Arial" w:cs="Arial" w:eastAsia="Arial" w:hAnsi="Arial"/>
          <w:sz w:val="17"/>
          <w:szCs w:val="17"/>
          <w:color w:val="auto"/>
        </w:rPr>
        <w:t xml:space="preserve">”). Tenant shall, upon 5 days’ written notice from Landlord, discontinue any use of the Premises which is declared by any Governmental Authority (as defined in </w:t>
      </w:r>
      <w:r>
        <w:rPr>
          <w:rFonts w:ascii="Arial" w:cs="Arial" w:eastAsia="Arial" w:hAnsi="Arial"/>
          <w:sz w:val="17"/>
          <w:szCs w:val="17"/>
          <w:u w:val="single" w:color="auto"/>
          <w:color w:val="auto"/>
        </w:rPr>
        <w:t>Section 9</w:t>
      </w:r>
      <w:r>
        <w:rPr>
          <w:rFonts w:ascii="Arial" w:cs="Arial" w:eastAsia="Arial" w:hAnsi="Arial"/>
          <w:sz w:val="17"/>
          <w:szCs w:val="17"/>
          <w:color w:val="auto"/>
        </w:rPr>
        <w:t>)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Tenant shall not permit any part of the Premises to be used as a “place of public accommodation”, as defined in the ADA or any similar legal requirement. Tenant shall reimburse Landlord promptly upon demand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weighing 500 pounds or more in or upon the Premises or transport or move such items through the Common Areas of the Building or in the Building elevators without the prior written consent of Landlord. Except as may be provided under the Work Letter, Tenant shall not, without the prior written consent of Landlord, use the Premises in any manner which will require ventilation, air exchange, heating, gas, steam, electricity or water beyond the existing capacity of the Building as proportionately allocated to the Premises based upon Tenant’s Share as usually furnished for the Permitted Use.</w:t>
      </w:r>
    </w:p>
    <w:p>
      <w:pPr>
        <w:spacing w:after="0" w:line="194"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Landlord shall be responsible for the compliance of the Common Areas of the Project with Legal Requirements as of the Commencement Date. Following the Commencement Date, Landlord shall, as an Operating Expense (to the extent such Legal Requirement is generally applicable to similar buildings in the area in which the Project is located) or at Tenant’s expense (to the extent such Legal Requirement is applicable solely by reason of Tenant’s, as compared to other tenants of the Project, particular use of the Premises or Tenant’s Alterations) make any alterations or modifications to the Common Areas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85725</wp:posOffset>
            </wp:positionV>
            <wp:extent cx="2418080" cy="51435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09" w:name="page510"/>
    <w:bookmarkEnd w:id="509"/>
    <w:p>
      <w:pPr>
        <w:spacing w:after="0"/>
        <w:tabs>
          <w:tab w:leader="none" w:pos="8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9</w:t>
      </w:r>
    </w:p>
    <w:p>
      <w:pPr>
        <w:spacing w:after="0" w:line="1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exterior of the Building that are required by Legal Requirements, including the ADA. Tenant, at its sole expense, shall make any alterations or modifications to the interior of the Premises that are required by Legal Requirements (including, without limitation, compliance of the Premises with the ADA. Notwithstanding any other provision herein to the contrary,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8"/>
          <w:szCs w:val="18"/>
          <w:b w:val="1"/>
          <w:bCs w:val="1"/>
          <w:color w:val="auto"/>
        </w:rPr>
        <w:t>Claims</w:t>
      </w:r>
      <w:r>
        <w:rPr>
          <w:rFonts w:ascii="Arial" w:cs="Arial" w:eastAsia="Arial" w:hAnsi="Arial"/>
          <w:sz w:val="18"/>
          <w:szCs w:val="18"/>
          <w:color w:val="auto"/>
        </w:rPr>
        <w:t>”) arising out of or in connection with Legal Requirements, and Tenant shall indemnify, defend, hold and save Landlord harmless from and against any and all Claims arising out of or in connection with any failure of the Premises to comply with any Legal Requirement.</w:t>
      </w:r>
    </w:p>
    <w:p>
      <w:pPr>
        <w:spacing w:after="0" w:line="77" w:lineRule="exact"/>
        <w:rPr>
          <w:sz w:val="20"/>
          <w:szCs w:val="20"/>
          <w:color w:val="auto"/>
        </w:rPr>
      </w:pPr>
    </w:p>
    <w:p>
      <w:pPr>
        <w:ind w:right="60" w:firstLine="921"/>
        <w:spacing w:after="0" w:line="255" w:lineRule="auto"/>
        <w:tabs>
          <w:tab w:leader="none" w:pos="1168" w:val="left"/>
        </w:tabs>
        <w:numPr>
          <w:ilvl w:val="2"/>
          <w:numId w:val="360"/>
        </w:numPr>
        <w:rPr>
          <w:rFonts w:ascii="Arial" w:cs="Arial" w:eastAsia="Arial" w:hAnsi="Arial"/>
          <w:sz w:val="18"/>
          <w:szCs w:val="18"/>
          <w:color w:val="auto"/>
        </w:rPr>
      </w:pPr>
      <w:r>
        <w:rPr>
          <w:rFonts w:ascii="Arial" w:cs="Arial" w:eastAsia="Arial" w:hAnsi="Arial"/>
          <w:sz w:val="18"/>
          <w:szCs w:val="18"/>
          <w:b w:val="1"/>
          <w:bCs w:val="1"/>
          <w:color w:val="auto"/>
        </w:rPr>
        <w:t>Energy Use Reporting</w:t>
      </w:r>
      <w:r>
        <w:rPr>
          <w:rFonts w:ascii="Arial" w:cs="Arial" w:eastAsia="Arial" w:hAnsi="Arial"/>
          <w:sz w:val="18"/>
          <w:szCs w:val="18"/>
          <w:color w:val="auto"/>
        </w:rPr>
        <w:t>. Tenant agrees to provide, within 10 business days of request by Landlord, such information and documentation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needed for compliance with the City of Cambridge Building Energy Use Disclosure Ordinance, Section 8.67.010 et seq. of the Municipal Code of the City of Cambridge (as the same may be amended, the “</w:t>
      </w:r>
      <w:r>
        <w:rPr>
          <w:rFonts w:ascii="Arial" w:cs="Arial" w:eastAsia="Arial" w:hAnsi="Arial"/>
          <w:sz w:val="18"/>
          <w:szCs w:val="18"/>
          <w:b w:val="1"/>
          <w:bCs w:val="1"/>
          <w:color w:val="auto"/>
        </w:rPr>
        <w:t>Cambridge Building Energy Use Disclosure Ordinance</w:t>
      </w:r>
      <w:r>
        <w:rPr>
          <w:rFonts w:ascii="Arial" w:cs="Arial" w:eastAsia="Arial" w:hAnsi="Arial"/>
          <w:sz w:val="18"/>
          <w:szCs w:val="18"/>
          <w:color w:val="auto"/>
        </w:rPr>
        <w:t>”), and other such energy or sustainability requirements as may be adopted from time to time by the City of Cambridge or any other governmental authority with jurisdiction over the Building, which information shall include without limitation usage at or by the Premises of electricity, natural gas, steam, hot or chilled water or other energy. Landlord shall report to the applicable governmental authority such energy usage for the Building and other Building information as required by the Cambridge Building Energy Use Disclosure Ordinance.</w:t>
      </w:r>
    </w:p>
    <w:p>
      <w:pPr>
        <w:spacing w:after="0" w:line="81" w:lineRule="exact"/>
        <w:rPr>
          <w:rFonts w:ascii="Arial" w:cs="Arial" w:eastAsia="Arial" w:hAnsi="Arial"/>
          <w:sz w:val="18"/>
          <w:szCs w:val="18"/>
          <w:color w:val="auto"/>
        </w:rPr>
      </w:pPr>
    </w:p>
    <w:p>
      <w:pPr>
        <w:ind w:right="220" w:firstLine="464"/>
        <w:spacing w:after="0" w:line="284" w:lineRule="auto"/>
        <w:tabs>
          <w:tab w:leader="none" w:pos="636" w:val="left"/>
        </w:tabs>
        <w:numPr>
          <w:ilvl w:val="1"/>
          <w:numId w:val="361"/>
        </w:numPr>
        <w:rPr>
          <w:rFonts w:ascii="Arial" w:cs="Arial" w:eastAsia="Arial" w:hAnsi="Arial"/>
          <w:sz w:val="16"/>
          <w:szCs w:val="16"/>
          <w:color w:val="auto"/>
        </w:rPr>
      </w:pPr>
      <w:r>
        <w:rPr>
          <w:rFonts w:ascii="Arial" w:cs="Arial" w:eastAsia="Arial" w:hAnsi="Arial"/>
          <w:sz w:val="16"/>
          <w:szCs w:val="16"/>
          <w:b w:val="1"/>
          <w:bCs w:val="1"/>
          <w:color w:val="auto"/>
        </w:rPr>
        <w:t>Holding Over</w:t>
      </w:r>
      <w:r>
        <w:rPr>
          <w:rFonts w:ascii="Arial" w:cs="Arial" w:eastAsia="Arial" w:hAnsi="Arial"/>
          <w:sz w:val="16"/>
          <w:szCs w:val="16"/>
          <w:color w:val="auto"/>
        </w:rPr>
        <w:t>. If, with Landlord’s express written consent, Tenant retains possession of the Premises after the termination of the Term, (i) unless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otherwise 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the monthly rental shall be equal to 150% of Rent in effect during the last 30 days of the Term, and</w:t>
      </w:r>
    </w:p>
    <w:p>
      <w:pPr>
        <w:spacing w:after="0" w:line="5" w:lineRule="exact"/>
        <w:rPr>
          <w:rFonts w:ascii="Arial" w:cs="Arial" w:eastAsia="Arial" w:hAnsi="Arial"/>
          <w:sz w:val="16"/>
          <w:szCs w:val="16"/>
          <w:color w:val="auto"/>
        </w:rPr>
      </w:pPr>
    </w:p>
    <w:p>
      <w:pPr>
        <w:ind w:firstLine="8"/>
        <w:spacing w:after="0" w:line="273" w:lineRule="auto"/>
        <w:tabs>
          <w:tab w:leader="none" w:pos="282" w:val="left"/>
        </w:tabs>
        <w:numPr>
          <w:ilvl w:val="0"/>
          <w:numId w:val="362"/>
        </w:numPr>
        <w:rPr>
          <w:rFonts w:ascii="Arial" w:cs="Arial" w:eastAsia="Arial" w:hAnsi="Arial"/>
          <w:sz w:val="17"/>
          <w:szCs w:val="17"/>
          <w:color w:val="auto"/>
        </w:rPr>
      </w:pPr>
      <w:r>
        <w:rPr>
          <w:rFonts w:ascii="Arial" w:cs="Arial" w:eastAsia="Arial" w:hAnsi="Arial"/>
          <w:sz w:val="17"/>
          <w:szCs w:val="17"/>
          <w:color w:val="auto"/>
        </w:rPr>
        <w:t xml:space="preserve">Tenant shall be responsible for all damages suffered by Landlord resulting from or occasioned by Tenant’s holding over, including consequential damages. No holding over by Tenant, whether with or without consent of Landlord, shall operate to extend this Lease except as otherwise expressly provided, and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64" w:lineRule="exact"/>
        <w:rPr>
          <w:rFonts w:ascii="Arial" w:cs="Arial" w:eastAsia="Arial" w:hAnsi="Arial"/>
          <w:sz w:val="17"/>
          <w:szCs w:val="17"/>
          <w:color w:val="auto"/>
        </w:rPr>
      </w:pPr>
    </w:p>
    <w:p>
      <w:pPr>
        <w:ind w:right="20" w:firstLine="464"/>
        <w:spacing w:after="0" w:line="254" w:lineRule="auto"/>
        <w:tabs>
          <w:tab w:leader="none" w:pos="636" w:val="left"/>
        </w:tabs>
        <w:numPr>
          <w:ilvl w:val="1"/>
          <w:numId w:val="362"/>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Landlord shall pay, as part of Operating Expenses, all taxes, levies, fees, assessments and governmental charges of any kind, existing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Date or thereafter enacted with respect to the Project (collectively referred to as “</w:t>
      </w:r>
      <w:r>
        <w:rPr>
          <w:rFonts w:ascii="Arial" w:cs="Arial" w:eastAsia="Arial" w:hAnsi="Arial"/>
          <w:sz w:val="18"/>
          <w:szCs w:val="18"/>
          <w:b w:val="1"/>
          <w:bCs w:val="1"/>
          <w:color w:val="auto"/>
        </w:rPr>
        <w:t>Taxes</w:t>
      </w:r>
      <w:r>
        <w:rPr>
          <w:rFonts w:ascii="Arial" w:cs="Arial" w:eastAsia="Arial" w:hAnsi="Arial"/>
          <w:sz w:val="18"/>
          <w:szCs w:val="18"/>
          <w:color w:val="auto"/>
        </w:rPr>
        <w:t>”), imposed by any federal, state, regional, municipal, local or other governmental authority or agency, including, without limitation, quasi-public agencies (collectively, “</w:t>
      </w:r>
      <w:r>
        <w:rPr>
          <w:rFonts w:ascii="Arial" w:cs="Arial" w:eastAsia="Arial" w:hAnsi="Arial"/>
          <w:sz w:val="18"/>
          <w:szCs w:val="18"/>
          <w:b w:val="1"/>
          <w:bCs w:val="1"/>
          <w:color w:val="auto"/>
        </w:rPr>
        <w:t>Governmental Authority</w:t>
      </w:r>
      <w:r>
        <w:rPr>
          <w:rFonts w:ascii="Arial" w:cs="Arial" w:eastAsia="Arial" w:hAnsi="Arial"/>
          <w:sz w:val="18"/>
          <w:szCs w:val="18"/>
          <w:color w:val="auto"/>
        </w:rPr>
        <w:t>”) during the Term, including, without limitation, all Taxes: (i) imposed on or measured by or based, in whole or in part, on rent payable to (or gross receipts received by) Landlord under this Lease and/or from the rental by Landlord of the Building, Property or Project or any portion thereof, or (ii) based on the square footage, assessed value or other measure or evaluation of any kind of the Premises, Building, Property or Project or portion thereof, or (iii) assessed or imposed by or on the operation or maintenance of any portion of the Premises, Building, Property or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Building, Property or Project or portion thereof. Landlord may contest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86995</wp:posOffset>
            </wp:positionV>
            <wp:extent cx="2418080" cy="5143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10" w:name="page511"/>
    <w:bookmarkEnd w:id="510"/>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10</w:t>
      </w:r>
    </w:p>
    <w:p>
      <w:pPr>
        <w:spacing w:after="0" w:line="16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by appropriate legal proceedings the amount, validity, or application of any Taxes or liens securing Taxes. Taxes shall not include any net income taxes, franchise, capital stock, gift, estate or inheritance taxes, or any federal, state or local document taxes imposed on the Project or any portion thereof or interest therein, or on Landlord, except to the extent such net income taxes are in substitution for any Taxes payable hereunder. If any such Tax is levied or assessed directly against Tenant, then Tenant shall be responsible for and shall pay the same at such times and in such manner as the taxing authority shall require. Operating Expenses hereunder shall also include the cost of tax monitoring services provided to Landlord with respect to the Building, Property or Project.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Building, Property or Project is increased by a value attributed by the taxing authority to improvements in or alterations to the Premises, whether owned by Landlord or Tenant and whether or not affixed to the real property so as to become a part thereof, higher than the base valuation on which Landlord from time-to-time allocates Taxes to all tenants in the Building, Property or Project, or portion thereof of which the Premises are a part,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within 30 days of written demand therefor from Landlord.</w:t>
      </w:r>
    </w:p>
    <w:p>
      <w:pPr>
        <w:spacing w:after="0" w:line="76" w:lineRule="exact"/>
        <w:rPr>
          <w:sz w:val="20"/>
          <w:szCs w:val="20"/>
          <w:color w:val="auto"/>
        </w:rPr>
      </w:pPr>
    </w:p>
    <w:p>
      <w:pPr>
        <w:ind w:left="740" w:hanging="276"/>
        <w:spacing w:after="0"/>
        <w:tabs>
          <w:tab w:leader="none" w:pos="740" w:val="left"/>
        </w:tabs>
        <w:numPr>
          <w:ilvl w:val="1"/>
          <w:numId w:val="363"/>
        </w:numPr>
        <w:rPr>
          <w:rFonts w:ascii="Arial" w:cs="Arial" w:eastAsia="Arial" w:hAnsi="Arial"/>
          <w:sz w:val="18"/>
          <w:szCs w:val="18"/>
          <w:color w:val="auto"/>
        </w:rPr>
      </w:pPr>
      <w:r>
        <w:rPr>
          <w:rFonts w:ascii="Arial" w:cs="Arial" w:eastAsia="Arial" w:hAnsi="Arial"/>
          <w:sz w:val="18"/>
          <w:szCs w:val="18"/>
          <w:b w:val="1"/>
          <w:bCs w:val="1"/>
          <w:color w:val="auto"/>
        </w:rPr>
        <w:t>Parking and PTDM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87" w:lineRule="auto"/>
        <w:tabs>
          <w:tab w:leader="none" w:pos="1157" w:val="left"/>
        </w:tabs>
        <w:numPr>
          <w:ilvl w:val="2"/>
          <w:numId w:val="363"/>
        </w:numPr>
        <w:rPr>
          <w:rFonts w:ascii="Arial" w:cs="Arial" w:eastAsia="Arial" w:hAnsi="Arial"/>
          <w:sz w:val="16"/>
          <w:szCs w:val="16"/>
          <w:color w:val="auto"/>
        </w:rPr>
      </w:pPr>
      <w:r>
        <w:rPr>
          <w:rFonts w:ascii="Arial" w:cs="Arial" w:eastAsia="Arial" w:hAnsi="Arial"/>
          <w:sz w:val="16"/>
          <w:szCs w:val="16"/>
          <w:b w:val="1"/>
          <w:bCs w:val="1"/>
          <w:color w:val="auto"/>
        </w:rPr>
        <w:t>Parking and Monthly Parking Charge</w:t>
      </w:r>
      <w:r>
        <w:rPr>
          <w:rFonts w:ascii="Arial" w:cs="Arial" w:eastAsia="Arial" w:hAnsi="Arial"/>
          <w:sz w:val="16"/>
          <w:szCs w:val="16"/>
          <w:color w:val="auto"/>
        </w:rPr>
        <w:t>. Subject to all matters of record, Force Majeure, a Taking (as defined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19</w:t>
      </w:r>
      <w:r>
        <w:rPr>
          <w:rFonts w:ascii="Arial" w:cs="Arial" w:eastAsia="Arial" w:hAnsi="Arial"/>
          <w:sz w:val="16"/>
          <w:szCs w:val="16"/>
          <w:b w:val="1"/>
          <w:bCs w:val="1"/>
          <w:color w:val="auto"/>
        </w:rPr>
        <w:t xml:space="preserve"> </w:t>
      </w:r>
      <w:r>
        <w:rPr>
          <w:rFonts w:ascii="Arial" w:cs="Arial" w:eastAsia="Arial" w:hAnsi="Arial"/>
          <w:sz w:val="16"/>
          <w:szCs w:val="16"/>
          <w:color w:val="auto"/>
        </w:rPr>
        <w:t>below),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by Landlord of its rights hereunder and upon payment of the Monthly Parking Charge (as defined below) for each parking space commencing on the Commencement Date, Tenant shall have the right, in common with other tenants of the Project to use 0.9 vehicle parking spaces per 1,000 rentable square feet of the Premises (“</w:t>
      </w:r>
      <w:r>
        <w:rPr>
          <w:rFonts w:ascii="Arial" w:cs="Arial" w:eastAsia="Arial" w:hAnsi="Arial"/>
          <w:sz w:val="16"/>
          <w:szCs w:val="16"/>
          <w:b w:val="1"/>
          <w:bCs w:val="1"/>
          <w:color w:val="auto"/>
        </w:rPr>
        <w:t>Tenant’s Parking Allocation</w:t>
      </w:r>
      <w:r>
        <w:rPr>
          <w:rFonts w:ascii="Arial" w:cs="Arial" w:eastAsia="Arial" w:hAnsi="Arial"/>
          <w:sz w:val="16"/>
          <w:szCs w:val="16"/>
          <w:color w:val="auto"/>
        </w:rPr>
        <w:t>”) in the parking facility located at the One Kendall Square Garage located on Binney Street (the “</w:t>
      </w:r>
      <w:r>
        <w:rPr>
          <w:rFonts w:ascii="Arial" w:cs="Arial" w:eastAsia="Arial" w:hAnsi="Arial"/>
          <w:sz w:val="16"/>
          <w:szCs w:val="16"/>
          <w:b w:val="1"/>
          <w:bCs w:val="1"/>
          <w:color w:val="auto"/>
        </w:rPr>
        <w:t>OKS</w:t>
      </w:r>
      <w:r>
        <w:rPr>
          <w:rFonts w:ascii="Arial" w:cs="Arial" w:eastAsia="Arial" w:hAnsi="Arial"/>
          <w:sz w:val="16"/>
          <w:szCs w:val="16"/>
          <w:color w:val="auto"/>
        </w:rPr>
        <w:t xml:space="preserve"> </w:t>
      </w:r>
      <w:r>
        <w:rPr>
          <w:rFonts w:ascii="Arial" w:cs="Arial" w:eastAsia="Arial" w:hAnsi="Arial"/>
          <w:sz w:val="16"/>
          <w:szCs w:val="16"/>
          <w:b w:val="1"/>
          <w:bCs w:val="1"/>
          <w:color w:val="auto"/>
        </w:rPr>
        <w:t>Garage</w:t>
      </w:r>
      <w:r>
        <w:rPr>
          <w:rFonts w:ascii="Arial" w:cs="Arial" w:eastAsia="Arial" w:hAnsi="Arial"/>
          <w:sz w:val="16"/>
          <w:szCs w:val="16"/>
          <w:color w:val="auto"/>
        </w:rPr>
        <w:t>”) in those areas designated for non-reserved parking, subject in each case to Landlord’s rules and regulations; provided, however, Landlord may</w:t>
      </w:r>
      <w:r>
        <w:rPr>
          <w:rFonts w:ascii="Arial" w:cs="Arial" w:eastAsia="Arial" w:hAnsi="Arial"/>
          <w:sz w:val="16"/>
          <w:szCs w:val="16"/>
          <w:b w:val="1"/>
          <w:bCs w:val="1"/>
          <w:color w:val="auto"/>
        </w:rPr>
        <w:t xml:space="preserve"> </w:t>
      </w:r>
      <w:r>
        <w:rPr>
          <w:rFonts w:ascii="Arial" w:cs="Arial" w:eastAsia="Arial" w:hAnsi="Arial"/>
          <w:sz w:val="16"/>
          <w:szCs w:val="16"/>
          <w:color w:val="auto"/>
        </w:rPr>
        <w:t>relocate any or all of Tenant’s Parking Allocation from the OKS Garage to the parking garage located at 800 Technology Square. Landlord may allocate parking spaces among Tenant and other tenants in the Project pro rata as described above if Landlord determines that such parking facilities are becoming crowded. Landlord shall not be responsible for enforcing Tenant’s parking rights against any third parties, including other tenants of the Project. If Tenant delivers written notice to Landlord during the Term requesting additional parking spaces and Landlord determines that the additional parking spaces desired by Tenant are available for use by Tenant, Landlord shall notify Tenant in writing and Tenant shall immediately commence leasing and paying for such additional parking spaces. The “</w:t>
      </w:r>
      <w:r>
        <w:rPr>
          <w:rFonts w:ascii="Arial" w:cs="Arial" w:eastAsia="Arial" w:hAnsi="Arial"/>
          <w:sz w:val="16"/>
          <w:szCs w:val="16"/>
          <w:b w:val="1"/>
          <w:bCs w:val="1"/>
          <w:color w:val="auto"/>
        </w:rPr>
        <w:t>Monthly Parking Charge</w:t>
      </w:r>
      <w:r>
        <w:rPr>
          <w:rFonts w:ascii="Arial" w:cs="Arial" w:eastAsia="Arial" w:hAnsi="Arial"/>
          <w:sz w:val="16"/>
          <w:szCs w:val="16"/>
          <w:color w:val="auto"/>
        </w:rPr>
        <w:t>” shall mean the market rate monthly charge therefor designated by Landlord, adjusted reasonably and no more frequently than once in any 12-month period, based upon the rates charged by comparable parking facilities in the vicinity of the Project. As of the date of this Lease, the Monthly Parking Charge is equal to $310.00 per parking space per month.</w:t>
      </w:r>
    </w:p>
    <w:p>
      <w:pPr>
        <w:spacing w:after="0" w:line="56" w:lineRule="exact"/>
        <w:rPr>
          <w:rFonts w:ascii="Arial" w:cs="Arial" w:eastAsia="Arial" w:hAnsi="Arial"/>
          <w:sz w:val="16"/>
          <w:szCs w:val="16"/>
          <w:color w:val="auto"/>
        </w:rPr>
      </w:pPr>
    </w:p>
    <w:p>
      <w:pPr>
        <w:ind w:right="60" w:firstLine="921"/>
        <w:spacing w:after="0" w:line="287" w:lineRule="auto"/>
        <w:tabs>
          <w:tab w:leader="none" w:pos="1168" w:val="left"/>
        </w:tabs>
        <w:numPr>
          <w:ilvl w:val="2"/>
          <w:numId w:val="363"/>
        </w:numPr>
        <w:rPr>
          <w:rFonts w:ascii="Arial" w:cs="Arial" w:eastAsia="Arial" w:hAnsi="Arial"/>
          <w:sz w:val="16"/>
          <w:szCs w:val="16"/>
          <w:color w:val="auto"/>
        </w:rPr>
      </w:pPr>
      <w:r>
        <w:rPr>
          <w:rFonts w:ascii="Arial" w:cs="Arial" w:eastAsia="Arial" w:hAnsi="Arial"/>
          <w:sz w:val="16"/>
          <w:szCs w:val="16"/>
          <w:b w:val="1"/>
          <w:bCs w:val="1"/>
          <w:color w:val="auto"/>
        </w:rPr>
        <w:t>Parking and Transportation Demand Management</w:t>
      </w:r>
      <w:r>
        <w:rPr>
          <w:rFonts w:ascii="Arial" w:cs="Arial" w:eastAsia="Arial" w:hAnsi="Arial"/>
          <w:sz w:val="16"/>
          <w:szCs w:val="16"/>
          <w:color w:val="auto"/>
        </w:rPr>
        <w:t>. Tenant shall, at Tenant’s sole expense, for so long as a parking and traffic demand</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plan approved by the City of Cambridge (as amended from time to time, the “</w:t>
      </w:r>
      <w:r>
        <w:rPr>
          <w:rFonts w:ascii="Arial" w:cs="Arial" w:eastAsia="Arial" w:hAnsi="Arial"/>
          <w:sz w:val="16"/>
          <w:szCs w:val="16"/>
          <w:b w:val="1"/>
          <w:bCs w:val="1"/>
          <w:color w:val="auto"/>
        </w:rPr>
        <w:t>PTDM</w:t>
      </w:r>
      <w:r>
        <w:rPr>
          <w:rFonts w:ascii="Arial" w:cs="Arial" w:eastAsia="Arial" w:hAnsi="Arial"/>
          <w:sz w:val="16"/>
          <w:szCs w:val="16"/>
          <w:color w:val="auto"/>
        </w:rPr>
        <w:t>”), is applicable to the Project, comply with the PTDM as applicable to the Project, including without limitation, as applicable (i) offer to subsidize mass transit monthly passes for all of its employees who work in the Premises in accordance with the terms set forth in the PTDM; (ii) implement a Commuter Choice Program and the MBTA’s Corporate Pass Plan;</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discourage single-occupant vehicle (“</w:t>
      </w:r>
      <w:r>
        <w:rPr>
          <w:rFonts w:ascii="Arial" w:cs="Arial" w:eastAsia="Arial" w:hAnsi="Arial"/>
          <w:sz w:val="16"/>
          <w:szCs w:val="16"/>
          <w:b w:val="1"/>
          <w:bCs w:val="1"/>
          <w:color w:val="auto"/>
        </w:rPr>
        <w:t>SOV</w:t>
      </w:r>
      <w:r>
        <w:rPr>
          <w:rFonts w:ascii="Arial" w:cs="Arial" w:eastAsia="Arial" w:hAnsi="Arial"/>
          <w:sz w:val="16"/>
          <w:szCs w:val="16"/>
          <w:color w:val="auto"/>
        </w:rPr>
        <w:t>”) use by its employees; (iv) promote alternative modes of transportation and use of alternative work hours;</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at Landlord’s request, meet with Landlord and/or its representatives no more frequently than quarterly to discuss transportation programs and initiatives;</w:t>
      </w:r>
    </w:p>
    <w:p>
      <w:pPr>
        <w:spacing w:after="0" w:line="32" w:lineRule="exact"/>
        <w:rPr>
          <w:rFonts w:ascii="Arial" w:cs="Arial" w:eastAsia="Arial" w:hAnsi="Arial"/>
          <w:sz w:val="16"/>
          <w:szCs w:val="16"/>
          <w:color w:val="auto"/>
        </w:rPr>
      </w:pPr>
    </w:p>
    <w:p>
      <w:pPr>
        <w:ind w:right="20" w:firstLine="8"/>
        <w:spacing w:after="0" w:line="323" w:lineRule="auto"/>
        <w:tabs>
          <w:tab w:leader="none" w:pos="305" w:val="left"/>
        </w:tabs>
        <w:numPr>
          <w:ilvl w:val="0"/>
          <w:numId w:val="365"/>
        </w:numPr>
        <w:rPr>
          <w:rFonts w:ascii="Arial" w:cs="Arial" w:eastAsia="Arial" w:hAnsi="Arial"/>
          <w:sz w:val="16"/>
          <w:szCs w:val="16"/>
          <w:color w:val="auto"/>
        </w:rPr>
      </w:pPr>
      <w:r>
        <w:rPr>
          <w:rFonts w:ascii="Arial" w:cs="Arial" w:eastAsia="Arial" w:hAnsi="Arial"/>
          <w:sz w:val="16"/>
          <w:szCs w:val="16"/>
          <w:color w:val="auto"/>
        </w:rPr>
        <w:t>participate in annual surveys, monitoring transportation programs and initiatives at the Campus, and, without limitation, achieve a sixty (60%) percent response rate for patron surveys; (vii) cooperate with Landlord in connection with transportation programs and initiatives promulgated pursuant to the PTDM;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54610</wp:posOffset>
            </wp:positionV>
            <wp:extent cx="2418080" cy="51435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11" w:name="page512"/>
    <w:bookmarkEnd w:id="511"/>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11</w:t>
      </w:r>
    </w:p>
    <w:p>
      <w:pPr>
        <w:spacing w:after="0" w:line="162" w:lineRule="exact"/>
        <w:rPr>
          <w:sz w:val="20"/>
          <w:szCs w:val="20"/>
          <w:color w:val="auto"/>
        </w:rPr>
      </w:pPr>
    </w:p>
    <w:p>
      <w:pPr>
        <w:ind w:right="40" w:firstLine="8"/>
        <w:spacing w:after="0" w:line="270" w:lineRule="auto"/>
        <w:tabs>
          <w:tab w:leader="none" w:pos="405" w:val="left"/>
        </w:tabs>
        <w:numPr>
          <w:ilvl w:val="0"/>
          <w:numId w:val="366"/>
        </w:numPr>
        <w:rPr>
          <w:rFonts w:ascii="Arial" w:cs="Arial" w:eastAsia="Arial" w:hAnsi="Arial"/>
          <w:sz w:val="17"/>
          <w:szCs w:val="17"/>
          <w:color w:val="auto"/>
        </w:rPr>
      </w:pPr>
      <w:r>
        <w:rPr>
          <w:rFonts w:ascii="Arial" w:cs="Arial" w:eastAsia="Arial" w:hAnsi="Arial"/>
          <w:sz w:val="17"/>
          <w:szCs w:val="17"/>
          <w:color w:val="auto"/>
        </w:rPr>
        <w:t>provide alternative work programs (such as telecommuting, flex-time and compressed work weeks) to its employees in order to reduce traffic impacts in Cambridge during peak commuter hours; (ix) offer an emergency ride home (“</w:t>
      </w:r>
      <w:r>
        <w:rPr>
          <w:rFonts w:ascii="Arial" w:cs="Arial" w:eastAsia="Arial" w:hAnsi="Arial"/>
          <w:sz w:val="17"/>
          <w:szCs w:val="17"/>
          <w:b w:val="1"/>
          <w:bCs w:val="1"/>
          <w:color w:val="auto"/>
        </w:rPr>
        <w:t>ERH</w:t>
      </w:r>
      <w:r>
        <w:rPr>
          <w:rFonts w:ascii="Arial" w:cs="Arial" w:eastAsia="Arial" w:hAnsi="Arial"/>
          <w:sz w:val="17"/>
          <w:szCs w:val="17"/>
          <w:color w:val="auto"/>
        </w:rPr>
        <w:t>”) through the Charles River Transportation Management Association (“</w:t>
      </w:r>
      <w:r>
        <w:rPr>
          <w:rFonts w:ascii="Arial" w:cs="Arial" w:eastAsia="Arial" w:hAnsi="Arial"/>
          <w:sz w:val="17"/>
          <w:szCs w:val="17"/>
          <w:b w:val="1"/>
          <w:bCs w:val="1"/>
          <w:color w:val="auto"/>
        </w:rPr>
        <w:t>CRTMA</w:t>
      </w:r>
      <w:r>
        <w:rPr>
          <w:rFonts w:ascii="Arial" w:cs="Arial" w:eastAsia="Arial" w:hAnsi="Arial"/>
          <w:sz w:val="17"/>
          <w:szCs w:val="17"/>
          <w:color w:val="auto"/>
        </w:rPr>
        <w:t>”), or have its own ERH program, for all employees who commute by non-SOV mode at least 3 days a week and who are eligible to park in the parking spaces in the parking facility described above; (x) cooperate with the Cambridge Office of Workforce Development to expand employment opportunities for Cambridge residents; (xi) become a member of the CRTMA and cause the EZ Ride shuttle service to service the Building; (xii) in the event that the single occupancy vehicle and traffic generation modal split limits of the PTDM are exceeded, charge each user of a parking space the market rate for parking in Kendall Square/East Cambridge therefor; (xiii) comply with the requirements of any other parking and traffic demand management plan to which Tenant may be a party from time to time; (xiii) designate an employee transportation coordinator for the Building; and (xiv) otherwise cooperate with Landlord in encouraging employees to seek alternate modes of transportation.</w:t>
      </w:r>
    </w:p>
    <w:p>
      <w:pPr>
        <w:spacing w:after="0" w:line="69" w:lineRule="exact"/>
        <w:rPr>
          <w:rFonts w:ascii="Arial" w:cs="Arial" w:eastAsia="Arial" w:hAnsi="Arial"/>
          <w:sz w:val="17"/>
          <w:szCs w:val="17"/>
          <w:color w:val="auto"/>
        </w:rPr>
      </w:pPr>
    </w:p>
    <w:p>
      <w:pPr>
        <w:ind w:right="180" w:firstLine="464"/>
        <w:spacing w:after="0" w:line="270" w:lineRule="auto"/>
        <w:tabs>
          <w:tab w:leader="none" w:pos="720" w:val="left"/>
        </w:tabs>
        <w:numPr>
          <w:ilvl w:val="1"/>
          <w:numId w:val="366"/>
        </w:numPr>
        <w:rPr>
          <w:rFonts w:ascii="Arial" w:cs="Arial" w:eastAsia="Arial" w:hAnsi="Arial"/>
          <w:sz w:val="17"/>
          <w:szCs w:val="17"/>
          <w:color w:val="auto"/>
        </w:rPr>
      </w:pPr>
      <w:r>
        <w:rPr>
          <w:rFonts w:ascii="Arial" w:cs="Arial" w:eastAsia="Arial" w:hAnsi="Arial"/>
          <w:sz w:val="17"/>
          <w:szCs w:val="17"/>
          <w:b w:val="1"/>
          <w:bCs w:val="1"/>
          <w:color w:val="auto"/>
        </w:rPr>
        <w:t>Utilities, Services</w:t>
      </w:r>
      <w:r>
        <w:rPr>
          <w:rFonts w:ascii="Arial" w:cs="Arial" w:eastAsia="Arial" w:hAnsi="Arial"/>
          <w:sz w:val="17"/>
          <w:szCs w:val="17"/>
          <w:color w:val="auto"/>
        </w:rPr>
        <w:t>. Landlord shall provide, subject to the terms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w:t>
      </w:r>
      <w:r>
        <w:rPr>
          <w:rFonts w:ascii="Arial" w:cs="Arial" w:eastAsia="Arial" w:hAnsi="Arial"/>
          <w:sz w:val="17"/>
          <w:szCs w:val="17"/>
          <w:color w:val="auto"/>
        </w:rPr>
        <w:t>, water, electricity, HVAC, light, power, sewer, and other utilities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gas and fire sprinklers to the extent the Building is plumbed for such services), refuse and trash collection and janitorial services (collectively, “</w:t>
      </w:r>
      <w:r>
        <w:rPr>
          <w:rFonts w:ascii="Arial" w:cs="Arial" w:eastAsia="Arial" w:hAnsi="Arial"/>
          <w:sz w:val="17"/>
          <w:szCs w:val="17"/>
          <w:b w:val="1"/>
          <w:bCs w:val="1"/>
          <w:color w:val="auto"/>
        </w:rPr>
        <w:t>Utilities</w:t>
      </w:r>
      <w:r>
        <w:rPr>
          <w:rFonts w:ascii="Arial" w:cs="Arial" w:eastAsia="Arial" w:hAnsi="Arial"/>
          <w:sz w:val="17"/>
          <w:szCs w:val="17"/>
          <w:color w:val="auto"/>
        </w:rPr>
        <w:t>”). Landlord shall pay, as Operating Expenses or subject to Tenant’s reimbursement obligation below, for all Utilities used on the Premises, all maintenance charges for Utilities, and any storm sewer charges or other similar charges for Utilities imposed by any Governmental Authority or Utility provider, and any taxes, penalties, surcharges or similar charges thereon. The Premises shall be separately metered at landlord’s sole cost and expense to measure Tenant’s usage of electricity for lights and plugs. Landlord may cause, at Tenant’s expense, any other Utilities to be separately metered or charged directly to Tenant by the provider. Tenant shall pay directly to the Utility provider, prior to delinquency, any separately metered Utilities and services which may be furnished to Tenant or the Premises during the Term. Tenant shall pay, as part of Operating Expenses, its share of all charges for jointly metered Utilities based upon consumption, as reasonably determined by Landlord. No interruption or failure of Utilities, from any cause whatsoever, shall result in eviction or constructive eviction of Tenant, termination of this Lease or the abatement of Rent. Tenant agrees to limit use of water and sewer to normal restroom use.</w:t>
      </w:r>
    </w:p>
    <w:p>
      <w:pPr>
        <w:spacing w:after="0" w:line="17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Notwithstanding anything to the contrary set forth herein, if (i) a stoppage of an Essential Service (as defined below) to the Premises shall occur and such stoppage is due solely to the gross negligence or willful misconduct of Landlord and not due in any part to any act or omission on the part of Tenant or any Tenant Party or any matter beyond Landlord’s reasonable control (any such stoppage of an Essential Service being hereinafter referred to as a “</w:t>
      </w:r>
      <w:r>
        <w:rPr>
          <w:rFonts w:ascii="Arial" w:cs="Arial" w:eastAsia="Arial" w:hAnsi="Arial"/>
          <w:sz w:val="16"/>
          <w:szCs w:val="16"/>
          <w:b w:val="1"/>
          <w:bCs w:val="1"/>
          <w:color w:val="auto"/>
        </w:rPr>
        <w:t>Service</w:t>
      </w:r>
      <w:r>
        <w:rPr>
          <w:rFonts w:ascii="Arial" w:cs="Arial" w:eastAsia="Arial" w:hAnsi="Arial"/>
          <w:sz w:val="16"/>
          <w:szCs w:val="16"/>
          <w:color w:val="auto"/>
        </w:rPr>
        <w:t xml:space="preserve"> </w:t>
      </w:r>
      <w:r>
        <w:rPr>
          <w:rFonts w:ascii="Arial" w:cs="Arial" w:eastAsia="Arial" w:hAnsi="Arial"/>
          <w:sz w:val="16"/>
          <w:szCs w:val="16"/>
          <w:b w:val="1"/>
          <w:bCs w:val="1"/>
          <w:color w:val="auto"/>
        </w:rPr>
        <w:t>Interruption</w:t>
      </w:r>
      <w:r>
        <w:rPr>
          <w:rFonts w:ascii="Arial" w:cs="Arial" w:eastAsia="Arial" w:hAnsi="Arial"/>
          <w:sz w:val="16"/>
          <w:szCs w:val="16"/>
          <w:color w:val="auto"/>
        </w:rPr>
        <w:t>”), and (ii) such Service Interruption continues for more than 5 consecutive business days after Landlord shall have received written notice</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from Tenant, and (iii) as a result of such Service Interruption, the conduct of Tenant’s normal operations in the Premises are materially and adversely affected, then there shall be an abatement of one day’s Base Rent for each day during which such Service Interruption continues after such 5 business day period; provided, however, that if any part of the Premises is reasonably useable for Tenant’s normal business operations or if Tenant conducts all or any part of its operations in any portion of the Premises notwithstanding such Service Interruption, then the amount of each daily abatement of Base Rent shall only be proportionate to the nature and extent of the interruption of Tenant’s normal operations or ability to use the Premises. The rights granted to Tenant under this paragraph shall be Tenant’s sole and exclusive remedy resulting from a failure of Landlord to provide services, and Landlord shall not otherwise be liable for any loss or damage suffered or sustained by Tenant resulting from any failure or cessation of services. For purposes hereof, the term “</w:t>
      </w:r>
      <w:r>
        <w:rPr>
          <w:rFonts w:ascii="Arial" w:cs="Arial" w:eastAsia="Arial" w:hAnsi="Arial"/>
          <w:sz w:val="16"/>
          <w:szCs w:val="16"/>
          <w:b w:val="1"/>
          <w:bCs w:val="1"/>
          <w:color w:val="auto"/>
        </w:rPr>
        <w:t>Essential Services</w:t>
      </w:r>
      <w:r>
        <w:rPr>
          <w:rFonts w:ascii="Arial" w:cs="Arial" w:eastAsia="Arial" w:hAnsi="Arial"/>
          <w:sz w:val="16"/>
          <w:szCs w:val="16"/>
          <w:color w:val="auto"/>
        </w:rPr>
        <w:t>” shall mean the following services: HVAC service, water, sewer and electricity, but in each case only to the extent that Landlord has an obligation to provide same to Tenant under this Lease. The provisions of this paragraph shall only apply as long as the original Tenant is the tenant occupying the Premises under this Lease and shall not apply to any assignee or sublessee.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75565</wp:posOffset>
            </wp:positionV>
            <wp:extent cx="2418080" cy="51435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12" w:name="page513"/>
    <w:bookmarkEnd w:id="512"/>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12</w:t>
      </w:r>
    </w:p>
    <w:p>
      <w:pPr>
        <w:spacing w:after="0" w:line="158" w:lineRule="exact"/>
        <w:rPr>
          <w:sz w:val="20"/>
          <w:szCs w:val="20"/>
          <w:color w:val="auto"/>
        </w:rPr>
      </w:pPr>
    </w:p>
    <w:p>
      <w:pPr>
        <w:ind w:right="20" w:firstLine="464"/>
        <w:spacing w:after="0" w:line="285" w:lineRule="auto"/>
        <w:tabs>
          <w:tab w:leader="none" w:pos="726" w:val="left"/>
        </w:tabs>
        <w:numPr>
          <w:ilvl w:val="0"/>
          <w:numId w:val="367"/>
        </w:numPr>
        <w:rPr>
          <w:rFonts w:ascii="Arial" w:cs="Arial" w:eastAsia="Arial" w:hAnsi="Arial"/>
          <w:sz w:val="16"/>
          <w:szCs w:val="16"/>
          <w:color w:val="auto"/>
        </w:rPr>
      </w:pPr>
      <w:r>
        <w:rPr>
          <w:rFonts w:ascii="Arial" w:cs="Arial" w:eastAsia="Arial" w:hAnsi="Arial"/>
          <w:sz w:val="16"/>
          <w:szCs w:val="16"/>
          <w:b w:val="1"/>
          <w:bCs w:val="1"/>
          <w:color w:val="auto"/>
        </w:rPr>
        <w:t>Alterations and Tenant’s Property</w:t>
      </w:r>
      <w:r>
        <w:rPr>
          <w:rFonts w:ascii="Arial" w:cs="Arial" w:eastAsia="Arial" w:hAnsi="Arial"/>
          <w:sz w:val="16"/>
          <w:szCs w:val="16"/>
          <w:color w:val="auto"/>
        </w:rPr>
        <w:t>. Any alterations, additions, or improvements made to the Premises by or on behalf of Tenant,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than by ordinary plugs or jacks) to Building Systems (as defined in </w:t>
      </w:r>
      <w:r>
        <w:rPr>
          <w:rFonts w:ascii="Arial" w:cs="Arial" w:eastAsia="Arial" w:hAnsi="Arial"/>
          <w:sz w:val="16"/>
          <w:szCs w:val="16"/>
          <w:u w:val="single" w:color="auto"/>
          <w:color w:val="auto"/>
        </w:rPr>
        <w:t>Section 13</w:t>
      </w:r>
      <w:r>
        <w:rPr>
          <w:rFonts w:ascii="Arial" w:cs="Arial" w:eastAsia="Arial" w:hAnsi="Arial"/>
          <w:sz w:val="16"/>
          <w:szCs w:val="16"/>
          <w:color w:val="auto"/>
        </w:rPr>
        <w:t>) (“</w:t>
      </w:r>
      <w:r>
        <w:rPr>
          <w:rFonts w:ascii="Arial" w:cs="Arial" w:eastAsia="Arial" w:hAnsi="Arial"/>
          <w:sz w:val="16"/>
          <w:szCs w:val="16"/>
          <w:b w:val="1"/>
          <w:bCs w:val="1"/>
          <w:color w:val="auto"/>
        </w:rPr>
        <w:t>Alterations</w:t>
      </w:r>
      <w:r>
        <w:rPr>
          <w:rFonts w:ascii="Arial" w:cs="Arial" w:eastAsia="Arial" w:hAnsi="Arial"/>
          <w:sz w:val="16"/>
          <w:szCs w:val="16"/>
          <w:color w:val="auto"/>
        </w:rPr>
        <w:t>”) shall be subject to Landlord’s prior written consent, which may be given or withheld in Landlord’s sole discretion if any such Alteration affects the structure or Building Systems, but which shall otherwise not be unreasonably withheld or delayed. Tenant may construct cosmetic, nonstructural Alterations in the Premises without Landlord’s prior approval if the aggregate cost of all such work in any 12 month period does not exceed $30,000 (a “</w:t>
      </w:r>
      <w:r>
        <w:rPr>
          <w:rFonts w:ascii="Arial" w:cs="Arial" w:eastAsia="Arial" w:hAnsi="Arial"/>
          <w:sz w:val="16"/>
          <w:szCs w:val="16"/>
          <w:b w:val="1"/>
          <w:bCs w:val="1"/>
          <w:color w:val="auto"/>
        </w:rPr>
        <w:t>Notice-Only Alteration</w:t>
      </w:r>
      <w:r>
        <w:rPr>
          <w:rFonts w:ascii="Arial" w:cs="Arial" w:eastAsia="Arial" w:hAnsi="Arial"/>
          <w:sz w:val="16"/>
          <w:szCs w:val="16"/>
          <w:color w:val="auto"/>
        </w:rPr>
        <w:t>”), provided Tenant notifies Landlord in writing of such intended Notice-Only Alteration, and such notice shall be accompanied by plans, specifications, work contracts and such other information concerning the nature and cost of the Notice-Only Alteration as may be reasonably requested by Landlord, which notice and accompanying materials shall be delivered to Landlord not less than 15 business days in advance of any proposed construction. If Landlord approves any Alterations, Landlord may impose such conditions on Tenant in connection with the commencement, performance and completion of such Alterations as Landlord may deem appropriate in Landlord’s reasonable discretion. Any request for approval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Tenant shall pay to Landlord, as Additional Rent, within 30 days of Landlord’s written demand an amount equal to Landlord’s reasonable out-of-pocket expenses incurred for third party plan review, coordination, scheduling and supervision incurred in connection with any Alteration.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spacing w:after="0" w:line="386"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Tenant shall furnish security or make other arrangements satisfactory to Landlord to assure payment for the completion of all Alterations work free and clear of liens, and shall provide (and cause each contractor or subcontractor to provide) certificates of insurance for workers’ compensation and other coverage in amounts and from an insurance company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Other than (i) the items, if any, listed on </w:t>
      </w:r>
      <w:r>
        <w:rPr>
          <w:rFonts w:ascii="Arial" w:cs="Arial" w:eastAsia="Arial" w:hAnsi="Arial"/>
          <w:sz w:val="17"/>
          <w:szCs w:val="17"/>
          <w:b w:val="1"/>
          <w:bCs w:val="1"/>
          <w:color w:val="auto"/>
        </w:rPr>
        <w:t>Exhibit F</w:t>
      </w:r>
      <w:r>
        <w:rPr>
          <w:rFonts w:ascii="Arial" w:cs="Arial" w:eastAsia="Arial" w:hAnsi="Arial"/>
          <w:sz w:val="17"/>
          <w:szCs w:val="17"/>
          <w:color w:val="auto"/>
        </w:rPr>
        <w:t xml:space="preserve"> attached hereto, (ii) any items agreed by Landlord in writing to be included on </w:t>
      </w:r>
      <w:r>
        <w:rPr>
          <w:rFonts w:ascii="Arial" w:cs="Arial" w:eastAsia="Arial" w:hAnsi="Arial"/>
          <w:sz w:val="17"/>
          <w:szCs w:val="17"/>
          <w:b w:val="1"/>
          <w:bCs w:val="1"/>
          <w:color w:val="auto"/>
        </w:rPr>
        <w:t>Exhibit F</w:t>
      </w:r>
      <w:r>
        <w:rPr>
          <w:rFonts w:ascii="Arial" w:cs="Arial" w:eastAsia="Arial" w:hAnsi="Arial"/>
          <w:sz w:val="17"/>
          <w:szCs w:val="17"/>
          <w:color w:val="auto"/>
        </w:rPr>
        <w:t xml:space="preserve"> in the future, and (iii) any trade fixtures, machinery, equipment and other personal property not paid for by Landlord which may be removed without material damage to the Premises, which damage shall be repaired (including capping or terminating utility hook-ups behind walls) by Tenant during the Term (collectively, “</w:t>
      </w:r>
      <w:r>
        <w:rPr>
          <w:rFonts w:ascii="Arial" w:cs="Arial" w:eastAsia="Arial" w:hAnsi="Arial"/>
          <w:sz w:val="17"/>
          <w:szCs w:val="17"/>
          <w:b w:val="1"/>
          <w:bCs w:val="1"/>
          <w:color w:val="auto"/>
        </w:rPr>
        <w:t>Tenant’s Property</w:t>
      </w:r>
      <w:r>
        <w:rPr>
          <w:rFonts w:ascii="Arial" w:cs="Arial" w:eastAsia="Arial" w:hAnsi="Arial"/>
          <w:sz w:val="17"/>
          <w:szCs w:val="17"/>
          <w:color w:val="auto"/>
        </w:rPr>
        <w:t>”), all property of any kind paid for by Landlord, all Alterations, real property fixtures, built-in machinery and equipment, built-in casework and cabinets and other similar additions and improvements built into the Premises so as to become an integral part of the Premises (collectively, “</w:t>
      </w:r>
      <w:r>
        <w:rPr>
          <w:rFonts w:ascii="Arial" w:cs="Arial" w:eastAsia="Arial" w:hAnsi="Arial"/>
          <w:sz w:val="17"/>
          <w:szCs w:val="17"/>
          <w:b w:val="1"/>
          <w:bCs w:val="1"/>
          <w:color w:val="auto"/>
        </w:rPr>
        <w:t>Installations</w:t>
      </w:r>
      <w:r>
        <w:rPr>
          <w:rFonts w:ascii="Arial" w:cs="Arial" w:eastAsia="Arial" w:hAnsi="Arial"/>
          <w:sz w:val="17"/>
          <w:szCs w:val="17"/>
          <w:color w:val="auto"/>
        </w:rPr>
        <w:t xml:space="preserve">”) shall be and shall remain the property of Landlord during the Term and following the expiration or earlier termination of the Term, shall not be removed by Tenant at any time during the Term and shall remain upon and be surrendered with the Premises as a part thereof in accordance with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following the expiration or earlier termination of this Lease;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Landlord shall, at the time its approval of such Installation is requested, or at the time it receives notice of a Notice-Only Alteration, notify Tenant if it has elected to cause Tenant to remove such Installation upon the expiration or earlier termination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81915</wp:posOffset>
            </wp:positionV>
            <wp:extent cx="2418080" cy="51435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13" w:name="page514"/>
    <w:bookmarkEnd w:id="513"/>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13</w:t>
      </w:r>
    </w:p>
    <w:p>
      <w:pPr>
        <w:spacing w:after="0" w:line="16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Lease. If Landlord so elects, Tenant shall remove such Installation upon the expiration or earlier termination of this Lease and restore any damage caused by or occasioned as a result of such removal, including, when removing any of Tenant’s Property which was plumbed, wired or otherwise connected to any of the Building Systems, capping off all such connections behind the walls of the Premises and repairing any holes. During any such restoration period beyond the expiration or earlier termination of the Term, Tenant shall pay Rent to Landlord as provided herein as if said space were otherwise occupied by Tenant.</w:t>
      </w:r>
    </w:p>
    <w:p>
      <w:pPr>
        <w:spacing w:after="0" w:line="42" w:lineRule="exact"/>
        <w:rPr>
          <w:sz w:val="20"/>
          <w:szCs w:val="20"/>
          <w:color w:val="auto"/>
        </w:rPr>
      </w:pPr>
    </w:p>
    <w:p>
      <w:pPr>
        <w:ind w:right="80" w:firstLine="464"/>
        <w:spacing w:after="0" w:line="286" w:lineRule="auto"/>
        <w:tabs>
          <w:tab w:leader="none" w:pos="726" w:val="left"/>
        </w:tabs>
        <w:numPr>
          <w:ilvl w:val="0"/>
          <w:numId w:val="368"/>
        </w:numPr>
        <w:rPr>
          <w:rFonts w:ascii="Arial" w:cs="Arial" w:eastAsia="Arial" w:hAnsi="Arial"/>
          <w:sz w:val="16"/>
          <w:szCs w:val="16"/>
          <w:color w:val="auto"/>
        </w:rPr>
      </w:pPr>
      <w:r>
        <w:rPr>
          <w:rFonts w:ascii="Arial" w:cs="Arial" w:eastAsia="Arial" w:hAnsi="Arial"/>
          <w:sz w:val="16"/>
          <w:szCs w:val="16"/>
          <w:b w:val="1"/>
          <w:bCs w:val="1"/>
          <w:color w:val="auto"/>
        </w:rPr>
        <w:t>Landlord’s Repairs</w:t>
      </w:r>
      <w:r>
        <w:rPr>
          <w:rFonts w:ascii="Arial" w:cs="Arial" w:eastAsia="Arial" w:hAnsi="Arial"/>
          <w:sz w:val="16"/>
          <w:szCs w:val="16"/>
          <w:color w:val="auto"/>
        </w:rPr>
        <w:t>. Landlord, as an Operating Expense, shall maintain all of the structural, exterior, parking and other Common Areas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Building and Property, including HVAC, plumbing, fire sprinklers, elevators and all other building systems serving the Premises and other portions of the Building (“</w:t>
      </w:r>
      <w:r>
        <w:rPr>
          <w:rFonts w:ascii="Arial" w:cs="Arial" w:eastAsia="Arial" w:hAnsi="Arial"/>
          <w:sz w:val="16"/>
          <w:szCs w:val="16"/>
          <w:b w:val="1"/>
          <w:bCs w:val="1"/>
          <w:color w:val="auto"/>
        </w:rPr>
        <w:t>Building Systems</w:t>
      </w:r>
      <w:r>
        <w:rPr>
          <w:rFonts w:ascii="Arial" w:cs="Arial" w:eastAsia="Arial" w:hAnsi="Arial"/>
          <w:sz w:val="16"/>
          <w:szCs w:val="16"/>
          <w:color w:val="auto"/>
        </w:rPr>
        <w:t>”), in good repair, reasonable wear and tear and uninsured losses and damages caused by Tenant, or by any of Tenant’s agents, servants, employees, invitees and contractors (collectively, “</w:t>
      </w:r>
      <w:r>
        <w:rPr>
          <w:rFonts w:ascii="Arial" w:cs="Arial" w:eastAsia="Arial" w:hAnsi="Arial"/>
          <w:sz w:val="16"/>
          <w:szCs w:val="16"/>
          <w:b w:val="1"/>
          <w:bCs w:val="1"/>
          <w:color w:val="auto"/>
        </w:rPr>
        <w:t>Tenant Parties</w:t>
      </w:r>
      <w:r>
        <w:rPr>
          <w:rFonts w:ascii="Arial" w:cs="Arial" w:eastAsia="Arial" w:hAnsi="Arial"/>
          <w:sz w:val="16"/>
          <w:szCs w:val="16"/>
          <w:color w:val="auto"/>
        </w:rPr>
        <w:t xml:space="preserve">”) excluded. Losses and damages caused by Tenant or any Tenant Party shall be repaired by Landlord, to the extent not covered by insurance, at Tenant’s sole cost and expense. Landlord reserves the right to stop Building Systems services when necessary (i) by reason of accident or emergency, or (ii) for planned repairs, alterations or improvements, which are, in the judgment of Landlord, desirable or necessary to be made, until said repairs, alterations or improvements shall have been completed. Landlord shall have no responsibility or liability for failure to supply Building Systems services during any such period of interruption;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Landlord shall, except in case of emergency, make a commercially reasonable effort to give Tenant 48 hours advance notice of any planned stoppage of Building Systems services for routine maintenance, repairs, alterations or improvements. Tenant shall promptly give Landlord written notice of any repair required by Landlord pursuant to this Section, after which Landlord shall have a reasonable opportunity to effect such repair within a reasonable time period. Landlord shall use reasonable efforts to minimize interference with Tenant’s operations in the Premises during such planned stoppages of Building Systems. Landlord shall not be liable for any failure to make any repairs or to perform any maintenance unless such failure shall persist for an unreasonable time after Tenant’s written notice of the need for such repairs or maintenance.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Arial" w:cs="Arial" w:eastAsia="Arial" w:hAnsi="Arial"/>
          <w:sz w:val="16"/>
          <w:szCs w:val="16"/>
          <w:u w:val="single" w:color="auto"/>
          <w:color w:val="auto"/>
        </w:rPr>
        <w:t>Section 18</w:t>
      </w:r>
      <w:r>
        <w:rPr>
          <w:rFonts w:ascii="Arial" w:cs="Arial" w:eastAsia="Arial" w:hAnsi="Arial"/>
          <w:sz w:val="16"/>
          <w:szCs w:val="16"/>
          <w:color w:val="auto"/>
        </w:rPr>
        <w:t>.</w:t>
      </w:r>
    </w:p>
    <w:p>
      <w:pPr>
        <w:spacing w:after="0" w:line="57" w:lineRule="exact"/>
        <w:rPr>
          <w:rFonts w:ascii="Arial" w:cs="Arial" w:eastAsia="Arial" w:hAnsi="Arial"/>
          <w:sz w:val="16"/>
          <w:szCs w:val="16"/>
          <w:color w:val="auto"/>
        </w:rPr>
      </w:pPr>
    </w:p>
    <w:p>
      <w:pPr>
        <w:ind w:firstLine="464"/>
        <w:spacing w:after="0" w:line="291" w:lineRule="auto"/>
        <w:tabs>
          <w:tab w:leader="none" w:pos="726" w:val="left"/>
        </w:tabs>
        <w:numPr>
          <w:ilvl w:val="0"/>
          <w:numId w:val="368"/>
        </w:numPr>
        <w:rPr>
          <w:rFonts w:ascii="Arial" w:cs="Arial" w:eastAsia="Arial" w:hAnsi="Arial"/>
          <w:sz w:val="16"/>
          <w:szCs w:val="16"/>
          <w:color w:val="auto"/>
        </w:rPr>
      </w:pPr>
      <w:r>
        <w:rPr>
          <w:rFonts w:ascii="Arial" w:cs="Arial" w:eastAsia="Arial" w:hAnsi="Arial"/>
          <w:sz w:val="16"/>
          <w:szCs w:val="16"/>
          <w:b w:val="1"/>
          <w:bCs w:val="1"/>
          <w:color w:val="auto"/>
        </w:rPr>
        <w:t>Tenant’s Repairs</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13</w:t>
      </w:r>
      <w:r>
        <w:rPr>
          <w:rFonts w:ascii="Arial" w:cs="Arial" w:eastAsia="Arial" w:hAnsi="Arial"/>
          <w:sz w:val="16"/>
          <w:szCs w:val="16"/>
          <w:b w:val="1"/>
          <w:bCs w:val="1"/>
          <w:color w:val="auto"/>
        </w:rPr>
        <w:t xml:space="preserve"> </w:t>
      </w:r>
      <w:r>
        <w:rPr>
          <w:rFonts w:ascii="Arial" w:cs="Arial" w:eastAsia="Arial" w:hAnsi="Arial"/>
          <w:sz w:val="16"/>
          <w:szCs w:val="16"/>
          <w:color w:val="auto"/>
        </w:rPr>
        <w:t>hereof, Tenant, at its expense, shall repair, replace and maintain in good condition all non-structural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portions of the Premises, including, without limitation, entries, doors, ceilings, interior windows, interior walls, and the interior side of demising walls, reasonable wear and tear and damage by casualty excepted. Should Tenant fail to make any such repair or replacement or fail to maintain the Premises, Landlord shall give Tenant notice of such failure. If Tenant fails to commence cure of such failure within 30 days of Landlord’s notice, and thereafter diligently prosecute such cure to completion, Landlord may perform such work and shall be reimbursed by Tenant within 10 days after demand therefor; provided, however, that if such failure by Tenant creates or could reasonably be expected to create an emergency, Landlord may immediately commence cure of such failure and shall thereafter be entitled to recover the costs of such cure from Tenant. Subject to </w:t>
      </w:r>
      <w:r>
        <w:rPr>
          <w:rFonts w:ascii="Arial" w:cs="Arial" w:eastAsia="Arial" w:hAnsi="Arial"/>
          <w:sz w:val="16"/>
          <w:szCs w:val="16"/>
          <w:u w:val="single" w:color="auto"/>
          <w:color w:val="auto"/>
        </w:rPr>
        <w:t>Sections 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18</w:t>
      </w:r>
      <w:r>
        <w:rPr>
          <w:rFonts w:ascii="Arial" w:cs="Arial" w:eastAsia="Arial" w:hAnsi="Arial"/>
          <w:sz w:val="16"/>
          <w:szCs w:val="16"/>
          <w:color w:val="auto"/>
        </w:rPr>
        <w:t>, Tenant shall bear the full uninsured cost of any repair or replacement to any part of the Project that results from damage caused by Tenant or any Tenant Party.</w:t>
      </w:r>
    </w:p>
    <w:p>
      <w:pPr>
        <w:spacing w:after="0" w:line="52" w:lineRule="exact"/>
        <w:rPr>
          <w:rFonts w:ascii="Arial" w:cs="Arial" w:eastAsia="Arial" w:hAnsi="Arial"/>
          <w:sz w:val="16"/>
          <w:szCs w:val="16"/>
          <w:color w:val="auto"/>
        </w:rPr>
      </w:pPr>
    </w:p>
    <w:p>
      <w:pPr>
        <w:ind w:right="40" w:firstLine="464"/>
        <w:spacing w:after="0" w:line="295" w:lineRule="auto"/>
        <w:tabs>
          <w:tab w:leader="none" w:pos="726" w:val="left"/>
        </w:tabs>
        <w:numPr>
          <w:ilvl w:val="0"/>
          <w:numId w:val="368"/>
        </w:numPr>
        <w:rPr>
          <w:rFonts w:ascii="Arial" w:cs="Arial" w:eastAsia="Arial" w:hAnsi="Arial"/>
          <w:sz w:val="16"/>
          <w:szCs w:val="16"/>
          <w:color w:val="auto"/>
        </w:rPr>
      </w:pPr>
      <w:r>
        <w:rPr>
          <w:rFonts w:ascii="Arial" w:cs="Arial" w:eastAsia="Arial" w:hAnsi="Arial"/>
          <w:sz w:val="16"/>
          <w:szCs w:val="16"/>
          <w:b w:val="1"/>
          <w:bCs w:val="1"/>
          <w:color w:val="auto"/>
        </w:rPr>
        <w:t>Mechanic’s Liens</w:t>
      </w:r>
      <w:r>
        <w:rPr>
          <w:rFonts w:ascii="Arial" w:cs="Arial" w:eastAsia="Arial" w:hAnsi="Arial"/>
          <w:sz w:val="16"/>
          <w:szCs w:val="16"/>
          <w:color w:val="auto"/>
        </w:rPr>
        <w:t>. Tenant shall discharge, by bond or otherwise, any mechanic’s lien filed against the Premises or against the Building, Property or</w:t>
      </w:r>
      <w:r>
        <w:rPr>
          <w:rFonts w:ascii="Arial" w:cs="Arial" w:eastAsia="Arial" w:hAnsi="Arial"/>
          <w:sz w:val="16"/>
          <w:szCs w:val="16"/>
          <w:b w:val="1"/>
          <w:bCs w:val="1"/>
          <w:color w:val="auto"/>
        </w:rPr>
        <w:t xml:space="preserve"> </w:t>
      </w:r>
      <w:r>
        <w:rPr>
          <w:rFonts w:ascii="Arial" w:cs="Arial" w:eastAsia="Arial" w:hAnsi="Arial"/>
          <w:sz w:val="16"/>
          <w:szCs w:val="16"/>
          <w:color w:val="auto"/>
        </w:rPr>
        <w:t>Project for work claimed to have been done for, or materials claimed to have been furnished to, Tenant within 15 days after Tenant receives written notice of the filing thereof, at Tenant’s sole cost and shall otherwise keep the Premises and the Building, Property and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Building, Property or Project and the cost thereof shall be immediately due from Tenant as Additional Rent. If Tenant shall lease or finance the acquisition of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67310</wp:posOffset>
            </wp:positionV>
            <wp:extent cx="2418080" cy="51435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14" w:name="page515"/>
    <w:bookmarkEnd w:id="514"/>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14</w:t>
      </w:r>
    </w:p>
    <w:p>
      <w:pPr>
        <w:spacing w:after="0" w:line="1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Building or Project be furnished on the statement without qualifying language as to applicability of the lien only to removable personal property, located in an identified suite held by Tenant.</w:t>
      </w:r>
    </w:p>
    <w:p>
      <w:pPr>
        <w:spacing w:after="0" w:line="76" w:lineRule="exact"/>
        <w:rPr>
          <w:sz w:val="20"/>
          <w:szCs w:val="20"/>
          <w:color w:val="auto"/>
        </w:rPr>
      </w:pPr>
    </w:p>
    <w:p>
      <w:pPr>
        <w:ind w:right="20" w:firstLine="464"/>
        <w:spacing w:after="0" w:line="289" w:lineRule="auto"/>
        <w:tabs>
          <w:tab w:leader="none" w:pos="726" w:val="left"/>
        </w:tabs>
        <w:numPr>
          <w:ilvl w:val="0"/>
          <w:numId w:val="369"/>
        </w:numPr>
        <w:rPr>
          <w:rFonts w:ascii="Arial" w:cs="Arial" w:eastAsia="Arial" w:hAnsi="Arial"/>
          <w:sz w:val="16"/>
          <w:szCs w:val="16"/>
          <w:color w:val="auto"/>
        </w:rPr>
      </w:pPr>
      <w:r>
        <w:rPr>
          <w:rFonts w:ascii="Arial" w:cs="Arial" w:eastAsia="Arial" w:hAnsi="Arial"/>
          <w:sz w:val="16"/>
          <w:szCs w:val="16"/>
          <w:b w:val="1"/>
          <w:bCs w:val="1"/>
          <w:color w:val="auto"/>
        </w:rPr>
        <w:t>Indemnification</w:t>
      </w:r>
      <w:r>
        <w:rPr>
          <w:rFonts w:ascii="Arial" w:cs="Arial" w:eastAsia="Arial" w:hAnsi="Arial"/>
          <w:sz w:val="16"/>
          <w:szCs w:val="16"/>
          <w:color w:val="auto"/>
        </w:rPr>
        <w:t>. Subject to the penultimate paragraph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17</w:t>
      </w:r>
      <w:r>
        <w:rPr>
          <w:rFonts w:ascii="Arial" w:cs="Arial" w:eastAsia="Arial" w:hAnsi="Arial"/>
          <w:sz w:val="16"/>
          <w:szCs w:val="16"/>
          <w:color w:val="auto"/>
        </w:rPr>
        <w:t>, Tenant hereby indemnifies and agrees to defend, save and hold Landlord, its</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directors, employees, managers, agents, sub-agents, constituent entities and lease signators (collectively, “</w:t>
      </w:r>
      <w:r>
        <w:rPr>
          <w:rFonts w:ascii="Arial" w:cs="Arial" w:eastAsia="Arial" w:hAnsi="Arial"/>
          <w:sz w:val="16"/>
          <w:szCs w:val="16"/>
          <w:b w:val="1"/>
          <w:bCs w:val="1"/>
          <w:color w:val="auto"/>
        </w:rPr>
        <w:t>Landlord Indemnified Parties</w:t>
      </w:r>
      <w:r>
        <w:rPr>
          <w:rFonts w:ascii="Arial" w:cs="Arial" w:eastAsia="Arial" w:hAnsi="Arial"/>
          <w:sz w:val="16"/>
          <w:szCs w:val="16"/>
          <w:color w:val="auto"/>
        </w:rPr>
        <w:t xml:space="preserve">”) and Holders of Mortgages (each as defined in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below) as to which Tenant has been given notice harmless from and against any and all Claims for injury or death to persons or damage to property occurring within or about the Premises, arising directly or indirectly out use or occupancy of the Premises by Tenant or any Tenant Party (including, without limitation, any act, omission or neglect by Tenant or any Tenant Parties in or about the Premises) or a breach or default by Tenant in the performance of any of its obligations hereunder, except to the extent caused by the willful misconduct or negligence of Landlord Indemnified Parties. Landlord Indemnified Parties shall not be liable to Tenant for, and Tenant assumes all risk of damage to, personal property (including, without limitation, loss of records kept within the Premises). Tenant further hereby irrevocably waives any and all Claims for injury to Tenant’s business or loss of income relating to any such damage or destruction of personal property (including, without limitation, any loss of records). Landlord Indemnified Parties shall not be liable for any damages arising from any act, omission or neglect of any tenant in the Project or of any other third party.</w:t>
      </w:r>
    </w:p>
    <w:p>
      <w:pPr>
        <w:spacing w:after="0" w:line="53" w:lineRule="exact"/>
        <w:rPr>
          <w:rFonts w:ascii="Arial" w:cs="Arial" w:eastAsia="Arial" w:hAnsi="Arial"/>
          <w:sz w:val="16"/>
          <w:szCs w:val="16"/>
          <w:color w:val="auto"/>
        </w:rPr>
      </w:pPr>
    </w:p>
    <w:p>
      <w:pPr>
        <w:ind w:right="80" w:firstLine="464"/>
        <w:spacing w:after="0" w:line="271" w:lineRule="auto"/>
        <w:tabs>
          <w:tab w:leader="none" w:pos="726" w:val="left"/>
        </w:tabs>
        <w:numPr>
          <w:ilvl w:val="0"/>
          <w:numId w:val="369"/>
        </w:numPr>
        <w:rPr>
          <w:rFonts w:ascii="Arial" w:cs="Arial" w:eastAsia="Arial" w:hAnsi="Arial"/>
          <w:sz w:val="17"/>
          <w:szCs w:val="17"/>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Landlord shall maintain all risk property and, if applicable, sprinkler damage insurance covering the full replacement cost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Building.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Building and Property may be included in a blanket policy (in which case the cost of such insurance allocable to the Building and Property will be determined by Landlord based upon the insurer’s cost calculations</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such limits as required by law; and commercial general liability insurance, with a minimum limit of not less than $2,000,000 per occurrence for bodily injury and property damage with respect to the Premises. The commercial general liability insurance policy shall name Alexandria Real Estate Equities, Inc., and Landlord, its officers, directors, employees, managers, agents, sub-agents, constituent entities and lease signators (collectively, “</w:t>
      </w:r>
      <w:r>
        <w:rPr>
          <w:rFonts w:ascii="Arial" w:cs="Arial" w:eastAsia="Arial" w:hAnsi="Arial"/>
          <w:sz w:val="17"/>
          <w:szCs w:val="17"/>
          <w:b w:val="1"/>
          <w:bCs w:val="1"/>
          <w:color w:val="auto"/>
        </w:rPr>
        <w:t>Landlord Insured Parties</w:t>
      </w:r>
      <w:r>
        <w:rPr>
          <w:rFonts w:ascii="Arial" w:cs="Arial" w:eastAsia="Arial" w:hAnsi="Arial"/>
          <w:sz w:val="17"/>
          <w:szCs w:val="17"/>
          <w:color w:val="auto"/>
        </w:rPr>
        <w:t>”), as additional insureds; insure on an occurrence and not a claims-made basis; be issued by insurance companies which have a rating of not less than policyholder rating of A and financial category rating of at least Class X in “Best’s Insurance Guide”; shall not be cancelable for nonpayment of premium unless 30 days prior written notice shall have been given to Landlord from the insurer; not contain a hostile fire exclusion; contain a contractual liability endorsement; and provide primary coverage to Landlord Insured Parties (any policy issued to Landlord Insured Parties providing duplicate or similar coverage shall be deemed excess over Tenant’s policies, regardless of limits). Copies of such policies (if requested by Landlord), or certificates of insurance showing the limits of coverage required hereunder and showing Landlord as an additional insured, along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80645</wp:posOffset>
            </wp:positionV>
            <wp:extent cx="2418080" cy="51435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15" w:name="page516"/>
    <w:bookmarkEnd w:id="515"/>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15</w:t>
      </w:r>
    </w:p>
    <w:p>
      <w:pPr>
        <w:spacing w:after="0" w:line="16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with reasonable evidence of the payment of premiums for the applicable period, shall be delivered to Landlord by Tenant upon commencement of the Term and upon each renewal of said insurance. Tenant’s policy may be a “blanket policy” with an aggregate per location endorsement which specifically provides that the amount of insurance shall not be prejudiced by other losses covered by the policy. Tenant shall, at least 5 days prior to the expiration of such policies, furnish Landlord with renewal certificates.</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Building, Property or Project or any portion thereof and any servicer in connection therewith, (ii) the landlord under any lease wherein Landlord is tenant of the real property on which the Building, Property or Project is located, if the interest of Landlord is or shall become that of a tenant under a ground or other underlying lease rather than that of a fee owner, and/or (iii) any management company retained by Landlord to manage the Project.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property insurance obtained by Landlord and Tenant shall include a waiver of subrogation by the insurers and all rights based upon an assignment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from its insured, against Landlord or Tenant, and their respective officers, directors, employees, managers, agents, invitees and contractors (“</w:t>
      </w:r>
      <w:r>
        <w:rPr>
          <w:rFonts w:ascii="Arial" w:cs="Arial" w:eastAsia="Arial" w:hAnsi="Arial"/>
          <w:sz w:val="17"/>
          <w:szCs w:val="17"/>
          <w:b w:val="1"/>
          <w:bCs w:val="1"/>
          <w:color w:val="auto"/>
        </w:rPr>
        <w:t>Related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Parties</w:t>
      </w:r>
      <w:r>
        <w:rPr>
          <w:rFonts w:ascii="Arial" w:cs="Arial" w:eastAsia="Arial" w:hAnsi="Arial"/>
          <w:sz w:val="16"/>
          <w:szCs w:val="16"/>
          <w:color w:val="auto"/>
        </w:rPr>
        <w:t>”), in connection with any loss or damage thereby insured against. Neither party nor its respective Related Parties shall be liable to the other for loss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damage caused by any risk insured against under property insurance required to be maintained hereunder, and each party waives any claims against the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party, and its respective Related Parties, for such loss or damage. The failure of a party to insure its property shall not void this waiver. Landlord and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 Related Parties shall not be liable for, and Tenant hereby waives all claims against such parties for, business interruption and losses occasioned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thereby sustained by Tenant or any person claiming through Tenant resulting from any accident or occurrence in or upon the Premises, Building, Property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Project from any cause whatsoever. If the foregoing waivers shall contravene any law with respect to exculpatory agreements, the liability of Landlord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Tenant shall be deemed not released but shall be secondary to the other’s insurer.</w:t>
      </w:r>
    </w:p>
    <w:p>
      <w:pPr>
        <w:spacing w:after="0" w:line="21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Landlord may require insurance policy limits to be raised to conform with requirements of Landlord’s lender and/or to bring coverage limits to levels then being generally required of new tenants within the Project.</w:t>
      </w:r>
    </w:p>
    <w:p>
      <w:pPr>
        <w:spacing w:after="0" w:line="58" w:lineRule="exact"/>
        <w:rPr>
          <w:sz w:val="20"/>
          <w:szCs w:val="20"/>
          <w:color w:val="auto"/>
        </w:rPr>
      </w:pPr>
    </w:p>
    <w:p>
      <w:pPr>
        <w:ind w:right="20" w:firstLine="464"/>
        <w:spacing w:after="0" w:line="289" w:lineRule="auto"/>
        <w:tabs>
          <w:tab w:leader="none" w:pos="726" w:val="left"/>
        </w:tabs>
        <w:numPr>
          <w:ilvl w:val="0"/>
          <w:numId w:val="370"/>
        </w:numPr>
        <w:rPr>
          <w:rFonts w:ascii="Arial" w:cs="Arial" w:eastAsia="Arial" w:hAnsi="Arial"/>
          <w:sz w:val="16"/>
          <w:szCs w:val="16"/>
          <w:color w:val="auto"/>
        </w:rPr>
      </w:pPr>
      <w:r>
        <w:rPr>
          <w:rFonts w:ascii="Arial" w:cs="Arial" w:eastAsia="Arial" w:hAnsi="Arial"/>
          <w:sz w:val="16"/>
          <w:szCs w:val="16"/>
          <w:b w:val="1"/>
          <w:bCs w:val="1"/>
          <w:color w:val="auto"/>
        </w:rPr>
        <w:t>Restoration</w:t>
      </w:r>
      <w:r>
        <w:rPr>
          <w:rFonts w:ascii="Arial" w:cs="Arial" w:eastAsia="Arial" w:hAnsi="Arial"/>
          <w:sz w:val="16"/>
          <w:szCs w:val="16"/>
          <w:color w:val="auto"/>
        </w:rPr>
        <w:t>. If, at any time during the Term, the Building or the Premises are damaged or destroyed by a fire or other insured casualty,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notify Tenant within 60 days after discovery of such damage as to the amount of time Landlord reasonably estimates it will take to restore the Building or the Premises, as applicable (the “</w:t>
      </w:r>
      <w:r>
        <w:rPr>
          <w:rFonts w:ascii="Arial" w:cs="Arial" w:eastAsia="Arial" w:hAnsi="Arial"/>
          <w:sz w:val="16"/>
          <w:szCs w:val="16"/>
          <w:b w:val="1"/>
          <w:bCs w:val="1"/>
          <w:color w:val="auto"/>
        </w:rPr>
        <w:t>Restoration Period</w:t>
      </w:r>
      <w:r>
        <w:rPr>
          <w:rFonts w:ascii="Arial" w:cs="Arial" w:eastAsia="Arial" w:hAnsi="Arial"/>
          <w:sz w:val="16"/>
          <w:szCs w:val="16"/>
          <w:color w:val="auto"/>
        </w:rPr>
        <w:t>”). If the Restoration Period is estimated to exceed 9 months (the “</w:t>
      </w:r>
      <w:r>
        <w:rPr>
          <w:rFonts w:ascii="Arial" w:cs="Arial" w:eastAsia="Arial" w:hAnsi="Arial"/>
          <w:sz w:val="16"/>
          <w:szCs w:val="16"/>
          <w:b w:val="1"/>
          <w:bCs w:val="1"/>
          <w:color w:val="auto"/>
        </w:rPr>
        <w:t>Maximum Restoration Period</w:t>
      </w:r>
      <w:r>
        <w:rPr>
          <w:rFonts w:ascii="Arial" w:cs="Arial" w:eastAsia="Arial" w:hAnsi="Arial"/>
          <w:sz w:val="16"/>
          <w:szCs w:val="16"/>
          <w:color w:val="auto"/>
        </w:rPr>
        <w:t xml:space="preserve">”), Landlord may, in such notice, elect to terminate this Lease as of the date that is 75 days after the date of discovery of such damage or destruction. Unless Landlord so elects to terminate this Lease, Landlord shall, subject to receipt of sufficient insurance proceeds (with any deductible to be treated as a current Operating Expense), promptly restore the Premises (excluding the improvements installed by Tenant or by Landlord and paid for by Tenant), subject to delays arising from the collection of insurance proceeds, or from Force Majeure events;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repair or restoration of the Premises is not substantially complete as of the end of the Maximum Restoration Period or, if longer, the Restoration Period, Landlord may, in its sole and absolute discretion, elect not to proceed with such repair and restoration, in which event Landlord shall be relieved of its obligation to make such repairs or restoration and this Lease shall terminate as of the date that is 75 days after the discovery of such damage or destruction.</w:t>
      </w:r>
    </w:p>
    <w:p>
      <w:pPr>
        <w:spacing w:after="0" w:line="16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Tenant, at its expense, shall promptly perform, subject to delays arising from the collection of insurance proceeds or from Force Majeure events, all repairs or restoration not required to be done by Landlord and shall promptly re-enter the Premises and commence doing business in accordance with this Lease. Notwithstanding the foregoing, Landlord may terminate this Lease if the Premises are damaged during the last 1 year of the Term and Landlord reasonably estimates that it will take more than 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85090</wp:posOffset>
            </wp:positionV>
            <wp:extent cx="2418080" cy="51435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16" w:name="page517"/>
    <w:bookmarkEnd w:id="516"/>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16</w:t>
      </w:r>
    </w:p>
    <w:p>
      <w:pPr>
        <w:spacing w:after="0" w:line="1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to repair such damage, or if insurance proceeds are not available for such restoration. Rent shall be abated from the date of discovery of the damage or destruction until the Premises are repaired and restored, in the proportion which the area of the Premises, if any, which is not usable by Tenant bears to the total area of the Premises, unless Landlord provides Tenant with other space during the period of repair that is suitable for the temporary conduct of Tenant’s business. Such abatement shall be the sole remedy of Tenant, and except as provided in this </w:t>
      </w:r>
      <w:r>
        <w:rPr>
          <w:rFonts w:ascii="Arial" w:cs="Arial" w:eastAsia="Arial" w:hAnsi="Arial"/>
          <w:sz w:val="18"/>
          <w:szCs w:val="18"/>
          <w:u w:val="single" w:color="auto"/>
          <w:color w:val="auto"/>
        </w:rPr>
        <w:t>Section 18</w:t>
      </w:r>
      <w:r>
        <w:rPr>
          <w:rFonts w:ascii="Arial" w:cs="Arial" w:eastAsia="Arial" w:hAnsi="Arial"/>
          <w:sz w:val="18"/>
          <w:szCs w:val="18"/>
          <w:color w:val="auto"/>
        </w:rPr>
        <w:t>, Tenant waives any right to terminate the Lease by reason of damage or casualty loss.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The provisions of this Lease, including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constitute an express agreement between Landlord and Tenant with respect to any and all damage to, or destruction of, all or any part of the Premises, or any other portion of the Building, Property or Project, and any statute or regulation which is now or may hereafter be in effect shall have no application to this Lease or any damage or destruction to all or any part of the Premises or any other portion of the Building, Property or Project, the parties hereto expressly agreeing that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sets forth their entire understanding and agreement with respect to such matters.</w:t>
      </w:r>
    </w:p>
    <w:p>
      <w:pPr>
        <w:spacing w:after="0" w:line="76" w:lineRule="exact"/>
        <w:rPr>
          <w:sz w:val="20"/>
          <w:szCs w:val="20"/>
          <w:color w:val="auto"/>
        </w:rPr>
      </w:pPr>
    </w:p>
    <w:p>
      <w:pPr>
        <w:ind w:right="80" w:firstLine="464"/>
        <w:spacing w:after="0" w:line="287" w:lineRule="auto"/>
        <w:tabs>
          <w:tab w:leader="none" w:pos="726" w:val="left"/>
        </w:tabs>
        <w:numPr>
          <w:ilvl w:val="0"/>
          <w:numId w:val="371"/>
        </w:numPr>
        <w:rPr>
          <w:rFonts w:ascii="Arial" w:cs="Arial" w:eastAsia="Arial" w:hAnsi="Arial"/>
          <w:sz w:val="16"/>
          <w:szCs w:val="16"/>
          <w:color w:val="auto"/>
        </w:rPr>
      </w:pPr>
      <w:r>
        <w:rPr>
          <w:rFonts w:ascii="Arial" w:cs="Arial" w:eastAsia="Arial" w:hAnsi="Arial"/>
          <w:sz w:val="16"/>
          <w:szCs w:val="16"/>
          <w:b w:val="1"/>
          <w:bCs w:val="1"/>
          <w:color w:val="auto"/>
        </w:rPr>
        <w:t>Condemnation</w:t>
      </w:r>
      <w:r>
        <w:rPr>
          <w:rFonts w:ascii="Arial" w:cs="Arial" w:eastAsia="Arial" w:hAnsi="Arial"/>
          <w:sz w:val="16"/>
          <w:szCs w:val="16"/>
          <w:color w:val="auto"/>
        </w:rPr>
        <w:t>. If the whole or any material part of the Premises, Building or Property is taken for any public or quasi-public use under</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law, ordinance, or regulation, or by right of eminent domain, or by private purchase in lieu thereof (a “</w:t>
      </w:r>
      <w:r>
        <w:rPr>
          <w:rFonts w:ascii="Arial" w:cs="Arial" w:eastAsia="Arial" w:hAnsi="Arial"/>
          <w:sz w:val="16"/>
          <w:szCs w:val="16"/>
          <w:b w:val="1"/>
          <w:bCs w:val="1"/>
          <w:color w:val="auto"/>
        </w:rPr>
        <w:t>Taking</w:t>
      </w:r>
      <w:r>
        <w:rPr>
          <w:rFonts w:ascii="Arial" w:cs="Arial" w:eastAsia="Arial" w:hAnsi="Arial"/>
          <w:sz w:val="16"/>
          <w:szCs w:val="16"/>
          <w:color w:val="auto"/>
        </w:rPr>
        <w:t>” or “</w:t>
      </w:r>
      <w:r>
        <w:rPr>
          <w:rFonts w:ascii="Arial" w:cs="Arial" w:eastAsia="Arial" w:hAnsi="Arial"/>
          <w:sz w:val="16"/>
          <w:szCs w:val="16"/>
          <w:b w:val="1"/>
          <w:bCs w:val="1"/>
          <w:color w:val="auto"/>
        </w:rPr>
        <w:t>Taken</w:t>
      </w:r>
      <w:r>
        <w:rPr>
          <w:rFonts w:ascii="Arial" w:cs="Arial" w:eastAsia="Arial" w:hAnsi="Arial"/>
          <w:sz w:val="16"/>
          <w:szCs w:val="16"/>
          <w:color w:val="auto"/>
        </w:rPr>
        <w:t>”), and the Taking would in Landlord’s reasonable judgment either prevent or materially interfere with Tenant’s use of the Premises or materially interfere with or impair Landlord’s ownership or operation of the Building or Property, then upon written notice by Landlord this Lease shall terminate and Rent shall be apportioned as of said date. If part of the Premises shall be Taken, and this Lease is not terminated as provided above, Landlord shall promptly restore the Premises and the Building and Property as nearly as is commercially reasonable under the circumstances to their condition prior to such partial Taking and the rentable square footage of the Building, the rentable square footage of the Premises, Tenant’s Share of Operating Expenses, the Building’s Share of Project and the Rent payable hereunder during the unexpired Term shall be reduced to such extent as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Building, Property or Project.</w:t>
      </w:r>
    </w:p>
    <w:p>
      <w:pPr>
        <w:spacing w:after="0" w:line="56" w:lineRule="exact"/>
        <w:rPr>
          <w:rFonts w:ascii="Arial" w:cs="Arial" w:eastAsia="Arial" w:hAnsi="Arial"/>
          <w:sz w:val="16"/>
          <w:szCs w:val="16"/>
          <w:color w:val="auto"/>
        </w:rPr>
      </w:pPr>
    </w:p>
    <w:p>
      <w:pPr>
        <w:ind w:left="740" w:hanging="276"/>
        <w:spacing w:after="0"/>
        <w:tabs>
          <w:tab w:leader="none" w:pos="740" w:val="left"/>
        </w:tabs>
        <w:numPr>
          <w:ilvl w:val="0"/>
          <w:numId w:val="371"/>
        </w:numPr>
        <w:rPr>
          <w:rFonts w:ascii="Arial" w:cs="Arial" w:eastAsia="Arial" w:hAnsi="Arial"/>
          <w:sz w:val="18"/>
          <w:szCs w:val="18"/>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 Each of the following events shall be a substantial default (“</w:t>
      </w:r>
      <w:r>
        <w:rPr>
          <w:rFonts w:ascii="Arial" w:cs="Arial" w:eastAsia="Arial" w:hAnsi="Arial"/>
          <w:sz w:val="18"/>
          <w:szCs w:val="18"/>
          <w:b w:val="1"/>
          <w:bCs w:val="1"/>
          <w:color w:val="auto"/>
        </w:rPr>
        <w:t>Default</w:t>
      </w:r>
      <w:r>
        <w:rPr>
          <w:rFonts w:ascii="Arial" w:cs="Arial" w:eastAsia="Arial" w:hAnsi="Arial"/>
          <w:sz w:val="18"/>
          <w:szCs w:val="18"/>
          <w:color w:val="auto"/>
        </w:rPr>
        <w:t>”) by Tenant under this Lease:</w:t>
      </w:r>
    </w:p>
    <w:p>
      <w:pPr>
        <w:spacing w:after="0" w:line="117" w:lineRule="exact"/>
        <w:rPr>
          <w:rFonts w:ascii="Arial" w:cs="Arial" w:eastAsia="Arial" w:hAnsi="Arial"/>
          <w:sz w:val="18"/>
          <w:szCs w:val="18"/>
          <w:color w:val="auto"/>
        </w:rPr>
      </w:pPr>
    </w:p>
    <w:p>
      <w:pPr>
        <w:ind w:right="340" w:firstLine="921"/>
        <w:spacing w:after="0" w:line="289" w:lineRule="auto"/>
        <w:tabs>
          <w:tab w:leader="none" w:pos="1157" w:val="left"/>
        </w:tabs>
        <w:numPr>
          <w:ilvl w:val="1"/>
          <w:numId w:val="371"/>
        </w:numPr>
        <w:rPr>
          <w:rFonts w:ascii="Arial" w:cs="Arial" w:eastAsia="Arial" w:hAnsi="Arial"/>
          <w:sz w:val="17"/>
          <w:szCs w:val="17"/>
          <w:color w:val="auto"/>
        </w:rPr>
      </w:pPr>
      <w:r>
        <w:rPr>
          <w:rFonts w:ascii="Arial" w:cs="Arial" w:eastAsia="Arial" w:hAnsi="Arial"/>
          <w:sz w:val="17"/>
          <w:szCs w:val="17"/>
          <w:b w:val="1"/>
          <w:bCs w:val="1"/>
          <w:color w:val="auto"/>
        </w:rPr>
        <w:t>Payment Defaults</w:t>
      </w:r>
      <w:r>
        <w:rPr>
          <w:rFonts w:ascii="Arial" w:cs="Arial" w:eastAsia="Arial" w:hAnsi="Arial"/>
          <w:sz w:val="17"/>
          <w:szCs w:val="17"/>
          <w:color w:val="auto"/>
        </w:rPr>
        <w:t>. Tenant shall fail to pay any installment of Rent or any other payment hereunder when due; provided, however, that</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will give Tenant notice and an opportunity to cure any failure to pay Rent within 5 days of any such notice not more than twice in any 12 month period and Tenant agrees that such notice shall be in lieu of and not in addition to, or shall be deemed to be, any notice required by law.</w:t>
      </w:r>
    </w:p>
    <w:p>
      <w:pPr>
        <w:spacing w:after="0" w:line="50" w:lineRule="exact"/>
        <w:rPr>
          <w:rFonts w:ascii="Arial" w:cs="Arial" w:eastAsia="Arial" w:hAnsi="Arial"/>
          <w:sz w:val="17"/>
          <w:szCs w:val="17"/>
          <w:color w:val="auto"/>
        </w:rPr>
      </w:pPr>
    </w:p>
    <w:p>
      <w:pPr>
        <w:ind w:right="140" w:firstLine="921"/>
        <w:spacing w:after="0" w:line="266" w:lineRule="auto"/>
        <w:tabs>
          <w:tab w:leader="none" w:pos="1168" w:val="left"/>
        </w:tabs>
        <w:numPr>
          <w:ilvl w:val="1"/>
          <w:numId w:val="371"/>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Any insurance required to be maintained by Tenant pursuant to this Lease shall be canceled or terminated or shall expire or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reduced or materially changed, or Landlord shall receive a notice of nonrenewal of any such insurance and Tenant shall fail to obtain replacement insurance at least 20 days before the expiration of the current coverage.</w:t>
      </w:r>
    </w:p>
    <w:p>
      <w:pPr>
        <w:spacing w:after="0" w:line="68" w:lineRule="exact"/>
        <w:rPr>
          <w:rFonts w:ascii="Arial" w:cs="Arial" w:eastAsia="Arial" w:hAnsi="Arial"/>
          <w:sz w:val="18"/>
          <w:szCs w:val="18"/>
          <w:color w:val="auto"/>
        </w:rPr>
      </w:pPr>
    </w:p>
    <w:p>
      <w:pPr>
        <w:ind w:right="220" w:firstLine="921"/>
        <w:spacing w:after="0" w:line="314" w:lineRule="auto"/>
        <w:tabs>
          <w:tab w:leader="none" w:pos="1157" w:val="left"/>
        </w:tabs>
        <w:numPr>
          <w:ilvl w:val="1"/>
          <w:numId w:val="371"/>
        </w:numPr>
        <w:rPr>
          <w:rFonts w:ascii="Arial" w:cs="Arial" w:eastAsia="Arial" w:hAnsi="Arial"/>
          <w:sz w:val="16"/>
          <w:szCs w:val="16"/>
          <w:color w:val="auto"/>
        </w:rPr>
      </w:pPr>
      <w:r>
        <w:rPr>
          <w:rFonts w:ascii="Arial" w:cs="Arial" w:eastAsia="Arial" w:hAnsi="Arial"/>
          <w:sz w:val="16"/>
          <w:szCs w:val="16"/>
          <w:b w:val="1"/>
          <w:bCs w:val="1"/>
          <w:color w:val="auto"/>
        </w:rPr>
        <w:t>Abandonment</w:t>
      </w:r>
      <w:r>
        <w:rPr>
          <w:rFonts w:ascii="Arial" w:cs="Arial" w:eastAsia="Arial" w:hAnsi="Arial"/>
          <w:sz w:val="16"/>
          <w:szCs w:val="16"/>
          <w:color w:val="auto"/>
        </w:rPr>
        <w:t>. Tenant shall abandon the Premises. Tenant shall not be deemed to have abandoned the Premises if (i) Tenant provides</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with reasonable advance notice prior to vacating, (ii) Tenant has made reasonable arrangements with Landlord for the security of the Premises for the balance of the Term, and (iii) Tenant continues during the balance of the Term to satisfy all of its obligations under the Lease as they come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59055</wp:posOffset>
            </wp:positionV>
            <wp:extent cx="2418080" cy="51435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17" w:name="page518"/>
    <w:bookmarkEnd w:id="517"/>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17</w:t>
      </w:r>
    </w:p>
    <w:p>
      <w:pPr>
        <w:spacing w:after="0" w:line="158" w:lineRule="exact"/>
        <w:rPr>
          <w:sz w:val="20"/>
          <w:szCs w:val="20"/>
          <w:color w:val="auto"/>
        </w:rPr>
      </w:pPr>
    </w:p>
    <w:p>
      <w:pPr>
        <w:ind w:right="80" w:firstLine="921"/>
        <w:spacing w:after="0" w:line="266" w:lineRule="auto"/>
        <w:tabs>
          <w:tab w:leader="none" w:pos="1168" w:val="left"/>
        </w:tabs>
        <w:numPr>
          <w:ilvl w:val="0"/>
          <w:numId w:val="372"/>
        </w:numPr>
        <w:rPr>
          <w:rFonts w:ascii="Arial" w:cs="Arial" w:eastAsia="Arial" w:hAnsi="Arial"/>
          <w:sz w:val="18"/>
          <w:szCs w:val="18"/>
          <w:color w:val="auto"/>
        </w:rPr>
      </w:pPr>
      <w:r>
        <w:rPr>
          <w:rFonts w:ascii="Arial" w:cs="Arial" w:eastAsia="Arial" w:hAnsi="Arial"/>
          <w:sz w:val="18"/>
          <w:szCs w:val="18"/>
          <w:b w:val="1"/>
          <w:bCs w:val="1"/>
          <w:color w:val="auto"/>
        </w:rPr>
        <w:t>Improper Transfer</w:t>
      </w:r>
      <w:r>
        <w:rPr>
          <w:rFonts w:ascii="Arial" w:cs="Arial" w:eastAsia="Arial" w:hAnsi="Arial"/>
          <w:sz w:val="18"/>
          <w:szCs w:val="18"/>
          <w:color w:val="auto"/>
        </w:rPr>
        <w:t>. Tenant shall assign, sublease or otherwise transfer all or any portion of Tenant’s interest in this Lease or the Premises in</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the provisions of this Lease, or Tenant’s interest in this Lease shall be attached, executed upon, or otherwise judicially seized and such action is not released within 90 days of the action.</w:t>
      </w:r>
    </w:p>
    <w:p>
      <w:pPr>
        <w:spacing w:after="0" w:line="68" w:lineRule="exact"/>
        <w:rPr>
          <w:rFonts w:ascii="Arial" w:cs="Arial" w:eastAsia="Arial" w:hAnsi="Arial"/>
          <w:sz w:val="18"/>
          <w:szCs w:val="18"/>
          <w:color w:val="auto"/>
        </w:rPr>
      </w:pPr>
    </w:p>
    <w:p>
      <w:pPr>
        <w:ind w:right="160" w:firstLine="921"/>
        <w:spacing w:after="0" w:line="282" w:lineRule="auto"/>
        <w:tabs>
          <w:tab w:leader="none" w:pos="1157" w:val="left"/>
        </w:tabs>
        <w:numPr>
          <w:ilvl w:val="0"/>
          <w:numId w:val="372"/>
        </w:numPr>
        <w:rPr>
          <w:rFonts w:ascii="Arial" w:cs="Arial" w:eastAsia="Arial" w:hAnsi="Arial"/>
          <w:sz w:val="18"/>
          <w:szCs w:val="18"/>
          <w:color w:val="auto"/>
        </w:rPr>
      </w:pPr>
      <w:r>
        <w:rPr>
          <w:rFonts w:ascii="Arial" w:cs="Arial" w:eastAsia="Arial" w:hAnsi="Arial"/>
          <w:sz w:val="18"/>
          <w:szCs w:val="18"/>
          <w:b w:val="1"/>
          <w:bCs w:val="1"/>
          <w:color w:val="auto"/>
        </w:rPr>
        <w:t>Liens</w:t>
      </w:r>
      <w:r>
        <w:rPr>
          <w:rFonts w:ascii="Arial" w:cs="Arial" w:eastAsia="Arial" w:hAnsi="Arial"/>
          <w:sz w:val="18"/>
          <w:szCs w:val="18"/>
          <w:color w:val="auto"/>
        </w:rPr>
        <w:t>. Tenant shall fail to discharge or otherwise obtain the release of any lien placed upon the Premises in violation of this Lease within 15</w:t>
      </w:r>
      <w:r>
        <w:rPr>
          <w:rFonts w:ascii="Arial" w:cs="Arial" w:eastAsia="Arial" w:hAnsi="Arial"/>
          <w:sz w:val="18"/>
          <w:szCs w:val="18"/>
          <w:b w:val="1"/>
          <w:bCs w:val="1"/>
          <w:color w:val="auto"/>
        </w:rPr>
        <w:t xml:space="preserve"> </w:t>
      </w:r>
      <w:r>
        <w:rPr>
          <w:rFonts w:ascii="Arial" w:cs="Arial" w:eastAsia="Arial" w:hAnsi="Arial"/>
          <w:sz w:val="18"/>
          <w:szCs w:val="18"/>
          <w:color w:val="auto"/>
        </w:rPr>
        <w:t>days after Tenant receives written notice that any such lien is filed against the Premises.</w:t>
      </w:r>
    </w:p>
    <w:p>
      <w:pPr>
        <w:spacing w:after="0" w:line="53" w:lineRule="exact"/>
        <w:rPr>
          <w:rFonts w:ascii="Arial" w:cs="Arial" w:eastAsia="Arial" w:hAnsi="Arial"/>
          <w:sz w:val="18"/>
          <w:szCs w:val="18"/>
          <w:color w:val="auto"/>
        </w:rPr>
      </w:pPr>
    </w:p>
    <w:p>
      <w:pPr>
        <w:ind w:right="100" w:firstLine="921"/>
        <w:spacing w:after="0" w:line="255" w:lineRule="auto"/>
        <w:tabs>
          <w:tab w:leader="none" w:pos="1138" w:val="left"/>
        </w:tabs>
        <w:numPr>
          <w:ilvl w:val="0"/>
          <w:numId w:val="372"/>
        </w:numPr>
        <w:rPr>
          <w:rFonts w:ascii="Arial" w:cs="Arial" w:eastAsia="Arial" w:hAnsi="Arial"/>
          <w:sz w:val="18"/>
          <w:szCs w:val="18"/>
          <w:color w:val="auto"/>
        </w:rPr>
      </w:pPr>
      <w:r>
        <w:rPr>
          <w:rFonts w:ascii="Arial" w:cs="Arial" w:eastAsia="Arial" w:hAnsi="Arial"/>
          <w:sz w:val="18"/>
          <w:szCs w:val="18"/>
          <w:b w:val="1"/>
          <w:bCs w:val="1"/>
          <w:color w:val="auto"/>
        </w:rPr>
        <w:t>Insolvency Events</w:t>
      </w:r>
      <w:r>
        <w:rPr>
          <w:rFonts w:ascii="Arial" w:cs="Arial" w:eastAsia="Arial" w:hAnsi="Arial"/>
          <w:sz w:val="18"/>
          <w:szCs w:val="18"/>
          <w:color w:val="auto"/>
        </w:rPr>
        <w:t>. Tenant or any guarantor or surety of Tenant’s obligations hereunder shall: (A) make a general assignment for the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of creditors; (B) 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8"/>
          <w:szCs w:val="18"/>
          <w:b w:val="1"/>
          <w:bCs w:val="1"/>
          <w:color w:val="auto"/>
        </w:rPr>
        <w:t>Proceeding for Relief</w:t>
      </w:r>
      <w:r>
        <w:rPr>
          <w:rFonts w:ascii="Arial" w:cs="Arial" w:eastAsia="Arial" w:hAnsi="Arial"/>
          <w:sz w:val="18"/>
          <w:szCs w:val="18"/>
          <w:color w:val="auto"/>
        </w:rPr>
        <w:t>”); (C) become the subject of any Proceeding for Relief which is not dismissed within 90 days of its filing or entry; or (D) die or suffer a legal disability (if Tenant, guarantor, or surety is an individual) or be dissolved or otherwise fail to maintain its legal existence (if Tenant, guarantor or surety is a corporation, partnership or other entity).</w:t>
      </w:r>
    </w:p>
    <w:p>
      <w:pPr>
        <w:spacing w:after="0" w:line="81" w:lineRule="exact"/>
        <w:rPr>
          <w:rFonts w:ascii="Arial" w:cs="Arial" w:eastAsia="Arial" w:hAnsi="Arial"/>
          <w:sz w:val="18"/>
          <w:szCs w:val="18"/>
          <w:color w:val="auto"/>
        </w:rPr>
      </w:pPr>
    </w:p>
    <w:p>
      <w:pPr>
        <w:ind w:right="360" w:firstLine="921"/>
        <w:spacing w:after="0" w:line="282" w:lineRule="auto"/>
        <w:tabs>
          <w:tab w:leader="none" w:pos="1168" w:val="left"/>
        </w:tabs>
        <w:numPr>
          <w:ilvl w:val="0"/>
          <w:numId w:val="372"/>
        </w:numPr>
        <w:rPr>
          <w:rFonts w:ascii="Arial" w:cs="Arial" w:eastAsia="Arial" w:hAnsi="Arial"/>
          <w:sz w:val="18"/>
          <w:szCs w:val="18"/>
          <w:color w:val="auto"/>
        </w:rPr>
      </w:pPr>
      <w:r>
        <w:rPr>
          <w:rFonts w:ascii="Arial" w:cs="Arial" w:eastAsia="Arial" w:hAnsi="Arial"/>
          <w:sz w:val="18"/>
          <w:szCs w:val="18"/>
          <w:b w:val="1"/>
          <w:bCs w:val="1"/>
          <w:color w:val="auto"/>
        </w:rPr>
        <w:t>Estoppel Certificate or Subordination Agreement</w:t>
      </w:r>
      <w:r>
        <w:rPr>
          <w:rFonts w:ascii="Arial" w:cs="Arial" w:eastAsia="Arial" w:hAnsi="Arial"/>
          <w:sz w:val="18"/>
          <w:szCs w:val="18"/>
          <w:color w:val="auto"/>
        </w:rPr>
        <w:t>. Tenant fails to execute any document required from Tenant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23</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27</w:t>
      </w:r>
      <w:r>
        <w:rPr>
          <w:rFonts w:ascii="Arial" w:cs="Arial" w:eastAsia="Arial" w:hAnsi="Arial"/>
          <w:sz w:val="18"/>
          <w:szCs w:val="18"/>
          <w:b w:val="1"/>
          <w:bCs w:val="1"/>
          <w:color w:val="auto"/>
        </w:rPr>
        <w:t xml:space="preserve"> </w:t>
      </w:r>
      <w:r>
        <w:rPr>
          <w:rFonts w:ascii="Arial" w:cs="Arial" w:eastAsia="Arial" w:hAnsi="Arial"/>
          <w:sz w:val="18"/>
          <w:szCs w:val="18"/>
          <w:color w:val="auto"/>
        </w:rPr>
        <w:t>within 5 days after a second notice requesting such document.</w:t>
      </w:r>
    </w:p>
    <w:p>
      <w:pPr>
        <w:spacing w:after="0" w:line="53" w:lineRule="exact"/>
        <w:rPr>
          <w:rFonts w:ascii="Arial" w:cs="Arial" w:eastAsia="Arial" w:hAnsi="Arial"/>
          <w:sz w:val="18"/>
          <w:szCs w:val="18"/>
          <w:color w:val="auto"/>
        </w:rPr>
      </w:pPr>
    </w:p>
    <w:p>
      <w:pPr>
        <w:ind w:right="160" w:firstLine="921"/>
        <w:spacing w:after="0" w:line="347" w:lineRule="auto"/>
        <w:tabs>
          <w:tab w:leader="none" w:pos="1168" w:val="left"/>
        </w:tabs>
        <w:numPr>
          <w:ilvl w:val="0"/>
          <w:numId w:val="372"/>
        </w:numPr>
        <w:rPr>
          <w:rFonts w:ascii="Arial" w:cs="Arial" w:eastAsia="Arial" w:hAnsi="Arial"/>
          <w:sz w:val="16"/>
          <w:szCs w:val="16"/>
          <w:color w:val="auto"/>
        </w:rPr>
      </w:pPr>
      <w:r>
        <w:rPr>
          <w:rFonts w:ascii="Arial" w:cs="Arial" w:eastAsia="Arial" w:hAnsi="Arial"/>
          <w:sz w:val="16"/>
          <w:szCs w:val="16"/>
          <w:b w:val="1"/>
          <w:bCs w:val="1"/>
          <w:color w:val="auto"/>
        </w:rPr>
        <w:t>Other Defaults</w:t>
      </w:r>
      <w:r>
        <w:rPr>
          <w:rFonts w:ascii="Arial" w:cs="Arial" w:eastAsia="Arial" w:hAnsi="Arial"/>
          <w:sz w:val="16"/>
          <w:szCs w:val="16"/>
          <w:color w:val="auto"/>
        </w:rPr>
        <w:t>. Tenant shall fail to comply with any provision of this Lease other than those specifically referred to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expressly provided herein, such failure shall continue for a period of 30 days after written notice thereof from Landlord to Tenant.</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Any notice given under </w:t>
      </w:r>
      <w:r>
        <w:rPr>
          <w:rFonts w:ascii="Arial" w:cs="Arial" w:eastAsia="Arial" w:hAnsi="Arial"/>
          <w:sz w:val="18"/>
          <w:szCs w:val="18"/>
          <w:u w:val="single" w:color="auto"/>
          <w:color w:val="auto"/>
        </w:rPr>
        <w:t>Section 20(h)</w:t>
      </w:r>
      <w:r>
        <w:rPr>
          <w:rFonts w:ascii="Arial" w:cs="Arial" w:eastAsia="Arial" w:hAnsi="Arial"/>
          <w:sz w:val="18"/>
          <w:szCs w:val="18"/>
          <w:color w:val="auto"/>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nature of Tenant’s default pursuant to </w:t>
      </w:r>
      <w:r>
        <w:rPr>
          <w:rFonts w:ascii="Arial" w:cs="Arial" w:eastAsia="Arial" w:hAnsi="Arial"/>
          <w:sz w:val="18"/>
          <w:szCs w:val="18"/>
          <w:u w:val="single" w:color="auto"/>
          <w:color w:val="auto"/>
        </w:rPr>
        <w:t>Section 20(h)</w:t>
      </w:r>
      <w:r>
        <w:rPr>
          <w:rFonts w:ascii="Arial" w:cs="Arial" w:eastAsia="Arial" w:hAnsi="Arial"/>
          <w:sz w:val="18"/>
          <w:szCs w:val="18"/>
          <w:color w:val="auto"/>
        </w:rPr>
        <w:t xml:space="preserve"> is such that it cannot be cured by the payment of money and reasonably requires more than 30 days to cure, then Tenant shall not be deemed to be in default if Tenant commences such cure within said 30 day period and thereafter diligently prosecutes the same to completion;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cure shall be completed no later than 60 days from the date of Landlord’s notice.</w:t>
      </w:r>
    </w:p>
    <w:p>
      <w:pPr>
        <w:spacing w:after="0" w:line="81" w:lineRule="exact"/>
        <w:rPr>
          <w:sz w:val="20"/>
          <w:szCs w:val="20"/>
          <w:color w:val="auto"/>
        </w:rPr>
      </w:pPr>
    </w:p>
    <w:p>
      <w:pPr>
        <w:ind w:left="740" w:hanging="276"/>
        <w:spacing w:after="0"/>
        <w:tabs>
          <w:tab w:leader="none" w:pos="740"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Landlord’s Remedies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21"/>
        <w:spacing w:after="0" w:line="258" w:lineRule="auto"/>
        <w:tabs>
          <w:tab w:leader="none" w:pos="1157" w:val="left"/>
        </w:tabs>
        <w:numPr>
          <w:ilvl w:val="1"/>
          <w:numId w:val="373"/>
        </w:numPr>
        <w:rPr>
          <w:rFonts w:ascii="Arial" w:cs="Arial" w:eastAsia="Arial" w:hAnsi="Arial"/>
          <w:sz w:val="18"/>
          <w:szCs w:val="18"/>
          <w:color w:val="auto"/>
        </w:rPr>
      </w:pPr>
      <w:r>
        <w:rPr>
          <w:rFonts w:ascii="Arial" w:cs="Arial" w:eastAsia="Arial" w:hAnsi="Arial"/>
          <w:sz w:val="18"/>
          <w:szCs w:val="18"/>
          <w:b w:val="1"/>
          <w:bCs w:val="1"/>
          <w:color w:val="auto"/>
        </w:rPr>
        <w:t>Payment By Landlord; Interest</w:t>
      </w:r>
      <w:r>
        <w:rPr>
          <w:rFonts w:ascii="Arial" w:cs="Arial" w:eastAsia="Arial" w:hAnsi="Arial"/>
          <w:sz w:val="18"/>
          <w:szCs w:val="18"/>
          <w:color w:val="auto"/>
        </w:rPr>
        <w:t>. Upon a Default by Tenant hereunder, Landlord may, without waiving or releasing any obligation of Tenant</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make such payment or perform such act to the extent necessary to cure the Default. All sums so paid or incurred by Landlord, together with interest thereon, from the date such sums were paid or incurred, at the annual rate equal to 12% per annum or the highest rate permitted by law (the “Default Rate”), whichever is less, shall be payable to Landlord on demand as additional Rent. Nothing herein shall be construed to create or impose a duty on Landlord to mitigate any damages resulting from Tenant’s Default hereunder.</w:t>
      </w:r>
    </w:p>
    <w:p>
      <w:pPr>
        <w:spacing w:after="0" w:line="75" w:lineRule="exact"/>
        <w:rPr>
          <w:rFonts w:ascii="Arial" w:cs="Arial" w:eastAsia="Arial" w:hAnsi="Arial"/>
          <w:sz w:val="18"/>
          <w:szCs w:val="18"/>
          <w:color w:val="auto"/>
        </w:rPr>
      </w:pPr>
    </w:p>
    <w:p>
      <w:pPr>
        <w:ind w:right="20" w:firstLine="921"/>
        <w:spacing w:after="0" w:line="266" w:lineRule="auto"/>
        <w:tabs>
          <w:tab w:leader="none" w:pos="1168" w:val="left"/>
        </w:tabs>
        <w:numPr>
          <w:ilvl w:val="1"/>
          <w:numId w:val="373"/>
        </w:numPr>
        <w:rPr>
          <w:rFonts w:ascii="Arial" w:cs="Arial" w:eastAsia="Arial" w:hAnsi="Arial"/>
          <w:sz w:val="18"/>
          <w:szCs w:val="18"/>
          <w:color w:val="auto"/>
        </w:rPr>
      </w:pPr>
      <w:r>
        <w:rPr>
          <w:rFonts w:ascii="Arial" w:cs="Arial" w:eastAsia="Arial" w:hAnsi="Arial"/>
          <w:sz w:val="18"/>
          <w:szCs w:val="18"/>
          <w:b w:val="1"/>
          <w:bCs w:val="1"/>
          <w:color w:val="auto"/>
        </w:rPr>
        <w:t>Late Payment Rent</w:t>
      </w:r>
      <w:r>
        <w:rPr>
          <w:rFonts w:ascii="Arial" w:cs="Arial" w:eastAsia="Arial" w:hAnsi="Arial"/>
          <w:sz w:val="18"/>
          <w:szCs w:val="18"/>
          <w:color w:val="auto"/>
        </w:rPr>
        <w:t>. Late payment by Tenant to Landlord of Rent and other sums due will cause Landlord to incur costs not contemplated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the exact amount of which will be extremely difficult and impracticable to ascertain. Such costs include, but are not limited to, processing and accounting charges and late charges which may be imposed on Landlord under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80645</wp:posOffset>
            </wp:positionV>
            <wp:extent cx="2418080" cy="51435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18" w:name="page519"/>
    <w:bookmarkEnd w:id="518"/>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18</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Mortgage covering the Premises. Therefore, if any installment of Rent due from Tenant is not received by Landlord within 5 days after the date such payment is due, Tenant shall pay to Landlord an additional sum of 6% of the overdue Rent as a late charge. Notwithstanding the foregoing, before assessing a late charge the first time in any calendar year, Landlord shall provide Tenant written notice of the delinquency and will waive the right if Tenant pays such delinquency within 5 days thereafter.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81" w:lineRule="exact"/>
        <w:rPr>
          <w:sz w:val="20"/>
          <w:szCs w:val="20"/>
          <w:color w:val="auto"/>
        </w:rPr>
      </w:pPr>
    </w:p>
    <w:p>
      <w:pPr>
        <w:ind w:right="40" w:firstLine="921"/>
        <w:spacing w:after="0" w:line="255" w:lineRule="auto"/>
        <w:tabs>
          <w:tab w:leader="none" w:pos="1157" w:val="left"/>
        </w:tabs>
        <w:numPr>
          <w:ilvl w:val="1"/>
          <w:numId w:val="374"/>
        </w:numPr>
        <w:rPr>
          <w:rFonts w:ascii="Arial" w:cs="Arial" w:eastAsia="Arial" w:hAnsi="Arial"/>
          <w:sz w:val="18"/>
          <w:szCs w:val="18"/>
          <w:color w:val="auto"/>
        </w:rPr>
      </w:pPr>
      <w:r>
        <w:rPr>
          <w:rFonts w:ascii="Arial" w:cs="Arial" w:eastAsia="Arial" w:hAnsi="Arial"/>
          <w:sz w:val="18"/>
          <w:szCs w:val="18"/>
          <w:b w:val="1"/>
          <w:bCs w:val="1"/>
          <w:color w:val="auto"/>
        </w:rPr>
        <w:t>Remedies</w:t>
      </w:r>
      <w:r>
        <w:rPr>
          <w:rFonts w:ascii="Arial" w:cs="Arial" w:eastAsia="Arial" w:hAnsi="Arial"/>
          <w:sz w:val="18"/>
          <w:szCs w:val="18"/>
          <w:color w:val="auto"/>
        </w:rPr>
        <w:t>. Upon the occurrence of a Default, Landlord, at its option, without further notice or demand to Tenant, shall have in addition to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rights and remedies provided in this Lease, at law or in equity, the option to pursue any one or more of the following remedies, each and all of which shall be cumulative and nonexclusive, without any notice or demand whatsoever (except as otherwise expressly provided in </w:t>
      </w:r>
      <w:r>
        <w:rPr>
          <w:rFonts w:ascii="Arial" w:cs="Arial" w:eastAsia="Arial" w:hAnsi="Arial"/>
          <w:sz w:val="18"/>
          <w:szCs w:val="18"/>
          <w:u w:val="single" w:color="auto"/>
          <w:color w:val="auto"/>
        </w:rPr>
        <w:t>Section 21(c)(v)</w:t>
      </w:r>
      <w:r>
        <w:rPr>
          <w:rFonts w:ascii="Arial" w:cs="Arial" w:eastAsia="Arial" w:hAnsi="Arial"/>
          <w:sz w:val="18"/>
          <w:szCs w:val="18"/>
          <w:color w:val="auto"/>
        </w:rPr>
        <w:t xml:space="preserve"> with respect to Landlord’s Lump Sum Election). No cure in whole or in part of such Default by Tenant after Landlord has taken any action beyond giving Tenant notice of such Default to pursue any remedy provided for herein (including retaining counsel to file an action or otherwise pursue any remedies) shall in any way affect Landlord’s right to pursue such remedy or any other remedy provided Landlord herein or under law or in equity, unless Landlord, in its sole discretion, elects to waive such Default.</w:t>
      </w:r>
    </w:p>
    <w:p>
      <w:pPr>
        <w:spacing w:after="0" w:line="85" w:lineRule="exact"/>
        <w:rPr>
          <w:rFonts w:ascii="Arial" w:cs="Arial" w:eastAsia="Arial" w:hAnsi="Arial"/>
          <w:sz w:val="18"/>
          <w:szCs w:val="18"/>
          <w:color w:val="auto"/>
        </w:rPr>
      </w:pPr>
    </w:p>
    <w:p>
      <w:pPr>
        <w:ind w:left="460" w:right="20" w:firstLine="443"/>
        <w:spacing w:after="0" w:line="284" w:lineRule="auto"/>
        <w:tabs>
          <w:tab w:leader="none" w:pos="1113" w:val="left"/>
        </w:tabs>
        <w:numPr>
          <w:ilvl w:val="0"/>
          <w:numId w:val="375"/>
        </w:numPr>
        <w:rPr>
          <w:rFonts w:ascii="Arial" w:cs="Arial" w:eastAsia="Arial" w:hAnsi="Arial"/>
          <w:sz w:val="16"/>
          <w:szCs w:val="16"/>
          <w:color w:val="auto"/>
        </w:rPr>
      </w:pPr>
      <w:r>
        <w:rPr>
          <w:rFonts w:ascii="Arial" w:cs="Arial" w:eastAsia="Arial" w:hAnsi="Arial"/>
          <w:sz w:val="16"/>
          <w:szCs w:val="16"/>
          <w:color w:val="auto"/>
        </w:rPr>
        <w:t>This Lease and the Term and estate hereby granted are subject to the limitation that whenever a Default shall have happened and be continuing, Landlord shall have the right, at its election, then or thereafter while any such Default shall continue and notwithstanding the fact that Landlord may have some other remedy hereunder or at law or in equity, to give Tenant written notice of Landlord’s intention to terminate this Lease on a date specified in such notice, which date shall be not less than 5 days after the giving of such notice, and upon the date so specified, this Lease and the estate hereby granted shall expire and terminate with the same force and effect as if the date specified in such notice were the date hereinbefore fixed for the expiration of this Lease, and all rights of Tenant hereunder shall expire and terminate, and Tenant shall be liable as hereinafter in this</w:t>
      </w:r>
    </w:p>
    <w:p>
      <w:pPr>
        <w:spacing w:after="0" w:line="4" w:lineRule="exact"/>
        <w:rPr>
          <w:rFonts w:ascii="Arial" w:cs="Arial" w:eastAsia="Arial" w:hAnsi="Arial"/>
          <w:sz w:val="16"/>
          <w:szCs w:val="16"/>
          <w:color w:val="auto"/>
        </w:rPr>
      </w:pPr>
    </w:p>
    <w:p>
      <w:pPr>
        <w:ind w:left="460" w:right="140"/>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provided. If any such notice is given, Landlord shall have, on such date so specified, the right of re-entry and possession of the Premises and the right to remove all persons and property therefrom and to store such property in a warehouse or elsewhere at the risk and expense, and for the account, of Tenant. Should Landlord elect to re-enter as herein provided or should Landlord take possession pursuant to legal proceedings or pursuant to any notice provided for by law, Landlord may, subject to </w:t>
      </w:r>
      <w:r>
        <w:rPr>
          <w:rFonts w:ascii="Arial" w:cs="Arial" w:eastAsia="Arial" w:hAnsi="Arial"/>
          <w:sz w:val="18"/>
          <w:szCs w:val="18"/>
          <w:u w:val="single" w:color="auto"/>
          <w:color w:val="auto"/>
        </w:rPr>
        <w:t>Section 21(c)(ii)</w:t>
      </w:r>
      <w:r>
        <w:rPr>
          <w:rFonts w:ascii="Arial" w:cs="Arial" w:eastAsia="Arial" w:hAnsi="Arial"/>
          <w:sz w:val="18"/>
          <w:szCs w:val="18"/>
          <w:color w:val="auto"/>
        </w:rPr>
        <w:t xml:space="preserve"> from time to time re-let the Premises or any part thereof for such term or terms and at such rental or rentals and upon such terms and conditions as Landlord may deem advisable, with the right to make commercially reasonable alterations in and repairs to the Premises.</w:t>
      </w:r>
    </w:p>
    <w:p>
      <w:pPr>
        <w:spacing w:after="0" w:line="86" w:lineRule="exact"/>
        <w:rPr>
          <w:rFonts w:ascii="Arial" w:cs="Arial" w:eastAsia="Arial" w:hAnsi="Arial"/>
          <w:sz w:val="16"/>
          <w:szCs w:val="16"/>
          <w:color w:val="auto"/>
        </w:rPr>
      </w:pPr>
    </w:p>
    <w:p>
      <w:pPr>
        <w:ind w:left="460" w:right="200" w:firstLine="443"/>
        <w:spacing w:after="0" w:line="277" w:lineRule="auto"/>
        <w:tabs>
          <w:tab w:leader="none" w:pos="1163" w:val="left"/>
        </w:tabs>
        <w:numPr>
          <w:ilvl w:val="0"/>
          <w:numId w:val="375"/>
        </w:numPr>
        <w:rPr>
          <w:rFonts w:ascii="Arial" w:cs="Arial" w:eastAsia="Arial" w:hAnsi="Arial"/>
          <w:sz w:val="18"/>
          <w:szCs w:val="18"/>
          <w:color w:val="auto"/>
        </w:rPr>
      </w:pPr>
      <w:r>
        <w:rPr>
          <w:rFonts w:ascii="Arial" w:cs="Arial" w:eastAsia="Arial" w:hAnsi="Arial"/>
          <w:sz w:val="18"/>
          <w:szCs w:val="18"/>
          <w:color w:val="auto"/>
        </w:rPr>
        <w:t>Landlord shall be deemed to have satisfied any obligation to mitigate its damages by hiring an experienced commercial real estate broker to market the Premises and directing such broker to advertise and show the Premises to prospective tenants.</w:t>
      </w:r>
    </w:p>
    <w:p>
      <w:pPr>
        <w:spacing w:after="0" w:line="62" w:lineRule="exact"/>
        <w:rPr>
          <w:rFonts w:ascii="Arial" w:cs="Arial" w:eastAsia="Arial" w:hAnsi="Arial"/>
          <w:sz w:val="18"/>
          <w:szCs w:val="18"/>
          <w:color w:val="auto"/>
        </w:rPr>
      </w:pPr>
    </w:p>
    <w:p>
      <w:pPr>
        <w:ind w:left="460" w:right="180" w:firstLine="443"/>
        <w:spacing w:after="0" w:line="257" w:lineRule="auto"/>
        <w:tabs>
          <w:tab w:leader="none" w:pos="1213"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xml:space="preserve">In the event of any termination of this Lease as in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provided or as required or permitted by law or in equity, Tenant shall forthwith quit and surrender the Premises to Landlord, and Landlord may, without further notice, enter upon, re-enter, possess and repossess the same by summary proceedings, ejectment or otherwise, and again have, repossess and enjoy the same free of any rights of Tenant, and in any such event Tenant and no person claiming through or under Tenant by virtue of any law or an order of any court shall be entitled to possession or to remain in possession of the Premises.</w:t>
      </w:r>
    </w:p>
    <w:p>
      <w:pPr>
        <w:spacing w:after="0" w:line="80" w:lineRule="exact"/>
        <w:rPr>
          <w:rFonts w:ascii="Arial" w:cs="Arial" w:eastAsia="Arial" w:hAnsi="Arial"/>
          <w:sz w:val="18"/>
          <w:szCs w:val="18"/>
          <w:color w:val="auto"/>
        </w:rPr>
      </w:pPr>
    </w:p>
    <w:p>
      <w:pPr>
        <w:ind w:left="1200" w:hanging="297"/>
        <w:spacing w:after="0"/>
        <w:tabs>
          <w:tab w:leader="none" w:pos="1200" w:val="left"/>
        </w:tabs>
        <w:numPr>
          <w:ilvl w:val="0"/>
          <w:numId w:val="375"/>
        </w:numPr>
        <w:rPr>
          <w:rFonts w:ascii="Arial" w:cs="Arial" w:eastAsia="Arial" w:hAnsi="Arial"/>
          <w:sz w:val="17"/>
          <w:szCs w:val="17"/>
          <w:color w:val="auto"/>
        </w:rPr>
      </w:pPr>
      <w:r>
        <w:rPr>
          <w:rFonts w:ascii="Arial" w:cs="Arial" w:eastAsia="Arial" w:hAnsi="Arial"/>
          <w:sz w:val="17"/>
          <w:szCs w:val="17"/>
          <w:color w:val="auto"/>
        </w:rPr>
        <w:t>If this Lease is terminated or if Landlord shall re-enter the Premises as aforesaid, or in the event of the termination of this Lease, or of</w:t>
      </w:r>
    </w:p>
    <w:p>
      <w:pPr>
        <w:spacing w:after="0" w:line="35" w:lineRule="exact"/>
        <w:rPr>
          <w:sz w:val="20"/>
          <w:szCs w:val="20"/>
          <w:color w:val="auto"/>
        </w:rPr>
      </w:pPr>
    </w:p>
    <w:p>
      <w:pPr>
        <w:ind w:left="460" w:right="160"/>
        <w:spacing w:after="0" w:line="261" w:lineRule="auto"/>
        <w:rPr>
          <w:sz w:val="20"/>
          <w:szCs w:val="20"/>
          <w:color w:val="auto"/>
        </w:rPr>
      </w:pPr>
      <w:r>
        <w:rPr>
          <w:rFonts w:ascii="Arial" w:cs="Arial" w:eastAsia="Arial" w:hAnsi="Arial"/>
          <w:sz w:val="18"/>
          <w:szCs w:val="18"/>
          <w:color w:val="auto"/>
        </w:rPr>
        <w:t>re-entry, by or under any proceeding or action or any provision of law by reason of a Default by Tenant, Tenant covenants and agrees forthwith to pay and be liable for, on the days originally fixed in this Lease for the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82550</wp:posOffset>
            </wp:positionV>
            <wp:extent cx="2418080" cy="51435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19" w:name="page520"/>
    <w:bookmarkEnd w:id="519"/>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19</w:t>
      </w:r>
    </w:p>
    <w:p>
      <w:pPr>
        <w:sectPr>
          <w:pgSz w:w="11900" w:h="16838" w:orient="portrait"/>
          <w:cols w:equalWidth="0" w:num="1">
            <w:col w:w="11420"/>
          </w:cols>
          <w:pgMar w:left="240" w:top="270" w:right="239" w:bottom="1440" w:gutter="0" w:footer="0" w:header="0"/>
        </w:sectPr>
      </w:pPr>
    </w:p>
    <w:p>
      <w:pPr>
        <w:spacing w:after="0" w:line="162" w:lineRule="exact"/>
        <w:rPr>
          <w:sz w:val="20"/>
          <w:szCs w:val="20"/>
          <w:color w:val="auto"/>
        </w:rPr>
      </w:pPr>
    </w:p>
    <w:p>
      <w:pPr>
        <w:ind w:left="460" w:right="80"/>
        <w:spacing w:after="0" w:line="268" w:lineRule="auto"/>
        <w:rPr>
          <w:sz w:val="20"/>
          <w:szCs w:val="20"/>
          <w:color w:val="auto"/>
        </w:rPr>
      </w:pPr>
      <w:r>
        <w:rPr>
          <w:rFonts w:ascii="Arial" w:cs="Arial" w:eastAsia="Arial" w:hAnsi="Arial"/>
          <w:sz w:val="17"/>
          <w:szCs w:val="17"/>
          <w:color w:val="auto"/>
        </w:rPr>
        <w:t>thereof, amounts equal to the installments of Base Rent and all Additional Rent as they would, under the terms of this Lease become due if this Lease had not been terminated or if Landlord had not entered or re-entered, as aforesaid, and whether the Premises be relet or remain vacant, in whole or in part, or for a period less than the remainder of the Term, or for the whole thereof, but in the event that the Premises be relet by Landlord, Tenant shall be entitled to a credit in the net amount of rent and other charges received by Landlord in reletting, after deduction of all of Landlord’s expenses incurred in reletting the Premises (including, without limitation, tenant improvement, demising and remodeling costs, brokerage fees and the like), and in collecting the rent in connection therewith, in the following manner: Amounts received by Landlord after reletting, if any, shall first be applied against such Landlord’s expenses, until the same are recovered, and until such recovery, Tenant shall pay, as of each day when a payment would fall due under this Lease, the amount which Tenant is obligated to pay under the terms of this Lease (Tenant’s liability prior to any such reletting and such recovery by Landlord no in any way to be diminished as a result of the fact that such reletting might be for a rent higher than the rent provided for in this Lease); when and if such expenses have been completely recovered by Landlord, the amounts received from reletting by Landlord as have not previously been applied shall be credited against Tenant’s obligations as of each day when a payment would fall due under this Lease, and only the net amount thereof shall be payable by Tenant. Further, Tenant shall not be entitled to any credit of any kind for any period after the date when the Term of this Lease is scheduled to expire according to its terms.</w:t>
      </w:r>
    </w:p>
    <w:p>
      <w:pPr>
        <w:spacing w:after="0" w:line="80" w:lineRule="exact"/>
        <w:rPr>
          <w:sz w:val="20"/>
          <w:szCs w:val="20"/>
          <w:color w:val="auto"/>
        </w:rPr>
      </w:pPr>
    </w:p>
    <w:p>
      <w:pPr>
        <w:ind w:left="460" w:right="180" w:firstLine="438"/>
        <w:spacing w:after="0" w:line="286" w:lineRule="auto"/>
        <w:rPr>
          <w:sz w:val="20"/>
          <w:szCs w:val="20"/>
          <w:color w:val="auto"/>
        </w:rPr>
      </w:pPr>
      <w:r>
        <w:rPr>
          <w:rFonts w:ascii="Arial" w:cs="Arial" w:eastAsia="Arial" w:hAnsi="Arial"/>
          <w:sz w:val="17"/>
          <w:szCs w:val="17"/>
          <w:color w:val="auto"/>
        </w:rPr>
        <w:t>Actions, proceedings or suits for the recovery of damages, whether liquidated or other damages, under this Lease, or any installments thereof, may be brought by Landlord from time to time at its election, and nothing contained herein shall be deemed to require Landlord to postpone suit until the date when the Term of this Lease would have expired if it had not been terminated hereunder.</w:t>
      </w:r>
    </w:p>
    <w:p>
      <w:pPr>
        <w:spacing w:after="0" w:line="53" w:lineRule="exact"/>
        <w:rPr>
          <w:sz w:val="20"/>
          <w:szCs w:val="20"/>
          <w:color w:val="auto"/>
        </w:rPr>
      </w:pPr>
    </w:p>
    <w:p>
      <w:pPr>
        <w:ind w:left="460" w:right="320" w:firstLine="443"/>
        <w:spacing w:after="0" w:line="266" w:lineRule="auto"/>
        <w:tabs>
          <w:tab w:leader="none" w:pos="1153"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In addition, Landlord, at its election, notwithstanding any other provision of this Lease, by written notice to Tenant (the “</w:t>
      </w:r>
      <w:r>
        <w:rPr>
          <w:rFonts w:ascii="Arial" w:cs="Arial" w:eastAsia="Arial" w:hAnsi="Arial"/>
          <w:sz w:val="18"/>
          <w:szCs w:val="18"/>
          <w:b w:val="1"/>
          <w:bCs w:val="1"/>
          <w:color w:val="auto"/>
        </w:rPr>
        <w:t>Lump Sum</w:t>
      </w:r>
      <w:r>
        <w:rPr>
          <w:rFonts w:ascii="Arial" w:cs="Arial" w:eastAsia="Arial" w:hAnsi="Arial"/>
          <w:sz w:val="18"/>
          <w:szCs w:val="18"/>
          <w:color w:val="auto"/>
        </w:rPr>
        <w:t xml:space="preserve"> </w:t>
      </w:r>
      <w:r>
        <w:rPr>
          <w:rFonts w:ascii="Arial" w:cs="Arial" w:eastAsia="Arial" w:hAnsi="Arial"/>
          <w:sz w:val="18"/>
          <w:szCs w:val="18"/>
          <w:b w:val="1"/>
          <w:bCs w:val="1"/>
          <w:color w:val="auto"/>
        </w:rPr>
        <w:t>Election</w:t>
      </w:r>
      <w:r>
        <w:rPr>
          <w:rFonts w:ascii="Arial" w:cs="Arial" w:eastAsia="Arial" w:hAnsi="Arial"/>
          <w:sz w:val="18"/>
          <w:szCs w:val="18"/>
          <w:color w:val="auto"/>
        </w:rPr>
        <w:t>”), shall be entitled to recover from Tenant, as and for liquidated damages, at any time following any termination of this Lease, a lump sum</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representing, at the time of Landlord’s written notice of its Lump Sum Election, the sum of:</w:t>
      </w:r>
    </w:p>
    <w:p>
      <w:pPr>
        <w:spacing w:after="0" w:line="72" w:lineRule="exact"/>
        <w:rPr>
          <w:rFonts w:ascii="Arial" w:cs="Arial" w:eastAsia="Arial" w:hAnsi="Arial"/>
          <w:sz w:val="18"/>
          <w:szCs w:val="18"/>
          <w:color w:val="auto"/>
        </w:rPr>
      </w:pPr>
    </w:p>
    <w:p>
      <w:pPr>
        <w:ind w:left="920" w:right="100" w:firstLine="421"/>
        <w:spacing w:after="0" w:line="312" w:lineRule="auto"/>
        <w:tabs>
          <w:tab w:leader="none" w:pos="1635" w:val="left"/>
        </w:tabs>
        <w:numPr>
          <w:ilvl w:val="1"/>
          <w:numId w:val="376"/>
        </w:numPr>
        <w:rPr>
          <w:rFonts w:ascii="Arial" w:cs="Arial" w:eastAsia="Arial" w:hAnsi="Arial"/>
          <w:sz w:val="16"/>
          <w:szCs w:val="16"/>
          <w:color w:val="auto"/>
        </w:rPr>
      </w:pPr>
      <w:r>
        <w:rPr>
          <w:rFonts w:ascii="Arial" w:cs="Arial" w:eastAsia="Arial" w:hAnsi="Arial"/>
          <w:sz w:val="16"/>
          <w:szCs w:val="16"/>
          <w:color w:val="auto"/>
        </w:rPr>
        <w:t>the then present value (calculated in accordance with accepted financial practice using as the discount rate the yield to maturity on United States Treasury Notes as set forth below) of the amount of unpaid Base Rent and Additional Rent that would have been payable pursuant to this Lease for the remainder of the Term following Landlord’s Lump Sum Election if this Lease had not been terminated, and</w:t>
      </w:r>
    </w:p>
    <w:p>
      <w:pPr>
        <w:spacing w:after="0" w:line="38" w:lineRule="exact"/>
        <w:rPr>
          <w:rFonts w:ascii="Arial" w:cs="Arial" w:eastAsia="Arial" w:hAnsi="Arial"/>
          <w:sz w:val="16"/>
          <w:szCs w:val="16"/>
          <w:color w:val="auto"/>
        </w:rPr>
      </w:pPr>
    </w:p>
    <w:p>
      <w:pPr>
        <w:ind w:left="920" w:right="320" w:firstLine="421"/>
        <w:spacing w:after="0" w:line="277" w:lineRule="auto"/>
        <w:tabs>
          <w:tab w:leader="none" w:pos="1625" w:val="left"/>
        </w:tabs>
        <w:numPr>
          <w:ilvl w:val="1"/>
          <w:numId w:val="376"/>
        </w:numPr>
        <w:rPr>
          <w:rFonts w:ascii="Arial" w:cs="Arial" w:eastAsia="Arial" w:hAnsi="Arial"/>
          <w:sz w:val="18"/>
          <w:szCs w:val="18"/>
          <w:color w:val="auto"/>
        </w:rPr>
      </w:pPr>
      <w:r>
        <w:rPr>
          <w:rFonts w:ascii="Arial" w:cs="Arial" w:eastAsia="Arial" w:hAnsi="Arial"/>
          <w:sz w:val="18"/>
          <w:szCs w:val="18"/>
          <w:color w:val="auto"/>
        </w:rPr>
        <w:t>all other damages and expenses (including reasonable attorneys’ fees and expenses), if any, which Landlord shall have sustained by reason of the breach of any provision of this Lease; less</w:t>
      </w:r>
    </w:p>
    <w:p>
      <w:pPr>
        <w:spacing w:after="0" w:line="62" w:lineRule="exact"/>
        <w:rPr>
          <w:rFonts w:ascii="Arial" w:cs="Arial" w:eastAsia="Arial" w:hAnsi="Arial"/>
          <w:sz w:val="18"/>
          <w:szCs w:val="18"/>
          <w:color w:val="auto"/>
        </w:rPr>
      </w:pPr>
    </w:p>
    <w:p>
      <w:pPr>
        <w:ind w:left="920" w:right="40" w:firstLine="421"/>
        <w:spacing w:after="0" w:line="255" w:lineRule="auto"/>
        <w:tabs>
          <w:tab w:leader="none" w:pos="1625" w:val="left"/>
        </w:tabs>
        <w:numPr>
          <w:ilvl w:val="1"/>
          <w:numId w:val="376"/>
        </w:numPr>
        <w:rPr>
          <w:rFonts w:ascii="Arial" w:cs="Arial" w:eastAsia="Arial" w:hAnsi="Arial"/>
          <w:sz w:val="18"/>
          <w:szCs w:val="18"/>
          <w:color w:val="auto"/>
        </w:rPr>
      </w:pPr>
      <w:r>
        <w:rPr>
          <w:rFonts w:ascii="Arial" w:cs="Arial" w:eastAsia="Arial" w:hAnsi="Arial"/>
          <w:sz w:val="18"/>
          <w:szCs w:val="18"/>
          <w:color w:val="auto"/>
        </w:rPr>
        <w:t xml:space="preserve">the then present value (calculated in accordance with accepted financial practice using as the discount rate the yield to maturity on United States Treasury Notes as set forth below) of the aggregate net fair market rent plus additional charges payable for the Premises (if less than the then present value of Base Rent and Additional Rent that would have been payable pursuant to this Lease) for the remainder of the Term following Landlord’s Lump Sum Election, calculated as of the date of Landlord’s Lump Sum Election, and taking into account reasonable estimates of the future costs to relet any then vacant portions of the Premises (except to the extent that Tenant has actually paid such costs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in order to calculate the net rental revenue that Landlord may expect to obtain for the Premises for the balance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86360</wp:posOffset>
            </wp:positionV>
            <wp:extent cx="2418080" cy="5143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bookmarkStart w:id="520" w:name="page521"/>
    <w:bookmarkEnd w:id="520"/>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20</w:t>
      </w:r>
    </w:p>
    <w:p>
      <w:pPr>
        <w:sectPr>
          <w:pgSz w:w="11900" w:h="16838" w:orient="portrait"/>
          <w:cols w:equalWidth="0" w:num="1">
            <w:col w:w="11420"/>
          </w:cols>
          <w:pgMar w:left="240" w:top="269" w:right="239" w:bottom="1440" w:gutter="0" w:footer="0" w:header="0"/>
        </w:sectPr>
      </w:pPr>
    </w:p>
    <w:p>
      <w:pPr>
        <w:spacing w:after="0" w:line="162" w:lineRule="exact"/>
        <w:rPr>
          <w:sz w:val="20"/>
          <w:szCs w:val="20"/>
          <w:color w:val="auto"/>
        </w:rPr>
      </w:pPr>
    </w:p>
    <w:p>
      <w:pPr>
        <w:ind w:left="460" w:right="20" w:firstLine="438"/>
        <w:spacing w:after="0" w:line="284" w:lineRule="auto"/>
        <w:rPr>
          <w:sz w:val="20"/>
          <w:szCs w:val="20"/>
          <w:color w:val="auto"/>
        </w:rPr>
      </w:pPr>
      <w:r>
        <w:rPr>
          <w:rFonts w:ascii="Arial" w:cs="Arial" w:eastAsia="Arial" w:hAnsi="Arial"/>
          <w:sz w:val="16"/>
          <w:szCs w:val="16"/>
          <w:color w:val="auto"/>
        </w:rPr>
        <w:t xml:space="preserve">Landlord’s recovery under its Lump Sum Election shall be in addition to Tenant’s obligations to pay Base Rent and Additional Rent due and costs incurred prior to the date of Landlord’s Lump Sum Election, and in lieu of any Base Rent and Additional Rent which would otherwise have been due under this Section from and after the date of Landlord’s Lump Sum Election. The yield to maturity on United States Treasury Notes having a maturity date that is nearest the date that would have been the last day of the Term of the Lease, as reported in the </w:t>
      </w:r>
      <w:r>
        <w:rPr>
          <w:rFonts w:ascii="Arial" w:cs="Arial" w:eastAsia="Arial" w:hAnsi="Arial"/>
          <w:sz w:val="16"/>
          <w:szCs w:val="16"/>
          <w:u w:val="single" w:color="auto"/>
          <w:color w:val="auto"/>
        </w:rPr>
        <w:t>Wall Street Journal</w:t>
      </w:r>
      <w:r>
        <w:rPr>
          <w:rFonts w:ascii="Arial" w:cs="Arial" w:eastAsia="Arial" w:hAnsi="Arial"/>
          <w:sz w:val="16"/>
          <w:szCs w:val="16"/>
          <w:color w:val="auto"/>
        </w:rPr>
        <w:t xml:space="preserve"> or a comparable publication if it ceases to publish such yields, shall be used in calculating present values for purposes of Landlord’s Lump Sum Election. For the purposes of this Section, if Landlord makes the Lump Sum Election to recover liquidated damages in accordance with this Section, the total Additional Rent shall be computed based upon Landlord’s reasonable estimate of Tenant’s Share of Operating Expenses and other Additional Rent for each</w:t>
      </w:r>
    </w:p>
    <w:p>
      <w:pPr>
        <w:spacing w:after="0" w:line="3" w:lineRule="exact"/>
        <w:rPr>
          <w:sz w:val="20"/>
          <w:szCs w:val="20"/>
          <w:color w:val="auto"/>
        </w:rPr>
      </w:pPr>
    </w:p>
    <w:p>
      <w:pPr>
        <w:ind w:left="460" w:right="60"/>
        <w:spacing w:after="0" w:line="253" w:lineRule="auto"/>
        <w:rPr>
          <w:sz w:val="20"/>
          <w:szCs w:val="20"/>
          <w:color w:val="auto"/>
        </w:rPr>
      </w:pPr>
      <w:r>
        <w:rPr>
          <w:rFonts w:ascii="Arial" w:cs="Arial" w:eastAsia="Arial" w:hAnsi="Arial"/>
          <w:sz w:val="18"/>
          <w:szCs w:val="18"/>
          <w:color w:val="auto"/>
        </w:rPr>
        <w:t>12-month period in what would have been the remainder of the Term of the Lease and any part thereof at the end of such remainder of the Term, but in no event less than the amounts therefor payable for the twelve (12) calendar months (or if less than twelve (12) calendar months have elapsed since the date hereof, the partial year) immediately preceding the date of Landlord’s Lump Sum Election. Amounts of Tenant’s Share of Operating Expenses and any other Additional Rent for any partial year at the beginning of the Term or at the end of what would have been the remainder of the Term shall be prorated.</w:t>
      </w:r>
    </w:p>
    <w:p>
      <w:pPr>
        <w:spacing w:after="0" w:line="83" w:lineRule="exact"/>
        <w:rPr>
          <w:sz w:val="20"/>
          <w:szCs w:val="20"/>
          <w:color w:val="auto"/>
        </w:rPr>
      </w:pPr>
    </w:p>
    <w:p>
      <w:pPr>
        <w:ind w:left="460" w:right="160" w:firstLine="443"/>
        <w:spacing w:after="0" w:line="279" w:lineRule="auto"/>
        <w:tabs>
          <w:tab w:leader="none" w:pos="1203" w:val="left"/>
        </w:tabs>
        <w:numPr>
          <w:ilvl w:val="0"/>
          <w:numId w:val="377"/>
        </w:numPr>
        <w:rPr>
          <w:rFonts w:ascii="Arial" w:cs="Arial" w:eastAsia="Arial" w:hAnsi="Arial"/>
          <w:sz w:val="17"/>
          <w:szCs w:val="17"/>
          <w:color w:val="auto"/>
        </w:rPr>
      </w:pPr>
      <w:r>
        <w:rPr>
          <w:rFonts w:ascii="Arial" w:cs="Arial" w:eastAsia="Arial" w:hAnsi="Arial"/>
          <w:sz w:val="17"/>
          <w:szCs w:val="17"/>
          <w:color w:val="auto"/>
        </w:rPr>
        <w:t xml:space="preserve">Nothing herein contained shall limit or prejudice the right of Landlord, in any bankruptcy or insolvency proceeding, to prove for and obtain as liquidated damages by reason of such termination an amount equal to the maximum allowed by any bankruptcy or insolvency proceedings, or to prove for and obtain as liquidated damages by reason of such termination, an amount equal to the maximum allowed by any statute or rule of law, but in each case not more than the amount to which Landlord would otherwise be entitled under this </w:t>
      </w:r>
      <w:r>
        <w:rPr>
          <w:rFonts w:ascii="Arial" w:cs="Arial" w:eastAsia="Arial" w:hAnsi="Arial"/>
          <w:sz w:val="17"/>
          <w:szCs w:val="17"/>
          <w:u w:val="single" w:color="auto"/>
          <w:color w:val="auto"/>
        </w:rPr>
        <w:t>Section 21</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1260" w:hanging="357"/>
        <w:spacing w:after="0"/>
        <w:tabs>
          <w:tab w:leader="none" w:pos="126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be deemed to affect the right of either party to indemnifications pursuant to this Lease.</w:t>
      </w:r>
    </w:p>
    <w:p>
      <w:pPr>
        <w:spacing w:after="0" w:line="117" w:lineRule="exact"/>
        <w:rPr>
          <w:rFonts w:ascii="Arial" w:cs="Arial" w:eastAsia="Arial" w:hAnsi="Arial"/>
          <w:sz w:val="18"/>
          <w:szCs w:val="18"/>
          <w:color w:val="auto"/>
        </w:rPr>
      </w:pPr>
    </w:p>
    <w:p>
      <w:pPr>
        <w:ind w:left="460" w:right="60" w:firstLine="443"/>
        <w:spacing w:after="0" w:line="264" w:lineRule="auto"/>
        <w:tabs>
          <w:tab w:leader="none" w:pos="1303"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If Landlord terminates this Lease upon the occurrence of a Default, Tenant will quit and surrender the Premises to Landlord or its agents, and Landlord may, without further notice, enter upon, re-enter and repossess the Premises by summary proceedings, ejectment or otherwise. The words “enter”, “re-enter”, and “re-entry” are not restricted to their technical legal meanings.</w:t>
      </w:r>
    </w:p>
    <w:p>
      <w:pPr>
        <w:spacing w:after="0" w:line="73" w:lineRule="exact"/>
        <w:rPr>
          <w:rFonts w:ascii="Arial" w:cs="Arial" w:eastAsia="Arial" w:hAnsi="Arial"/>
          <w:sz w:val="18"/>
          <w:szCs w:val="18"/>
          <w:color w:val="auto"/>
        </w:rPr>
      </w:pPr>
    </w:p>
    <w:p>
      <w:pPr>
        <w:ind w:left="460" w:right="100" w:firstLine="443"/>
        <w:spacing w:after="0" w:line="264" w:lineRule="auto"/>
        <w:tabs>
          <w:tab w:leader="none" w:pos="1203"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If either party shall be in default in the observance or performance of any provision of this Lease, and an action shall be brought for the enforcement thereof, the non-prevailing party shall pay to the prevailing party all fees, costs and other expenses which may become payable as a result thereof or in connection therewith, including reasonable attorneys’ fees and expenses.</w:t>
      </w:r>
    </w:p>
    <w:p>
      <w:pPr>
        <w:spacing w:after="0" w:line="73" w:lineRule="exact"/>
        <w:rPr>
          <w:rFonts w:ascii="Arial" w:cs="Arial" w:eastAsia="Arial" w:hAnsi="Arial"/>
          <w:sz w:val="18"/>
          <w:szCs w:val="18"/>
          <w:color w:val="auto"/>
        </w:rPr>
      </w:pPr>
    </w:p>
    <w:p>
      <w:pPr>
        <w:ind w:left="460" w:right="80" w:firstLine="443"/>
        <w:spacing w:after="0" w:line="269" w:lineRule="auto"/>
        <w:tabs>
          <w:tab w:leader="none" w:pos="1153" w:val="left"/>
        </w:tabs>
        <w:numPr>
          <w:ilvl w:val="0"/>
          <w:numId w:val="377"/>
        </w:numPr>
        <w:rPr>
          <w:rFonts w:ascii="Arial" w:cs="Arial" w:eastAsia="Arial" w:hAnsi="Arial"/>
          <w:sz w:val="17"/>
          <w:szCs w:val="17"/>
          <w:color w:val="auto"/>
        </w:rPr>
      </w:pPr>
      <w:r>
        <w:rPr>
          <w:rFonts w:ascii="Arial" w:cs="Arial" w:eastAsia="Arial" w:hAnsi="Arial"/>
          <w:sz w:val="17"/>
          <w:szCs w:val="17"/>
          <w:color w:val="auto"/>
        </w:rPr>
        <w:t xml:space="preserve">If default by Tenant shall occur in the keeping, observance or performance of any covenant, agreement, term, provision or condition herein contained, Landlord, without thereby waiving such default, may perform the same for the account and at the expense of Tenant (a) immediately or at any time thereafter and with only such notice, if any, as may be practicable under the circumstances in the case of an emergency or in case such default will result in a violation of any legal or insurance requirements, or in the imposition of any lien against all or any portion of the Premises or the Project (but only after Tenant has failed to respond to such lien as permitted by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within the time period provided in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not discharged, released or bonded over to Landlord’s satisfaction by Tenant within the time period required pursuant to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of this Lease, and (b) in any other case if such default continues after any applicable notice and cure period provided in </w:t>
      </w:r>
      <w:r>
        <w:rPr>
          <w:rFonts w:ascii="Arial" w:cs="Arial" w:eastAsia="Arial" w:hAnsi="Arial"/>
          <w:sz w:val="17"/>
          <w:szCs w:val="17"/>
          <w:u w:val="single" w:color="auto"/>
          <w:color w:val="auto"/>
        </w:rPr>
        <w:t>Section 20</w:t>
      </w:r>
      <w:r>
        <w:rPr>
          <w:rFonts w:ascii="Arial" w:cs="Arial" w:eastAsia="Arial" w:hAnsi="Arial"/>
          <w:sz w:val="17"/>
          <w:szCs w:val="17"/>
          <w:color w:val="auto"/>
        </w:rPr>
        <w:t>. All reasonable costs and expenses incurred by Landlord in connection with any such performance by it for the account of Tenant and also all reasonable costs and expenses, including attorneys’ fees and disbursements incurred by Landlord in any action or proceeding (including any summary dispossess proceeding) brought by Landlord to enforce any obligation of Tenant under this Lease and/or right of Landlord in or to the Premises, shall be paid by Tenant to Landlord within 10 days after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82550</wp:posOffset>
            </wp:positionV>
            <wp:extent cx="2418080" cy="51435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521" w:name="page522"/>
    <w:bookmarkEnd w:id="521"/>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21</w:t>
      </w:r>
    </w:p>
    <w:p>
      <w:pPr>
        <w:spacing w:after="0" w:line="162" w:lineRule="exact"/>
        <w:rPr>
          <w:sz w:val="20"/>
          <w:szCs w:val="20"/>
          <w:color w:val="auto"/>
        </w:rPr>
      </w:pPr>
    </w:p>
    <w:p>
      <w:pPr>
        <w:ind w:left="460" w:right="20" w:firstLine="443"/>
        <w:spacing w:after="0" w:line="277" w:lineRule="auto"/>
        <w:tabs>
          <w:tab w:leader="none" w:pos="1203" w:val="left"/>
        </w:tabs>
        <w:numPr>
          <w:ilvl w:val="1"/>
          <w:numId w:val="378"/>
        </w:numPr>
        <w:rPr>
          <w:rFonts w:ascii="Arial" w:cs="Arial" w:eastAsia="Arial" w:hAnsi="Arial"/>
          <w:sz w:val="18"/>
          <w:szCs w:val="18"/>
          <w:color w:val="auto"/>
        </w:rPr>
      </w:pPr>
      <w:r>
        <w:rPr>
          <w:rFonts w:ascii="Arial" w:cs="Arial" w:eastAsia="Arial" w:hAnsi="Arial"/>
          <w:sz w:val="18"/>
          <w:szCs w:val="18"/>
          <w:color w:val="auto"/>
        </w:rPr>
        <w:t xml:space="preserve">Independent of the exercise of any other remedy of Landlord hereunder or under applicable law, Landlord may conduct an environmental test of the Premises as generally described in </w:t>
      </w:r>
      <w:r>
        <w:rPr>
          <w:rFonts w:ascii="Arial" w:cs="Arial" w:eastAsia="Arial" w:hAnsi="Arial"/>
          <w:sz w:val="18"/>
          <w:szCs w:val="18"/>
          <w:u w:val="single" w:color="auto"/>
          <w:color w:val="auto"/>
        </w:rPr>
        <w:t>Section 30(c)</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60" w:firstLine="443"/>
        <w:spacing w:after="0" w:line="272" w:lineRule="auto"/>
        <w:tabs>
          <w:tab w:leader="none" w:pos="1253" w:val="left"/>
        </w:tabs>
        <w:numPr>
          <w:ilvl w:val="1"/>
          <w:numId w:val="378"/>
        </w:numPr>
        <w:rPr>
          <w:rFonts w:ascii="Arial" w:cs="Arial" w:eastAsia="Arial" w:hAnsi="Arial"/>
          <w:sz w:val="17"/>
          <w:szCs w:val="17"/>
          <w:color w:val="auto"/>
        </w:rPr>
      </w:pPr>
      <w:r>
        <w:rPr>
          <w:rFonts w:ascii="Arial" w:cs="Arial" w:eastAsia="Arial" w:hAnsi="Arial"/>
          <w:sz w:val="17"/>
          <w:szCs w:val="17"/>
          <w:color w:val="auto"/>
        </w:rPr>
        <w:t xml:space="preserve">In the event that Tenant is in breach or Default under this Lease, whether or not Landlord exercises its right to terminate or any other remedy, Tenant shall reimburse Landlord within 10 days after written demand for any out of pocket costs and expenses that Landlord may incur in connection with any such breach or Default, as provided in this </w:t>
      </w:r>
      <w:r>
        <w:rPr>
          <w:rFonts w:ascii="Arial" w:cs="Arial" w:eastAsia="Arial" w:hAnsi="Arial"/>
          <w:sz w:val="17"/>
          <w:szCs w:val="17"/>
          <w:u w:val="single" w:color="auto"/>
          <w:color w:val="auto"/>
        </w:rPr>
        <w:t>Section 21(c)</w:t>
      </w:r>
      <w:r>
        <w:rPr>
          <w:rFonts w:ascii="Arial" w:cs="Arial" w:eastAsia="Arial" w:hAnsi="Arial"/>
          <w:sz w:val="17"/>
          <w:szCs w:val="17"/>
          <w:color w:val="auto"/>
        </w:rPr>
        <w:t>. Such costs shall include reasonable legal fees and costs incurred for the negotiation of a settlement, enforcement of rights or otherwise. Tenant shall also indemnify Landlord against and hold Landlord harmless from all costs, expenses, demands and liability, including without limitation, reasonable legal fees and costs Landlord shall incur if Landlord shall become or be made a party to any claim or action instituted by Tenant against any third party, by any third party against Tenant or by or against any person holding any interest under or using the Premises by license of or agreement with Tenant.</w:t>
      </w:r>
    </w:p>
    <w:p>
      <w:pPr>
        <w:spacing w:after="0" w:line="69" w:lineRule="exact"/>
        <w:rPr>
          <w:rFonts w:ascii="Arial" w:cs="Arial" w:eastAsia="Arial" w:hAnsi="Arial"/>
          <w:sz w:val="17"/>
          <w:szCs w:val="17"/>
          <w:color w:val="auto"/>
        </w:rPr>
      </w:pPr>
    </w:p>
    <w:p>
      <w:pPr>
        <w:ind w:left="460" w:right="20" w:firstLine="443"/>
        <w:spacing w:after="0" w:line="270" w:lineRule="auto"/>
        <w:tabs>
          <w:tab w:leader="none" w:pos="1303" w:val="left"/>
        </w:tabs>
        <w:numPr>
          <w:ilvl w:val="1"/>
          <w:numId w:val="378"/>
        </w:numPr>
        <w:rPr>
          <w:rFonts w:ascii="Arial" w:cs="Arial" w:eastAsia="Arial" w:hAnsi="Arial"/>
          <w:sz w:val="17"/>
          <w:szCs w:val="17"/>
          <w:color w:val="auto"/>
        </w:rPr>
      </w:pPr>
      <w:r>
        <w:rPr>
          <w:rFonts w:ascii="Arial" w:cs="Arial" w:eastAsia="Arial" w:hAnsi="Arial"/>
          <w:sz w:val="17"/>
          <w:szCs w:val="17"/>
          <w:color w:val="auto"/>
        </w:rPr>
        <w:t xml:space="preserve">Except as otherwise provided in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no right or remedy herein conferred upon or reserved to Landlord is intended to be exclusive of any other right or remedy, and every right and remedy shall be cumulative and in addition to any other legal or equitable right or remedy given hereunder, or now or hereafter existing. No waiver by Landlord of any provision of this Lease shall be deemed to have been made unless expressly so made in writing by Landlord expressly waiving such provision. Landlord shall be entitled, to the extent permitted by law, to seek injunctive relief in case of the violation, or attempted or threatened violation, of any provision of this Lease, or to seek a decree compelling observance or performance of any provision of this Lease, or to seek any other legal or equitable remedy. Notwithstanding any contrary provision of this Lease, Tenant shall not be liable to Landlord for any indirect, special or consequential damages, arising from a default by Tenant under this Lease; provided that this sentence shall not apply to Landlord’s damages (x) as expressly provided for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and/or (y) in connection with Tenant’s obligations as more fully set forth in </w:t>
      </w:r>
      <w:r>
        <w:rPr>
          <w:rFonts w:ascii="Arial" w:cs="Arial" w:eastAsia="Arial" w:hAnsi="Arial"/>
          <w:sz w:val="17"/>
          <w:szCs w:val="17"/>
          <w:u w:val="single" w:color="auto"/>
          <w:color w:val="auto"/>
        </w:rPr>
        <w:t>Section 30</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740" w:hanging="276"/>
        <w:spacing w:after="0"/>
        <w:tabs>
          <w:tab w:leader="none" w:pos="740" w:val="left"/>
        </w:tabs>
        <w:numPr>
          <w:ilvl w:val="0"/>
          <w:numId w:val="379"/>
        </w:numPr>
        <w:rPr>
          <w:rFonts w:ascii="Arial" w:cs="Arial" w:eastAsia="Arial" w:hAnsi="Arial"/>
          <w:sz w:val="18"/>
          <w:szCs w:val="18"/>
          <w:color w:val="auto"/>
        </w:rPr>
      </w:pPr>
      <w:r>
        <w:rPr>
          <w:rFonts w:ascii="Arial" w:cs="Arial" w:eastAsia="Arial" w:hAnsi="Arial"/>
          <w:sz w:val="18"/>
          <w:szCs w:val="18"/>
          <w:b w:val="1"/>
          <w:bCs w:val="1"/>
          <w:color w:val="auto"/>
        </w:rPr>
        <w:t>Assignment and Subletting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69" w:lineRule="auto"/>
        <w:tabs>
          <w:tab w:leader="none" w:pos="1157" w:val="left"/>
        </w:tabs>
        <w:numPr>
          <w:ilvl w:val="2"/>
          <w:numId w:val="379"/>
        </w:numPr>
        <w:rPr>
          <w:rFonts w:ascii="Arial" w:cs="Arial" w:eastAsia="Arial" w:hAnsi="Arial"/>
          <w:sz w:val="17"/>
          <w:szCs w:val="17"/>
          <w:color w:val="auto"/>
        </w:rPr>
      </w:pPr>
      <w:r>
        <w:rPr>
          <w:rFonts w:ascii="Arial" w:cs="Arial" w:eastAsia="Arial" w:hAnsi="Arial"/>
          <w:sz w:val="17"/>
          <w:szCs w:val="17"/>
          <w:b w:val="1"/>
          <w:bCs w:val="1"/>
          <w:color w:val="auto"/>
        </w:rPr>
        <w:t>General Prohibition</w:t>
      </w:r>
      <w:r>
        <w:rPr>
          <w:rFonts w:ascii="Arial" w:cs="Arial" w:eastAsia="Arial" w:hAnsi="Arial"/>
          <w:sz w:val="17"/>
          <w:szCs w:val="17"/>
          <w:color w:val="auto"/>
        </w:rPr>
        <w:t>. Without Landlord’s prior written consent subject to and on the conditions described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22</w:t>
      </w:r>
      <w:r>
        <w:rPr>
          <w:rFonts w:ascii="Arial" w:cs="Arial" w:eastAsia="Arial" w:hAnsi="Arial"/>
          <w:sz w:val="17"/>
          <w:szCs w:val="17"/>
          <w:color w:val="auto"/>
        </w:rPr>
        <w:t>, Tenant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50%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Notwithstanding the foregoing, Tenant shall have the right to obtain financing from institutional investors (including venture capital funding and corporate partners) or undergo a public offering which results in a change in control of Tenant without such change of control constituting an assignment under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requiring Landlord consent, provided that (i) Tenant notifies Landlord in writing of the financing at least 5 business days prior to the closing of the financing, and (ii) provided that in no event shall such financing result in a change in use of the Premises from the use contemplated by Tenant at the commencement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81280</wp:posOffset>
            </wp:positionV>
            <wp:extent cx="2418080" cy="5143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22" w:name="page523"/>
    <w:bookmarkEnd w:id="522"/>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22</w:t>
      </w:r>
    </w:p>
    <w:p>
      <w:pPr>
        <w:sectPr>
          <w:pgSz w:w="11900" w:h="16838" w:orient="portrait"/>
          <w:cols w:equalWidth="0" w:num="1">
            <w:col w:w="11420"/>
          </w:cols>
          <w:pgMar w:left="240" w:top="269" w:right="239" w:bottom="1440" w:gutter="0" w:footer="0" w:header="0"/>
        </w:sectPr>
      </w:pPr>
    </w:p>
    <w:p>
      <w:pPr>
        <w:spacing w:after="0" w:line="158" w:lineRule="exact"/>
        <w:rPr>
          <w:sz w:val="20"/>
          <w:szCs w:val="20"/>
          <w:color w:val="auto"/>
        </w:rPr>
      </w:pPr>
    </w:p>
    <w:p>
      <w:pPr>
        <w:ind w:left="1180" w:hanging="259"/>
        <w:spacing w:after="0"/>
        <w:tabs>
          <w:tab w:leader="none" w:pos="1180" w:val="left"/>
        </w:tabs>
        <w:numPr>
          <w:ilvl w:val="2"/>
          <w:numId w:val="380"/>
        </w:numPr>
        <w:rPr>
          <w:rFonts w:ascii="Arial" w:cs="Arial" w:eastAsia="Arial" w:hAnsi="Arial"/>
          <w:sz w:val="18"/>
          <w:szCs w:val="18"/>
          <w:color w:val="auto"/>
        </w:rPr>
      </w:pPr>
      <w:r>
        <w:rPr>
          <w:rFonts w:ascii="Arial" w:cs="Arial" w:eastAsia="Arial" w:hAnsi="Arial"/>
          <w:sz w:val="18"/>
          <w:szCs w:val="18"/>
          <w:b w:val="1"/>
          <w:bCs w:val="1"/>
          <w:color w:val="auto"/>
        </w:rPr>
        <w:t>Permitted Transfers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40" w:firstLine="443"/>
        <w:spacing w:after="0" w:line="284" w:lineRule="auto"/>
        <w:tabs>
          <w:tab w:leader="none" w:pos="1113" w:val="left"/>
        </w:tabs>
        <w:numPr>
          <w:ilvl w:val="1"/>
          <w:numId w:val="381"/>
        </w:numPr>
        <w:rPr>
          <w:rFonts w:ascii="Arial" w:cs="Arial" w:eastAsia="Arial" w:hAnsi="Arial"/>
          <w:sz w:val="16"/>
          <w:szCs w:val="16"/>
          <w:color w:val="auto"/>
        </w:rPr>
      </w:pPr>
      <w:r>
        <w:rPr>
          <w:rFonts w:ascii="Arial" w:cs="Arial" w:eastAsia="Arial" w:hAnsi="Arial"/>
          <w:sz w:val="16"/>
          <w:szCs w:val="16"/>
          <w:b w:val="1"/>
          <w:bCs w:val="1"/>
          <w:color w:val="auto"/>
        </w:rPr>
        <w:t>Permitted Transfers Generally</w:t>
      </w:r>
      <w:r>
        <w:rPr>
          <w:rFonts w:ascii="Arial" w:cs="Arial" w:eastAsia="Arial" w:hAnsi="Arial"/>
          <w:sz w:val="16"/>
          <w:szCs w:val="16"/>
          <w:color w:val="auto"/>
        </w:rPr>
        <w:t>. If Tenant desires to assign, sublease, hypothecate or otherwise transfer this Lease or sublet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pursuant to a Permitted Assignment (as defined below), then at least 15 business days, but not more than 45 business days, before the date Tenant desires the assignment or sublease to be effective (the “</w:t>
      </w:r>
      <w:r>
        <w:rPr>
          <w:rFonts w:ascii="Arial" w:cs="Arial" w:eastAsia="Arial" w:hAnsi="Arial"/>
          <w:sz w:val="16"/>
          <w:szCs w:val="16"/>
          <w:b w:val="1"/>
          <w:bCs w:val="1"/>
          <w:color w:val="auto"/>
        </w:rPr>
        <w:t>Assignment Date</w:t>
      </w:r>
      <w:r>
        <w:rPr>
          <w:rFonts w:ascii="Arial" w:cs="Arial" w:eastAsia="Arial" w:hAnsi="Arial"/>
          <w:sz w:val="16"/>
          <w:szCs w:val="16"/>
          <w:color w:val="auto"/>
        </w:rPr>
        <w:t>”), Tenant shall give Landlord a notice (the “</w:t>
      </w:r>
      <w:r>
        <w:rPr>
          <w:rFonts w:ascii="Arial" w:cs="Arial" w:eastAsia="Arial" w:hAnsi="Arial"/>
          <w:sz w:val="16"/>
          <w:szCs w:val="16"/>
          <w:b w:val="1"/>
          <w:bCs w:val="1"/>
          <w:color w:val="auto"/>
        </w:rPr>
        <w:t>Assignment Notice</w:t>
      </w:r>
      <w:r>
        <w:rPr>
          <w:rFonts w:ascii="Arial" w:cs="Arial" w:eastAsia="Arial" w:hAnsi="Arial"/>
          <w:sz w:val="16"/>
          <w:szCs w:val="16"/>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(ii) refuse such consent, in its sole and absolute discretion, if the proposed assignment, hypothecation or other transfer or subletting concerns more than (together with all other then effective subleases) 50% of the Premises, (iii) with respect to any assignment or sublease that would result in more than 50% of the Premises being subleased for substantially the remainder of the Base Term, refuse such consent, in its reasonable discretion, if the proposed subletting concerns (together with all other then-effective subleases) 50% or less of the Premises (provided that Landlord shall further have the right to review and approve or disapprove the proposed form of sublease prior to the effective date of any such subletting), or (iv) terminate this Lease with respect to the space described in the Assignment Notice as of the Assignment Date (an “</w:t>
      </w:r>
      <w:r>
        <w:rPr>
          <w:rFonts w:ascii="Arial" w:cs="Arial" w:eastAsia="Arial" w:hAnsi="Arial"/>
          <w:sz w:val="16"/>
          <w:szCs w:val="16"/>
          <w:b w:val="1"/>
          <w:bCs w:val="1"/>
          <w:color w:val="auto"/>
        </w:rPr>
        <w:t>Assignment</w:t>
      </w:r>
      <w:r>
        <w:rPr>
          <w:rFonts w:ascii="Arial" w:cs="Arial" w:eastAsia="Arial" w:hAnsi="Arial"/>
          <w:sz w:val="16"/>
          <w:szCs w:val="16"/>
          <w:color w:val="auto"/>
        </w:rPr>
        <w:t xml:space="preserve"> </w:t>
      </w:r>
      <w:r>
        <w:rPr>
          <w:rFonts w:ascii="Arial" w:cs="Arial" w:eastAsia="Arial" w:hAnsi="Arial"/>
          <w:sz w:val="16"/>
          <w:szCs w:val="16"/>
          <w:b w:val="1"/>
          <w:bCs w:val="1"/>
          <w:color w:val="auto"/>
        </w:rPr>
        <w:t>Termination</w:t>
      </w:r>
      <w:r>
        <w:rPr>
          <w:rFonts w:ascii="Arial" w:cs="Arial" w:eastAsia="Arial" w:hAnsi="Arial"/>
          <w:sz w:val="16"/>
          <w:szCs w:val="16"/>
          <w:color w:val="auto"/>
        </w:rPr>
        <w:t>”). If Landlord delivers notice of its election to exercise an Assignment Termination, Tenant shall have the right to withdraw such</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Notice by written notice to Landlord of such election within 5 business days after Landlord’s 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with respect to the space described in such Assignment Notice.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 Three Thousand Dollars ($3,000) in connection with its consideration of any Assignment Notice and/or its preparation or review of any consent documents. In any event, Landlord shall further have the right to review and approve or disapprove the proposed form of sublease prior to the effective date of any such subletting.</w:t>
      </w:r>
    </w:p>
    <w:p>
      <w:pPr>
        <w:spacing w:after="0" w:line="288" w:lineRule="exact"/>
        <w:rPr>
          <w:rFonts w:ascii="Arial" w:cs="Arial" w:eastAsia="Arial" w:hAnsi="Arial"/>
          <w:sz w:val="16"/>
          <w:szCs w:val="16"/>
          <w:color w:val="auto"/>
        </w:rPr>
      </w:pPr>
    </w:p>
    <w:p>
      <w:pPr>
        <w:ind w:left="460" w:right="60" w:firstLine="443"/>
        <w:spacing w:after="0" w:line="284" w:lineRule="auto"/>
        <w:tabs>
          <w:tab w:leader="none" w:pos="1163" w:val="left"/>
        </w:tabs>
        <w:numPr>
          <w:ilvl w:val="1"/>
          <w:numId w:val="381"/>
        </w:numPr>
        <w:rPr>
          <w:rFonts w:ascii="Arial" w:cs="Arial" w:eastAsia="Arial" w:hAnsi="Arial"/>
          <w:sz w:val="16"/>
          <w:szCs w:val="16"/>
          <w:color w:val="auto"/>
        </w:rPr>
      </w:pPr>
      <w:r>
        <w:rPr>
          <w:rFonts w:ascii="Arial" w:cs="Arial" w:eastAsia="Arial" w:hAnsi="Arial"/>
          <w:sz w:val="16"/>
          <w:szCs w:val="16"/>
          <w:b w:val="1"/>
          <w:bCs w:val="1"/>
          <w:color w:val="auto"/>
        </w:rPr>
        <w:t>Affiliate Transactions</w:t>
      </w:r>
      <w:r>
        <w:rPr>
          <w:rFonts w:ascii="Arial" w:cs="Arial" w:eastAsia="Arial" w:hAnsi="Arial"/>
          <w:sz w:val="16"/>
          <w:szCs w:val="16"/>
          <w:color w:val="auto"/>
        </w:rPr>
        <w:t>. Notwithstanding the foregoing, Landlord’s consent to a sublease to any entity controlling, controlled by or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with Tenant (each, an “</w:t>
      </w:r>
      <w:r>
        <w:rPr>
          <w:rFonts w:ascii="Arial" w:cs="Arial" w:eastAsia="Arial" w:hAnsi="Arial"/>
          <w:sz w:val="16"/>
          <w:szCs w:val="16"/>
          <w:b w:val="1"/>
          <w:bCs w:val="1"/>
          <w:color w:val="auto"/>
        </w:rPr>
        <w:t>Affiliate</w:t>
      </w:r>
      <w:r>
        <w:rPr>
          <w:rFonts w:ascii="Arial" w:cs="Arial" w:eastAsia="Arial" w:hAnsi="Arial"/>
          <w:sz w:val="16"/>
          <w:szCs w:val="16"/>
          <w:color w:val="auto"/>
        </w:rPr>
        <w:t>” and collectively “Affiliates”) shall not be required, provided that Landlord shall have the right to approve the form of any such sublease, such approval not to be unreasonably withheld, conditioned or delayed. In addition, Tenant shall have the right to assign this Lease, upon 10 days’ prior written notice to Landlord but without obtaining Landlord’s prior written consent, to an Affiliate or to a corporation or other entity which is a successor in interest to Tenant, by way of merger, consolidation or corporate reorganization, or by the purchase of all or substantially all of the assets or the ownership interests of Tenant provided that: (A) in the case of an assignment to a successor in interest, such merger, consolidation, reorganization or purchase, as the case may be, is for a good business purpose and not principally for the purpose of transferring the Lease; and (B) in all events the net worth (as determined in accordance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xml:space="preserve">”)) of the Affiliate assignee or successor in interest to Tenant is not less than the net worth (as determined in accordance with GAAP) of Tenant as of the date of Tenant’s most current quarterly or annual financial statements as delivered under </w:t>
      </w:r>
      <w:r>
        <w:rPr>
          <w:rFonts w:ascii="Arial" w:cs="Arial" w:eastAsia="Arial" w:hAnsi="Arial"/>
          <w:sz w:val="16"/>
          <w:szCs w:val="16"/>
          <w:u w:val="single" w:color="auto"/>
          <w:color w:val="auto"/>
        </w:rPr>
        <w:t>Section 40(c)</w:t>
      </w:r>
      <w:r>
        <w:rPr>
          <w:rFonts w:ascii="Arial" w:cs="Arial" w:eastAsia="Arial" w:hAnsi="Arial"/>
          <w:sz w:val="16"/>
          <w:szCs w:val="16"/>
          <w:color w:val="auto"/>
        </w:rPr>
        <w:t xml:space="preserve"> or filed with the Securities and Exchange Commission; and</w:t>
      </w:r>
    </w:p>
    <w:p>
      <w:pPr>
        <w:spacing w:after="0" w:line="1" w:lineRule="exact"/>
        <w:rPr>
          <w:rFonts w:ascii="Arial" w:cs="Arial" w:eastAsia="Arial" w:hAnsi="Arial"/>
          <w:sz w:val="16"/>
          <w:szCs w:val="16"/>
          <w:color w:val="auto"/>
        </w:rPr>
      </w:pPr>
    </w:p>
    <w:p>
      <w:pPr>
        <w:jc w:val="both"/>
        <w:ind w:left="460" w:right="220" w:firstLine="4"/>
        <w:spacing w:after="0" w:line="255" w:lineRule="auto"/>
        <w:tabs>
          <w:tab w:leader="none" w:pos="74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such Affiliate assignee or successor-in-interest to Tenant shall agree in writing to assume all of the terms, covenants and conditions of this Lease (an assignment of this Lease to an Affiliate assignee or a successor-in-interest in accordance with this paragraph is referred to herein as a “</w:t>
      </w:r>
      <w:r>
        <w:rPr>
          <w:rFonts w:ascii="Arial" w:cs="Arial" w:eastAsia="Arial" w:hAnsi="Arial"/>
          <w:sz w:val="18"/>
          <w:szCs w:val="18"/>
          <w:b w:val="1"/>
          <w:bCs w:val="1"/>
          <w:color w:val="auto"/>
        </w:rPr>
        <w:t>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86995</wp:posOffset>
            </wp:positionV>
            <wp:extent cx="2418080" cy="51435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523" w:name="page524"/>
    <w:bookmarkEnd w:id="523"/>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23</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b w:val="1"/>
          <w:bCs w:val="1"/>
          <w:color w:val="auto"/>
        </w:rPr>
        <w:t>Additional Conditions</w:t>
      </w:r>
      <w:r>
        <w:rPr>
          <w:rFonts w:ascii="Arial" w:cs="Arial" w:eastAsia="Arial" w:hAnsi="Arial"/>
          <w:sz w:val="16"/>
          <w:szCs w:val="16"/>
          <w:color w:val="auto"/>
        </w:rPr>
        <w:t>. As a condition to any such assignment or subletting, whether or not Landlord’s consent is required, Landlord may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require:</w:t>
      </w:r>
    </w:p>
    <w:p>
      <w:pPr>
        <w:spacing w:after="0" w:line="103" w:lineRule="exact"/>
        <w:rPr>
          <w:sz w:val="20"/>
          <w:szCs w:val="20"/>
          <w:color w:val="auto"/>
        </w:rPr>
      </w:pPr>
    </w:p>
    <w:p>
      <w:pPr>
        <w:ind w:left="460" w:right="120" w:firstLine="443"/>
        <w:spacing w:after="0" w:line="257" w:lineRule="auto"/>
        <w:tabs>
          <w:tab w:leader="none" w:pos="1113" w:val="left"/>
        </w:tabs>
        <w:numPr>
          <w:ilvl w:val="0"/>
          <w:numId w:val="383"/>
        </w:numPr>
        <w:rPr>
          <w:rFonts w:ascii="Arial" w:cs="Arial" w:eastAsia="Arial" w:hAnsi="Arial"/>
          <w:sz w:val="18"/>
          <w:szCs w:val="18"/>
          <w:color w:val="auto"/>
        </w:rPr>
      </w:pPr>
      <w:r>
        <w:rPr>
          <w:rFonts w:ascii="Arial" w:cs="Arial" w:eastAsia="Arial" w:hAnsi="Arial"/>
          <w:sz w:val="18"/>
          <w:szCs w:val="18"/>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the Lease, and any such third party shall agree to attorn to Landlord or its successors and assigns should this Lease be terminated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Landlord or its successors or assigns be obligated to accept such attornment; and</w:t>
      </w:r>
    </w:p>
    <w:p>
      <w:pPr>
        <w:spacing w:after="0" w:line="80" w:lineRule="exact"/>
        <w:rPr>
          <w:rFonts w:ascii="Arial" w:cs="Arial" w:eastAsia="Arial" w:hAnsi="Arial"/>
          <w:sz w:val="18"/>
          <w:szCs w:val="18"/>
          <w:color w:val="auto"/>
        </w:rPr>
      </w:pPr>
    </w:p>
    <w:p>
      <w:pPr>
        <w:ind w:left="460" w:right="20" w:firstLine="443"/>
        <w:spacing w:after="0" w:line="270" w:lineRule="auto"/>
        <w:tabs>
          <w:tab w:leader="none" w:pos="1163" w:val="left"/>
        </w:tabs>
        <w:numPr>
          <w:ilvl w:val="0"/>
          <w:numId w:val="383"/>
        </w:numPr>
        <w:rPr>
          <w:rFonts w:ascii="Arial" w:cs="Arial" w:eastAsia="Arial" w:hAnsi="Arial"/>
          <w:sz w:val="17"/>
          <w:szCs w:val="17"/>
          <w:color w:val="auto"/>
        </w:rPr>
      </w:pPr>
      <w:r>
        <w:rPr>
          <w:rFonts w:ascii="Arial" w:cs="Arial" w:eastAsia="Arial" w:hAnsi="Arial"/>
          <w:sz w:val="17"/>
          <w:szCs w:val="17"/>
          <w:color w:val="auto"/>
        </w:rPr>
        <w:t>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65" w:lineRule="exact"/>
        <w:rPr>
          <w:rFonts w:ascii="Arial" w:cs="Arial" w:eastAsia="Arial" w:hAnsi="Arial"/>
          <w:sz w:val="17"/>
          <w:szCs w:val="17"/>
          <w:color w:val="auto"/>
        </w:rPr>
      </w:pPr>
    </w:p>
    <w:p>
      <w:pPr>
        <w:ind w:firstLine="921"/>
        <w:spacing w:after="0" w:line="270" w:lineRule="auto"/>
        <w:tabs>
          <w:tab w:leader="none" w:pos="1168" w:val="left"/>
        </w:tabs>
        <w:numPr>
          <w:ilvl w:val="1"/>
          <w:numId w:val="383"/>
        </w:numPr>
        <w:rPr>
          <w:rFonts w:ascii="Arial" w:cs="Arial" w:eastAsia="Arial" w:hAnsi="Arial"/>
          <w:sz w:val="17"/>
          <w:szCs w:val="17"/>
          <w:color w:val="auto"/>
        </w:rPr>
      </w:pPr>
      <w:r>
        <w:rPr>
          <w:rFonts w:ascii="Arial" w:cs="Arial" w:eastAsia="Arial" w:hAnsi="Arial"/>
          <w:sz w:val="17"/>
          <w:szCs w:val="17"/>
          <w:b w:val="1"/>
          <w:bCs w:val="1"/>
          <w:color w:val="auto"/>
        </w:rPr>
        <w:t>No Release of Tenant, Sharing of Excess Rents</w:t>
      </w:r>
      <w:r>
        <w:rPr>
          <w:rFonts w:ascii="Arial" w:cs="Arial" w:eastAsia="Arial" w:hAnsi="Arial"/>
          <w:sz w:val="17"/>
          <w:szCs w:val="17"/>
          <w:color w:val="auto"/>
        </w:rPr>
        <w:t>. Notwithstanding any assignment or subletting, Tenant and any guarantor or surety of</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obligations under this Lease shall at all times remain fully and primarily responsible and liable for the payment of Rent and for compliance with all of Tenant’s other obligations under this Lease. Except in connection with a Permitted Assignment, if the Rent due and payable by a sublessee or assignee (or a combination of the rental payable under such sublease or assignment plus any bonus or other consideration therefor or incident thereto in any form) exceeds the sum of the rental payable under this Lease (excluding however, any Rent payable under this Section) and actual and reasonable brokerage fees, legal costs and any design or construction fees directly related to and required pursuant to the terms of any such sublease (such excess, the “</w:t>
      </w:r>
      <w:r>
        <w:rPr>
          <w:rFonts w:ascii="Arial" w:cs="Arial" w:eastAsia="Arial" w:hAnsi="Arial"/>
          <w:sz w:val="17"/>
          <w:szCs w:val="17"/>
          <w:b w:val="1"/>
          <w:bCs w:val="1"/>
          <w:color w:val="auto"/>
        </w:rPr>
        <w:t>Excess Rent</w:t>
      </w:r>
      <w:r>
        <w:rPr>
          <w:rFonts w:ascii="Arial" w:cs="Arial" w:eastAsia="Arial" w:hAnsi="Arial"/>
          <w:sz w:val="17"/>
          <w:szCs w:val="17"/>
          <w:color w:val="auto"/>
        </w:rPr>
        <w:t>”), then Tenant shall be bound and obligated to pay Landlord as Additional Rent hereunder 50% of such Excess Rent within 10 days following receipt thereof by Tenant. If Tenant shall sublet the Premises or any part thereof, Tenant hereby 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65" w:lineRule="exact"/>
        <w:rPr>
          <w:rFonts w:ascii="Arial" w:cs="Arial" w:eastAsia="Arial" w:hAnsi="Arial"/>
          <w:sz w:val="17"/>
          <w:szCs w:val="17"/>
          <w:color w:val="auto"/>
        </w:rPr>
      </w:pPr>
    </w:p>
    <w:p>
      <w:pPr>
        <w:ind w:right="120" w:firstLine="921"/>
        <w:spacing w:after="0" w:line="258" w:lineRule="auto"/>
        <w:tabs>
          <w:tab w:leader="none" w:pos="1157" w:val="left"/>
        </w:tabs>
        <w:numPr>
          <w:ilvl w:val="1"/>
          <w:numId w:val="383"/>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The consent by Landlord to an assignment or subletting shall not relieve Tenant or any assignees of this Lease or any sublessees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Premises from obtaining the consent of Landlord to any further assignment or subletting nor shall it release Tenant or any assignee or sublessee of Tenant from full and primary liability under the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85725</wp:posOffset>
            </wp:positionV>
            <wp:extent cx="2418080" cy="5143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24" w:name="page525"/>
    <w:bookmarkEnd w:id="524"/>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24</w:t>
      </w:r>
    </w:p>
    <w:p>
      <w:pPr>
        <w:spacing w:after="0" w:line="158" w:lineRule="exact"/>
        <w:rPr>
          <w:sz w:val="20"/>
          <w:szCs w:val="20"/>
          <w:color w:val="auto"/>
        </w:rPr>
      </w:pPr>
    </w:p>
    <w:p>
      <w:pPr>
        <w:ind w:firstLine="464"/>
        <w:spacing w:after="0" w:line="271" w:lineRule="auto"/>
        <w:tabs>
          <w:tab w:leader="none" w:pos="726" w:val="left"/>
        </w:tabs>
        <w:numPr>
          <w:ilvl w:val="0"/>
          <w:numId w:val="384"/>
        </w:numPr>
        <w:rPr>
          <w:rFonts w:ascii="Arial" w:cs="Arial" w:eastAsia="Arial" w:hAnsi="Arial"/>
          <w:sz w:val="17"/>
          <w:szCs w:val="17"/>
          <w:color w:val="auto"/>
        </w:rPr>
      </w:pPr>
      <w:r>
        <w:rPr>
          <w:rFonts w:ascii="Arial" w:cs="Arial" w:eastAsia="Arial" w:hAnsi="Arial"/>
          <w:sz w:val="17"/>
          <w:szCs w:val="17"/>
          <w:b w:val="1"/>
          <w:bCs w:val="1"/>
          <w:color w:val="auto"/>
        </w:rPr>
        <w:t>Estoppel Certificate</w:t>
      </w:r>
      <w:r>
        <w:rPr>
          <w:rFonts w:ascii="Arial" w:cs="Arial" w:eastAsia="Arial" w:hAnsi="Arial"/>
          <w:sz w:val="17"/>
          <w:szCs w:val="17"/>
          <w:color w:val="auto"/>
        </w:rPr>
        <w:t>. Tenant shall, within 10 business days of written notice from Landlord, execute, acknowledge and deliver a statement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in any 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to the best of Tenant’s knowledge there are not any uncured defaults on the part of Landlord hereunder, or specifying such defaults if any are claimed, and (iii) setting forth such further information with respect to the status of this Lease or the Premises as may be reasonably requested thereon. Any such statement may be relied upon by any prospective purchaser or encumbrancer of all or any portion of the real property of which the Premises are a part. Tenant’s failure to deliver such statement within such time shall, at the option of Landlord, be conclusive upon Tenant that the Lease is in full force and effect and without modification except as may be represented by Landlord in any certificate prepared by Landlord and delivered to Tenant for execution.</w:t>
      </w:r>
    </w:p>
    <w:p>
      <w:pPr>
        <w:spacing w:after="0" w:line="66" w:lineRule="exact"/>
        <w:rPr>
          <w:rFonts w:ascii="Arial" w:cs="Arial" w:eastAsia="Arial" w:hAnsi="Arial"/>
          <w:sz w:val="17"/>
          <w:szCs w:val="17"/>
          <w:color w:val="auto"/>
        </w:rPr>
      </w:pPr>
    </w:p>
    <w:p>
      <w:pPr>
        <w:ind w:right="80" w:firstLine="464"/>
        <w:spacing w:after="0" w:line="266" w:lineRule="auto"/>
        <w:tabs>
          <w:tab w:leader="none" w:pos="726" w:val="left"/>
        </w:tabs>
        <w:numPr>
          <w:ilvl w:val="0"/>
          <w:numId w:val="384"/>
        </w:numPr>
        <w:rPr>
          <w:rFonts w:ascii="Arial" w:cs="Arial" w:eastAsia="Arial" w:hAnsi="Arial"/>
          <w:sz w:val="18"/>
          <w:szCs w:val="18"/>
          <w:color w:val="auto"/>
        </w:rPr>
      </w:pPr>
      <w:r>
        <w:rPr>
          <w:rFonts w:ascii="Arial" w:cs="Arial" w:eastAsia="Arial" w:hAnsi="Arial"/>
          <w:sz w:val="18"/>
          <w:szCs w:val="18"/>
          <w:b w:val="1"/>
          <w:bCs w:val="1"/>
          <w:color w:val="auto"/>
        </w:rPr>
        <w:t>Quiet Enjoyment</w:t>
      </w:r>
      <w:r>
        <w:rPr>
          <w:rFonts w:ascii="Arial" w:cs="Arial" w:eastAsia="Arial" w:hAnsi="Arial"/>
          <w:sz w:val="18"/>
          <w:szCs w:val="18"/>
          <w:color w:val="auto"/>
        </w:rPr>
        <w:t>. So long as Tenant shall perform all of the covenants and agreements herein required to be performed by Tenant,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this Lease, at all times during the Term, have peaceful and quiet enjoyment of the Premises against any person claiming by, through or under Landlord.</w:t>
      </w:r>
    </w:p>
    <w:p>
      <w:pPr>
        <w:spacing w:after="0" w:line="68" w:lineRule="exact"/>
        <w:rPr>
          <w:rFonts w:ascii="Arial" w:cs="Arial" w:eastAsia="Arial" w:hAnsi="Arial"/>
          <w:sz w:val="18"/>
          <w:szCs w:val="18"/>
          <w:color w:val="auto"/>
        </w:rPr>
      </w:pPr>
    </w:p>
    <w:p>
      <w:pPr>
        <w:ind w:left="740" w:hanging="276"/>
        <w:spacing w:after="0"/>
        <w:tabs>
          <w:tab w:leader="none" w:pos="740" w:val="left"/>
        </w:tabs>
        <w:numPr>
          <w:ilvl w:val="0"/>
          <w:numId w:val="384"/>
        </w:numPr>
        <w:rPr>
          <w:rFonts w:ascii="Arial" w:cs="Arial" w:eastAsia="Arial" w:hAnsi="Arial"/>
          <w:sz w:val="17"/>
          <w:szCs w:val="17"/>
          <w:color w:val="auto"/>
        </w:rPr>
      </w:pPr>
      <w:r>
        <w:rPr>
          <w:rFonts w:ascii="Arial" w:cs="Arial" w:eastAsia="Arial" w:hAnsi="Arial"/>
          <w:sz w:val="17"/>
          <w:szCs w:val="17"/>
          <w:b w:val="1"/>
          <w:bCs w:val="1"/>
          <w:color w:val="auto"/>
        </w:rPr>
        <w:t>Prorations</w:t>
      </w:r>
      <w:r>
        <w:rPr>
          <w:rFonts w:ascii="Arial" w:cs="Arial" w:eastAsia="Arial" w:hAnsi="Arial"/>
          <w:sz w:val="17"/>
          <w:szCs w:val="17"/>
          <w:color w:val="auto"/>
        </w:rPr>
        <w:t>. All prorations required or permitted to be made hereunder shall be made on the basis of a 360 day year and 30 day months.</w:t>
      </w:r>
    </w:p>
    <w:p>
      <w:pPr>
        <w:spacing w:after="0" w:line="128" w:lineRule="exact"/>
        <w:rPr>
          <w:rFonts w:ascii="Arial" w:cs="Arial" w:eastAsia="Arial" w:hAnsi="Arial"/>
          <w:sz w:val="17"/>
          <w:szCs w:val="17"/>
          <w:color w:val="auto"/>
        </w:rPr>
      </w:pPr>
    </w:p>
    <w:p>
      <w:pPr>
        <w:ind w:right="240" w:firstLine="464"/>
        <w:spacing w:after="0" w:line="277" w:lineRule="auto"/>
        <w:tabs>
          <w:tab w:leader="none" w:pos="726" w:val="left"/>
        </w:tabs>
        <w:numPr>
          <w:ilvl w:val="0"/>
          <w:numId w:val="384"/>
        </w:numPr>
        <w:rPr>
          <w:rFonts w:ascii="Arial" w:cs="Arial" w:eastAsia="Arial" w:hAnsi="Arial"/>
          <w:sz w:val="17"/>
          <w:szCs w:val="17"/>
          <w:color w:val="auto"/>
        </w:rPr>
      </w:pPr>
      <w:r>
        <w:rPr>
          <w:rFonts w:ascii="Arial" w:cs="Arial" w:eastAsia="Arial" w:hAnsi="Arial"/>
          <w:sz w:val="17"/>
          <w:szCs w:val="17"/>
          <w:b w:val="1"/>
          <w:bCs w:val="1"/>
          <w:color w:val="auto"/>
        </w:rPr>
        <w:t>Rules and Regulations</w:t>
      </w:r>
      <w:r>
        <w:rPr>
          <w:rFonts w:ascii="Arial" w:cs="Arial" w:eastAsia="Arial" w:hAnsi="Arial"/>
          <w:sz w:val="17"/>
          <w:szCs w:val="17"/>
          <w:color w:val="auto"/>
        </w:rPr>
        <w:t>. Tenant shall, at all times during the Term and any extension thereof, comply with all reasonable rules and regulations 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time or from time to time established by Landlord covering use of the Premises and the Project or portion thereof of which the Premises are a part. The current rules and regulations are attached hereto as </w:t>
      </w:r>
      <w:r>
        <w:rPr>
          <w:rFonts w:ascii="Arial" w:cs="Arial" w:eastAsia="Arial" w:hAnsi="Arial"/>
          <w:sz w:val="17"/>
          <w:szCs w:val="17"/>
          <w:b w:val="1"/>
          <w:bCs w:val="1"/>
          <w:color w:val="auto"/>
        </w:rPr>
        <w:t>Exhibit E</w:t>
      </w:r>
      <w:r>
        <w:rPr>
          <w:rFonts w:ascii="Arial" w:cs="Arial" w:eastAsia="Arial" w:hAnsi="Arial"/>
          <w:sz w:val="17"/>
          <w:szCs w:val="17"/>
          <w:color w:val="auto"/>
        </w:rPr>
        <w:t>. If there is any conflict between said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w:t>
      </w:r>
    </w:p>
    <w:p>
      <w:pPr>
        <w:spacing w:after="0" w:line="60" w:lineRule="exact"/>
        <w:rPr>
          <w:rFonts w:ascii="Arial" w:cs="Arial" w:eastAsia="Arial" w:hAnsi="Arial"/>
          <w:sz w:val="17"/>
          <w:szCs w:val="17"/>
          <w:color w:val="auto"/>
        </w:rPr>
      </w:pPr>
    </w:p>
    <w:p>
      <w:pPr>
        <w:ind w:right="100" w:firstLine="464"/>
        <w:spacing w:after="0" w:line="269" w:lineRule="auto"/>
        <w:tabs>
          <w:tab w:leader="none" w:pos="726" w:val="left"/>
        </w:tabs>
        <w:numPr>
          <w:ilvl w:val="0"/>
          <w:numId w:val="384"/>
        </w:numPr>
        <w:rPr>
          <w:rFonts w:ascii="Arial" w:cs="Arial" w:eastAsia="Arial" w:hAnsi="Arial"/>
          <w:sz w:val="17"/>
          <w:szCs w:val="17"/>
          <w:color w:val="auto"/>
        </w:rPr>
      </w:pPr>
      <w:r>
        <w:rPr>
          <w:rFonts w:ascii="Arial" w:cs="Arial" w:eastAsia="Arial" w:hAnsi="Arial"/>
          <w:sz w:val="17"/>
          <w:szCs w:val="17"/>
          <w:b w:val="1"/>
          <w:bCs w:val="1"/>
          <w:color w:val="auto"/>
        </w:rPr>
        <w:t>Subordination</w:t>
      </w:r>
      <w:r>
        <w:rPr>
          <w:rFonts w:ascii="Arial" w:cs="Arial" w:eastAsia="Arial" w:hAnsi="Arial"/>
          <w:sz w:val="17"/>
          <w:szCs w:val="17"/>
          <w:color w:val="auto"/>
        </w:rPr>
        <w:t>. This Lease and Tenant’s interest and rights hereunder are hereby made and shall be subject and subordinate at all times to the lien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any Mortgage now existing or hereafter created on or against the Project, Property, Building or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so long as there is no Default hereunder, Tenant’s right to possession of the Premises shall not be disturbed by the Holder of any such Mortgage. Tenant agrees, at the election of the Holder of any such Mortgage, to attorn to any such Holder. Tenant agrees upon demand to execute, acknowledge and deliver such instruments, confirming such subordination, and such instruments of attornment as shall be requested by any such Holder, provided any such instruments contain appropriate non-disturbance provisions assuring Tenant’s quiet enjoyment of the Premises as set forth in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7"/>
          <w:szCs w:val="17"/>
          <w:b w:val="1"/>
          <w:bCs w:val="1"/>
          <w:color w:val="auto"/>
        </w:rPr>
        <w:t>Mortgage</w:t>
      </w:r>
      <w:r>
        <w:rPr>
          <w:rFonts w:ascii="Arial" w:cs="Arial" w:eastAsia="Arial" w:hAnsi="Arial"/>
          <w:sz w:val="17"/>
          <w:szCs w:val="17"/>
          <w:color w:val="auto"/>
        </w:rPr>
        <w:t>” whenever used in this Lease shall be deemed to include deeds of trust, security assignments, ground leases or other superior leases and any other encumbrances, and any reference to the “</w:t>
      </w:r>
      <w:r>
        <w:rPr>
          <w:rFonts w:ascii="Arial" w:cs="Arial" w:eastAsia="Arial" w:hAnsi="Arial"/>
          <w:sz w:val="17"/>
          <w:szCs w:val="17"/>
          <w:b w:val="1"/>
          <w:bCs w:val="1"/>
          <w:color w:val="auto"/>
        </w:rPr>
        <w:t>Holder</w:t>
      </w:r>
      <w:r>
        <w:rPr>
          <w:rFonts w:ascii="Arial" w:cs="Arial" w:eastAsia="Arial" w:hAnsi="Arial"/>
          <w:sz w:val="17"/>
          <w:szCs w:val="17"/>
          <w:color w:val="auto"/>
        </w:rPr>
        <w:t>” of a Mortgage shall be deemed to include the beneficiary under a deed of trust.</w:t>
      </w:r>
    </w:p>
    <w:p>
      <w:pPr>
        <w:spacing w:after="0" w:line="68" w:lineRule="exact"/>
        <w:rPr>
          <w:rFonts w:ascii="Arial" w:cs="Arial" w:eastAsia="Arial" w:hAnsi="Arial"/>
          <w:sz w:val="17"/>
          <w:szCs w:val="17"/>
          <w:color w:val="auto"/>
        </w:rPr>
      </w:pPr>
    </w:p>
    <w:p>
      <w:pPr>
        <w:ind w:right="120" w:firstLine="464"/>
        <w:spacing w:after="0" w:line="281" w:lineRule="auto"/>
        <w:tabs>
          <w:tab w:leader="none" w:pos="726" w:val="left"/>
        </w:tabs>
        <w:numPr>
          <w:ilvl w:val="0"/>
          <w:numId w:val="384"/>
        </w:numPr>
        <w:rPr>
          <w:rFonts w:ascii="Arial" w:cs="Arial" w:eastAsia="Arial" w:hAnsi="Arial"/>
          <w:sz w:val="17"/>
          <w:szCs w:val="17"/>
          <w:color w:val="auto"/>
        </w:rPr>
      </w:pPr>
      <w:r>
        <w:rPr>
          <w:rFonts w:ascii="Arial" w:cs="Arial" w:eastAsia="Arial" w:hAnsi="Arial"/>
          <w:sz w:val="17"/>
          <w:szCs w:val="17"/>
          <w:b w:val="1"/>
          <w:bCs w:val="1"/>
          <w:color w:val="auto"/>
        </w:rPr>
        <w:t>Surrender</w:t>
      </w:r>
      <w:r>
        <w:rPr>
          <w:rFonts w:ascii="Arial" w:cs="Arial" w:eastAsia="Arial" w:hAnsi="Arial"/>
          <w:sz w:val="17"/>
          <w:szCs w:val="17"/>
          <w:color w:val="auto"/>
        </w:rPr>
        <w:t>. Upon the expiration of the Term or earlier termination of Tenant’s right of possession, Tenant shall surrender the Premises to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the same condition as received, subject to any Alterations or Installations permitted by Landlord to remain in the Premises, free of Hazardous Materials brought upon, kept, used, stored, handled, treated, generated in, or released or disposed of from, the Premises by any person other than a Landlord Party, broom clean, ordinary wear and tear and casualty loss and condemnation covered by </w:t>
      </w:r>
      <w:r>
        <w:rPr>
          <w:rFonts w:ascii="Arial" w:cs="Arial" w:eastAsia="Arial" w:hAnsi="Arial"/>
          <w:sz w:val="17"/>
          <w:szCs w:val="17"/>
          <w:u w:val="single" w:color="auto"/>
          <w:color w:val="auto"/>
        </w:rPr>
        <w:t>Sections 18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19</w:t>
      </w:r>
      <w:r>
        <w:rPr>
          <w:rFonts w:ascii="Arial" w:cs="Arial" w:eastAsia="Arial" w:hAnsi="Arial"/>
          <w:sz w:val="17"/>
          <w:szCs w:val="17"/>
          <w:color w:val="auto"/>
        </w:rPr>
        <w:t xml:space="preserve"> excepted.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73660</wp:posOffset>
            </wp:positionV>
            <wp:extent cx="2418080" cy="5143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25" w:name="page526"/>
    <w:bookmarkEnd w:id="525"/>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25</w:t>
      </w:r>
    </w:p>
    <w:p>
      <w:pPr>
        <w:spacing w:after="0" w:line="1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Tenant shall immediately return to Landlord all keys and/or access cards to parking, the Building, restrooms or all or any portion of the Premises, Building or Project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54" w:lineRule="exact"/>
        <w:rPr>
          <w:sz w:val="20"/>
          <w:szCs w:val="20"/>
          <w:color w:val="auto"/>
        </w:rPr>
      </w:pPr>
    </w:p>
    <w:p>
      <w:pPr>
        <w:ind w:right="100" w:firstLine="464"/>
        <w:spacing w:after="0" w:line="261" w:lineRule="auto"/>
        <w:tabs>
          <w:tab w:leader="none" w:pos="726" w:val="left"/>
        </w:tabs>
        <w:numPr>
          <w:ilvl w:val="0"/>
          <w:numId w:val="385"/>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TENANT AND LANDLORD WAIVE ANY RIGHT TO TRIAL BY JURY OR TO HAVE A JURY PARTICIPATE IN</w:t>
      </w:r>
      <w:r>
        <w:rPr>
          <w:rFonts w:ascii="Arial" w:cs="Arial" w:eastAsia="Arial" w:hAnsi="Arial"/>
          <w:sz w:val="18"/>
          <w:szCs w:val="18"/>
          <w:b w:val="1"/>
          <w:bCs w:val="1"/>
          <w:color w:val="auto"/>
        </w:rPr>
        <w:t xml:space="preserve"> </w:t>
      </w:r>
      <w:r>
        <w:rPr>
          <w:rFonts w:ascii="Arial" w:cs="Arial" w:eastAsia="Arial" w:hAnsi="Arial"/>
          <w:sz w:val="18"/>
          <w:szCs w:val="18"/>
          <w:color w:val="auto"/>
        </w:rPr>
        <w:t>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71" w:lineRule="exact"/>
        <w:rPr>
          <w:rFonts w:ascii="Arial" w:cs="Arial" w:eastAsia="Arial" w:hAnsi="Arial"/>
          <w:sz w:val="18"/>
          <w:szCs w:val="18"/>
          <w:color w:val="auto"/>
        </w:rPr>
      </w:pPr>
    </w:p>
    <w:p>
      <w:pPr>
        <w:ind w:left="740" w:hanging="276"/>
        <w:spacing w:after="0"/>
        <w:tabs>
          <w:tab w:leader="none" w:pos="740" w:val="left"/>
        </w:tabs>
        <w:numPr>
          <w:ilvl w:val="0"/>
          <w:numId w:val="385"/>
        </w:numPr>
        <w:rPr>
          <w:rFonts w:ascii="Arial" w:cs="Arial" w:eastAsia="Arial" w:hAnsi="Arial"/>
          <w:sz w:val="18"/>
          <w:szCs w:val="18"/>
          <w:color w:val="auto"/>
        </w:rPr>
      </w:pPr>
      <w:r>
        <w:rPr>
          <w:rFonts w:ascii="Arial" w:cs="Arial" w:eastAsia="Arial" w:hAnsi="Arial"/>
          <w:sz w:val="18"/>
          <w:szCs w:val="18"/>
          <w:b w:val="1"/>
          <w:bCs w:val="1"/>
          <w:color w:val="auto"/>
        </w:rPr>
        <w:t>Environmental Requirements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21"/>
        <w:spacing w:after="0" w:line="285" w:lineRule="auto"/>
        <w:tabs>
          <w:tab w:leader="none" w:pos="1157" w:val="left"/>
        </w:tabs>
        <w:numPr>
          <w:ilvl w:val="1"/>
          <w:numId w:val="385"/>
        </w:numPr>
        <w:rPr>
          <w:rFonts w:ascii="Arial" w:cs="Arial" w:eastAsia="Arial" w:hAnsi="Arial"/>
          <w:sz w:val="16"/>
          <w:szCs w:val="16"/>
          <w:color w:val="auto"/>
        </w:rPr>
      </w:pPr>
      <w:r>
        <w:rPr>
          <w:rFonts w:ascii="Arial" w:cs="Arial" w:eastAsia="Arial" w:hAnsi="Arial"/>
          <w:sz w:val="16"/>
          <w:szCs w:val="16"/>
          <w:b w:val="1"/>
          <w:bCs w:val="1"/>
          <w:color w:val="auto"/>
        </w:rPr>
        <w:t>Prohibition/Compliance</w:t>
      </w:r>
      <w:r>
        <w:rPr>
          <w:rFonts w:ascii="Arial" w:cs="Arial" w:eastAsia="Arial" w:hAnsi="Arial"/>
          <w:sz w:val="16"/>
          <w:szCs w:val="16"/>
          <w:color w:val="auto"/>
        </w:rPr>
        <w:t>. Except for Hazardous Material contained in products customarily used by tenants in de minimis quantities for</w:t>
      </w:r>
      <w:r>
        <w:rPr>
          <w:rFonts w:ascii="Arial" w:cs="Arial" w:eastAsia="Arial" w:hAnsi="Arial"/>
          <w:sz w:val="16"/>
          <w:szCs w:val="16"/>
          <w:b w:val="1"/>
          <w:bCs w:val="1"/>
          <w:color w:val="auto"/>
        </w:rPr>
        <w:t xml:space="preserve"> </w:t>
      </w:r>
      <w:r>
        <w:rPr>
          <w:rFonts w:ascii="Arial" w:cs="Arial" w:eastAsia="Arial" w:hAnsi="Arial"/>
          <w:sz w:val="16"/>
          <w:szCs w:val="16"/>
          <w:color w:val="auto"/>
        </w:rPr>
        <w:t>ordinary cleaning and office purposes, Tenant shall not permit or cause any party to bring any Hazardous Material upon the Premises, Building, Property or Project or use, store, handle, treat, generate, manufacture, transport, release or dispose of any Hazardous Material in, on or from the Premises or the Project without Landlord’s prior written consent which may be withheld in Landlord’s sole discretion. Tenant, at its sole cost and expense, shall operate its business in the Premises in strict compliance with all Environmental Requirements and shall remove or remediate in a manner satisfactory to Landlord any Hazardous Materials released on or from the Premises, Building, Property or Project by Tenant or any Tenant Party. Tenant shall complete and certify disclosure statements as requested by Landlord from time to time relating to Tenant’s use, storage, handling, treatment, generation, manufacture, transportation, release or disposal of Hazardous Materials on or from the Premises. The term “</w:t>
      </w:r>
      <w:r>
        <w:rPr>
          <w:rFonts w:ascii="Arial" w:cs="Arial" w:eastAsia="Arial" w:hAnsi="Arial"/>
          <w:sz w:val="16"/>
          <w:szCs w:val="16"/>
          <w:b w:val="1"/>
          <w:bCs w:val="1"/>
          <w:color w:val="auto"/>
        </w:rPr>
        <w:t>Environmental Requirements</w:t>
      </w:r>
      <w:r>
        <w:rPr>
          <w:rFonts w:ascii="Arial" w:cs="Arial" w:eastAsia="Arial" w:hAnsi="Arial"/>
          <w:sz w:val="16"/>
          <w:szCs w:val="16"/>
          <w:color w:val="auto"/>
        </w:rPr>
        <w:t>” means all applicable present and future statutes, regulations, ordinances, rules, codes, judgments, orders or other similar enactments of any Governmental Authority regulating or relating to health, safety, or environmental conditions on, under, or about the Premises, Building, Property or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The term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6"/>
          <w:szCs w:val="16"/>
          <w:b w:val="1"/>
          <w:bCs w:val="1"/>
          <w:color w:val="auto"/>
        </w:rPr>
        <w:t>operator</w:t>
      </w:r>
      <w:r>
        <w:rPr>
          <w:rFonts w:ascii="Arial" w:cs="Arial" w:eastAsia="Arial" w:hAnsi="Arial"/>
          <w:sz w:val="16"/>
          <w:szCs w:val="16"/>
          <w:color w:val="auto"/>
        </w:rPr>
        <w:t>” of Tenant’s “</w:t>
      </w:r>
      <w:r>
        <w:rPr>
          <w:rFonts w:ascii="Arial" w:cs="Arial" w:eastAsia="Arial" w:hAnsi="Arial"/>
          <w:sz w:val="16"/>
          <w:szCs w:val="16"/>
          <w:b w:val="1"/>
          <w:bCs w:val="1"/>
          <w:color w:val="auto"/>
        </w:rPr>
        <w:t>facility</w:t>
      </w:r>
      <w:r>
        <w:rPr>
          <w:rFonts w:ascii="Arial" w:cs="Arial" w:eastAsia="Arial" w:hAnsi="Arial"/>
          <w:sz w:val="16"/>
          <w:szCs w:val="16"/>
          <w:color w:val="auto"/>
        </w:rPr>
        <w:t>” and the “</w:t>
      </w:r>
      <w:r>
        <w:rPr>
          <w:rFonts w:ascii="Arial" w:cs="Arial" w:eastAsia="Arial" w:hAnsi="Arial"/>
          <w:sz w:val="16"/>
          <w:szCs w:val="16"/>
          <w:b w:val="1"/>
          <w:bCs w:val="1"/>
          <w:color w:val="auto"/>
        </w:rPr>
        <w:t>owner</w:t>
      </w:r>
      <w:r>
        <w:rPr>
          <w:rFonts w:ascii="Arial" w:cs="Arial" w:eastAsia="Arial" w:hAnsi="Arial"/>
          <w:sz w:val="16"/>
          <w:szCs w:val="16"/>
          <w:color w:val="auto"/>
        </w:rPr>
        <w:t>” of all Hazardous Materials brought on the Premises by Tenant or any Tenant Party, and the wastes, by-products, or residues generated, resulting, or produced therefrom.</w:t>
      </w:r>
    </w:p>
    <w:p>
      <w:pPr>
        <w:spacing w:after="0" w:line="67" w:lineRule="exact"/>
        <w:rPr>
          <w:rFonts w:ascii="Arial" w:cs="Arial" w:eastAsia="Arial" w:hAnsi="Arial"/>
          <w:sz w:val="16"/>
          <w:szCs w:val="16"/>
          <w:color w:val="auto"/>
        </w:rPr>
      </w:pPr>
    </w:p>
    <w:p>
      <w:pPr>
        <w:ind w:right="20" w:firstLine="921"/>
        <w:spacing w:after="0" w:line="313" w:lineRule="auto"/>
        <w:tabs>
          <w:tab w:leader="none" w:pos="1168" w:val="left"/>
        </w:tabs>
        <w:numPr>
          <w:ilvl w:val="1"/>
          <w:numId w:val="385"/>
        </w:numPr>
        <w:rPr>
          <w:rFonts w:ascii="Arial" w:cs="Arial" w:eastAsia="Arial" w:hAnsi="Arial"/>
          <w:sz w:val="17"/>
          <w:szCs w:val="17"/>
          <w:color w:val="auto"/>
        </w:rPr>
      </w:pPr>
      <w:r>
        <w:rPr>
          <w:rFonts w:ascii="Arial" w:cs="Arial" w:eastAsia="Arial" w:hAnsi="Arial"/>
          <w:sz w:val="17"/>
          <w:szCs w:val="17"/>
          <w:b w:val="1"/>
          <w:bCs w:val="1"/>
          <w:color w:val="auto"/>
        </w:rPr>
        <w:t>Indemnity</w:t>
      </w:r>
      <w:r>
        <w:rPr>
          <w:rFonts w:ascii="Arial" w:cs="Arial" w:eastAsia="Arial" w:hAnsi="Arial"/>
          <w:sz w:val="17"/>
          <w:szCs w:val="17"/>
          <w:color w:val="auto"/>
        </w:rPr>
        <w:t>. Tenant hereby indemnifies and shall defend and hold Landlord, its officers, directors, employees, agents and contractors harmless</w:t>
      </w:r>
      <w:r>
        <w:rPr>
          <w:rFonts w:ascii="Arial" w:cs="Arial" w:eastAsia="Arial" w:hAnsi="Arial"/>
          <w:sz w:val="17"/>
          <w:szCs w:val="17"/>
          <w:b w:val="1"/>
          <w:bCs w:val="1"/>
          <w:color w:val="auto"/>
        </w:rPr>
        <w:t xml:space="preserve"> </w:t>
      </w:r>
      <w:r>
        <w:rPr>
          <w:rFonts w:ascii="Arial" w:cs="Arial" w:eastAsia="Arial" w:hAnsi="Arial"/>
          <w:sz w:val="17"/>
          <w:szCs w:val="17"/>
          <w:color w:val="auto"/>
        </w:rPr>
        <w:t>from any and all actions (including, without limitation, remedial or enforcement actions of any kind, administrative or judicial proceedings,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56515</wp:posOffset>
            </wp:positionV>
            <wp:extent cx="2418080" cy="5143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26" w:name="page527"/>
    <w:bookmarkEnd w:id="526"/>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26</w:t>
      </w:r>
    </w:p>
    <w:p>
      <w:pPr>
        <w:spacing w:after="0" w:line="16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orders or judgments arising out of or resulting therefrom), costs, claims, damages (including, without limitation, punitive damages and damages based upon diminution in value of the Premises, Building, Property or Project, or the loss of, or restriction on, use of the Premises or any portion of the Building, Property or Project), expenses (including, without limitation,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Arial" w:cs="Arial" w:eastAsia="Arial" w:hAnsi="Arial"/>
          <w:sz w:val="16"/>
          <w:szCs w:val="16"/>
          <w:b w:val="1"/>
          <w:bCs w:val="1"/>
          <w:color w:val="auto"/>
        </w:rPr>
        <w:t>Environmental</w:t>
      </w:r>
      <w:r>
        <w:rPr>
          <w:rFonts w:ascii="Arial" w:cs="Arial" w:eastAsia="Arial" w:hAnsi="Arial"/>
          <w:sz w:val="16"/>
          <w:szCs w:val="16"/>
          <w:color w:val="auto"/>
        </w:rPr>
        <w:t xml:space="preserve"> </w:t>
      </w:r>
      <w:r>
        <w:rPr>
          <w:rFonts w:ascii="Arial" w:cs="Arial" w:eastAsia="Arial" w:hAnsi="Arial"/>
          <w:sz w:val="16"/>
          <w:szCs w:val="16"/>
          <w:b w:val="1"/>
          <w:bCs w:val="1"/>
          <w:color w:val="auto"/>
        </w:rPr>
        <w:t>Claims</w:t>
      </w:r>
      <w:r>
        <w:rPr>
          <w:rFonts w:ascii="Arial" w:cs="Arial" w:eastAsia="Arial" w:hAnsi="Arial"/>
          <w:sz w:val="16"/>
          <w:szCs w:val="16"/>
          <w:color w:val="auto"/>
        </w:rPr>
        <w:t>”) which arise during or after the Term as a result of such contamination or breach by Tenant of its obligations under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w:t>
      </w:r>
      <w:r>
        <w:rPr>
          <w:rFonts w:ascii="Arial" w:cs="Arial" w:eastAsia="Arial" w:hAnsi="Arial"/>
          <w:sz w:val="16"/>
          <w:szCs w:val="16"/>
          <w:color w:val="auto"/>
        </w:rPr>
        <w:t>. This</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indemnification of Landlord by Tenant includes, without limitation, costs incurred in connection with any investigation of site conditions or any cleanup,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w:t>
      </w:r>
      <w:r>
        <w:rPr>
          <w:rFonts w:ascii="Arial" w:cs="Arial" w:eastAsia="Arial" w:hAnsi="Arial"/>
          <w:sz w:val="16"/>
          <w:szCs w:val="16"/>
          <w:b w:val="1"/>
          <w:bCs w:val="1"/>
          <w:color w:val="auto"/>
        </w:rPr>
        <w:t>,</w:t>
      </w:r>
      <w:r>
        <w:rPr>
          <w:rFonts w:ascii="Arial" w:cs="Arial" w:eastAsia="Arial" w:hAnsi="Arial"/>
          <w:sz w:val="16"/>
          <w:szCs w:val="16"/>
          <w:color w:val="auto"/>
        </w:rPr>
        <w:t xml:space="preserve"> Building, Property, Project or any adjacent property caused or permitted by Tenant or any Tenant Party results in any contamination of the Premises, Building, Property, Project or any adjacent property, Tenant shall promptly take all actions at its sole expense and in accordance with applicable law as are necessary to return the Premises, Building, Property,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Building, Property or Project. Notwithstanding anything to the contrary contained in this </w:t>
      </w:r>
      <w:r>
        <w:rPr>
          <w:rFonts w:ascii="Arial" w:cs="Arial" w:eastAsia="Arial" w:hAnsi="Arial"/>
          <w:sz w:val="16"/>
          <w:szCs w:val="16"/>
          <w:u w:val="single" w:color="auto"/>
          <w:color w:val="auto"/>
        </w:rPr>
        <w:t>Section 30</w:t>
      </w:r>
      <w:r>
        <w:rPr>
          <w:rFonts w:ascii="Arial" w:cs="Arial" w:eastAsia="Arial" w:hAnsi="Arial"/>
          <w:sz w:val="16"/>
          <w:szCs w:val="16"/>
          <w:color w:val="auto"/>
        </w:rPr>
        <w:t>, Tenant shall not be responsible for, and the indemnification and hold harmless obligation set forth in this paragraph shall not apply to</w:t>
      </w:r>
    </w:p>
    <w:p>
      <w:pPr>
        <w:spacing w:after="0" w:line="1" w:lineRule="exact"/>
        <w:rPr>
          <w:sz w:val="20"/>
          <w:szCs w:val="20"/>
          <w:color w:val="auto"/>
        </w:rPr>
      </w:pPr>
    </w:p>
    <w:p>
      <w:pPr>
        <w:ind w:right="40" w:firstLine="8"/>
        <w:spacing w:after="0" w:line="273" w:lineRule="auto"/>
        <w:tabs>
          <w:tab w:leader="none" w:pos="215" w:val="left"/>
        </w:tabs>
        <w:numPr>
          <w:ilvl w:val="0"/>
          <w:numId w:val="386"/>
        </w:numPr>
        <w:rPr>
          <w:rFonts w:ascii="Arial" w:cs="Arial" w:eastAsia="Arial" w:hAnsi="Arial"/>
          <w:sz w:val="17"/>
          <w:szCs w:val="17"/>
          <w:color w:val="auto"/>
        </w:rPr>
      </w:pPr>
      <w:r>
        <w:rPr>
          <w:rFonts w:ascii="Arial" w:cs="Arial" w:eastAsia="Arial" w:hAnsi="Arial"/>
          <w:sz w:val="17"/>
          <w:szCs w:val="17"/>
          <w:color w:val="auto"/>
        </w:rPr>
        <w:t>contamination in the Premises which Tenant can prove existed in the Premises immediately prior to the Commencement Date, (ii) the presence of any Hazardous Materials in the Premises which Tenant can prove migrated from outside of the Premises into the Premises, or (iii) contamination caused by Landlord or any of Landlord’s employees, agents and contractors, unless in any case, the presence of such Hazardous Materials (x) is the result of a breach by Tenant of any of its obligations under this Lease, or (y) was caused, contributed to or exacerbated by Tenant or any Tenant Party.</w:t>
      </w:r>
    </w:p>
    <w:p>
      <w:pPr>
        <w:spacing w:after="0" w:line="64" w:lineRule="exact"/>
        <w:rPr>
          <w:rFonts w:ascii="Arial" w:cs="Arial" w:eastAsia="Arial" w:hAnsi="Arial"/>
          <w:sz w:val="17"/>
          <w:szCs w:val="17"/>
          <w:color w:val="auto"/>
        </w:rPr>
      </w:pPr>
    </w:p>
    <w:p>
      <w:pPr>
        <w:ind w:right="20" w:firstLine="921"/>
        <w:spacing w:after="0" w:line="290" w:lineRule="auto"/>
        <w:tabs>
          <w:tab w:leader="none" w:pos="1157" w:val="left"/>
        </w:tabs>
        <w:numPr>
          <w:ilvl w:val="1"/>
          <w:numId w:val="386"/>
        </w:numPr>
        <w:rPr>
          <w:rFonts w:ascii="Arial" w:cs="Arial" w:eastAsia="Arial" w:hAnsi="Arial"/>
          <w:sz w:val="16"/>
          <w:szCs w:val="16"/>
          <w:color w:val="auto"/>
        </w:rPr>
      </w:pPr>
      <w:r>
        <w:rPr>
          <w:rFonts w:ascii="Arial" w:cs="Arial" w:eastAsia="Arial" w:hAnsi="Arial"/>
          <w:sz w:val="16"/>
          <w:szCs w:val="16"/>
          <w:b w:val="1"/>
          <w:bCs w:val="1"/>
          <w:color w:val="auto"/>
        </w:rPr>
        <w:t>Landlord’s Tests</w:t>
      </w:r>
      <w:r>
        <w:rPr>
          <w:rFonts w:ascii="Arial" w:cs="Arial" w:eastAsia="Arial" w:hAnsi="Arial"/>
          <w:sz w:val="16"/>
          <w:szCs w:val="16"/>
          <w:color w:val="auto"/>
        </w:rPr>
        <w:t>. Landlord shall have access to, and a right to perform inspections and tests of, the Premises to determine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compliance with Environmental Requirements, its obligations under this </w:t>
      </w:r>
      <w:r>
        <w:rPr>
          <w:rFonts w:ascii="Arial" w:cs="Arial" w:eastAsia="Arial" w:hAnsi="Arial"/>
          <w:sz w:val="16"/>
          <w:szCs w:val="16"/>
          <w:u w:val="single" w:color="auto"/>
          <w:color w:val="auto"/>
        </w:rPr>
        <w:t>Section 30</w:t>
      </w:r>
      <w:r>
        <w:rPr>
          <w:rFonts w:ascii="Arial" w:cs="Arial" w:eastAsia="Arial" w:hAnsi="Arial"/>
          <w:sz w:val="16"/>
          <w:szCs w:val="16"/>
          <w:color w:val="auto"/>
        </w:rPr>
        <w:t>, or the environmental condition of the Premises, Building, Property or Project. In connection with such testing, upon the request of Landlord, Tenant shall deliver to Landlord or its consultant such non-proprietary information concerning the use of Hazardous Materials in or about the Premises by Tenant or any Tenant Party. Access shall be granted to Landlord upon Landlord’s prior notice to Tenant and at such times so as to minimize, so far as may be reasonable under the circumstances, any disturbance to Tenant’s operations. Such inspections and tests shall be conducted at Landlord’s expense, unless such inspections or tests reveal that Tenant has not complied with any Environmental Requirement, in which case Tenant shall reimburse Landlord for the reasonable cost of such inspection and tests. Tenant shall, at its sole cost and expense, promptly and satisfactorily remediate any environmental conditions identified by such testing in accordance with all Environmental Requirements. Landlord’s receipt of or satisfaction with any environmental assessment in no way waives any rights that Landlord may have against Tenant.</w:t>
      </w:r>
    </w:p>
    <w:p>
      <w:pPr>
        <w:spacing w:after="0" w:line="51" w:lineRule="exact"/>
        <w:rPr>
          <w:rFonts w:ascii="Arial" w:cs="Arial" w:eastAsia="Arial" w:hAnsi="Arial"/>
          <w:sz w:val="16"/>
          <w:szCs w:val="16"/>
          <w:color w:val="auto"/>
        </w:rPr>
      </w:pPr>
    </w:p>
    <w:p>
      <w:pPr>
        <w:ind w:right="100" w:firstLine="921"/>
        <w:spacing w:after="0" w:line="277" w:lineRule="auto"/>
        <w:tabs>
          <w:tab w:leader="none" w:pos="1168" w:val="left"/>
        </w:tabs>
        <w:numPr>
          <w:ilvl w:val="1"/>
          <w:numId w:val="386"/>
        </w:numPr>
        <w:rPr>
          <w:rFonts w:ascii="Arial" w:cs="Arial" w:eastAsia="Arial" w:hAnsi="Arial"/>
          <w:sz w:val="17"/>
          <w:szCs w:val="17"/>
          <w:color w:val="auto"/>
        </w:rPr>
      </w:pPr>
      <w:r>
        <w:rPr>
          <w:rFonts w:ascii="Arial" w:cs="Arial" w:eastAsia="Arial" w:hAnsi="Arial"/>
          <w:sz w:val="17"/>
          <w:szCs w:val="17"/>
          <w:b w:val="1"/>
          <w:bCs w:val="1"/>
          <w:color w:val="auto"/>
        </w:rPr>
        <w:t>Tenant’s Obligations</w:t>
      </w:r>
      <w:r>
        <w:rPr>
          <w:rFonts w:ascii="Arial" w:cs="Arial" w:eastAsia="Arial" w:hAnsi="Arial"/>
          <w:sz w:val="17"/>
          <w:szCs w:val="17"/>
          <w:color w:val="auto"/>
        </w:rPr>
        <w:t>. Tenant’s obligations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the expiration or earlier termination of the Lease. During any</w:t>
      </w:r>
      <w:r>
        <w:rPr>
          <w:rFonts w:ascii="Arial" w:cs="Arial" w:eastAsia="Arial" w:hAnsi="Arial"/>
          <w:sz w:val="17"/>
          <w:szCs w:val="17"/>
          <w:b w:val="1"/>
          <w:bCs w:val="1"/>
          <w:color w:val="auto"/>
        </w:rPr>
        <w:t xml:space="preserve"> </w:t>
      </w:r>
      <w:r>
        <w:rPr>
          <w:rFonts w:ascii="Arial" w:cs="Arial" w:eastAsia="Arial" w:hAnsi="Arial"/>
          <w:sz w:val="17"/>
          <w:szCs w:val="17"/>
          <w:color w:val="auto"/>
        </w:rPr>
        <w:t>period of time 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Surrender Plan), Tenant shall continue to pay the full Rent in accordance with this Lease for any portion of the Premises not relet by Landlord in Landlord’s sole discretion, which Rent shall be prorated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75565</wp:posOffset>
            </wp:positionV>
            <wp:extent cx="2418080" cy="5143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27" w:name="page528"/>
    <w:bookmarkEnd w:id="527"/>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27</w:t>
      </w:r>
    </w:p>
    <w:p>
      <w:pPr>
        <w:spacing w:after="0" w:line="158" w:lineRule="exact"/>
        <w:rPr>
          <w:sz w:val="20"/>
          <w:szCs w:val="20"/>
          <w:color w:val="auto"/>
        </w:rPr>
      </w:pPr>
    </w:p>
    <w:p>
      <w:pPr>
        <w:ind w:left="1160" w:hanging="239"/>
        <w:spacing w:after="0"/>
        <w:tabs>
          <w:tab w:leader="none" w:pos="1160" w:val="left"/>
        </w:tabs>
        <w:numPr>
          <w:ilvl w:val="1"/>
          <w:numId w:val="387"/>
        </w:numPr>
        <w:rPr>
          <w:rFonts w:ascii="Arial" w:cs="Arial" w:eastAsia="Arial" w:hAnsi="Arial"/>
          <w:sz w:val="18"/>
          <w:szCs w:val="18"/>
          <w:color w:val="auto"/>
        </w:rPr>
      </w:pPr>
      <w:r>
        <w:rPr>
          <w:rFonts w:ascii="Arial" w:cs="Arial" w:eastAsia="Arial" w:hAnsi="Arial"/>
          <w:sz w:val="18"/>
          <w:szCs w:val="18"/>
          <w:b w:val="1"/>
          <w:bCs w:val="1"/>
          <w:color w:val="auto"/>
        </w:rPr>
        <w:t>Asbestos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500" w:firstLine="443"/>
        <w:spacing w:after="0" w:line="282" w:lineRule="auto"/>
        <w:tabs>
          <w:tab w:leader="none" w:pos="1113" w:val="left"/>
        </w:tabs>
        <w:numPr>
          <w:ilvl w:val="0"/>
          <w:numId w:val="388"/>
        </w:numPr>
        <w:rPr>
          <w:rFonts w:ascii="Arial" w:cs="Arial" w:eastAsia="Arial" w:hAnsi="Arial"/>
          <w:sz w:val="18"/>
          <w:szCs w:val="18"/>
          <w:color w:val="auto"/>
        </w:rPr>
      </w:pPr>
      <w:r>
        <w:rPr>
          <w:rFonts w:ascii="Arial" w:cs="Arial" w:eastAsia="Arial" w:hAnsi="Arial"/>
          <w:sz w:val="18"/>
          <w:szCs w:val="18"/>
          <w:b w:val="1"/>
          <w:bCs w:val="1"/>
          <w:color w:val="auto"/>
        </w:rPr>
        <w:t>Notification of Asbestos</w:t>
      </w:r>
      <w:r>
        <w:rPr>
          <w:rFonts w:ascii="Arial" w:cs="Arial" w:eastAsia="Arial" w:hAnsi="Arial"/>
          <w:sz w:val="18"/>
          <w:szCs w:val="18"/>
          <w:color w:val="auto"/>
        </w:rPr>
        <w:t>. Landlord hereby notifies Tenant of the presence of asbestos-containing materials (“</w:t>
      </w:r>
      <w:r>
        <w:rPr>
          <w:rFonts w:ascii="Arial" w:cs="Arial" w:eastAsia="Arial" w:hAnsi="Arial"/>
          <w:sz w:val="18"/>
          <w:szCs w:val="18"/>
          <w:b w:val="1"/>
          <w:bCs w:val="1"/>
          <w:color w:val="auto"/>
        </w:rPr>
        <w:t>ACMs</w:t>
      </w:r>
      <w:r>
        <w:rPr>
          <w:rFonts w:ascii="Arial" w:cs="Arial" w:eastAsia="Arial" w:hAnsi="Arial"/>
          <w:sz w:val="18"/>
          <w:szCs w:val="18"/>
          <w:color w:val="auto"/>
        </w:rPr>
        <w:t>”) and/or presumed</w:t>
      </w:r>
      <w:r>
        <w:rPr>
          <w:rFonts w:ascii="Arial" w:cs="Arial" w:eastAsia="Arial" w:hAnsi="Arial"/>
          <w:sz w:val="18"/>
          <w:szCs w:val="18"/>
          <w:b w:val="1"/>
          <w:bCs w:val="1"/>
          <w:color w:val="auto"/>
        </w:rPr>
        <w:t xml:space="preserve"> </w:t>
      </w:r>
      <w:r>
        <w:rPr>
          <w:rFonts w:ascii="Arial" w:cs="Arial" w:eastAsia="Arial" w:hAnsi="Arial"/>
          <w:sz w:val="18"/>
          <w:szCs w:val="18"/>
          <w:color w:val="auto"/>
        </w:rPr>
        <w:t>asbestos-containing materials (“</w:t>
      </w:r>
      <w:r>
        <w:rPr>
          <w:rFonts w:ascii="Arial" w:cs="Arial" w:eastAsia="Arial" w:hAnsi="Arial"/>
          <w:sz w:val="18"/>
          <w:szCs w:val="18"/>
          <w:b w:val="1"/>
          <w:bCs w:val="1"/>
          <w:color w:val="auto"/>
        </w:rPr>
        <w:t>PACMs</w:t>
      </w:r>
      <w:r>
        <w:rPr>
          <w:rFonts w:ascii="Arial" w:cs="Arial" w:eastAsia="Arial" w:hAnsi="Arial"/>
          <w:sz w:val="18"/>
          <w:szCs w:val="18"/>
          <w:color w:val="auto"/>
        </w:rPr>
        <w:t xml:space="preserve">”) within or about the Premises in the locations identified in </w:t>
      </w:r>
      <w:r>
        <w:rPr>
          <w:rFonts w:ascii="Arial" w:cs="Arial" w:eastAsia="Arial" w:hAnsi="Arial"/>
          <w:sz w:val="18"/>
          <w:szCs w:val="18"/>
          <w:b w:val="1"/>
          <w:bCs w:val="1"/>
          <w:color w:val="auto"/>
        </w:rPr>
        <w:t>Exhibit G</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left="460" w:right="80" w:firstLine="443"/>
        <w:spacing w:after="0" w:line="314" w:lineRule="auto"/>
        <w:tabs>
          <w:tab w:leader="none" w:pos="1163" w:val="left"/>
        </w:tabs>
        <w:numPr>
          <w:ilvl w:val="0"/>
          <w:numId w:val="388"/>
        </w:numPr>
        <w:rPr>
          <w:rFonts w:ascii="Arial" w:cs="Arial" w:eastAsia="Arial" w:hAnsi="Arial"/>
          <w:sz w:val="16"/>
          <w:szCs w:val="16"/>
          <w:color w:val="auto"/>
        </w:rPr>
      </w:pPr>
      <w:r>
        <w:rPr>
          <w:rFonts w:ascii="Arial" w:cs="Arial" w:eastAsia="Arial" w:hAnsi="Arial"/>
          <w:sz w:val="16"/>
          <w:szCs w:val="16"/>
          <w:b w:val="1"/>
          <w:bCs w:val="1"/>
          <w:color w:val="auto"/>
        </w:rPr>
        <w:t>Tenant Acknowledgement</w:t>
      </w:r>
      <w:r>
        <w:rPr>
          <w:rFonts w:ascii="Arial" w:cs="Arial" w:eastAsia="Arial" w:hAnsi="Arial"/>
          <w:sz w:val="16"/>
          <w:szCs w:val="16"/>
          <w:color w:val="auto"/>
        </w:rPr>
        <w:t>. Tenant hereby acknowledges receipt of the notification in paragraph (i)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30(e)</w:t>
      </w:r>
      <w:r>
        <w:rPr>
          <w:rFonts w:ascii="Arial" w:cs="Arial" w:eastAsia="Arial" w:hAnsi="Arial"/>
          <w:sz w:val="16"/>
          <w:szCs w:val="16"/>
          <w:b w:val="1"/>
          <w:bCs w:val="1"/>
          <w:color w:val="auto"/>
        </w:rPr>
        <w:t xml:space="preserve"> </w:t>
      </w:r>
      <w:r>
        <w:rPr>
          <w:rFonts w:ascii="Arial" w:cs="Arial" w:eastAsia="Arial" w:hAnsi="Arial"/>
          <w:sz w:val="16"/>
          <w:szCs w:val="16"/>
          <w:color w:val="auto"/>
        </w:rPr>
        <w:t>and understand that</w:t>
      </w:r>
      <w:r>
        <w:rPr>
          <w:rFonts w:ascii="Arial" w:cs="Arial" w:eastAsia="Arial" w:hAnsi="Arial"/>
          <w:sz w:val="16"/>
          <w:szCs w:val="16"/>
          <w:b w:val="1"/>
          <w:bCs w:val="1"/>
          <w:color w:val="auto"/>
        </w:rPr>
        <w:t xml:space="preserve"> </w:t>
      </w:r>
      <w:r>
        <w:rPr>
          <w:rFonts w:ascii="Arial" w:cs="Arial" w:eastAsia="Arial" w:hAnsi="Arial"/>
          <w:sz w:val="16"/>
          <w:szCs w:val="16"/>
          <w:color w:val="auto"/>
        </w:rPr>
        <w:t>the purpose of such notification is to make Tenant, and any agents, employees, and contractors of Tenant, aware of the presence of ACMs and/or PACMs within or about the Building in order to avoid or minimize any damage to or disturbance of such ACMs and/or PACMs.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83185</wp:posOffset>
            </wp:positionV>
            <wp:extent cx="151765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Tenant’s Initials</w:t>
      </w:r>
    </w:p>
    <w:p>
      <w:pPr>
        <w:spacing w:after="0" w:line="113" w:lineRule="exact"/>
        <w:rPr>
          <w:sz w:val="20"/>
          <w:szCs w:val="20"/>
          <w:color w:val="auto"/>
        </w:rPr>
      </w:pPr>
    </w:p>
    <w:p>
      <w:pPr>
        <w:ind w:left="460" w:right="80" w:firstLine="443"/>
        <w:spacing w:after="0" w:line="284" w:lineRule="auto"/>
        <w:tabs>
          <w:tab w:leader="none" w:pos="1213" w:val="left"/>
        </w:tabs>
        <w:numPr>
          <w:ilvl w:val="1"/>
          <w:numId w:val="389"/>
        </w:numPr>
        <w:rPr>
          <w:rFonts w:ascii="Arial" w:cs="Arial" w:eastAsia="Arial" w:hAnsi="Arial"/>
          <w:sz w:val="16"/>
          <w:szCs w:val="16"/>
          <w:color w:val="auto"/>
        </w:rPr>
      </w:pPr>
      <w:r>
        <w:rPr>
          <w:rFonts w:ascii="Arial" w:cs="Arial" w:eastAsia="Arial" w:hAnsi="Arial"/>
          <w:sz w:val="16"/>
          <w:szCs w:val="16"/>
          <w:b w:val="1"/>
          <w:bCs w:val="1"/>
          <w:color w:val="auto"/>
        </w:rPr>
        <w:t>Acknowledgement from Contractors/Employees</w:t>
      </w:r>
      <w:r>
        <w:rPr>
          <w:rFonts w:ascii="Arial" w:cs="Arial" w:eastAsia="Arial" w:hAnsi="Arial"/>
          <w:sz w:val="16"/>
          <w:szCs w:val="16"/>
          <w:color w:val="auto"/>
        </w:rPr>
        <w:t>. Tenant shall give Landlord at least 14 days’ prior written notice before conducting,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authorizing or permitting any of the activities listed below within or about the Premises, and before soliciting bids from any person to perform such services. Such notice shall identify or describe the proposed scope, location, date and time of such activities and the name, address and telephone number of each person who may be conducting such activities. Thereafter, Tenant shall grant Landlord reasonable access to the Premises to determine whether any ACMs or PACMs will be disturbed in connection with such activities. Tenant shall not solicit bids from any person for the performance of such activities without Landlord’s prior written approval. Upon Landlord’s request, Tenant shall deliver to Landlord a copy of a signed acknowledgement from any contractor, agent, or employee of Tenant acknowledging receipt of information describing the presence of ACMs and/or PACMs within or about the Premises in the locations identified in </w:t>
      </w:r>
      <w:r>
        <w:rPr>
          <w:rFonts w:ascii="Arial" w:cs="Arial" w:eastAsia="Arial" w:hAnsi="Arial"/>
          <w:sz w:val="16"/>
          <w:szCs w:val="16"/>
          <w:b w:val="1"/>
          <w:bCs w:val="1"/>
          <w:color w:val="auto"/>
        </w:rPr>
        <w:t>Exhibit G</w:t>
      </w:r>
      <w:r>
        <w:rPr>
          <w:rFonts w:ascii="Arial" w:cs="Arial" w:eastAsia="Arial" w:hAnsi="Arial"/>
          <w:sz w:val="16"/>
          <w:szCs w:val="16"/>
          <w:color w:val="auto"/>
        </w:rPr>
        <w:t xml:space="preserve"> prior to the commencement of such activities. Nothing in this</w:t>
      </w:r>
    </w:p>
    <w:p>
      <w:pPr>
        <w:spacing w:after="0" w:line="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u w:val="single" w:color="auto"/>
          <w:color w:val="auto"/>
        </w:rPr>
        <w:t>Section 30(e)</w:t>
      </w:r>
      <w:r>
        <w:rPr>
          <w:rFonts w:ascii="Arial" w:cs="Arial" w:eastAsia="Arial" w:hAnsi="Arial"/>
          <w:sz w:val="18"/>
          <w:szCs w:val="18"/>
          <w:color w:val="auto"/>
        </w:rPr>
        <w:t xml:space="preserve"> shall be deemed to expand Tenant’s rights under the Lease or otherwise to conduct, authorize or permit any such activities.</w:t>
      </w:r>
    </w:p>
    <w:p>
      <w:pPr>
        <w:spacing w:after="0" w:line="98" w:lineRule="exact"/>
        <w:rPr>
          <w:rFonts w:ascii="Arial" w:cs="Arial" w:eastAsia="Arial" w:hAnsi="Arial"/>
          <w:sz w:val="16"/>
          <w:szCs w:val="16"/>
          <w:color w:val="auto"/>
        </w:rPr>
      </w:pPr>
    </w:p>
    <w:p>
      <w:pPr>
        <w:ind w:left="920" w:right="620" w:firstLine="421"/>
        <w:spacing w:after="0" w:line="282" w:lineRule="auto"/>
        <w:tabs>
          <w:tab w:leader="none" w:pos="1635" w:val="left"/>
        </w:tabs>
        <w:numPr>
          <w:ilvl w:val="2"/>
          <w:numId w:val="389"/>
        </w:numPr>
        <w:rPr>
          <w:rFonts w:ascii="Arial" w:cs="Arial" w:eastAsia="Arial" w:hAnsi="Arial"/>
          <w:sz w:val="18"/>
          <w:szCs w:val="18"/>
          <w:color w:val="auto"/>
        </w:rPr>
      </w:pPr>
      <w:r>
        <w:rPr>
          <w:rFonts w:ascii="Arial" w:cs="Arial" w:eastAsia="Arial" w:hAnsi="Arial"/>
          <w:sz w:val="18"/>
          <w:szCs w:val="18"/>
          <w:color w:val="auto"/>
        </w:rPr>
        <w:t>Removal of thermal system insulation (“</w:t>
      </w:r>
      <w:r>
        <w:rPr>
          <w:rFonts w:ascii="Arial" w:cs="Arial" w:eastAsia="Arial" w:hAnsi="Arial"/>
          <w:sz w:val="18"/>
          <w:szCs w:val="18"/>
          <w:b w:val="1"/>
          <w:bCs w:val="1"/>
          <w:color w:val="auto"/>
        </w:rPr>
        <w:t>TSI</w:t>
      </w:r>
      <w:r>
        <w:rPr>
          <w:rFonts w:ascii="Arial" w:cs="Arial" w:eastAsia="Arial" w:hAnsi="Arial"/>
          <w:sz w:val="18"/>
          <w:szCs w:val="18"/>
          <w:color w:val="auto"/>
        </w:rPr>
        <w:t>”) and surfacing ACMs and PACMs (i.e., sprayed-on or troweled-on material, e.g., textured ceiling paint or fireproofing material);</w:t>
      </w:r>
    </w:p>
    <w:p>
      <w:pPr>
        <w:spacing w:after="0" w:line="57" w:lineRule="exact"/>
        <w:rPr>
          <w:rFonts w:ascii="Arial" w:cs="Arial" w:eastAsia="Arial" w:hAnsi="Arial"/>
          <w:sz w:val="18"/>
          <w:szCs w:val="18"/>
          <w:color w:val="auto"/>
        </w:rPr>
      </w:pPr>
    </w:p>
    <w:p>
      <w:pPr>
        <w:ind w:left="1620" w:hanging="279"/>
        <w:spacing w:after="0"/>
        <w:tabs>
          <w:tab w:leader="none" w:pos="1620" w:val="left"/>
        </w:tabs>
        <w:numPr>
          <w:ilvl w:val="2"/>
          <w:numId w:val="389"/>
        </w:numPr>
        <w:rPr>
          <w:rFonts w:ascii="Arial" w:cs="Arial" w:eastAsia="Arial" w:hAnsi="Arial"/>
          <w:sz w:val="18"/>
          <w:szCs w:val="18"/>
          <w:color w:val="auto"/>
        </w:rPr>
      </w:pPr>
      <w:r>
        <w:rPr>
          <w:rFonts w:ascii="Arial" w:cs="Arial" w:eastAsia="Arial" w:hAnsi="Arial"/>
          <w:sz w:val="18"/>
          <w:szCs w:val="18"/>
          <w:color w:val="auto"/>
        </w:rPr>
        <w:t>Removal of ACMs or PACMs that are not TSI or surfacing ACMs or PACMs; or</w:t>
      </w:r>
    </w:p>
    <w:p>
      <w:pPr>
        <w:spacing w:after="0" w:line="117" w:lineRule="exact"/>
        <w:rPr>
          <w:rFonts w:ascii="Arial" w:cs="Arial" w:eastAsia="Arial" w:hAnsi="Arial"/>
          <w:sz w:val="18"/>
          <w:szCs w:val="18"/>
          <w:color w:val="auto"/>
        </w:rPr>
      </w:pPr>
    </w:p>
    <w:p>
      <w:pPr>
        <w:ind w:left="1620" w:hanging="279"/>
        <w:spacing w:after="0"/>
        <w:tabs>
          <w:tab w:leader="none" w:pos="1620" w:val="left"/>
        </w:tabs>
        <w:numPr>
          <w:ilvl w:val="2"/>
          <w:numId w:val="389"/>
        </w:numPr>
        <w:rPr>
          <w:rFonts w:ascii="Arial" w:cs="Arial" w:eastAsia="Arial" w:hAnsi="Arial"/>
          <w:sz w:val="18"/>
          <w:szCs w:val="18"/>
          <w:color w:val="auto"/>
        </w:rPr>
      </w:pPr>
      <w:r>
        <w:rPr>
          <w:rFonts w:ascii="Arial" w:cs="Arial" w:eastAsia="Arial" w:hAnsi="Arial"/>
          <w:sz w:val="18"/>
          <w:szCs w:val="18"/>
          <w:color w:val="auto"/>
        </w:rPr>
        <w:t>Repair and maintenance of operations that are likely to disturb ACMs or PACMs.</w:t>
      </w:r>
    </w:p>
    <w:p>
      <w:pPr>
        <w:spacing w:after="0" w:line="113" w:lineRule="exact"/>
        <w:rPr>
          <w:rFonts w:ascii="Arial" w:cs="Arial" w:eastAsia="Arial" w:hAnsi="Arial"/>
          <w:sz w:val="18"/>
          <w:szCs w:val="18"/>
          <w:color w:val="auto"/>
        </w:rPr>
      </w:pPr>
    </w:p>
    <w:p>
      <w:pPr>
        <w:ind w:right="100" w:firstLine="464"/>
        <w:spacing w:after="0" w:line="290" w:lineRule="auto"/>
        <w:tabs>
          <w:tab w:leader="none" w:pos="726" w:val="left"/>
        </w:tabs>
        <w:numPr>
          <w:ilvl w:val="0"/>
          <w:numId w:val="390"/>
        </w:numPr>
        <w:rPr>
          <w:rFonts w:ascii="Arial" w:cs="Arial" w:eastAsia="Arial" w:hAnsi="Arial"/>
          <w:sz w:val="16"/>
          <w:szCs w:val="16"/>
          <w:color w:val="auto"/>
        </w:rPr>
      </w:pPr>
      <w:r>
        <w:rPr>
          <w:rFonts w:ascii="Arial" w:cs="Arial" w:eastAsia="Arial" w:hAnsi="Arial"/>
          <w:sz w:val="16"/>
          <w:szCs w:val="16"/>
          <w:b w:val="1"/>
          <w:bCs w:val="1"/>
          <w:color w:val="auto"/>
        </w:rPr>
        <w:t>Tenant’s Remedies/Limitation of Liability</w:t>
      </w:r>
      <w:r>
        <w:rPr>
          <w:rFonts w:ascii="Arial" w:cs="Arial" w:eastAsia="Arial" w:hAnsi="Arial"/>
          <w:sz w:val="16"/>
          <w:szCs w:val="16"/>
          <w:color w:val="auto"/>
        </w:rPr>
        <w:t>. Landlord shall not be in default hereunder unless Landlord fails to perform any of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(to the extent that Tenant has received notice of the same) and Tenant shall offer such Holder and/or landlord a reasonable opportunity to cure the default, including time to obtain possession of the Project, or portion thereof of which the Premises are a part, by power of sale or a judicial action if such should prove necessary to effect a cure;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70485</wp:posOffset>
            </wp:positionV>
            <wp:extent cx="2418080" cy="5143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28" w:name="page529"/>
    <w:bookmarkEnd w:id="528"/>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28</w:t>
      </w:r>
    </w:p>
    <w:p>
      <w:pPr>
        <w:spacing w:after="0" w:line="16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All obligations of Landlord under this Lease will be binding upon Landlord only during the period of its ownership of the Premises and not thereafter. The term “</w:t>
      </w:r>
      <w:r>
        <w:rPr>
          <w:rFonts w:ascii="Arial" w:cs="Arial" w:eastAsia="Arial" w:hAnsi="Arial"/>
          <w:sz w:val="18"/>
          <w:szCs w:val="18"/>
          <w:b w:val="1"/>
          <w:bCs w:val="1"/>
          <w:color w:val="auto"/>
        </w:rPr>
        <w:t>Landlord</w:t>
      </w:r>
      <w:r>
        <w:rPr>
          <w:rFonts w:ascii="Arial" w:cs="Arial" w:eastAsia="Arial" w:hAnsi="Arial"/>
          <w:sz w:val="18"/>
          <w:szCs w:val="18"/>
          <w:color w:val="auto"/>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pacing w:after="0" w:line="183" w:lineRule="exact"/>
        <w:rPr>
          <w:sz w:val="20"/>
          <w:szCs w:val="20"/>
          <w:color w:val="auto"/>
        </w:rPr>
      </w:pPr>
    </w:p>
    <w:p>
      <w:pPr>
        <w:ind w:right="20" w:firstLine="464"/>
        <w:spacing w:after="0" w:line="288" w:lineRule="auto"/>
        <w:tabs>
          <w:tab w:leader="none" w:pos="726" w:val="left"/>
        </w:tabs>
        <w:numPr>
          <w:ilvl w:val="0"/>
          <w:numId w:val="391"/>
        </w:numPr>
        <w:rPr>
          <w:rFonts w:ascii="Arial" w:cs="Arial" w:eastAsia="Arial" w:hAnsi="Arial"/>
          <w:sz w:val="16"/>
          <w:szCs w:val="16"/>
          <w:color w:val="auto"/>
        </w:rPr>
      </w:pPr>
      <w:r>
        <w:rPr>
          <w:rFonts w:ascii="Arial" w:cs="Arial" w:eastAsia="Arial" w:hAnsi="Arial"/>
          <w:sz w:val="16"/>
          <w:szCs w:val="16"/>
          <w:b w:val="1"/>
          <w:bCs w:val="1"/>
          <w:color w:val="auto"/>
        </w:rPr>
        <w:t>Inspection and Access</w:t>
      </w:r>
      <w:r>
        <w:rPr>
          <w:rFonts w:ascii="Arial" w:cs="Arial" w:eastAsia="Arial" w:hAnsi="Arial"/>
          <w:sz w:val="16"/>
          <w:szCs w:val="16"/>
          <w:color w:val="auto"/>
        </w:rPr>
        <w:t>. Landlord and its agents, representatives, and contractors may enter the Premises at any reasonable time to inspect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Premises and to make such repairs as may be required or permitted pursuant to this Lease and for any other reasonable business purpose. Landlord and Landlord’s representatives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showing the Premises to prospective purchasers and, during the last year of the Term, to prospective tenants or for any other business purpose. Landlord may erect a suitable sign on the Premises, Building or Property stating the Premises or Building are available to let or that the Building, Property or Project is available for sale. Landlord may grant easements, make public dedications, designate Common Areas and create restrictions on or about the Premises, Building and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easement, dedication, designation or restriction materially, adversely affects Tenant’s use or occupancy of the Premises for the Permitted Use. At Landlord’s request, Tenant shall execute such instruments as may be reasonably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spacing w:after="0" w:line="164" w:lineRule="exact"/>
        <w:rPr>
          <w:rFonts w:ascii="Arial" w:cs="Arial" w:eastAsia="Arial" w:hAnsi="Arial"/>
          <w:sz w:val="16"/>
          <w:szCs w:val="16"/>
          <w:color w:val="auto"/>
        </w:rPr>
      </w:pPr>
    </w:p>
    <w:p>
      <w:pPr>
        <w:ind w:right="40" w:firstLine="464"/>
        <w:spacing w:after="0" w:line="295" w:lineRule="auto"/>
        <w:tabs>
          <w:tab w:leader="none" w:pos="726" w:val="left"/>
        </w:tabs>
        <w:numPr>
          <w:ilvl w:val="0"/>
          <w:numId w:val="391"/>
        </w:numPr>
        <w:rPr>
          <w:rFonts w:ascii="Arial" w:cs="Arial" w:eastAsia="Arial" w:hAnsi="Arial"/>
          <w:sz w:val="16"/>
          <w:szCs w:val="16"/>
          <w:color w:val="auto"/>
        </w:rPr>
      </w:pPr>
      <w:r>
        <w:rPr>
          <w:rFonts w:ascii="Arial" w:cs="Arial" w:eastAsia="Arial" w:hAnsi="Arial"/>
          <w:sz w:val="16"/>
          <w:szCs w:val="16"/>
          <w:b w:val="1"/>
          <w:bCs w:val="1"/>
          <w:color w:val="auto"/>
        </w:rPr>
        <w:t>Security</w:t>
      </w:r>
      <w:r>
        <w:rPr>
          <w:rFonts w:ascii="Arial" w:cs="Arial" w:eastAsia="Arial" w:hAnsi="Arial"/>
          <w:sz w:val="16"/>
          <w:szCs w:val="16"/>
          <w:color w:val="auto"/>
        </w:rPr>
        <w:t>. Tenant acknowledges and agrees that security devices and services, if any, while intended to deter crime may not in given instances</w:t>
      </w:r>
      <w:r>
        <w:rPr>
          <w:rFonts w:ascii="Arial" w:cs="Arial" w:eastAsia="Arial" w:hAnsi="Arial"/>
          <w:sz w:val="16"/>
          <w:szCs w:val="16"/>
          <w:b w:val="1"/>
          <w:bCs w:val="1"/>
          <w:color w:val="auto"/>
        </w:rPr>
        <w:t xml:space="preserve"> </w:t>
      </w:r>
      <w:r>
        <w:rPr>
          <w:rFonts w:ascii="Arial" w:cs="Arial" w:eastAsia="Arial" w:hAnsi="Arial"/>
          <w:sz w:val="16"/>
          <w:szCs w:val="16"/>
          <w:color w:val="auto"/>
        </w:rPr>
        <w:t>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Building, Property and/or Project. Tenant shall at Tenant’s cost obtain insurance coverage to the extent Tenant desires protection against such criminal acts.</w:t>
      </w:r>
    </w:p>
    <w:p>
      <w:pPr>
        <w:spacing w:after="0" w:line="155" w:lineRule="exact"/>
        <w:rPr>
          <w:rFonts w:ascii="Arial" w:cs="Arial" w:eastAsia="Arial" w:hAnsi="Arial"/>
          <w:sz w:val="16"/>
          <w:szCs w:val="16"/>
          <w:color w:val="auto"/>
        </w:rPr>
      </w:pPr>
    </w:p>
    <w:p>
      <w:pPr>
        <w:ind w:right="40" w:firstLine="464"/>
        <w:spacing w:after="0" w:line="274" w:lineRule="auto"/>
        <w:tabs>
          <w:tab w:leader="none" w:pos="726" w:val="left"/>
        </w:tabs>
        <w:numPr>
          <w:ilvl w:val="0"/>
          <w:numId w:val="391"/>
        </w:numPr>
        <w:rPr>
          <w:rFonts w:ascii="Arial" w:cs="Arial" w:eastAsia="Arial" w:hAnsi="Arial"/>
          <w:sz w:val="17"/>
          <w:szCs w:val="17"/>
          <w:color w:val="auto"/>
        </w:rPr>
      </w:pPr>
      <w:r>
        <w:rPr>
          <w:rFonts w:ascii="Arial" w:cs="Arial" w:eastAsia="Arial" w:hAnsi="Arial"/>
          <w:sz w:val="17"/>
          <w:szCs w:val="17"/>
          <w:b w:val="1"/>
          <w:bCs w:val="1"/>
          <w:color w:val="auto"/>
        </w:rPr>
        <w:t>Force Majeure</w:t>
      </w:r>
      <w:r>
        <w:rPr>
          <w:rFonts w:ascii="Arial" w:cs="Arial" w:eastAsia="Arial" w:hAnsi="Arial"/>
          <w:sz w:val="17"/>
          <w:szCs w:val="17"/>
          <w:color w:val="auto"/>
        </w:rPr>
        <w:t>. Except for the payment of Rent, neither Landlord nor Tenant shall be held responsible or liable for delays in the performance of its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hereunder when caused by, related to, or arising out of acts of God,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 issuance or revocation of permits, enemy or hostile governmental action, terrorism, insurrection, riots, civil disturbance or commotion, fire or other casualty, and other causes or events beyond their reasonable control (“</w:t>
      </w:r>
      <w:r>
        <w:rPr>
          <w:rFonts w:ascii="Arial" w:cs="Arial" w:eastAsia="Arial" w:hAnsi="Arial"/>
          <w:sz w:val="17"/>
          <w:szCs w:val="17"/>
          <w:b w:val="1"/>
          <w:bCs w:val="1"/>
          <w:color w:val="auto"/>
        </w:rPr>
        <w:t>Force Majeure</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ind w:right="20" w:firstLine="464"/>
        <w:spacing w:after="0" w:line="295" w:lineRule="auto"/>
        <w:tabs>
          <w:tab w:leader="none" w:pos="726" w:val="left"/>
        </w:tabs>
        <w:numPr>
          <w:ilvl w:val="0"/>
          <w:numId w:val="391"/>
        </w:numPr>
        <w:rPr>
          <w:rFonts w:ascii="Arial" w:cs="Arial" w:eastAsia="Arial" w:hAnsi="Arial"/>
          <w:sz w:val="16"/>
          <w:szCs w:val="16"/>
          <w:color w:val="auto"/>
        </w:rPr>
      </w:pPr>
      <w:r>
        <w:rPr>
          <w:rFonts w:ascii="Arial" w:cs="Arial" w:eastAsia="Arial" w:hAnsi="Arial"/>
          <w:sz w:val="16"/>
          <w:szCs w:val="16"/>
          <w:b w:val="1"/>
          <w:bCs w:val="1"/>
          <w:color w:val="auto"/>
        </w:rPr>
        <w:t>Brokers</w:t>
      </w:r>
      <w:r>
        <w:rPr>
          <w:rFonts w:ascii="Arial" w:cs="Arial" w:eastAsia="Arial" w:hAnsi="Arial"/>
          <w:sz w:val="16"/>
          <w:szCs w:val="16"/>
          <w:color w:val="auto"/>
        </w:rPr>
        <w:t>. Landlord and Tenant each represents and warrants that it has not dealt with any broker, agent or other person (collectively, “</w:t>
      </w:r>
      <w:r>
        <w:rPr>
          <w:rFonts w:ascii="Arial" w:cs="Arial" w:eastAsia="Arial" w:hAnsi="Arial"/>
          <w:sz w:val="16"/>
          <w:szCs w:val="16"/>
          <w:b w:val="1"/>
          <w:bCs w:val="1"/>
          <w:color w:val="auto"/>
        </w:rPr>
        <w:t>Broker</w:t>
      </w:r>
      <w:r>
        <w:rPr>
          <w:rFonts w:ascii="Arial" w:cs="Arial" w:eastAsia="Arial" w:hAnsi="Arial"/>
          <w:sz w:val="16"/>
          <w:szCs w:val="16"/>
          <w:color w:val="auto"/>
        </w:rPr>
        <w:t>)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connection with this transaction and that no Broker brought about this transaction, other than Colliers International and NKF. Landlord and Tenant each hereby agree to indemnify and hold the other harmless from and against any claims by any Broker, other than the broker, if any named in this </w:t>
      </w:r>
      <w:r>
        <w:rPr>
          <w:rFonts w:ascii="Arial" w:cs="Arial" w:eastAsia="Arial" w:hAnsi="Arial"/>
          <w:sz w:val="16"/>
          <w:szCs w:val="16"/>
          <w:u w:val="single" w:color="auto"/>
          <w:color w:val="auto"/>
        </w:rPr>
        <w:t>Section 35</w:t>
      </w:r>
      <w:r>
        <w:rPr>
          <w:rFonts w:ascii="Arial" w:cs="Arial" w:eastAsia="Arial" w:hAnsi="Arial"/>
          <w:sz w:val="16"/>
          <w:szCs w:val="16"/>
          <w:color w:val="auto"/>
        </w:rPr>
        <w:t>, claiming a commission or other form of compensation by virtue of having dealt with Tenant or Landlord, as applicable, with regard to this leasing transaction. Landlord shall be responsible for all commissions due to Colliers International and NKF arising out of the execution of this Lease in accordance with the terms of a separate written agreement between Landlord, on the one hand, and Colliers International and NKF,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67310</wp:posOffset>
            </wp:positionV>
            <wp:extent cx="2418080" cy="51435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29" w:name="page530"/>
    <w:bookmarkEnd w:id="529"/>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29</w:t>
      </w:r>
    </w:p>
    <w:p>
      <w:pPr>
        <w:spacing w:after="0" w:line="158" w:lineRule="exact"/>
        <w:rPr>
          <w:sz w:val="20"/>
          <w:szCs w:val="20"/>
          <w:color w:val="auto"/>
        </w:rPr>
      </w:pPr>
    </w:p>
    <w:p>
      <w:pPr>
        <w:ind w:firstLine="464"/>
        <w:spacing w:after="0" w:line="268" w:lineRule="auto"/>
        <w:tabs>
          <w:tab w:leader="none" w:pos="726" w:val="left"/>
        </w:tabs>
        <w:numPr>
          <w:ilvl w:val="0"/>
          <w:numId w:val="392"/>
        </w:numPr>
        <w:rPr>
          <w:rFonts w:ascii="Arial" w:cs="Arial" w:eastAsia="Arial" w:hAnsi="Arial"/>
          <w:sz w:val="17"/>
          <w:szCs w:val="17"/>
          <w:color w:val="auto"/>
        </w:rPr>
      </w:pPr>
      <w:r>
        <w:rPr>
          <w:rFonts w:ascii="Arial" w:cs="Arial" w:eastAsia="Arial" w:hAnsi="Arial"/>
          <w:sz w:val="17"/>
          <w:szCs w:val="17"/>
          <w:b w:val="1"/>
          <w:bCs w:val="1"/>
          <w:color w:val="auto"/>
        </w:rPr>
        <w:t>Limitation on Landlord’s Liability</w:t>
      </w:r>
      <w:r>
        <w:rPr>
          <w:rFonts w:ascii="Arial" w:cs="Arial" w:eastAsia="Arial" w:hAnsi="Arial"/>
          <w:sz w:val="17"/>
          <w:szCs w:val="17"/>
          <w:color w:val="auto"/>
        </w:rPr>
        <w:t>. NOTWITHSTANDING ANYTHING SET FORTH HEREIN OR IN ANY OTHER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PROPERTY OR ANY PROCEEDS FROM SALE OR CONDEMNATION THEREOF AND ANY INSURANCE PROCEEDS PAYABLE IN RESPECT OF LANDLORD’S INTEREST IN THE PROPERTY OR IN CONNECTION WITH ANY SUCH LOSS; AND (C) IN NO EVENT SHALL ANY PERSONAL LIABILITY BE ASSERTED AGAINST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183" w:lineRule="exact"/>
        <w:rPr>
          <w:rFonts w:ascii="Arial" w:cs="Arial" w:eastAsia="Arial" w:hAnsi="Arial"/>
          <w:sz w:val="17"/>
          <w:szCs w:val="17"/>
          <w:color w:val="auto"/>
        </w:rPr>
      </w:pPr>
    </w:p>
    <w:p>
      <w:pPr>
        <w:ind w:right="40" w:firstLine="464"/>
        <w:spacing w:after="0" w:line="281" w:lineRule="auto"/>
        <w:tabs>
          <w:tab w:leader="none" w:pos="726" w:val="left"/>
        </w:tabs>
        <w:numPr>
          <w:ilvl w:val="0"/>
          <w:numId w:val="392"/>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clause or provision of this Lease is illegal, invalid or unenforceable under present or future laws, then and in that event, it is the</w:t>
      </w:r>
      <w:r>
        <w:rPr>
          <w:rFonts w:ascii="Arial" w:cs="Arial" w:eastAsia="Arial" w:hAnsi="Arial"/>
          <w:sz w:val="17"/>
          <w:szCs w:val="17"/>
          <w:b w:val="1"/>
          <w:bCs w:val="1"/>
          <w:color w:val="auto"/>
        </w:rPr>
        <w:t xml:space="preserve"> </w:t>
      </w:r>
      <w:r>
        <w:rPr>
          <w:rFonts w:ascii="Arial" w:cs="Arial" w:eastAsia="Arial" w:hAnsi="Arial"/>
          <w:sz w:val="17"/>
          <w:szCs w:val="17"/>
          <w:color w:val="auto"/>
        </w:rPr>
        <w:t>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164" w:lineRule="exact"/>
        <w:rPr>
          <w:rFonts w:ascii="Arial" w:cs="Arial" w:eastAsia="Arial" w:hAnsi="Arial"/>
          <w:sz w:val="17"/>
          <w:szCs w:val="17"/>
          <w:color w:val="auto"/>
        </w:rPr>
      </w:pPr>
    </w:p>
    <w:p>
      <w:pPr>
        <w:ind w:right="80" w:firstLine="464"/>
        <w:spacing w:after="0" w:line="290" w:lineRule="auto"/>
        <w:tabs>
          <w:tab w:leader="none" w:pos="726" w:val="left"/>
        </w:tabs>
        <w:numPr>
          <w:ilvl w:val="0"/>
          <w:numId w:val="392"/>
        </w:numPr>
        <w:rPr>
          <w:rFonts w:ascii="Arial" w:cs="Arial" w:eastAsia="Arial" w:hAnsi="Arial"/>
          <w:sz w:val="16"/>
          <w:szCs w:val="16"/>
          <w:color w:val="auto"/>
        </w:rPr>
      </w:pPr>
      <w:r>
        <w:rPr>
          <w:rFonts w:ascii="Arial" w:cs="Arial" w:eastAsia="Arial" w:hAnsi="Arial"/>
          <w:sz w:val="16"/>
          <w:szCs w:val="16"/>
          <w:b w:val="1"/>
          <w:bCs w:val="1"/>
          <w:color w:val="auto"/>
        </w:rPr>
        <w:t>Signs; Exterior Appearance</w:t>
      </w:r>
      <w:r>
        <w:rPr>
          <w:rFonts w:ascii="Arial" w:cs="Arial" w:eastAsia="Arial" w:hAnsi="Arial"/>
          <w:sz w:val="16"/>
          <w:szCs w:val="16"/>
          <w:color w:val="auto"/>
        </w:rPr>
        <w:t>. Tenant shall not, without the prior written consent of Landlord, which may be granted or withheld in Landlord’s</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discretion: (i) attach any awnings, exterior lights, decorations, balloons, flags, pennants, banners, painting or other projection to any outside wall of the Building,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Premises, Building, Property or Project any signs, notices, window or door lettering, placards, decorations, or advertising media of any type which can be viewed from the exterior of the Premises. Building standard signage in the lobby, on the floor on which the Premises is located and on the directory tablet shall be inscribed, painted or affixed for Tenant by Landlord, at Landlord’s cost, and shall be of a size, color and type acceptable to Landlord. Nothing may be placed on the exterior of corridor walls or corridor doors other than Landlord’s standard lettering. The directory tablet shall be provided exclusively for the display of the name and location of tenants.</w:t>
      </w:r>
    </w:p>
    <w:p>
      <w:pPr>
        <w:spacing w:after="0" w:line="159" w:lineRule="exact"/>
        <w:rPr>
          <w:rFonts w:ascii="Arial" w:cs="Arial" w:eastAsia="Arial" w:hAnsi="Arial"/>
          <w:sz w:val="16"/>
          <w:szCs w:val="16"/>
          <w:color w:val="auto"/>
        </w:rPr>
      </w:pPr>
    </w:p>
    <w:p>
      <w:pPr>
        <w:ind w:left="740" w:hanging="276"/>
        <w:spacing w:after="0"/>
        <w:tabs>
          <w:tab w:leader="none" w:pos="740" w:val="left"/>
        </w:tabs>
        <w:numPr>
          <w:ilvl w:val="0"/>
          <w:numId w:val="392"/>
        </w:numPr>
        <w:rPr>
          <w:rFonts w:ascii="Arial" w:cs="Arial" w:eastAsia="Arial" w:hAnsi="Arial"/>
          <w:sz w:val="18"/>
          <w:szCs w:val="18"/>
          <w:color w:val="auto"/>
        </w:rPr>
      </w:pP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392"/>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921"/>
        <w:spacing w:after="0" w:line="261" w:lineRule="auto"/>
        <w:tabs>
          <w:tab w:leader="none" w:pos="1157" w:val="left"/>
        </w:tabs>
        <w:numPr>
          <w:ilvl w:val="1"/>
          <w:numId w:val="392"/>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or other communications between the parties shall be in writing and shall be deemed duly given upon delivery or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to 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83185</wp:posOffset>
            </wp:positionV>
            <wp:extent cx="2418080" cy="5143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30" w:name="page531"/>
    <w:bookmarkEnd w:id="530"/>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30</w:t>
      </w:r>
    </w:p>
    <w:p>
      <w:pPr>
        <w:spacing w:after="0" w:line="158" w:lineRule="exact"/>
        <w:rPr>
          <w:sz w:val="20"/>
          <w:szCs w:val="20"/>
          <w:color w:val="auto"/>
        </w:rPr>
      </w:pPr>
    </w:p>
    <w:p>
      <w:pPr>
        <w:ind w:right="380" w:firstLine="921"/>
        <w:spacing w:after="0" w:line="282" w:lineRule="auto"/>
        <w:tabs>
          <w:tab w:leader="none" w:pos="1168" w:val="left"/>
        </w:tabs>
        <w:numPr>
          <w:ilvl w:val="1"/>
          <w:numId w:val="393"/>
        </w:numPr>
        <w:rPr>
          <w:rFonts w:ascii="Arial" w:cs="Arial" w:eastAsia="Arial" w:hAnsi="Arial"/>
          <w:sz w:val="18"/>
          <w:szCs w:val="18"/>
          <w:color w:val="auto"/>
        </w:rPr>
      </w:pPr>
      <w:r>
        <w:rPr>
          <w:rFonts w:ascii="Arial" w:cs="Arial" w:eastAsia="Arial" w:hAnsi="Arial"/>
          <w:sz w:val="18"/>
          <w:szCs w:val="18"/>
          <w:b w:val="1"/>
          <w:bCs w:val="1"/>
          <w:color w:val="auto"/>
        </w:rPr>
        <w:t>Joint and Several Liability</w:t>
      </w:r>
      <w:r>
        <w:rPr>
          <w:rFonts w:ascii="Arial" w:cs="Arial" w:eastAsia="Arial" w:hAnsi="Arial"/>
          <w:sz w:val="18"/>
          <w:szCs w:val="18"/>
          <w:color w:val="auto"/>
        </w:rPr>
        <w:t>. If and when included within the term “</w:t>
      </w:r>
      <w:r>
        <w:rPr>
          <w:rFonts w:ascii="Arial" w:cs="Arial" w:eastAsia="Arial" w:hAnsi="Arial"/>
          <w:sz w:val="18"/>
          <w:szCs w:val="18"/>
          <w:b w:val="1"/>
          <w:bCs w:val="1"/>
          <w:color w:val="auto"/>
        </w:rPr>
        <w:t>Tenant</w:t>
      </w:r>
      <w:r>
        <w:rPr>
          <w:rFonts w:ascii="Arial" w:cs="Arial" w:eastAsia="Arial" w:hAnsi="Arial"/>
          <w:sz w:val="18"/>
          <w:szCs w:val="18"/>
          <w:color w:val="auto"/>
        </w:rPr>
        <w:t>,” as used in this instrument, there is more than one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each shall be jointly and severally liable for the obligations of Tenant.</w:t>
      </w:r>
    </w:p>
    <w:p>
      <w:pPr>
        <w:spacing w:after="0" w:line="53" w:lineRule="exact"/>
        <w:rPr>
          <w:rFonts w:ascii="Arial" w:cs="Arial" w:eastAsia="Arial" w:hAnsi="Arial"/>
          <w:sz w:val="18"/>
          <w:szCs w:val="18"/>
          <w:color w:val="auto"/>
        </w:rPr>
      </w:pPr>
    </w:p>
    <w:p>
      <w:pPr>
        <w:jc w:val="both"/>
        <w:ind w:right="300" w:firstLine="921"/>
        <w:spacing w:after="0" w:line="293" w:lineRule="auto"/>
        <w:tabs>
          <w:tab w:leader="none" w:pos="1157" w:val="left"/>
        </w:tabs>
        <w:numPr>
          <w:ilvl w:val="1"/>
          <w:numId w:val="393"/>
        </w:numPr>
        <w:rPr>
          <w:rFonts w:ascii="Arial" w:cs="Arial" w:eastAsia="Arial" w:hAnsi="Arial"/>
          <w:sz w:val="16"/>
          <w:szCs w:val="16"/>
          <w:color w:val="auto"/>
        </w:rPr>
      </w:pPr>
      <w:r>
        <w:rPr>
          <w:rFonts w:ascii="Arial" w:cs="Arial" w:eastAsia="Arial" w:hAnsi="Arial"/>
          <w:sz w:val="16"/>
          <w:szCs w:val="16"/>
          <w:b w:val="1"/>
          <w:bCs w:val="1"/>
          <w:color w:val="auto"/>
        </w:rPr>
        <w:t>Financial Information</w:t>
      </w:r>
      <w:r>
        <w:rPr>
          <w:rFonts w:ascii="Arial" w:cs="Arial" w:eastAsia="Arial" w:hAnsi="Arial"/>
          <w:sz w:val="16"/>
          <w:szCs w:val="16"/>
          <w:color w:val="auto"/>
        </w:rPr>
        <w:t>. Upon written request from Landlord, Tenant shall furnish Landlord with true and complete copies of (i)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most recent unaudited (or, if available, audited) annual financial statements within 90 days of the end of each of Tenant’s fiscal years during the Term, and</w:t>
      </w:r>
    </w:p>
    <w:p>
      <w:pPr>
        <w:spacing w:after="0" w:line="1" w:lineRule="exact"/>
        <w:rPr>
          <w:rFonts w:ascii="Arial" w:cs="Arial" w:eastAsia="Arial" w:hAnsi="Arial"/>
          <w:sz w:val="16"/>
          <w:szCs w:val="16"/>
          <w:color w:val="auto"/>
        </w:rPr>
      </w:pPr>
    </w:p>
    <w:p>
      <w:pPr>
        <w:ind w:right="220" w:firstLine="8"/>
        <w:spacing w:after="0" w:line="254" w:lineRule="auto"/>
        <w:tabs>
          <w:tab w:leader="none" w:pos="262"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Tenant’s most recent unaudited (or, if available, audited) quarterly financial statements within 45 days of the end of each of Tenant’s first three fiscal quarters of each of Tenant’s fiscal years during the Term. If the stock of Tenant is publicly traded on a recognized national exchange, then Tenant’s filing of quarterly and annual financial statements with the Securities and Exchange Commission shall be deemed to satisfy Tenant’s obligations to deliver financial statements under this Section.</w:t>
      </w:r>
    </w:p>
    <w:p>
      <w:pPr>
        <w:spacing w:after="0" w:line="77" w:lineRule="exact"/>
        <w:rPr>
          <w:rFonts w:ascii="Arial" w:cs="Arial" w:eastAsia="Arial" w:hAnsi="Arial"/>
          <w:sz w:val="18"/>
          <w:szCs w:val="18"/>
          <w:color w:val="auto"/>
        </w:rPr>
      </w:pPr>
    </w:p>
    <w:p>
      <w:pPr>
        <w:ind w:right="400" w:firstLine="921"/>
        <w:spacing w:after="0" w:line="282" w:lineRule="auto"/>
        <w:tabs>
          <w:tab w:leader="none" w:pos="1168" w:val="left"/>
        </w:tabs>
        <w:numPr>
          <w:ilvl w:val="1"/>
          <w:numId w:val="394"/>
        </w:numPr>
        <w:rPr>
          <w:rFonts w:ascii="Arial" w:cs="Arial" w:eastAsia="Arial" w:hAnsi="Arial"/>
          <w:sz w:val="18"/>
          <w:szCs w:val="18"/>
          <w:color w:val="auto"/>
        </w:rPr>
      </w:pPr>
      <w:r>
        <w:rPr>
          <w:rFonts w:ascii="Arial" w:cs="Arial" w:eastAsia="Arial" w:hAnsi="Arial"/>
          <w:sz w:val="18"/>
          <w:szCs w:val="18"/>
          <w:b w:val="1"/>
          <w:bCs w:val="1"/>
          <w:color w:val="auto"/>
        </w:rPr>
        <w:t>Recordation</w:t>
      </w:r>
      <w:r>
        <w:rPr>
          <w:rFonts w:ascii="Arial" w:cs="Arial" w:eastAsia="Arial" w:hAnsi="Arial"/>
          <w:sz w:val="18"/>
          <w:szCs w:val="18"/>
          <w:color w:val="auto"/>
        </w:rPr>
        <w:t>. Neither this Lease nor a memorandum of lease shall be filed by or on behalf of Tenant in any public record. Landlord may</w:t>
      </w:r>
      <w:r>
        <w:rPr>
          <w:rFonts w:ascii="Arial" w:cs="Arial" w:eastAsia="Arial" w:hAnsi="Arial"/>
          <w:sz w:val="18"/>
          <w:szCs w:val="18"/>
          <w:b w:val="1"/>
          <w:bCs w:val="1"/>
          <w:color w:val="auto"/>
        </w:rPr>
        <w:t xml:space="preserve"> </w:t>
      </w:r>
      <w:r>
        <w:rPr>
          <w:rFonts w:ascii="Arial" w:cs="Arial" w:eastAsia="Arial" w:hAnsi="Arial"/>
          <w:sz w:val="18"/>
          <w:szCs w:val="18"/>
          <w:color w:val="auto"/>
        </w:rPr>
        <w:t>prepare and file, and upon request by Landlord Tenant will execute, a memorandum of lease.</w:t>
      </w:r>
    </w:p>
    <w:p>
      <w:pPr>
        <w:spacing w:after="0" w:line="53" w:lineRule="exact"/>
        <w:rPr>
          <w:rFonts w:ascii="Arial" w:cs="Arial" w:eastAsia="Arial" w:hAnsi="Arial"/>
          <w:sz w:val="18"/>
          <w:szCs w:val="18"/>
          <w:color w:val="auto"/>
        </w:rPr>
      </w:pPr>
    </w:p>
    <w:p>
      <w:pPr>
        <w:ind w:right="100" w:firstLine="921"/>
        <w:spacing w:after="0" w:line="258" w:lineRule="auto"/>
        <w:tabs>
          <w:tab w:leader="none" w:pos="1157" w:val="left"/>
        </w:tabs>
        <w:numPr>
          <w:ilvl w:val="1"/>
          <w:numId w:val="394"/>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normal rule of construction to the effect that any ambiguities are to be resolved against the drafting party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75" w:lineRule="exact"/>
        <w:rPr>
          <w:rFonts w:ascii="Arial" w:cs="Arial" w:eastAsia="Arial" w:hAnsi="Arial"/>
          <w:sz w:val="18"/>
          <w:szCs w:val="18"/>
          <w:color w:val="auto"/>
        </w:rPr>
      </w:pPr>
    </w:p>
    <w:p>
      <w:pPr>
        <w:ind w:right="220" w:firstLine="921"/>
        <w:spacing w:after="0" w:line="347" w:lineRule="auto"/>
        <w:tabs>
          <w:tab w:leader="none" w:pos="1138" w:val="left"/>
        </w:tabs>
        <w:numPr>
          <w:ilvl w:val="1"/>
          <w:numId w:val="394"/>
        </w:numPr>
        <w:rPr>
          <w:rFonts w:ascii="Arial" w:cs="Arial" w:eastAsia="Arial" w:hAnsi="Arial"/>
          <w:sz w:val="16"/>
          <w:szCs w:val="16"/>
          <w:color w:val="auto"/>
        </w:rPr>
      </w:pPr>
      <w:r>
        <w:rPr>
          <w:rFonts w:ascii="Arial" w:cs="Arial" w:eastAsia="Arial" w:hAnsi="Arial"/>
          <w:sz w:val="16"/>
          <w:szCs w:val="16"/>
          <w:b w:val="1"/>
          <w:bCs w:val="1"/>
          <w:color w:val="auto"/>
        </w:rPr>
        <w:t>Not Binding Until Executed</w:t>
      </w:r>
      <w:r>
        <w:rPr>
          <w:rFonts w:ascii="Arial" w:cs="Arial" w:eastAsia="Arial" w:hAnsi="Arial"/>
          <w:sz w:val="16"/>
          <w:szCs w:val="16"/>
          <w:color w:val="auto"/>
        </w:rPr>
        <w:t>. The submission by Landlord to Tenant of this Lease shall have no binding force or effect, shall not constitute</w:t>
      </w:r>
      <w:r>
        <w:rPr>
          <w:rFonts w:ascii="Arial" w:cs="Arial" w:eastAsia="Arial" w:hAnsi="Arial"/>
          <w:sz w:val="16"/>
          <w:szCs w:val="16"/>
          <w:b w:val="1"/>
          <w:bCs w:val="1"/>
          <w:color w:val="auto"/>
        </w:rPr>
        <w:t xml:space="preserve"> </w:t>
      </w:r>
      <w:r>
        <w:rPr>
          <w:rFonts w:ascii="Arial" w:cs="Arial" w:eastAsia="Arial" w:hAnsi="Arial"/>
          <w:sz w:val="16"/>
          <w:szCs w:val="16"/>
          <w:color w:val="auto"/>
        </w:rPr>
        <w:t>an option for the leasing of the Premises, nor confer any right or impose any obligations upon either party until execution of this Lease by both parties.</w:t>
      </w:r>
    </w:p>
    <w:p>
      <w:pPr>
        <w:spacing w:after="0" w:line="8" w:lineRule="exact"/>
        <w:rPr>
          <w:rFonts w:ascii="Arial" w:cs="Arial" w:eastAsia="Arial" w:hAnsi="Arial"/>
          <w:sz w:val="16"/>
          <w:szCs w:val="16"/>
          <w:color w:val="auto"/>
        </w:rPr>
      </w:pPr>
    </w:p>
    <w:p>
      <w:pPr>
        <w:ind w:right="240" w:firstLine="921"/>
        <w:spacing w:after="0" w:line="261" w:lineRule="auto"/>
        <w:tabs>
          <w:tab w:leader="none" w:pos="1168" w:val="left"/>
        </w:tabs>
        <w:numPr>
          <w:ilvl w:val="1"/>
          <w:numId w:val="394"/>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w:t>
      </w:r>
      <w:r>
        <w:rPr>
          <w:rFonts w:ascii="Arial" w:cs="Arial" w:eastAsia="Arial" w:hAnsi="Arial"/>
          <w:sz w:val="18"/>
          <w:szCs w:val="18"/>
          <w:b w:val="1"/>
          <w:bCs w:val="1"/>
          <w:color w:val="auto"/>
        </w:rPr>
        <w:t xml:space="preserve"> Amendment</w:t>
      </w:r>
      <w:r>
        <w:rPr>
          <w:rFonts w:ascii="Arial" w:cs="Arial" w:eastAsia="Arial" w:hAnsi="Arial"/>
          <w:sz w:val="18"/>
          <w:szCs w:val="18"/>
          <w:color w:val="auto"/>
        </w:rPr>
        <w:t>. This Lease constitutes the entire agreement between Landlord and Tenant pertaining to the lease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and supersedes all other agreements, whether oral or written, pertaining to the lease of the Premises, and no other agreements with respect thereto shall be effective. Any amendments or modifications of this Lease shall be in writing and signed by both Landlord and Tenant, and any other attempted amendment or modification of this Lease shall be void.</w:t>
      </w:r>
    </w:p>
    <w:p>
      <w:pPr>
        <w:spacing w:after="0" w:line="71" w:lineRule="exact"/>
        <w:rPr>
          <w:rFonts w:ascii="Arial" w:cs="Arial" w:eastAsia="Arial" w:hAnsi="Arial"/>
          <w:sz w:val="18"/>
          <w:szCs w:val="18"/>
          <w:color w:val="auto"/>
        </w:rPr>
      </w:pPr>
    </w:p>
    <w:p>
      <w:pPr>
        <w:ind w:right="60" w:firstLine="921"/>
        <w:spacing w:after="0" w:line="255" w:lineRule="auto"/>
        <w:tabs>
          <w:tab w:leader="none" w:pos="1168" w:val="left"/>
        </w:tabs>
        <w:numPr>
          <w:ilvl w:val="1"/>
          <w:numId w:val="394"/>
        </w:numPr>
        <w:rPr>
          <w:rFonts w:ascii="Arial" w:cs="Arial" w:eastAsia="Arial" w:hAnsi="Arial"/>
          <w:sz w:val="18"/>
          <w:szCs w:val="18"/>
          <w:color w:val="auto"/>
        </w:rPr>
      </w:pPr>
      <w:r>
        <w:rPr>
          <w:rFonts w:ascii="Arial" w:cs="Arial" w:eastAsia="Arial" w:hAnsi="Arial"/>
          <w:sz w:val="18"/>
          <w:szCs w:val="18"/>
          <w:b w:val="1"/>
          <w:bCs w:val="1"/>
          <w:color w:val="auto"/>
        </w:rPr>
        <w:t>Limitations on Interest</w:t>
      </w:r>
      <w:r>
        <w:rPr>
          <w:rFonts w:ascii="Arial" w:cs="Arial" w:eastAsia="Arial" w:hAnsi="Arial"/>
          <w:sz w:val="18"/>
          <w:szCs w:val="18"/>
          <w:color w:val="auto"/>
        </w:rPr>
        <w:t>. It is expressly the intent of Landlord and Tenant at all times to comply with applicable law governing the maximum</w:t>
      </w:r>
      <w:r>
        <w:rPr>
          <w:rFonts w:ascii="Arial" w:cs="Arial" w:eastAsia="Arial" w:hAnsi="Arial"/>
          <w:sz w:val="18"/>
          <w:szCs w:val="18"/>
          <w:b w:val="1"/>
          <w:bCs w:val="1"/>
          <w:color w:val="auto"/>
        </w:rPr>
        <w:t xml:space="preserve"> </w:t>
      </w:r>
      <w:r>
        <w:rPr>
          <w:rFonts w:ascii="Arial" w:cs="Arial" w:eastAsia="Arial" w:hAnsi="Arial"/>
          <w:sz w:val="18"/>
          <w:szCs w:val="18"/>
          <w:color w:val="auto"/>
        </w:rPr>
        <w:t>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81" w:lineRule="exact"/>
        <w:rPr>
          <w:rFonts w:ascii="Arial" w:cs="Arial" w:eastAsia="Arial" w:hAnsi="Arial"/>
          <w:sz w:val="18"/>
          <w:szCs w:val="18"/>
          <w:color w:val="auto"/>
        </w:rPr>
      </w:pPr>
    </w:p>
    <w:p>
      <w:pPr>
        <w:ind w:right="120" w:firstLine="921"/>
        <w:spacing w:after="0" w:line="282" w:lineRule="auto"/>
        <w:tabs>
          <w:tab w:leader="none" w:pos="1128" w:val="left"/>
        </w:tabs>
        <w:numPr>
          <w:ilvl w:val="1"/>
          <w:numId w:val="394"/>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Construction and interpretation of this Lease shall be governed by the internal laws of the Commonwealth of Massachusetts,</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any principles of conflicts of laws.</w:t>
      </w:r>
    </w:p>
    <w:p>
      <w:pPr>
        <w:spacing w:after="0" w:line="53" w:lineRule="exact"/>
        <w:rPr>
          <w:rFonts w:ascii="Arial" w:cs="Arial" w:eastAsia="Arial" w:hAnsi="Arial"/>
          <w:sz w:val="18"/>
          <w:szCs w:val="18"/>
          <w:color w:val="auto"/>
        </w:rPr>
      </w:pPr>
    </w:p>
    <w:p>
      <w:pPr>
        <w:ind w:left="1140" w:hanging="219"/>
        <w:spacing w:after="0"/>
        <w:tabs>
          <w:tab w:leader="none" w:pos="1140" w:val="left"/>
        </w:tabs>
        <w:numPr>
          <w:ilvl w:val="1"/>
          <w:numId w:val="394"/>
        </w:numPr>
        <w:rPr>
          <w:rFonts w:ascii="Arial" w:cs="Arial" w:eastAsia="Arial" w:hAnsi="Arial"/>
          <w:sz w:val="18"/>
          <w:szCs w:val="18"/>
          <w:color w:val="auto"/>
        </w:rPr>
      </w:pPr>
      <w:r>
        <w:rPr>
          <w:rFonts w:ascii="Arial" w:cs="Arial" w:eastAsia="Arial" w:hAnsi="Arial"/>
          <w:sz w:val="18"/>
          <w:szCs w:val="18"/>
          <w:b w:val="1"/>
          <w:bCs w:val="1"/>
          <w:color w:val="auto"/>
        </w:rPr>
        <w:t>Time</w:t>
      </w:r>
      <w:r>
        <w:rPr>
          <w:rFonts w:ascii="Arial" w:cs="Arial" w:eastAsia="Arial" w:hAnsi="Arial"/>
          <w:sz w:val="18"/>
          <w:szCs w:val="18"/>
          <w:color w:val="auto"/>
        </w:rPr>
        <w:t>. Time is of the essence as to the performance of Tenant’s obligations under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111760</wp:posOffset>
            </wp:positionV>
            <wp:extent cx="2418080" cy="5143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31" w:name="page532"/>
    <w:bookmarkEnd w:id="531"/>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31</w:t>
      </w:r>
    </w:p>
    <w:p>
      <w:pPr>
        <w:spacing w:after="0" w:line="158" w:lineRule="exact"/>
        <w:rPr>
          <w:sz w:val="20"/>
          <w:szCs w:val="20"/>
          <w:color w:val="auto"/>
        </w:rPr>
      </w:pPr>
    </w:p>
    <w:p>
      <w:pPr>
        <w:ind w:right="100" w:firstLine="921"/>
        <w:spacing w:after="0" w:line="256" w:lineRule="auto"/>
        <w:tabs>
          <w:tab w:leader="none" w:pos="1168" w:val="left"/>
        </w:tabs>
        <w:numPr>
          <w:ilvl w:val="0"/>
          <w:numId w:val="395"/>
        </w:numPr>
        <w:rPr>
          <w:rFonts w:ascii="Arial" w:cs="Arial" w:eastAsia="Arial" w:hAnsi="Arial"/>
          <w:sz w:val="18"/>
          <w:szCs w:val="18"/>
          <w:color w:val="auto"/>
        </w:rPr>
      </w:pPr>
      <w:r>
        <w:rPr>
          <w:rFonts w:ascii="Arial" w:cs="Arial" w:eastAsia="Arial" w:hAnsi="Arial"/>
          <w:sz w:val="18"/>
          <w:szCs w:val="18"/>
          <w:b w:val="1"/>
          <w:bCs w:val="1"/>
          <w:color w:val="auto"/>
        </w:rPr>
        <w:t>OFAC</w:t>
      </w:r>
      <w:r>
        <w:rPr>
          <w:rFonts w:ascii="Arial" w:cs="Arial" w:eastAsia="Arial" w:hAnsi="Arial"/>
          <w:sz w:val="18"/>
          <w:szCs w:val="18"/>
          <w:color w:val="auto"/>
        </w:rPr>
        <w:t>. Tenant, and all beneficial owners of Tenant, are currently (a) in compliance with, and shall at all times during the Term of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remain in 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this Lease be listed on, the Specially 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79" w:lineRule="exact"/>
        <w:rPr>
          <w:rFonts w:ascii="Arial" w:cs="Arial" w:eastAsia="Arial" w:hAnsi="Arial"/>
          <w:sz w:val="18"/>
          <w:szCs w:val="18"/>
          <w:color w:val="auto"/>
        </w:rPr>
      </w:pPr>
    </w:p>
    <w:p>
      <w:pPr>
        <w:ind w:right="380" w:firstLine="921"/>
        <w:spacing w:after="0" w:line="282" w:lineRule="auto"/>
        <w:tabs>
          <w:tab w:leader="none" w:pos="1128" w:val="left"/>
        </w:tabs>
        <w:numPr>
          <w:ilvl w:val="0"/>
          <w:numId w:val="395"/>
        </w:numPr>
        <w:rPr>
          <w:rFonts w:ascii="Arial" w:cs="Arial" w:eastAsia="Arial" w:hAnsi="Arial"/>
          <w:sz w:val="18"/>
          <w:szCs w:val="18"/>
          <w:color w:val="auto"/>
        </w:rPr>
      </w:pPr>
      <w:r>
        <w:rPr>
          <w:rFonts w:ascii="Arial" w:cs="Arial" w:eastAsia="Arial" w:hAnsi="Arial"/>
          <w:sz w:val="18"/>
          <w:szCs w:val="18"/>
          <w:b w:val="1"/>
          <w:bCs w:val="1"/>
          <w:color w:val="auto"/>
        </w:rPr>
        <w:t>Incorporation by Reference</w:t>
      </w:r>
      <w:r>
        <w:rPr>
          <w:rFonts w:ascii="Arial" w:cs="Arial" w:eastAsia="Arial" w:hAnsi="Arial"/>
          <w:sz w:val="18"/>
          <w:szCs w:val="18"/>
          <w:color w:val="auto"/>
        </w:rPr>
        <w:t>. All exhibits and addenda attached hereto are hereby incorporated into this Lease and made a part hereof. If</w:t>
      </w:r>
      <w:r>
        <w:rPr>
          <w:rFonts w:ascii="Arial" w:cs="Arial" w:eastAsia="Arial" w:hAnsi="Arial"/>
          <w:sz w:val="18"/>
          <w:szCs w:val="18"/>
          <w:b w:val="1"/>
          <w:bCs w:val="1"/>
          <w:color w:val="auto"/>
        </w:rPr>
        <w:t xml:space="preserve"> </w:t>
      </w:r>
      <w:r>
        <w:rPr>
          <w:rFonts w:ascii="Arial" w:cs="Arial" w:eastAsia="Arial" w:hAnsi="Arial"/>
          <w:sz w:val="18"/>
          <w:szCs w:val="18"/>
          <w:color w:val="auto"/>
        </w:rPr>
        <w:t>there is any conflict between such exhibits or addenda and the terms of this Lease, such exhibits or addenda shall control.</w:t>
      </w:r>
    </w:p>
    <w:p>
      <w:pPr>
        <w:spacing w:after="0" w:line="53" w:lineRule="exact"/>
        <w:rPr>
          <w:rFonts w:ascii="Arial" w:cs="Arial" w:eastAsia="Arial" w:hAnsi="Arial"/>
          <w:sz w:val="18"/>
          <w:szCs w:val="18"/>
          <w:color w:val="auto"/>
        </w:rPr>
      </w:pPr>
    </w:p>
    <w:p>
      <w:pPr>
        <w:ind w:right="60" w:firstLine="921"/>
        <w:spacing w:after="0" w:line="303" w:lineRule="auto"/>
        <w:tabs>
          <w:tab w:leader="none" w:pos="1218" w:val="left"/>
        </w:tabs>
        <w:numPr>
          <w:ilvl w:val="0"/>
          <w:numId w:val="395"/>
        </w:numPr>
        <w:rPr>
          <w:rFonts w:ascii="Arial" w:cs="Arial" w:eastAsia="Arial" w:hAnsi="Arial"/>
          <w:sz w:val="16"/>
          <w:szCs w:val="16"/>
          <w:color w:val="auto"/>
        </w:rPr>
      </w:pPr>
      <w:r>
        <w:rPr>
          <w:rFonts w:ascii="Arial" w:cs="Arial" w:eastAsia="Arial" w:hAnsi="Arial"/>
          <w:sz w:val="16"/>
          <w:szCs w:val="16"/>
          <w:b w:val="1"/>
          <w:bCs w:val="1"/>
          <w:color w:val="auto"/>
        </w:rPr>
        <w:t>No Accord and Satisfaction</w:t>
      </w:r>
      <w:r>
        <w:rPr>
          <w:rFonts w:ascii="Arial" w:cs="Arial" w:eastAsia="Arial" w:hAnsi="Arial"/>
          <w:sz w:val="16"/>
          <w:szCs w:val="16"/>
          <w:color w:val="auto"/>
        </w:rPr>
        <w:t>. No payment by Tenant or receipt by Landlord of a lesser amount than the monthly installment of Base Rent or</w:t>
      </w:r>
      <w:r>
        <w:rPr>
          <w:rFonts w:ascii="Arial" w:cs="Arial" w:eastAsia="Arial" w:hAnsi="Arial"/>
          <w:sz w:val="16"/>
          <w:szCs w:val="16"/>
          <w:b w:val="1"/>
          <w:bCs w:val="1"/>
          <w:color w:val="auto"/>
        </w:rPr>
        <w:t xml:space="preserve"> </w:t>
      </w:r>
      <w:r>
        <w:rPr>
          <w:rFonts w:ascii="Arial" w:cs="Arial" w:eastAsia="Arial" w:hAnsi="Arial"/>
          <w:sz w:val="16"/>
          <w:szCs w:val="16"/>
          <w:color w:val="auto"/>
        </w:rPr>
        <w:t>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111760</wp:posOffset>
            </wp:positionV>
            <wp:extent cx="2418080" cy="51435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32" w:name="page533"/>
    <w:bookmarkEnd w:id="532"/>
    <w:p>
      <w:pPr>
        <w:spacing w:after="0"/>
        <w:tabs>
          <w:tab w:leader="none" w:pos="8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Multi-Tenant Office</w:t>
      </w:r>
      <w:r>
        <w:rPr>
          <w:sz w:val="20"/>
          <w:szCs w:val="20"/>
          <w:color w:val="auto"/>
        </w:rPr>
        <w:tab/>
      </w:r>
      <w:r>
        <w:rPr>
          <w:rFonts w:ascii="Arial" w:cs="Arial" w:eastAsia="Arial" w:hAnsi="Arial"/>
          <w:sz w:val="16"/>
          <w:szCs w:val="16"/>
          <w:b w:val="1"/>
          <w:bCs w:val="1"/>
          <w:color w:val="auto"/>
        </w:rPr>
        <w:t>One Kendall Square/Avrobio – Page 32</w:t>
      </w:r>
    </w:p>
    <w:p>
      <w:pPr>
        <w:sectPr>
          <w:pgSz w:w="11900" w:h="16838" w:orient="portrait"/>
          <w:cols w:equalWidth="0" w:num="1">
            <w:col w:w="11420"/>
          </w:cols>
          <w:pgMar w:left="240" w:top="269" w:right="239" w:bottom="1440" w:gutter="0" w:footer="0" w:header="0"/>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Landlord and Tenant have executed this Lease as of the day and year first above written.</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14605</wp:posOffset>
            </wp:positionV>
            <wp:extent cx="335343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 Geoff MacKay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President and CEO</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ARE-MA REGION NO. 59,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jc w:val="right"/>
        <w:ind w:right="1640"/>
        <w:spacing w:after="0"/>
        <w:tabs>
          <w:tab w:leader="none" w:pos="3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ALEXANDRIA REAL ESTATE EQUITIES, L.P.,</w:t>
      </w:r>
    </w:p>
    <w:p>
      <w:pPr>
        <w:spacing w:after="0" w:line="23"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a Delaware limited partnership, managing member</w:t>
      </w:r>
    </w:p>
    <w:p>
      <w:pPr>
        <w:spacing w:after="0" w:line="224" w:lineRule="exact"/>
        <w:rPr>
          <w:sz w:val="20"/>
          <w:szCs w:val="20"/>
          <w:color w:val="auto"/>
        </w:rPr>
      </w:pPr>
    </w:p>
    <w:p>
      <w:pPr>
        <w:ind w:left="614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ARE-QRS CORP.,</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 Maryland corporation, general partner</w:t>
      </w:r>
    </w:p>
    <w:p>
      <w:pPr>
        <w:spacing w:after="0" w:line="21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By:  /s/ Jackie Clem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14605</wp:posOffset>
            </wp:positionV>
            <wp:extent cx="284734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Print Name: Jackie Clem</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Senior Vice President</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RE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100330</wp:posOffset>
            </wp:positionV>
            <wp:extent cx="2418080" cy="5143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533" w:name="page534"/>
    <w:bookmarkEnd w:id="5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Kendall Square/Avrobio – Page 1</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A TO LEASE</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u w:val="single" w:color="auto"/>
          <w:color w:val="auto"/>
        </w:rPr>
        <w:t>DESCRIPTION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1464310</wp:posOffset>
            </wp:positionH>
            <wp:positionV relativeFrom="paragraph">
              <wp:posOffset>17780</wp:posOffset>
            </wp:positionV>
            <wp:extent cx="5025390" cy="742696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025390" cy="7426960"/>
                    </a:xfrm>
                    <a:prstGeom prst="rect">
                      <a:avLst/>
                    </a:prstGeom>
                    <a:noFill/>
                  </pic:spPr>
                </pic:pic>
              </a:graphicData>
            </a:graphic>
          </wp:anchor>
        </w:drawing>
      </w:r>
    </w:p>
    <w:p>
      <w:pPr>
        <w:sectPr>
          <w:pgSz w:w="11900" w:h="16838" w:orient="portrait"/>
          <w:cols w:equalWidth="0" w:num="1">
            <w:col w:w="10220"/>
          </w:cols>
          <w:pgMar w:left="1440" w:top="270" w:right="239" w:bottom="1440" w:gutter="0" w:footer="0" w:header="0"/>
        </w:sectPr>
      </w:pPr>
    </w:p>
    <w:bookmarkStart w:id="534" w:name="page535"/>
    <w:bookmarkEnd w:id="534"/>
    <w:p>
      <w:pPr>
        <w:spacing w:after="0"/>
        <w:tabs>
          <w:tab w:leader="none" w:pos="8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Description of Property</w:t>
      </w:r>
      <w:r>
        <w:rPr>
          <w:sz w:val="20"/>
          <w:szCs w:val="20"/>
          <w:color w:val="auto"/>
        </w:rPr>
        <w:tab/>
      </w:r>
      <w:r>
        <w:rPr>
          <w:rFonts w:ascii="Arial" w:cs="Arial" w:eastAsia="Arial" w:hAnsi="Arial"/>
          <w:sz w:val="16"/>
          <w:szCs w:val="16"/>
          <w:b w:val="1"/>
          <w:bCs w:val="1"/>
          <w:color w:val="auto"/>
        </w:rPr>
        <w:t xml:space="preserve">One Kendall Square/Avrobio – </w:t>
      </w:r>
      <w:r>
        <w:rPr>
          <w:rFonts w:ascii="Arial" w:cs="Arial" w:eastAsia="Arial" w:hAnsi="Arial"/>
          <w:sz w:val="16"/>
          <w:szCs w:val="16"/>
          <w:color w:val="auto"/>
        </w:rPr>
        <w:t>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 TO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Real property in the County of Middlesex, Commonwealth of Massachusetts, described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Buildings 100, 200, 300, 400 and 500: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Four registered parcels of land located in the City of Cambridge, Middlesex County, Massachusetts, bounded and described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Lot 35 – L</w:t>
      </w: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w:t>
      </w:r>
      <w:r>
        <w:rPr>
          <w:rFonts w:ascii="Arial" w:cs="Arial" w:eastAsia="Arial" w:hAnsi="Arial"/>
          <w:sz w:val="18"/>
          <w:szCs w:val="18"/>
          <w:b w:val="1"/>
          <w:bCs w:val="1"/>
          <w:color w:val="auto"/>
        </w:rPr>
        <w:t xml:space="preserve"> Plan 10378G</w:t>
      </w:r>
    </w:p>
    <w:p>
      <w:pPr>
        <w:spacing w:after="0" w:line="121" w:lineRule="exact"/>
        <w:rPr>
          <w:sz w:val="20"/>
          <w:szCs w:val="20"/>
          <w:color w:val="auto"/>
        </w:rPr>
      </w:pPr>
    </w:p>
    <w:p>
      <w:pPr>
        <w:ind w:right="1700"/>
        <w:spacing w:after="0" w:line="530" w:lineRule="auto"/>
        <w:rPr>
          <w:sz w:val="20"/>
          <w:szCs w:val="20"/>
          <w:color w:val="auto"/>
        </w:rPr>
      </w:pPr>
      <w:r>
        <w:rPr>
          <w:rFonts w:ascii="Arial" w:cs="Arial" w:eastAsia="Arial" w:hAnsi="Arial"/>
          <w:sz w:val="17"/>
          <w:szCs w:val="17"/>
          <w:color w:val="auto"/>
        </w:rPr>
        <w:t>Commencing at the intersection of the northeasterly line of Hampshire Street with the southeasterly line of Cardinal Medeiros Avenue; Thence running N 36°06’35” E along said southeasterly line of Cardinal Medeiros Avenue, a distance of 262.69 feet, to a point; Thence running S 53°46’58” E, by land now or formerly of Trustees of Old Kendall Realty Trust, a distance of 322.66 feet, to a point; Thence running S 36°16’40” W, by Lot 42 shown on Land Court Plan 10378J, a distance of 48.01 feet, to a point; Thence running by Lot 36, shown on Land Court Plan 10378G, on the following four (4) courses: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 53°40’39” W, a distance of 65.11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36°04’50” W, a distance of 126.58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53°32’32” E, a distance of 42.30 feet, to a point;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28°34’58” E, a distance of 12.62 feet, to a point at land now or formerly of Trustees of Kendall Three Realty Trust;</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Thence running S 60°21’50” W, in part by land of said Trustees and in part by land now or formerly of Charles Stark Draper Laboratory, Inc. a distance of 205.87 feet, to a point on the aforesaid northeasterly line of Hampshire Street;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N 28°54’10” W, along said northeasterly line of Hampshire Street, a distance of 250.01 feet, to the Point of Beginning.</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Together with the benefit of easement rights set forth in an Easement from The Charles Stark Draper Laboratory, Inc. to Cambridge Athenaeum LLC, dated April 16, 2000 and filed as Document No. 1137082.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Lot 36 – L</w:t>
      </w: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w:t>
      </w:r>
      <w:r>
        <w:rPr>
          <w:rFonts w:ascii="Arial" w:cs="Arial" w:eastAsia="Arial" w:hAnsi="Arial"/>
          <w:sz w:val="18"/>
          <w:szCs w:val="18"/>
          <w:b w:val="1"/>
          <w:bCs w:val="1"/>
          <w:color w:val="auto"/>
        </w:rPr>
        <w:t xml:space="preserve"> Plan 10378G</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Commencing at a point on the easterly line of the above described parcel, said point being S 36°16’40” W and a distance of 48.01 feet from the northeast corner of the above described parcel;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S 36°16’40” W, by land of the Trustees of Kendall Three Realty Trust, a distance of 107.52 feet; to a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109220</wp:posOffset>
            </wp:positionV>
            <wp:extent cx="2418080" cy="5143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35" w:name="page536"/>
    <w:bookmarkEnd w:id="535"/>
    <w:p>
      <w:pPr>
        <w:spacing w:after="0"/>
        <w:tabs>
          <w:tab w:leader="none" w:pos="8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Property</w:t>
      </w:r>
      <w:r>
        <w:rPr>
          <w:sz w:val="20"/>
          <w:szCs w:val="20"/>
          <w:color w:val="auto"/>
        </w:rPr>
        <w:tab/>
      </w:r>
      <w:r>
        <w:rPr>
          <w:rFonts w:ascii="Arial" w:cs="Arial" w:eastAsia="Arial" w:hAnsi="Arial"/>
          <w:sz w:val="16"/>
          <w:szCs w:val="16"/>
          <w:b w:val="1"/>
          <w:bCs w:val="1"/>
          <w:color w:val="auto"/>
        </w:rPr>
        <w:t xml:space="preserve">One Kendall Square/Avrobio – </w:t>
      </w:r>
      <w:r>
        <w:rPr>
          <w:rFonts w:ascii="Arial" w:cs="Arial" w:eastAsia="Arial" w:hAnsi="Arial"/>
          <w:sz w:val="16"/>
          <w:szCs w:val="16"/>
          <w:color w:val="auto"/>
        </w:rPr>
        <w:t>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S 60°21’50” W, by land of said Trustees, a distance of 26.84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by Lot 35, shown on Land Court Plan 10378G, on the following four (4) courses: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 28°34’58” W, a distance of 12.62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 53°32’32” W, a distance of 42.30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 36°04’50” E, a distance 126.58 feet, to a point;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53°40’39” E, a distance of 65.11 feet, to the Point of Beginning.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Lot 42 – Land Court Plan 10378J</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Commencing at the northeast corner of Lot 35, hereinbefore described;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by land, now or formerly of Trustees of Kendall Three Realty Trust, on the following three (3) courses: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53°46’58” E, a distance of 1.97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36°25’25” W, a distance of 48.02 feet, to a point;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 53°40’39” W, a distance of 1.85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running N 36°16’40” E, by Lot 35, a distance of 48.01 feet, to the Point of Beginning.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Lot 43 – Land Court Plan 10378J</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certain parcel of land situate in Cambridge in the County of Middlesex, Commonwealth of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Northeasterly by lot 39 as shown on plan hereinafter mentioned, thirteen and 05/100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Southeasterly forty-eight and 04/100 feet;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thirteen and 28/100 feet by lot 41 on said plan;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Northwesterly by lot 42 on said plan, forty-eight and 02/100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Said parcel is shown as Lot 43 on Land Court Plan 10378J.</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All of said boundaries are determined by the Court to be located as shown on a subdivision plan, as approved by the Court, filed in the Land Registration Office, a copy of which is filed in the Registry of Deeds in Registration Book 1050, Page 90, with Certificate 184040.</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Together with the rights and easements set forth in that certain Grant of Easement from Charles Stark Draper Laboratory, Inc. dated August 31, 1983, filed with the Middlesex County Registry District of the Land Court (the “District”) as Document No. 657256.</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Together with the rights and easements set forth in that certain Easements Agreement dated December 17, 1984 and filed as Document No. 673502, as affected by Amendment to Easements Agreement, dated April 7, 2006 and filed as Document No. 1416496.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74295</wp:posOffset>
            </wp:positionV>
            <wp:extent cx="2418080" cy="5143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36" w:name="page537"/>
    <w:bookmarkEnd w:id="536"/>
    <w:p>
      <w:pPr>
        <w:spacing w:after="0"/>
        <w:tabs>
          <w:tab w:leader="none" w:pos="8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Description of Property</w:t>
      </w:r>
      <w:r>
        <w:rPr>
          <w:sz w:val="20"/>
          <w:szCs w:val="20"/>
          <w:color w:val="auto"/>
        </w:rPr>
        <w:tab/>
      </w:r>
      <w:r>
        <w:rPr>
          <w:rFonts w:ascii="Arial" w:cs="Arial" w:eastAsia="Arial" w:hAnsi="Arial"/>
          <w:sz w:val="16"/>
          <w:szCs w:val="16"/>
          <w:b w:val="1"/>
          <w:bCs w:val="1"/>
          <w:color w:val="auto"/>
        </w:rPr>
        <w:t xml:space="preserve">One Kendall Square/Avrobio – </w:t>
      </w:r>
      <w:r>
        <w:rPr>
          <w:rFonts w:ascii="Arial" w:cs="Arial" w:eastAsia="Arial" w:hAnsi="Arial"/>
          <w:sz w:val="16"/>
          <w:szCs w:val="16"/>
          <w:color w:val="auto"/>
        </w:rPr>
        <w:t>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rights and easements set forth in a Grant of Easement dated August 30, 1983 and filed as Document No. 654750.</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Together with the rights and easements set forth in a Grant of Easement from the City of Cambridge, dated January 29, 2009 and recorded in Book 52168, Page 362.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foregoing parcels collectively are also described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Those certain parcels of registered land located in Cambridge, Middlesex County, Massachusetts, shown as Lots 35 and 36 on Land Court Plan 10378G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Lots 42 and 43 shown on Land Court Plan 10378J, bounded and described as follows: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Beginning at the point on the northeasterly sideline of Hampshire Street 250.01 feet distance southeasterly from intersection of easterly sideline of Cardinal Medeiros Avenue and northeasterly side line of Hampshire Street thence bounded: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the northeasterly line of Hampshire Street, two hundred fifty and 01/100 (250.01)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Northwesterly by the southeasterly line of Cardinal Medeiros Avenue, two hundred sixty two and 69/100 (262.69)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Northeasterly by land now or formerly of Cambridge Athenaeum LLC, three hundred thirty seven and 68/100 (337.68)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Southeasterly by land now or formerly of Amgen Cambridge Real Estate Holdings Inc., forty-eight and 04/100 (48.04)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land of said Amgen Cambridge Real Estate Holdings Inc., fifteen and 13/100 (15.13)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Southeasterly by said land now or formerly of Amgen Cambridge Real Estate Holdings Inc., one hundred seven and 52/100 (107.52) feet; and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Southeasterly by land now or formerly of Amgen Cambridge Real Estate Holdings Inc. and Charles Stark Draper Laboratory, Inc., two hundred thirty two and 71/100 (232.71) feet.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Buildings 600, 650 and 700: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Lot 39 – Land Court Plan 10378H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That certain parcel of land situated in the City of Cambridge, Middlesex County, Massachusetts, bounded and described as follows: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Commencing at a point on the Easterly side of Cardinal Medeiros Avenue, said point being sixty feet from the intersection of said Easterly side of Cardinal Medeiros Avenue and the Southerly line of Binney Street;</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Northerly, by Lot 40 shown in Land Court Plan 10378I, two hundred thirty-eight and sixty-three hundredths (238.63) feet, eighty-two and forty-one hundredths (82.41) feet and seventeen and four hundredths (17.04) feet;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Easterly, by Lots 40 and 41 shown on Land Court Plan 10378I, one hundred ninety-six and eighty-four hundredths (196.84)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109220</wp:posOffset>
            </wp:positionV>
            <wp:extent cx="2418080" cy="5143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37" w:name="page538"/>
    <w:bookmarkEnd w:id="537"/>
    <w:p>
      <w:pPr>
        <w:spacing w:after="0"/>
        <w:tabs>
          <w:tab w:leader="none" w:pos="8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Description of Property</w:t>
      </w:r>
      <w:r>
        <w:rPr>
          <w:sz w:val="20"/>
          <w:szCs w:val="20"/>
          <w:color w:val="auto"/>
        </w:rPr>
        <w:tab/>
      </w:r>
      <w:r>
        <w:rPr>
          <w:rFonts w:ascii="Arial" w:cs="Arial" w:eastAsia="Arial" w:hAnsi="Arial"/>
          <w:sz w:val="16"/>
          <w:szCs w:val="16"/>
          <w:b w:val="1"/>
          <w:bCs w:val="1"/>
          <w:color w:val="auto"/>
        </w:rPr>
        <w:t xml:space="preserve">One Kendall Square/Avrobio – </w:t>
      </w:r>
      <w:r>
        <w:rPr>
          <w:rFonts w:ascii="Arial" w:cs="Arial" w:eastAsia="Arial" w:hAnsi="Arial"/>
          <w:sz w:val="16"/>
          <w:szCs w:val="16"/>
          <w:color w:val="auto"/>
        </w:rPr>
        <w:t>4</w:t>
      </w:r>
    </w:p>
    <w:p>
      <w:pPr>
        <w:spacing w:after="0" w:line="1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Southerly by Lots 43 and 42 shown on Land Court Plan 10378J and Lot 35 shown on Land Court Plan 10378G three hundred thirty-seven and sixty-eight hundredths (337.68) feet;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Westerly, on aforesaid Cardinal Medeiros Avenue, one hundred ninety-nine and seventy-one hundredths (199.71)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parcel of land described above is shown as Lot 39 on Land Court Plan 10378H.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Lot 40 (Building 1400)</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land with the buildings and improvements thereon, shown as Lot 40 on Land Court Plan 10378I, situated on Binney Street in the City of Cambridge, County of Middlesex, Massachusetts, also shown on a plan entitled “Topographic Plan for Old Binney Realty Trust, Cardinal Medeiros Avenue, Binney Street; Cambridge, Massachusetts”, dated June 29, 1987, as revised July 10, 1987, April 13, 1988, August 12, 1988, September 6, 1988, and September 26, 1988, prepared by Cullinan Engineering Co., Inc., being bounded and described as follows;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NORTHEASTERLY by the southwesterly line of Binney Street, two hundred sixty-six and 80/100 (266.80) feet and two hundred twenty and 44/100 (220.44) feet;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EASTERLY by land now or formerly of Consolidated Rail Corporation, eighty-nine and 24/100 (89.24)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Lot 41 on Land Court Plan 10378I, twenty seven and 16/100 (27.16)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said Lot 41, thirty-five and 12/ 100 (35.12) feet and one hundred two and 73/100 (102.73)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NORTHWESTERLY by Lot 39 on Land Court Plan 10378H, sixty-six and 15/100 (66.15)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said Lot 39, seventeen and 04/100 (17.04)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said Lot 39, eighty-two and 41/100 (82.41)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said Lot 39, two hundred thirty-eight and 63/100 (238.63)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NORTHWESTERLY by Cardinal Medeiros Avenue (formerly known as Portland Street), sixty and 00/100 (60) feet.</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Together with the rights set forth in Easements Agreement dated December 17, 1984, between Old Cambridge Realty Trust and the Old Kendall Trustees, filed as Document No. 673502, as affected by Amendment to Easements Agreement, dated April 7, 2006 and filed as Document No. 1416496.</w:t>
      </w:r>
    </w:p>
    <w:p>
      <w:pPr>
        <w:spacing w:after="0" w:line="12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Together with the rights set forth in Parking Access Easement Agreement filed as Document No. 771896, as affected by Release of Parking Rights by Robert A. Jones and George Najarian, Trustees of Old Binney Realty Trust, dated January 11, 1995, recorded in Book 25122, Page 94 and filed as Document</w:t>
      </w:r>
    </w:p>
    <w:p>
      <w:pPr>
        <w:ind w:right="80"/>
        <w:spacing w:after="0" w:line="271" w:lineRule="auto"/>
        <w:rPr>
          <w:sz w:val="20"/>
          <w:szCs w:val="20"/>
          <w:color w:val="auto"/>
        </w:rPr>
      </w:pPr>
      <w:r>
        <w:rPr>
          <w:rFonts w:ascii="Arial" w:cs="Arial" w:eastAsia="Arial" w:hAnsi="Arial"/>
          <w:sz w:val="17"/>
          <w:szCs w:val="17"/>
          <w:color w:val="auto"/>
        </w:rPr>
        <w:t>No. 966485, Release of Parking Rights by Robert A. Jones, Managing Trustee of Old Cambridge Realty Trust dated January 11, 1995, recorded in Book 25122, Page 98 and filed as Document No. 966486; Release of Parking Rights by Robert A. Jones, Managing Trustee of Old Kendall Realty Trust, dated January 11, 1995, recorded in Book 25122, Page 102 and filed as Document No.966487; Release of Parking Rights by State Street Bank and Trust Company, Trustees of Kendall One Realty Trust dated January 5, 1995, recorded in Book 25122, Page 106 and filed as Document No. 966488, and Release of Parking Rights dated January 10, 1995, recorded in Book 25153, Page 386 and as filed as Document No. 967459.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79375</wp:posOffset>
            </wp:positionV>
            <wp:extent cx="2418080" cy="5143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38" w:name="page539"/>
    <w:bookmarkEnd w:id="538"/>
    <w:p>
      <w:pPr>
        <w:spacing w:after="0"/>
        <w:tabs>
          <w:tab w:leader="none" w:pos="8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Description of Property</w:t>
      </w:r>
      <w:r>
        <w:rPr>
          <w:sz w:val="20"/>
          <w:szCs w:val="20"/>
          <w:color w:val="auto"/>
        </w:rPr>
        <w:tab/>
      </w:r>
      <w:r>
        <w:rPr>
          <w:rFonts w:ascii="Arial" w:cs="Arial" w:eastAsia="Arial" w:hAnsi="Arial"/>
          <w:sz w:val="16"/>
          <w:szCs w:val="16"/>
          <w:b w:val="1"/>
          <w:bCs w:val="1"/>
          <w:color w:val="auto"/>
        </w:rPr>
        <w:t xml:space="preserve">One Kendall Square/Avrobio – </w:t>
      </w:r>
      <w:r>
        <w:rPr>
          <w:rFonts w:ascii="Arial" w:cs="Arial" w:eastAsia="Arial" w:hAnsi="Arial"/>
          <w:sz w:val="16"/>
          <w:szCs w:val="16"/>
          <w:color w:val="auto"/>
        </w:rPr>
        <w:t>5</w:t>
      </w:r>
    </w:p>
    <w:p>
      <w:pPr>
        <w:spacing w:after="0" w:line="16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Together with the rights set forth in that certain Parking and Access Easement Agreement, by and between DWF IV One Kendall, LLC and DWF IV One Kendall Garage, LLC, dated as of January 16, 2014 and recorded in Book 63188, Page 559, and filed as Document No. 1663415.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59055</wp:posOffset>
            </wp:positionV>
            <wp:extent cx="2418080" cy="5143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39" w:name="page540"/>
    <w:bookmarkEnd w:id="539"/>
    <w:tbl>
      <w:tblPr>
        <w:tblLayout w:type="fixed"/>
        <w:tblInd w:w="46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60" w:type="dxa"/>
            <w:vAlign w:val="bottom"/>
          </w:tcPr>
          <w:p>
            <w:pPr>
              <w:ind w:left="140"/>
              <w:spacing w:after="0"/>
              <w:rPr>
                <w:sz w:val="20"/>
                <w:szCs w:val="20"/>
                <w:color w:val="auto"/>
              </w:rPr>
            </w:pPr>
            <w:r>
              <w:rPr>
                <w:rFonts w:ascii="Arial" w:cs="Arial" w:eastAsia="Arial" w:hAnsi="Arial"/>
                <w:sz w:val="18"/>
                <w:szCs w:val="18"/>
                <w:b w:val="1"/>
                <w:bCs w:val="1"/>
                <w:color w:val="auto"/>
                <w:w w:val="90"/>
              </w:rPr>
              <w:t xml:space="preserve">One Kendall Square/Avrobio – Page </w:t>
            </w:r>
            <w:r>
              <w:rPr>
                <w:rFonts w:ascii="Arial" w:cs="Arial" w:eastAsia="Arial" w:hAnsi="Arial"/>
                <w:sz w:val="18"/>
                <w:szCs w:val="18"/>
                <w:color w:val="auto"/>
                <w:w w:val="90"/>
              </w:rPr>
              <w:t>1</w:t>
            </w:r>
          </w:p>
        </w:tc>
      </w:tr>
      <w:tr>
        <w:trPr>
          <w:trHeight w:val="365"/>
        </w:trPr>
        <w:tc>
          <w:tcPr>
            <w:tcW w:w="7900" w:type="dxa"/>
            <w:vAlign w:val="bottom"/>
            <w:gridSpan w:val="3"/>
          </w:tcPr>
          <w:p>
            <w:pPr>
              <w:jc w:val="center"/>
              <w:ind w:left="2530"/>
              <w:spacing w:after="0"/>
              <w:rPr>
                <w:sz w:val="20"/>
                <w:szCs w:val="20"/>
                <w:color w:val="auto"/>
              </w:rPr>
            </w:pPr>
            <w:r>
              <w:rPr>
                <w:rFonts w:ascii="Arial" w:cs="Arial" w:eastAsia="Arial" w:hAnsi="Arial"/>
                <w:sz w:val="18"/>
                <w:szCs w:val="18"/>
                <w:b w:val="1"/>
                <w:bCs w:val="1"/>
                <w:color w:val="auto"/>
              </w:rPr>
              <w:t>EXHIBIT C TO LEASE</w:t>
            </w:r>
          </w:p>
        </w:tc>
        <w:tc>
          <w:tcPr>
            <w:tcW w:w="3060" w:type="dxa"/>
            <w:vAlign w:val="bottom"/>
          </w:tcPr>
          <w:p>
            <w:pPr>
              <w:spacing w:after="0"/>
              <w:rPr>
                <w:sz w:val="24"/>
                <w:szCs w:val="24"/>
                <w:color w:val="auto"/>
              </w:rPr>
            </w:pPr>
          </w:p>
        </w:tc>
      </w:tr>
      <w:tr>
        <w:trPr>
          <w:trHeight w:val="392"/>
        </w:trPr>
        <w:tc>
          <w:tcPr>
            <w:tcW w:w="45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WORK LETTER</w:t>
            </w:r>
          </w:p>
        </w:tc>
        <w:tc>
          <w:tcPr>
            <w:tcW w:w="19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453"/>
        </w:trPr>
        <w:tc>
          <w:tcPr>
            <w:tcW w:w="7900" w:type="dxa"/>
            <w:vAlign w:val="bottom"/>
            <w:gridSpan w:val="3"/>
          </w:tcPr>
          <w:p>
            <w:pPr>
              <w:spacing w:after="0"/>
              <w:rPr>
                <w:sz w:val="20"/>
                <w:szCs w:val="20"/>
                <w:color w:val="auto"/>
              </w:rPr>
            </w:pPr>
            <w:r>
              <w:rPr>
                <w:rFonts w:ascii="Arial" w:cs="Arial" w:eastAsia="Arial" w:hAnsi="Arial"/>
                <w:sz w:val="18"/>
                <w:szCs w:val="18"/>
                <w:color w:val="auto"/>
                <w:w w:val="95"/>
              </w:rPr>
              <w:t xml:space="preserve">THIS </w:t>
            </w:r>
            <w:r>
              <w:rPr>
                <w:rFonts w:ascii="Arial" w:cs="Arial" w:eastAsia="Arial" w:hAnsi="Arial"/>
                <w:sz w:val="18"/>
                <w:szCs w:val="18"/>
                <w:b w:val="1"/>
                <w:bCs w:val="1"/>
                <w:color w:val="auto"/>
                <w:w w:val="95"/>
              </w:rPr>
              <w:t>WORK LETTER</w:t>
            </w:r>
            <w:r>
              <w:rPr>
                <w:rFonts w:ascii="Arial" w:cs="Arial" w:eastAsia="Arial" w:hAnsi="Arial"/>
                <w:sz w:val="18"/>
                <w:szCs w:val="18"/>
                <w:color w:val="auto"/>
                <w:w w:val="95"/>
              </w:rPr>
              <w:t xml:space="preserve"> (this “</w:t>
            </w:r>
            <w:r>
              <w:rPr>
                <w:rFonts w:ascii="Arial" w:cs="Arial" w:eastAsia="Arial" w:hAnsi="Arial"/>
                <w:sz w:val="18"/>
                <w:szCs w:val="18"/>
                <w:b w:val="1"/>
                <w:bCs w:val="1"/>
                <w:color w:val="auto"/>
                <w:w w:val="95"/>
              </w:rPr>
              <w:t>Work Letter</w:t>
            </w:r>
            <w:r>
              <w:rPr>
                <w:rFonts w:ascii="Arial" w:cs="Arial" w:eastAsia="Arial" w:hAnsi="Arial"/>
                <w:sz w:val="18"/>
                <w:szCs w:val="18"/>
                <w:color w:val="auto"/>
                <w:w w:val="95"/>
              </w:rPr>
              <w:t>”) is attached to and incorporated into that certain Lease dated</w:t>
            </w:r>
          </w:p>
        </w:tc>
        <w:tc>
          <w:tcPr>
            <w:tcW w:w="3060" w:type="dxa"/>
            <w:vAlign w:val="bottom"/>
          </w:tcPr>
          <w:p>
            <w:pPr>
              <w:ind w:left="780"/>
              <w:spacing w:after="0"/>
              <w:rPr>
                <w:sz w:val="20"/>
                <w:szCs w:val="20"/>
                <w:color w:val="auto"/>
              </w:rPr>
            </w:pPr>
            <w:r>
              <w:rPr>
                <w:rFonts w:ascii="Arial" w:cs="Arial" w:eastAsia="Arial" w:hAnsi="Arial"/>
                <w:sz w:val="18"/>
                <w:szCs w:val="18"/>
                <w:color w:val="auto"/>
                <w:w w:val="95"/>
              </w:rPr>
              <w:t>(the “</w:t>
            </w:r>
            <w:r>
              <w:rPr>
                <w:rFonts w:ascii="Arial" w:cs="Arial" w:eastAsia="Arial" w:hAnsi="Arial"/>
                <w:sz w:val="18"/>
                <w:szCs w:val="18"/>
                <w:b w:val="1"/>
                <w:bCs w:val="1"/>
                <w:color w:val="auto"/>
                <w:w w:val="95"/>
              </w:rPr>
              <w:t>Lease</w:t>
            </w:r>
            <w:r>
              <w:rPr>
                <w:rFonts w:ascii="Arial" w:cs="Arial" w:eastAsia="Arial" w:hAnsi="Arial"/>
                <w:sz w:val="18"/>
                <w:szCs w:val="18"/>
                <w:color w:val="auto"/>
                <w:w w:val="95"/>
              </w:rPr>
              <w:t>”) by and between</w:t>
            </w:r>
          </w:p>
        </w:tc>
      </w:tr>
    </w:tbl>
    <w:p>
      <w:pPr>
        <w:ind w:right="30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ARE-MA REGION NO. 59,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AVROBIO,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Any</w:t>
      </w:r>
      <w:r>
        <w:rPr>
          <w:rFonts w:ascii="Arial" w:cs="Arial" w:eastAsia="Arial" w:hAnsi="Arial"/>
          <w:sz w:val="18"/>
          <w:szCs w:val="18"/>
          <w:b w:val="1"/>
          <w:bCs w:val="1"/>
          <w:color w:val="auto"/>
        </w:rPr>
        <w:t xml:space="preserve"> </w:t>
      </w:r>
      <w:r>
        <w:rPr>
          <w:rFonts w:ascii="Arial" w:cs="Arial" w:eastAsia="Arial" w:hAnsi="Arial"/>
          <w:sz w:val="18"/>
          <w:szCs w:val="18"/>
          <w:color w:val="auto"/>
        </w:rPr>
        <w:t>initially capitalized terms used but not defined herein shall have the meanings given them in the Lease.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them in the Lease.</w:t>
      </w:r>
    </w:p>
    <w:p>
      <w:pPr>
        <w:spacing w:after="0" w:line="113" w:lineRule="exact"/>
        <w:rPr>
          <w:sz w:val="20"/>
          <w:szCs w:val="20"/>
          <w:color w:val="auto"/>
        </w:rPr>
      </w:pPr>
    </w:p>
    <w:p>
      <w:pPr>
        <w:ind w:left="640" w:hanging="176"/>
        <w:spacing w:after="0"/>
        <w:tabs>
          <w:tab w:leader="none" w:pos="640" w:val="left"/>
        </w:tabs>
        <w:numPr>
          <w:ilvl w:val="0"/>
          <w:numId w:val="396"/>
        </w:numPr>
        <w:rPr>
          <w:rFonts w:ascii="Arial" w:cs="Arial" w:eastAsia="Arial" w:hAnsi="Arial"/>
          <w:sz w:val="18"/>
          <w:szCs w:val="18"/>
          <w:color w:val="auto"/>
        </w:rPr>
      </w:pPr>
      <w:r>
        <w:rPr>
          <w:rFonts w:ascii="Arial" w:cs="Arial" w:eastAsia="Arial" w:hAnsi="Arial"/>
          <w:sz w:val="18"/>
          <w:szCs w:val="18"/>
          <w:b w:val="1"/>
          <w:bCs w:val="1"/>
          <w:color w:val="auto"/>
        </w:rPr>
        <w:t>General Requirements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Tenant’s Authorized Representative</w:t>
      </w:r>
      <w:r>
        <w:rPr>
          <w:rFonts w:ascii="Arial" w:cs="Arial" w:eastAsia="Arial" w:hAnsi="Arial"/>
          <w:sz w:val="17"/>
          <w:szCs w:val="17"/>
          <w:color w:val="auto"/>
        </w:rPr>
        <w:t>. Tenant designates Kirsten Dupuis and Carolina Romano (either such individual acting alone,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Tenant’s Representative</w:t>
      </w:r>
      <w:r>
        <w:rPr>
          <w:rFonts w:ascii="Arial" w:cs="Arial" w:eastAsia="Arial" w:hAnsi="Arial"/>
          <w:sz w:val="16"/>
          <w:szCs w:val="16"/>
          <w:color w:val="auto"/>
        </w:rPr>
        <w:t>”) as the only persons authorized to act for Tenant pursuant to this Work Letter. Landlord shall not be obligated to respond to or 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any request, approval, inquiry or other communication (“</w:t>
      </w:r>
      <w:r>
        <w:rPr>
          <w:rFonts w:ascii="Arial" w:cs="Arial" w:eastAsia="Arial" w:hAnsi="Arial"/>
          <w:sz w:val="16"/>
          <w:szCs w:val="16"/>
          <w:b w:val="1"/>
          <w:bCs w:val="1"/>
          <w:color w:val="auto"/>
        </w:rPr>
        <w:t>Communication</w:t>
      </w:r>
      <w:r>
        <w:rPr>
          <w:rFonts w:ascii="Arial" w:cs="Arial" w:eastAsia="Arial" w:hAnsi="Arial"/>
          <w:sz w:val="16"/>
          <w:szCs w:val="16"/>
          <w:color w:val="auto"/>
        </w:rPr>
        <w:t>”) from or on behalf of Tenant in connection with this Work Letter unless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Communication is in writing from Tenant’s Representative. Tenant may change either Tenant’s Representative at any time upon not less than 5 business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advance written notice to Landlord. Neither Tenant nor Tenant’s Representative shall be authorized to direct Landlord’s contractors in the performance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Landlord’s Work (as hereinafter defined).</w:t>
      </w:r>
    </w:p>
    <w:p>
      <w:pPr>
        <w:spacing w:after="0" w:line="99" w:lineRule="exact"/>
        <w:rPr>
          <w:sz w:val="20"/>
          <w:szCs w:val="20"/>
          <w:color w:val="auto"/>
        </w:rPr>
      </w:pPr>
    </w:p>
    <w:p>
      <w:pPr>
        <w:ind w:right="140" w:firstLine="921"/>
        <w:spacing w:after="0" w:line="256" w:lineRule="auto"/>
        <w:tabs>
          <w:tab w:leader="none" w:pos="1168" w:val="left"/>
        </w:tabs>
        <w:numPr>
          <w:ilvl w:val="1"/>
          <w:numId w:val="397"/>
        </w:numPr>
        <w:rPr>
          <w:rFonts w:ascii="Arial" w:cs="Arial" w:eastAsia="Arial" w:hAnsi="Arial"/>
          <w:sz w:val="18"/>
          <w:szCs w:val="18"/>
          <w:color w:val="auto"/>
        </w:rPr>
      </w:pPr>
      <w:r>
        <w:rPr>
          <w:rFonts w:ascii="Arial" w:cs="Arial" w:eastAsia="Arial" w:hAnsi="Arial"/>
          <w:sz w:val="18"/>
          <w:szCs w:val="18"/>
          <w:b w:val="1"/>
          <w:bCs w:val="1"/>
          <w:color w:val="auto"/>
        </w:rPr>
        <w:t>Landlord’s Authorized Representative</w:t>
      </w:r>
      <w:r>
        <w:rPr>
          <w:rFonts w:ascii="Arial" w:cs="Arial" w:eastAsia="Arial" w:hAnsi="Arial"/>
          <w:sz w:val="18"/>
          <w:szCs w:val="18"/>
          <w:color w:val="auto"/>
        </w:rPr>
        <w:t>. Landlord designates Tim White and Mike Carli (either such individual acting alone, “</w:t>
      </w:r>
      <w:r>
        <w:rPr>
          <w:rFonts w:ascii="Arial" w:cs="Arial" w:eastAsia="Arial" w:hAnsi="Arial"/>
          <w:sz w:val="18"/>
          <w:szCs w:val="18"/>
          <w:b w:val="1"/>
          <w:bCs w:val="1"/>
          <w:color w:val="auto"/>
        </w:rPr>
        <w:t>Landlord’s Representative</w:t>
      </w:r>
      <w:r>
        <w:rPr>
          <w:rFonts w:ascii="Arial" w:cs="Arial" w:eastAsia="Arial" w:hAnsi="Arial"/>
          <w:sz w:val="18"/>
          <w:szCs w:val="18"/>
          <w:color w:val="auto"/>
        </w:rPr>
        <w:t>”) as the only persons authorized to act for Landlord pursuant to this Work Letter. Tenant shall not be obligated to respond to or act upon any</w:t>
      </w:r>
      <w:r>
        <w:rPr>
          <w:rFonts w:ascii="Arial" w:cs="Arial" w:eastAsia="Arial" w:hAnsi="Arial"/>
          <w:sz w:val="18"/>
          <w:szCs w:val="18"/>
          <w:b w:val="1"/>
          <w:bCs w:val="1"/>
          <w:color w:val="auto"/>
        </w:rPr>
        <w:t xml:space="preserve"> </w:t>
      </w:r>
      <w:r>
        <w:rPr>
          <w:rFonts w:ascii="Arial" w:cs="Arial" w:eastAsia="Arial" w:hAnsi="Arial"/>
          <w:sz w:val="18"/>
          <w:szCs w:val="18"/>
          <w:color w:val="auto"/>
        </w:rPr>
        <w:t>request, approval, inquiry or other Communication from or on behalf of Landlord in connection with this Work Letter unless such Communication is in writing from Landlord’s Representative. Landlord may change either Landlord’s Representative at any time upon not less than 5 business days advance written notice to Tenant. Landlord’s Representative shall be the sole persons authorized to direct Landlord’s contractors in the performance of Landlord’s Work.</w:t>
      </w:r>
    </w:p>
    <w:p>
      <w:pPr>
        <w:spacing w:after="0" w:line="79" w:lineRule="exact"/>
        <w:rPr>
          <w:rFonts w:ascii="Arial" w:cs="Arial" w:eastAsia="Arial" w:hAnsi="Arial"/>
          <w:sz w:val="18"/>
          <w:szCs w:val="18"/>
          <w:color w:val="auto"/>
        </w:rPr>
      </w:pPr>
    </w:p>
    <w:p>
      <w:pPr>
        <w:jc w:val="both"/>
        <w:ind w:right="480" w:firstLine="921"/>
        <w:spacing w:after="0" w:line="266" w:lineRule="auto"/>
        <w:tabs>
          <w:tab w:leader="none" w:pos="1157" w:val="left"/>
        </w:tabs>
        <w:numPr>
          <w:ilvl w:val="1"/>
          <w:numId w:val="397"/>
        </w:numPr>
        <w:rPr>
          <w:rFonts w:ascii="Arial" w:cs="Arial" w:eastAsia="Arial" w:hAnsi="Arial"/>
          <w:sz w:val="18"/>
          <w:szCs w:val="18"/>
          <w:color w:val="auto"/>
        </w:rPr>
      </w:pPr>
      <w:r>
        <w:rPr>
          <w:rFonts w:ascii="Arial" w:cs="Arial" w:eastAsia="Arial" w:hAnsi="Arial"/>
          <w:sz w:val="18"/>
          <w:szCs w:val="18"/>
          <w:b w:val="1"/>
          <w:bCs w:val="1"/>
          <w:color w:val="auto"/>
        </w:rPr>
        <w:t>Architects, Consultants and Contractors</w:t>
      </w:r>
      <w:r>
        <w:rPr>
          <w:rFonts w:ascii="Arial" w:cs="Arial" w:eastAsia="Arial" w:hAnsi="Arial"/>
          <w:sz w:val="18"/>
          <w:szCs w:val="18"/>
          <w:color w:val="auto"/>
        </w:rPr>
        <w:t>. Landlord and Tenant hereby acknowledge and agree that: (i) the general contractor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subcontractors for the Tenant Improvements shall be selected by Landlord, in Landlord’s sole and absolute discretion, and (ii) R.E. Dinneen shall be the architect (the “</w:t>
      </w:r>
      <w:r>
        <w:rPr>
          <w:rFonts w:ascii="Arial" w:cs="Arial" w:eastAsia="Arial" w:hAnsi="Arial"/>
          <w:sz w:val="18"/>
          <w:szCs w:val="18"/>
          <w:b w:val="1"/>
          <w:bCs w:val="1"/>
          <w:color w:val="auto"/>
        </w:rPr>
        <w:t>TI Architect</w:t>
      </w:r>
      <w:r>
        <w:rPr>
          <w:rFonts w:ascii="Arial" w:cs="Arial" w:eastAsia="Arial" w:hAnsi="Arial"/>
          <w:sz w:val="18"/>
          <w:szCs w:val="18"/>
          <w:color w:val="auto"/>
        </w:rPr>
        <w:t>”) for the Tenant Improvements.</w:t>
      </w:r>
    </w:p>
    <w:p>
      <w:pPr>
        <w:spacing w:after="0" w:line="176" w:lineRule="exact"/>
        <w:rPr>
          <w:rFonts w:ascii="Arial" w:cs="Arial" w:eastAsia="Arial" w:hAnsi="Arial"/>
          <w:sz w:val="18"/>
          <w:szCs w:val="18"/>
          <w:color w:val="auto"/>
        </w:rPr>
      </w:pPr>
    </w:p>
    <w:p>
      <w:pPr>
        <w:ind w:left="640" w:hanging="176"/>
        <w:spacing w:after="0"/>
        <w:tabs>
          <w:tab w:leader="none" w:pos="640" w:val="left"/>
        </w:tabs>
        <w:numPr>
          <w:ilvl w:val="0"/>
          <w:numId w:val="398"/>
        </w:numPr>
        <w:rPr>
          <w:rFonts w:ascii="Arial" w:cs="Arial" w:eastAsia="Arial" w:hAnsi="Arial"/>
          <w:sz w:val="18"/>
          <w:szCs w:val="18"/>
          <w:color w:val="auto"/>
        </w:rPr>
      </w:pPr>
      <w:r>
        <w:rPr>
          <w:rFonts w:ascii="Arial" w:cs="Arial" w:eastAsia="Arial" w:hAnsi="Arial"/>
          <w:sz w:val="18"/>
          <w:szCs w:val="18"/>
          <w:b w:val="1"/>
          <w:bCs w:val="1"/>
          <w:color w:val="auto"/>
        </w:rPr>
        <w:t>Tenant Improvements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60" w:firstLine="921"/>
        <w:spacing w:after="0" w:line="261" w:lineRule="auto"/>
        <w:tabs>
          <w:tab w:leader="none" w:pos="1157" w:val="left"/>
        </w:tabs>
        <w:numPr>
          <w:ilvl w:val="1"/>
          <w:numId w:val="398"/>
        </w:numPr>
        <w:rPr>
          <w:rFonts w:ascii="Arial" w:cs="Arial" w:eastAsia="Arial" w:hAnsi="Arial"/>
          <w:sz w:val="18"/>
          <w:szCs w:val="18"/>
          <w:color w:val="auto"/>
        </w:rPr>
      </w:pPr>
      <w:r>
        <w:rPr>
          <w:rFonts w:ascii="Arial" w:cs="Arial" w:eastAsia="Arial" w:hAnsi="Arial"/>
          <w:sz w:val="18"/>
          <w:szCs w:val="18"/>
          <w:b w:val="1"/>
          <w:bCs w:val="1"/>
          <w:color w:val="auto"/>
        </w:rPr>
        <w:t>Tenant Improvements Defined</w:t>
      </w:r>
      <w:r>
        <w:rPr>
          <w:rFonts w:ascii="Arial" w:cs="Arial" w:eastAsia="Arial" w:hAnsi="Arial"/>
          <w:sz w:val="18"/>
          <w:szCs w:val="18"/>
          <w:color w:val="auto"/>
        </w:rPr>
        <w:t>. As used herein, “</w:t>
      </w:r>
      <w:r>
        <w:rPr>
          <w:rFonts w:ascii="Arial" w:cs="Arial" w:eastAsia="Arial" w:hAnsi="Arial"/>
          <w:sz w:val="18"/>
          <w:szCs w:val="18"/>
          <w:b w:val="1"/>
          <w:bCs w:val="1"/>
          <w:color w:val="auto"/>
        </w:rPr>
        <w:t>Tenant Improvements</w:t>
      </w:r>
      <w:r>
        <w:rPr>
          <w:rFonts w:ascii="Arial" w:cs="Arial" w:eastAsia="Arial" w:hAnsi="Arial"/>
          <w:sz w:val="18"/>
          <w:szCs w:val="18"/>
          <w:color w:val="auto"/>
        </w:rPr>
        <w:t>” shall mean all improvements to the Initial Premises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Subsequent Premises of a fixed and permanent nature as shown on the TI Construction Drawings, as defined in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below. Other than Landlord’s Work (as defined in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below, Landlord shall not have any obligation whatsoever with respect to the finishing of the Premises for Tenant’s use and occupancy.</w:t>
      </w:r>
    </w:p>
    <w:p>
      <w:pPr>
        <w:spacing w:after="0" w:line="71" w:lineRule="exact"/>
        <w:rPr>
          <w:rFonts w:ascii="Arial" w:cs="Arial" w:eastAsia="Arial" w:hAnsi="Arial"/>
          <w:sz w:val="18"/>
          <w:szCs w:val="18"/>
          <w:color w:val="auto"/>
        </w:rPr>
      </w:pPr>
    </w:p>
    <w:p>
      <w:pPr>
        <w:ind w:right="100" w:firstLine="921"/>
        <w:spacing w:after="0" w:line="303" w:lineRule="auto"/>
        <w:tabs>
          <w:tab w:leader="none" w:pos="1168" w:val="left"/>
        </w:tabs>
        <w:numPr>
          <w:ilvl w:val="1"/>
          <w:numId w:val="398"/>
        </w:numPr>
        <w:rPr>
          <w:rFonts w:ascii="Arial" w:cs="Arial" w:eastAsia="Arial" w:hAnsi="Arial"/>
          <w:sz w:val="16"/>
          <w:szCs w:val="16"/>
          <w:color w:val="auto"/>
        </w:rPr>
      </w:pPr>
      <w:r>
        <w:rPr>
          <w:rFonts w:ascii="Arial" w:cs="Arial" w:eastAsia="Arial" w:hAnsi="Arial"/>
          <w:sz w:val="16"/>
          <w:szCs w:val="16"/>
          <w:b w:val="1"/>
          <w:bCs w:val="1"/>
          <w:color w:val="auto"/>
        </w:rPr>
        <w:t>Tenant’s Space Plans</w:t>
      </w:r>
      <w:r>
        <w:rPr>
          <w:rFonts w:ascii="Arial" w:cs="Arial" w:eastAsia="Arial" w:hAnsi="Arial"/>
          <w:sz w:val="16"/>
          <w:szCs w:val="16"/>
          <w:color w:val="auto"/>
        </w:rPr>
        <w:t>. Landlord and Tenant acknowledge and agree that the plans for the Initial Premises and the Subsequent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prepared by the TI Architect attached hereto as </w:t>
      </w:r>
      <w:r>
        <w:rPr>
          <w:rFonts w:ascii="Arial" w:cs="Arial" w:eastAsia="Arial" w:hAnsi="Arial"/>
          <w:sz w:val="16"/>
          <w:szCs w:val="16"/>
          <w:b w:val="1"/>
          <w:bCs w:val="1"/>
          <w:color w:val="auto"/>
        </w:rPr>
        <w:t>Annex 1</w:t>
      </w:r>
      <w:r>
        <w:rPr>
          <w:rFonts w:ascii="Arial" w:cs="Arial" w:eastAsia="Arial" w:hAnsi="Arial"/>
          <w:sz w:val="16"/>
          <w:szCs w:val="16"/>
          <w:color w:val="auto"/>
        </w:rPr>
        <w:t xml:space="preserve"> (the “</w:t>
      </w:r>
      <w:r>
        <w:rPr>
          <w:rFonts w:ascii="Arial" w:cs="Arial" w:eastAsia="Arial" w:hAnsi="Arial"/>
          <w:sz w:val="16"/>
          <w:szCs w:val="16"/>
          <w:b w:val="1"/>
          <w:bCs w:val="1"/>
          <w:color w:val="auto"/>
        </w:rPr>
        <w:t>Space Plans</w:t>
      </w:r>
      <w:r>
        <w:rPr>
          <w:rFonts w:ascii="Arial" w:cs="Arial" w:eastAsia="Arial" w:hAnsi="Arial"/>
          <w:sz w:val="16"/>
          <w:szCs w:val="16"/>
          <w:color w:val="auto"/>
        </w:rPr>
        <w:t>”) have been approved by both Landlord and Tenant. Landlord and Tenant further acknowledge and agree that any changes to the Space Plans constitutes a Change Request the cost of which changes shall be paid for by Tenant. Tenant shall be solely responsible for all costs incurred by Landlord to alter the Building (or Landlord’s plans for the Building) as a result of Tenant’s requested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64770</wp:posOffset>
            </wp:positionV>
            <wp:extent cx="2418080" cy="5143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40" w:name="page541"/>
    <w:bookmarkEnd w:id="5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Kendall Square/Avrobio – Page 2</w:t>
      </w:r>
    </w:p>
    <w:p>
      <w:pPr>
        <w:spacing w:after="0" w:line="158" w:lineRule="exact"/>
        <w:rPr>
          <w:sz w:val="20"/>
          <w:szCs w:val="20"/>
          <w:color w:val="auto"/>
        </w:rPr>
      </w:pPr>
    </w:p>
    <w:p>
      <w:pPr>
        <w:ind w:right="40" w:firstLine="921"/>
        <w:spacing w:after="0" w:line="269" w:lineRule="auto"/>
        <w:tabs>
          <w:tab w:leader="none" w:pos="1157" w:val="left"/>
        </w:tabs>
        <w:numPr>
          <w:ilvl w:val="2"/>
          <w:numId w:val="399"/>
        </w:numPr>
        <w:rPr>
          <w:rFonts w:ascii="Arial" w:cs="Arial" w:eastAsia="Arial" w:hAnsi="Arial"/>
          <w:sz w:val="17"/>
          <w:szCs w:val="17"/>
          <w:color w:val="auto"/>
        </w:rPr>
      </w:pPr>
      <w:r>
        <w:rPr>
          <w:rFonts w:ascii="Arial" w:cs="Arial" w:eastAsia="Arial" w:hAnsi="Arial"/>
          <w:sz w:val="17"/>
          <w:szCs w:val="17"/>
          <w:b w:val="1"/>
          <w:bCs w:val="1"/>
          <w:color w:val="auto"/>
        </w:rPr>
        <w:t>Working Drawings</w:t>
      </w:r>
      <w:r>
        <w:rPr>
          <w:rFonts w:ascii="Arial" w:cs="Arial" w:eastAsia="Arial" w:hAnsi="Arial"/>
          <w:sz w:val="17"/>
          <w:szCs w:val="17"/>
          <w:color w:val="auto"/>
        </w:rPr>
        <w:t>. Landlord shall cause the TI Architect to prepare and deliver to Tenant for review and comment construction plans,</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specifications and drawings for the Tenant Improvements (“</w:t>
      </w:r>
      <w:r>
        <w:rPr>
          <w:rFonts w:ascii="Arial" w:cs="Arial" w:eastAsia="Arial" w:hAnsi="Arial"/>
          <w:sz w:val="17"/>
          <w:szCs w:val="17"/>
          <w:b w:val="1"/>
          <w:bCs w:val="1"/>
          <w:color w:val="auto"/>
        </w:rPr>
        <w:t>TI Construction Drawings</w:t>
      </w:r>
      <w:r>
        <w:rPr>
          <w:rFonts w:ascii="Arial" w:cs="Arial" w:eastAsia="Arial" w:hAnsi="Arial"/>
          <w:sz w:val="17"/>
          <w:szCs w:val="17"/>
          <w:color w:val="auto"/>
        </w:rPr>
        <w:t xml:space="preserve">”), which TI Construction Drawings shall be prepared substantially in accordance with the Space Plans. Tenant shall be solely responsible for ensuring that the TI Construction Drawings reflect Tenant’s requirements for the Tenant Improvements. Tenant shall deliver its written comments on the TI Construction Drawings to Landlord not later than 10 business days after Tenant’s receipt of the same; provided, however, that Tenant may not disapprove any matter that is consistent with the Space Plans without submitting a Change Request. Landlord and the TI Architect shall consider all such comments in good faith and shall, within 10 business days after receipt, notify Tenant how Landlord proposes to respond to such comments, but Tenant’s review rights pursuant to the foregoing sentence shall not delay the design or construction schedule for the Tenant Improvements. Any disputes in connection with such comments shall be resolved in accordance with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hereof. Provided that the design reflected in the TI Construction Drawings is consistent with the Space Plans, Tenant shall approve the TI Construction Drawings submitted by Landlord, unless Tenant submits a Change Request. Once approved by Tenant, subject to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below, Landlord shall not materially modify the TI Construction Drawings except as may be reasonably required in connection with the issuance of the TI Permit (as defined in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below).</w:t>
      </w:r>
    </w:p>
    <w:p>
      <w:pPr>
        <w:spacing w:after="0" w:line="71" w:lineRule="exact"/>
        <w:rPr>
          <w:rFonts w:ascii="Arial" w:cs="Arial" w:eastAsia="Arial" w:hAnsi="Arial"/>
          <w:sz w:val="17"/>
          <w:szCs w:val="17"/>
          <w:color w:val="auto"/>
        </w:rPr>
      </w:pPr>
    </w:p>
    <w:p>
      <w:pPr>
        <w:ind w:right="120" w:firstLine="921"/>
        <w:spacing w:after="0" w:line="270" w:lineRule="auto"/>
        <w:tabs>
          <w:tab w:leader="none" w:pos="1168" w:val="left"/>
        </w:tabs>
        <w:numPr>
          <w:ilvl w:val="2"/>
          <w:numId w:val="399"/>
        </w:numPr>
        <w:rPr>
          <w:rFonts w:ascii="Arial" w:cs="Arial" w:eastAsia="Arial" w:hAnsi="Arial"/>
          <w:sz w:val="17"/>
          <w:szCs w:val="17"/>
          <w:color w:val="auto"/>
        </w:rPr>
      </w:pPr>
      <w:r>
        <w:rPr>
          <w:rFonts w:ascii="Arial" w:cs="Arial" w:eastAsia="Arial" w:hAnsi="Arial"/>
          <w:sz w:val="17"/>
          <w:szCs w:val="17"/>
          <w:b w:val="1"/>
          <w:bCs w:val="1"/>
          <w:color w:val="auto"/>
        </w:rPr>
        <w:t>Approval and Completion</w:t>
      </w:r>
      <w:r>
        <w:rPr>
          <w:rFonts w:ascii="Arial" w:cs="Arial" w:eastAsia="Arial" w:hAnsi="Arial"/>
          <w:sz w:val="17"/>
          <w:szCs w:val="17"/>
          <w:color w:val="auto"/>
        </w:rPr>
        <w:t>. It is hereby acknowledged by Landlord and Tenant that (x) TI Construction Drawings are not required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connection with Landlord’s Work being performed in the Initial Premises, and (y) the TI Construction Drawings for Landlord’s Work in the Subsequent Premises must be completed and approved not later than February 15, 2018, in order for the Landlord’s Work in the Subsequent Premises to be Substantially Complete by the Subsequent Premises Target Commencement Date (as defined in the Lease). Upon any dispute regarding the design of the Tenant Improvements, which is not settled within 10 business days after notice of such dispute is delivered by one party to the other, Tenant may make the final decision regarding the design of the Tenant Improvements, provided (i) Tenant acts reasonably and such final decision is either consistent with or a compromise between Landlord’s and Tenant’s positions with respect to such dispute, (ii) that all costs and expenses resulting from any such decision by Tenant shall be payable out of the TI Fund (as defined in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below), and (iii) Tenant’s decision will not affect the base Building, structural components of the Building or any Building systems. Any changes to the TI Construction Drawings following Landlord’s and Tenant’s approval of same requested by Tenant shall be processed as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w:t>
      </w:r>
    </w:p>
    <w:p>
      <w:pPr>
        <w:spacing w:after="0" w:line="177" w:lineRule="exact"/>
        <w:rPr>
          <w:rFonts w:ascii="Arial" w:cs="Arial" w:eastAsia="Arial" w:hAnsi="Arial"/>
          <w:sz w:val="17"/>
          <w:szCs w:val="17"/>
          <w:color w:val="auto"/>
        </w:rPr>
      </w:pPr>
    </w:p>
    <w:p>
      <w:pPr>
        <w:ind w:left="640" w:hanging="176"/>
        <w:spacing w:after="0"/>
        <w:tabs>
          <w:tab w:leader="none" w:pos="640" w:val="left"/>
        </w:tabs>
        <w:numPr>
          <w:ilvl w:val="1"/>
          <w:numId w:val="400"/>
        </w:numPr>
        <w:rPr>
          <w:rFonts w:ascii="Arial" w:cs="Arial" w:eastAsia="Arial" w:hAnsi="Arial"/>
          <w:sz w:val="18"/>
          <w:szCs w:val="18"/>
          <w:color w:val="auto"/>
        </w:rPr>
      </w:pPr>
      <w:r>
        <w:rPr>
          <w:rFonts w:ascii="Arial" w:cs="Arial" w:eastAsia="Arial" w:hAnsi="Arial"/>
          <w:sz w:val="18"/>
          <w:szCs w:val="18"/>
          <w:b w:val="1"/>
          <w:bCs w:val="1"/>
          <w:color w:val="auto"/>
        </w:rPr>
        <w:t>Performance of Landlord’s Work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2"/>
          <w:numId w:val="400"/>
        </w:numPr>
        <w:rPr>
          <w:rFonts w:ascii="Arial" w:cs="Arial" w:eastAsia="Arial" w:hAnsi="Arial"/>
          <w:sz w:val="16"/>
          <w:szCs w:val="16"/>
          <w:color w:val="auto"/>
        </w:rPr>
      </w:pPr>
      <w:r>
        <w:rPr>
          <w:rFonts w:ascii="Arial" w:cs="Arial" w:eastAsia="Arial" w:hAnsi="Arial"/>
          <w:sz w:val="16"/>
          <w:szCs w:val="16"/>
          <w:b w:val="1"/>
          <w:bCs w:val="1"/>
          <w:color w:val="auto"/>
        </w:rPr>
        <w:t>Definition of Landlord’s Work</w:t>
      </w:r>
      <w:r>
        <w:rPr>
          <w:rFonts w:ascii="Arial" w:cs="Arial" w:eastAsia="Arial" w:hAnsi="Arial"/>
          <w:sz w:val="16"/>
          <w:szCs w:val="16"/>
          <w:color w:val="auto"/>
        </w:rPr>
        <w:t>. As used herein, “</w:t>
      </w:r>
      <w:r>
        <w:rPr>
          <w:rFonts w:ascii="Arial" w:cs="Arial" w:eastAsia="Arial" w:hAnsi="Arial"/>
          <w:sz w:val="16"/>
          <w:szCs w:val="16"/>
          <w:b w:val="1"/>
          <w:bCs w:val="1"/>
          <w:color w:val="auto"/>
        </w:rPr>
        <w:t>Landlord’s Work</w:t>
      </w:r>
      <w:r>
        <w:rPr>
          <w:rFonts w:ascii="Arial" w:cs="Arial" w:eastAsia="Arial" w:hAnsi="Arial"/>
          <w:sz w:val="16"/>
          <w:szCs w:val="16"/>
          <w:color w:val="auto"/>
        </w:rPr>
        <w:t>” shall mean (i) the work of constructing the Tenant Improvements, and</w:t>
      </w:r>
    </w:p>
    <w:p>
      <w:pPr>
        <w:spacing w:after="0" w:line="50" w:lineRule="exact"/>
        <w:rPr>
          <w:rFonts w:ascii="Arial" w:cs="Arial" w:eastAsia="Arial" w:hAnsi="Arial"/>
          <w:sz w:val="16"/>
          <w:szCs w:val="16"/>
          <w:color w:val="auto"/>
        </w:rPr>
      </w:pPr>
    </w:p>
    <w:p>
      <w:pPr>
        <w:ind w:left="280" w:hanging="272"/>
        <w:spacing w:after="0"/>
        <w:tabs>
          <w:tab w:leader="none" w:pos="28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replacing the damaged door of the tele/data area located in the Initial Premises, which replacement shall be completed at Landlord’s sole cost and expense.</w:t>
      </w:r>
    </w:p>
    <w:p>
      <w:pPr>
        <w:spacing w:after="0" w:line="121" w:lineRule="exact"/>
        <w:rPr>
          <w:rFonts w:ascii="Arial" w:cs="Arial" w:eastAsia="Arial" w:hAnsi="Arial"/>
          <w:sz w:val="16"/>
          <w:szCs w:val="16"/>
          <w:color w:val="auto"/>
        </w:rPr>
      </w:pPr>
    </w:p>
    <w:p>
      <w:pPr>
        <w:ind w:right="80" w:firstLine="921"/>
        <w:spacing w:after="0" w:line="255" w:lineRule="auto"/>
        <w:tabs>
          <w:tab w:leader="none" w:pos="1168" w:val="left"/>
        </w:tabs>
        <w:numPr>
          <w:ilvl w:val="2"/>
          <w:numId w:val="401"/>
        </w:numPr>
        <w:rPr>
          <w:rFonts w:ascii="Arial" w:cs="Arial" w:eastAsia="Arial" w:hAnsi="Arial"/>
          <w:sz w:val="18"/>
          <w:szCs w:val="18"/>
          <w:color w:val="auto"/>
        </w:rPr>
      </w:pPr>
      <w:r>
        <w:rPr>
          <w:rFonts w:ascii="Arial" w:cs="Arial" w:eastAsia="Arial" w:hAnsi="Arial"/>
          <w:sz w:val="18"/>
          <w:szCs w:val="18"/>
          <w:b w:val="1"/>
          <w:bCs w:val="1"/>
          <w:color w:val="auto"/>
        </w:rPr>
        <w:t>Commencement and Permitting</w:t>
      </w:r>
      <w:r>
        <w:rPr>
          <w:rFonts w:ascii="Arial" w:cs="Arial" w:eastAsia="Arial" w:hAnsi="Arial"/>
          <w:sz w:val="18"/>
          <w:szCs w:val="18"/>
          <w:color w:val="auto"/>
        </w:rPr>
        <w:t>. Landlord shall commence construction of the Tenant Improvements upon obtaining a building permit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TI Permit</w:t>
      </w:r>
      <w:r>
        <w:rPr>
          <w:rFonts w:ascii="Arial" w:cs="Arial" w:eastAsia="Arial" w:hAnsi="Arial"/>
          <w:sz w:val="18"/>
          <w:szCs w:val="18"/>
          <w:color w:val="auto"/>
        </w:rPr>
        <w:t>”) authorizing the construction of the Tenant Improvements consistent with the TI Construction Drawings approved by Tenant. The cost of obtaining the TI Permit shall be payable from the TI Fund. Tenant shall assist Landlord in obtaining the TI Permit. If any Governmental Authority having jurisdiction over the construction of Landlord’s Work or any portion thereof shall impose terms or conditions upon the construction thereof that: (i) are inconsistent with Landlord’s obligations hereunder, (ii) increase the cost of constructing Landlord’s Work, or (iii) will materially delay the construction of Landlord’s Work, Landlord and Tenant shall reasonably and in good faith seek means by which to mitigate or eliminate any such adverse terms and conditions.</w:t>
      </w:r>
    </w:p>
    <w:p>
      <w:pPr>
        <w:spacing w:after="0" w:line="81" w:lineRule="exact"/>
        <w:rPr>
          <w:rFonts w:ascii="Arial" w:cs="Arial" w:eastAsia="Arial" w:hAnsi="Arial"/>
          <w:sz w:val="18"/>
          <w:szCs w:val="18"/>
          <w:color w:val="auto"/>
        </w:rPr>
      </w:pPr>
    </w:p>
    <w:p>
      <w:pPr>
        <w:ind w:right="120" w:firstLine="921"/>
        <w:spacing w:after="0" w:line="277" w:lineRule="auto"/>
        <w:tabs>
          <w:tab w:leader="none" w:pos="1157" w:val="left"/>
        </w:tabs>
        <w:numPr>
          <w:ilvl w:val="2"/>
          <w:numId w:val="401"/>
        </w:numPr>
        <w:rPr>
          <w:rFonts w:ascii="Arial" w:cs="Arial" w:eastAsia="Arial" w:hAnsi="Arial"/>
          <w:sz w:val="17"/>
          <w:szCs w:val="17"/>
          <w:color w:val="auto"/>
        </w:rPr>
      </w:pPr>
      <w:r>
        <w:rPr>
          <w:rFonts w:ascii="Arial" w:cs="Arial" w:eastAsia="Arial" w:hAnsi="Arial"/>
          <w:sz w:val="17"/>
          <w:szCs w:val="17"/>
          <w:b w:val="1"/>
          <w:bCs w:val="1"/>
          <w:color w:val="auto"/>
        </w:rPr>
        <w:t>Completion of Landlord’s Work</w:t>
      </w:r>
      <w:r>
        <w:rPr>
          <w:rFonts w:ascii="Arial" w:cs="Arial" w:eastAsia="Arial" w:hAnsi="Arial"/>
          <w:sz w:val="17"/>
          <w:szCs w:val="17"/>
          <w:color w:val="auto"/>
        </w:rPr>
        <w:t>. On or before the Target Commencement Date (subject to Tenant Delays and Force-Majeure Delays)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the Initial Premises and on or before the Subsequent Premises Target Commencement Date (subject to Tenant Delays and Force-Majeure Delays) with respect to the Subsequent Premises, Landlord shall substantially complete or cause to be substantially completed Landlord’s Work in a good and workmanlike manner, in accordance with the TI Permit subject, in each case, to Minor Variations and normal “punch list” items of a non-material nature that do not interfere with the use of the Initial Premises or Subsequent Premises,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76200</wp:posOffset>
            </wp:positionV>
            <wp:extent cx="2418080" cy="5143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41" w:name="page542"/>
    <w:bookmarkEnd w:id="541"/>
    <w:p>
      <w:pPr>
        <w:ind w:left="85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Kendall Square/Avrobio – Page 3</w:t>
      </w:r>
    </w:p>
    <w:p>
      <w:pPr>
        <w:spacing w:after="0" w:line="181"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Substantial Completion</w:t>
      </w:r>
      <w:r>
        <w:rPr>
          <w:rFonts w:ascii="Arial" w:cs="Arial" w:eastAsia="Arial" w:hAnsi="Arial"/>
          <w:sz w:val="16"/>
          <w:szCs w:val="16"/>
          <w:color w:val="auto"/>
        </w:rPr>
        <w:t>” or “</w:t>
      </w:r>
      <w:r>
        <w:rPr>
          <w:rFonts w:ascii="Arial" w:cs="Arial" w:eastAsia="Arial" w:hAnsi="Arial"/>
          <w:sz w:val="16"/>
          <w:szCs w:val="16"/>
          <w:b w:val="1"/>
          <w:bCs w:val="1"/>
          <w:color w:val="auto"/>
        </w:rPr>
        <w:t>Substantially Complete</w:t>
      </w:r>
      <w:r>
        <w:rPr>
          <w:rFonts w:ascii="Arial" w:cs="Arial" w:eastAsia="Arial" w:hAnsi="Arial"/>
          <w:sz w:val="16"/>
          <w:szCs w:val="16"/>
          <w:color w:val="auto"/>
        </w:rPr>
        <w:t>”). Upon Substantial Completion of Landlord’s Work, Landlord shall require the TI Architect and the general contractor to execute and deliver, for the benefit of Tenant and Landlord, a Certificate of Substantial Completion in the form of the American Institute of Architects (“</w:t>
      </w:r>
      <w:r>
        <w:rPr>
          <w:rFonts w:ascii="Arial" w:cs="Arial" w:eastAsia="Arial" w:hAnsi="Arial"/>
          <w:sz w:val="16"/>
          <w:szCs w:val="16"/>
          <w:b w:val="1"/>
          <w:bCs w:val="1"/>
          <w:color w:val="auto"/>
        </w:rPr>
        <w:t>AIA</w:t>
      </w:r>
      <w:r>
        <w:rPr>
          <w:rFonts w:ascii="Arial" w:cs="Arial" w:eastAsia="Arial" w:hAnsi="Arial"/>
          <w:sz w:val="16"/>
          <w:szCs w:val="16"/>
          <w:color w:val="auto"/>
        </w:rPr>
        <w:t>”) document G704. For purposes of this Work Letter, “</w:t>
      </w:r>
      <w:r>
        <w:rPr>
          <w:rFonts w:ascii="Arial" w:cs="Arial" w:eastAsia="Arial" w:hAnsi="Arial"/>
          <w:sz w:val="16"/>
          <w:szCs w:val="16"/>
          <w:b w:val="1"/>
          <w:bCs w:val="1"/>
          <w:color w:val="auto"/>
        </w:rPr>
        <w:t>Minor Variations</w:t>
      </w:r>
      <w:r>
        <w:rPr>
          <w:rFonts w:ascii="Arial" w:cs="Arial" w:eastAsia="Arial" w:hAnsi="Arial"/>
          <w:sz w:val="16"/>
          <w:szCs w:val="16"/>
          <w:color w:val="auto"/>
        </w:rPr>
        <w:t>” shall mean any modifications reasonably required:</w:t>
      </w:r>
    </w:p>
    <w:p>
      <w:pPr>
        <w:spacing w:after="0" w:line="2" w:lineRule="exact"/>
        <w:rPr>
          <w:sz w:val="20"/>
          <w:szCs w:val="20"/>
          <w:color w:val="auto"/>
        </w:rPr>
      </w:pPr>
    </w:p>
    <w:p>
      <w:pPr>
        <w:ind w:right="20" w:firstLine="8"/>
        <w:spacing w:after="0" w:line="281" w:lineRule="auto"/>
        <w:tabs>
          <w:tab w:leader="none" w:pos="215" w:val="left"/>
        </w:tabs>
        <w:numPr>
          <w:ilvl w:val="0"/>
          <w:numId w:val="402"/>
        </w:numPr>
        <w:rPr>
          <w:rFonts w:ascii="Arial" w:cs="Arial" w:eastAsia="Arial" w:hAnsi="Arial"/>
          <w:sz w:val="16"/>
          <w:szCs w:val="16"/>
          <w:color w:val="auto"/>
        </w:rPr>
      </w:pPr>
      <w:r>
        <w:rPr>
          <w:rFonts w:ascii="Arial" w:cs="Arial" w:eastAsia="Arial" w:hAnsi="Arial"/>
          <w:sz w:val="16"/>
          <w:szCs w:val="16"/>
          <w:color w:val="auto"/>
        </w:rPr>
        <w:t>to comply with all applicable Legal Requirements and/or to obtain or to comply with any required permit (including the TI Permit); (ii) to comply with any request by Tenant for modifications to Landlord’s Work; (iii) to comport with good design, engineering, and construction practices that are not material; or</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to make reasonable adjustments for field deviations or conditions encountered during the construction of Landlord’s Work.</w:t>
      </w:r>
    </w:p>
    <w:p>
      <w:pPr>
        <w:spacing w:after="0" w:line="98" w:lineRule="exact"/>
        <w:rPr>
          <w:rFonts w:ascii="Arial" w:cs="Arial" w:eastAsia="Arial" w:hAnsi="Arial"/>
          <w:sz w:val="18"/>
          <w:szCs w:val="18"/>
          <w:color w:val="auto"/>
        </w:rPr>
      </w:pPr>
    </w:p>
    <w:p>
      <w:pPr>
        <w:jc w:val="both"/>
        <w:ind w:right="640" w:firstLine="921"/>
        <w:spacing w:after="0" w:line="314" w:lineRule="auto"/>
        <w:tabs>
          <w:tab w:leader="none" w:pos="1168" w:val="left"/>
        </w:tabs>
        <w:numPr>
          <w:ilvl w:val="1"/>
          <w:numId w:val="403"/>
        </w:numPr>
        <w:rPr>
          <w:rFonts w:ascii="Arial" w:cs="Arial" w:eastAsia="Arial" w:hAnsi="Arial"/>
          <w:sz w:val="16"/>
          <w:szCs w:val="16"/>
          <w:color w:val="auto"/>
        </w:rPr>
      </w:pPr>
      <w:r>
        <w:rPr>
          <w:rFonts w:ascii="Arial" w:cs="Arial" w:eastAsia="Arial" w:hAnsi="Arial"/>
          <w:sz w:val="16"/>
          <w:szCs w:val="16"/>
          <w:b w:val="1"/>
          <w:bCs w:val="1"/>
          <w:color w:val="auto"/>
        </w:rPr>
        <w:t>Selection of Materials</w:t>
      </w:r>
      <w:r>
        <w:rPr>
          <w:rFonts w:ascii="Arial" w:cs="Arial" w:eastAsia="Arial" w:hAnsi="Arial"/>
          <w:sz w:val="16"/>
          <w:szCs w:val="16"/>
          <w:color w:val="auto"/>
        </w:rPr>
        <w:t>. Where more than one type of material or structure is indicated on the TI Construction Drawings approved by</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and Tenant, the option will be selected at Landlord’s sole and absolute subjective discretion. As to all building materials and equipment that Landlord is obligated to supply under this Work Letter, Landlord shall select the manufacturer thereof in its sole and absolute subjective discretion.</w:t>
      </w:r>
    </w:p>
    <w:p>
      <w:pPr>
        <w:spacing w:after="0" w:line="34" w:lineRule="exact"/>
        <w:rPr>
          <w:rFonts w:ascii="Arial" w:cs="Arial" w:eastAsia="Arial" w:hAnsi="Arial"/>
          <w:sz w:val="16"/>
          <w:szCs w:val="16"/>
          <w:color w:val="auto"/>
        </w:rPr>
      </w:pPr>
    </w:p>
    <w:p>
      <w:pPr>
        <w:ind w:right="20" w:firstLine="921"/>
        <w:spacing w:after="0" w:line="269" w:lineRule="auto"/>
        <w:tabs>
          <w:tab w:leader="none" w:pos="1157" w:val="left"/>
        </w:tabs>
        <w:numPr>
          <w:ilvl w:val="1"/>
          <w:numId w:val="403"/>
        </w:numPr>
        <w:rPr>
          <w:rFonts w:ascii="Arial" w:cs="Arial" w:eastAsia="Arial" w:hAnsi="Arial"/>
          <w:sz w:val="17"/>
          <w:szCs w:val="17"/>
          <w:color w:val="auto"/>
        </w:rPr>
      </w:pPr>
      <w:r>
        <w:rPr>
          <w:rFonts w:ascii="Arial" w:cs="Arial" w:eastAsia="Arial" w:hAnsi="Arial"/>
          <w:sz w:val="17"/>
          <w:szCs w:val="17"/>
          <w:b w:val="1"/>
          <w:bCs w:val="1"/>
          <w:color w:val="auto"/>
        </w:rPr>
        <w:t>Delivery of the Subsequent Premises</w:t>
      </w:r>
      <w:r>
        <w:rPr>
          <w:rFonts w:ascii="Arial" w:cs="Arial" w:eastAsia="Arial" w:hAnsi="Arial"/>
          <w:sz w:val="17"/>
          <w:szCs w:val="17"/>
          <w:color w:val="auto"/>
        </w:rPr>
        <w:t>. When Landlord’s Work is Substantially Complete, subject to the remaining terms and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3(e)</w:t>
      </w:r>
      <w:r>
        <w:rPr>
          <w:rFonts w:ascii="Arial" w:cs="Arial" w:eastAsia="Arial" w:hAnsi="Arial"/>
          <w:sz w:val="17"/>
          <w:szCs w:val="17"/>
          <w:color w:val="auto"/>
        </w:rPr>
        <w:t>, Tenant shall accept the Initial Premises and the Subsequent Premises, respectively. Tenant’s taking possession and acceptance of the Initial Premises and the Subsequent Premises, respectively, shall not constitute a waiver of: (i) any warranty with respect to workmanship (including installation of equipment) or material (exclusive of equipment provided directly by manufacturers), (ii) any non-compliance of Landlord’s Work with applicable Legal Requirements, or (iii) any claim that Landlord’s Work was not completed substantially in accordance with the TI Construction Drawings (subject to Minor Variations and such other changes as are permitted hereunder) (collectively, a “</w:t>
      </w:r>
      <w:r>
        <w:rPr>
          <w:rFonts w:ascii="Arial" w:cs="Arial" w:eastAsia="Arial" w:hAnsi="Arial"/>
          <w:sz w:val="17"/>
          <w:szCs w:val="17"/>
          <w:b w:val="1"/>
          <w:bCs w:val="1"/>
          <w:color w:val="auto"/>
        </w:rPr>
        <w:t>Construction Defect</w:t>
      </w:r>
      <w:r>
        <w:rPr>
          <w:rFonts w:ascii="Arial" w:cs="Arial" w:eastAsia="Arial" w:hAnsi="Arial"/>
          <w:sz w:val="17"/>
          <w:szCs w:val="17"/>
          <w:color w:val="auto"/>
        </w:rPr>
        <w:t>”). Tenant shall have one year after Substantial Completion of Landlord’s Work in the Initial Premises and the Subsequent Premises, respectively, within which to notify Landlord of any such Construction Defect discovered by Tenant, and Landlord shall use reasonable efforts to remedy or cause the responsible contractor to remedy any such Construction Defect within 30 days thereafter. Notwithstanding the foregoing, Landlord shall not be in default under the Lease if the applicable contractor, despite Landlord’s reasonable efforts, fails to remedy such Construction Defect within such 30-day period, in which case Landlord shall have no further obligation with respect to such Construction Defect other than to cooperate, at no cost to Landlord, with Tenant should Tenant elect to pursue a claim against such contractor, provided that Tenant shall defend with counsel reasonably acceptable to Landlord, indemnify and hold Landlord harmless from and against any claims arising out of or in connection with any such claim.</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Tenant shall be entitled to receive the benefit of all construction warranties and manufacturer’s equipment warranties relating to equipment installed in the Subsequent Premises. If requested by Tenant, Landlord shall attempt to obtain extended warranties from manufacturers and suppliers of such equipment, but the cost of any such extended warranties shall be borne solely out of the TI Fund. Landlord shall promptly undertake and complete, or cause to be completed, all punch list items.</w:t>
      </w:r>
    </w:p>
    <w:p>
      <w:pPr>
        <w:spacing w:after="0" w:line="75" w:lineRule="exact"/>
        <w:rPr>
          <w:sz w:val="20"/>
          <w:szCs w:val="20"/>
          <w:color w:val="auto"/>
        </w:rPr>
      </w:pPr>
    </w:p>
    <w:p>
      <w:pPr>
        <w:ind w:right="80" w:firstLine="921"/>
        <w:spacing w:after="0" w:line="261" w:lineRule="auto"/>
        <w:tabs>
          <w:tab w:leader="none" w:pos="1138" w:val="left"/>
        </w:tabs>
        <w:numPr>
          <w:ilvl w:val="1"/>
          <w:numId w:val="404"/>
        </w:numPr>
        <w:rPr>
          <w:rFonts w:ascii="Arial" w:cs="Arial" w:eastAsia="Arial" w:hAnsi="Arial"/>
          <w:sz w:val="18"/>
          <w:szCs w:val="18"/>
          <w:color w:val="auto"/>
        </w:rPr>
      </w:pPr>
      <w:r>
        <w:rPr>
          <w:rFonts w:ascii="Arial" w:cs="Arial" w:eastAsia="Arial" w:hAnsi="Arial"/>
          <w:sz w:val="18"/>
          <w:szCs w:val="18"/>
          <w:b w:val="1"/>
          <w:bCs w:val="1"/>
          <w:color w:val="auto"/>
        </w:rPr>
        <w:t>Commencement Date/Subsequent Premises Commencement Date Delay</w:t>
      </w:r>
      <w:r>
        <w:rPr>
          <w:rFonts w:ascii="Arial" w:cs="Arial" w:eastAsia="Arial" w:hAnsi="Arial"/>
          <w:sz w:val="18"/>
          <w:szCs w:val="18"/>
          <w:color w:val="auto"/>
        </w:rPr>
        <w:t>. Except as otherwise provided in the Lease, Delivery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Premises and the Subsequent Premises, respectively, shall occur when Landlord’s Work in the Initial Premises and the Subsequent Premises, respectively, has been Substantially Completed, except to the extent that completion of Landlord’s Work shall have been actually delayed by any one or more of the following causes (“</w:t>
      </w:r>
      <w:r>
        <w:rPr>
          <w:rFonts w:ascii="Arial" w:cs="Arial" w:eastAsia="Arial" w:hAnsi="Arial"/>
          <w:sz w:val="18"/>
          <w:szCs w:val="18"/>
          <w:b w:val="1"/>
          <w:bCs w:val="1"/>
          <w:color w:val="auto"/>
        </w:rPr>
        <w:t>Tenant Delay</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60" w:right="60" w:firstLine="443"/>
        <w:spacing w:after="0" w:line="277" w:lineRule="auto"/>
        <w:tabs>
          <w:tab w:leader="none" w:pos="111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Tenant’s Representative was not available within 2 business days to give or receive any Communication or to take any other action required to be taken by Tenant hereunder;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 xml:space="preserve">Tenant’s request for Change Requests (as defined in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below) whether or not any such Change Requests are actually performed;</w:t>
      </w:r>
    </w:p>
    <w:p>
      <w:pPr>
        <w:spacing w:after="0" w:line="140" w:lineRule="exact"/>
        <w:rPr>
          <w:rFonts w:ascii="Arial" w:cs="Arial" w:eastAsia="Arial" w:hAnsi="Arial"/>
          <w:sz w:val="16"/>
          <w:szCs w:val="16"/>
          <w:color w:val="auto"/>
        </w:rPr>
      </w:pPr>
    </w:p>
    <w:p>
      <w:pPr>
        <w:ind w:left="1220" w:hanging="317"/>
        <w:spacing w:after="0"/>
        <w:tabs>
          <w:tab w:leader="none" w:pos="12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Construction of any Change Requests;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109220</wp:posOffset>
            </wp:positionV>
            <wp:extent cx="2418080" cy="5143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42" w:name="page543"/>
    <w:bookmarkEnd w:id="5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Kendall Square/Avrobio – Page 4</w:t>
      </w:r>
    </w:p>
    <w:p>
      <w:pPr>
        <w:spacing w:after="0" w:line="162" w:lineRule="exact"/>
        <w:rPr>
          <w:sz w:val="20"/>
          <w:szCs w:val="20"/>
          <w:color w:val="auto"/>
        </w:rPr>
      </w:pPr>
    </w:p>
    <w:p>
      <w:pPr>
        <w:ind w:left="1200" w:hanging="297"/>
        <w:spacing w:after="0"/>
        <w:tabs>
          <w:tab w:leader="none" w:pos="12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Tenant’s request for materials, finishes or installations requiring unusually long lead times;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Tenant’s delay in reviewing, revising or approving plans and specifications beyond the periods set forth herein;</w:t>
      </w:r>
    </w:p>
    <w:p>
      <w:pPr>
        <w:spacing w:after="0" w:line="117" w:lineRule="exact"/>
        <w:rPr>
          <w:rFonts w:ascii="Arial" w:cs="Arial" w:eastAsia="Arial" w:hAnsi="Arial"/>
          <w:sz w:val="18"/>
          <w:szCs w:val="18"/>
          <w:color w:val="auto"/>
        </w:rPr>
      </w:pPr>
    </w:p>
    <w:p>
      <w:pPr>
        <w:ind w:left="460" w:right="60" w:firstLine="443"/>
        <w:spacing w:after="0" w:line="264" w:lineRule="auto"/>
        <w:tabs>
          <w:tab w:leader="none" w:pos="1203"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Tenant’s delay in providing information critical to the normal progression of the work within 2 business days following written request therefor from Landlord. Tenant shall provide such information as soon as reasonably possible, but in no event longer than one week after receipt of any request for such information from Landlord;</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 xml:space="preserve">Tenant’s delay in making payments to Landlord for Excess TI Costs (as defined in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below); or</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Any other act or omission by Tenant or any Tenant Party (as defined in the Lease), or persons employed by any of such persons.</w:t>
      </w:r>
    </w:p>
    <w:p>
      <w:pPr>
        <w:spacing w:after="0" w:line="23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If Delivery of the Initial Premises or the Subsequent Premises, respectively, is delayed for any of the foregoing reasons, then Landlord shall cause the TI Architect to certify the date on which the Tenant Improvements in the Initial Premises and the Subsequent Premises, respectively, would have been completed but for such Tenant Delay and such certified date shall be the date of Delivery of the Initial Premises or the Subsequent Premises, if applicable.</w:t>
      </w:r>
    </w:p>
    <w:p>
      <w:pPr>
        <w:spacing w:after="0" w:line="35" w:lineRule="exact"/>
        <w:rPr>
          <w:sz w:val="20"/>
          <w:szCs w:val="20"/>
          <w:color w:val="auto"/>
        </w:rPr>
      </w:pPr>
    </w:p>
    <w:p>
      <w:pPr>
        <w:ind w:right="220" w:firstLine="464"/>
        <w:spacing w:after="0" w:line="266" w:lineRule="auto"/>
        <w:tabs>
          <w:tab w:leader="none" w:pos="636" w:val="left"/>
        </w:tabs>
        <w:numPr>
          <w:ilvl w:val="0"/>
          <w:numId w:val="407"/>
        </w:numPr>
        <w:rPr>
          <w:rFonts w:ascii="Arial" w:cs="Arial" w:eastAsia="Arial" w:hAnsi="Arial"/>
          <w:sz w:val="18"/>
          <w:szCs w:val="18"/>
          <w:color w:val="auto"/>
        </w:rPr>
      </w:pPr>
      <w:r>
        <w:rPr>
          <w:rFonts w:ascii="Arial" w:cs="Arial" w:eastAsia="Arial" w:hAnsi="Arial"/>
          <w:sz w:val="18"/>
          <w:szCs w:val="18"/>
          <w:b w:val="1"/>
          <w:bCs w:val="1"/>
          <w:color w:val="auto"/>
        </w:rPr>
        <w:t>Changes</w:t>
      </w:r>
      <w:r>
        <w:rPr>
          <w:rFonts w:ascii="Arial" w:cs="Arial" w:eastAsia="Arial" w:hAnsi="Arial"/>
          <w:sz w:val="18"/>
          <w:szCs w:val="18"/>
          <w:color w:val="auto"/>
        </w:rPr>
        <w:t>. Any changes requested by Tenant to the Tenant Improvements shall be requested and instituted in accordance with the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shall be subject to the written approval of Landlord and the TI Architect, such approval not to be unreasonably withheld, conditioned or delayed.</w:t>
      </w:r>
    </w:p>
    <w:p>
      <w:pPr>
        <w:spacing w:after="0" w:line="68" w:lineRule="exact"/>
        <w:rPr>
          <w:rFonts w:ascii="Arial" w:cs="Arial" w:eastAsia="Arial" w:hAnsi="Arial"/>
          <w:sz w:val="18"/>
          <w:szCs w:val="18"/>
          <w:color w:val="auto"/>
        </w:rPr>
      </w:pPr>
    </w:p>
    <w:p>
      <w:pPr>
        <w:ind w:right="20" w:firstLine="921"/>
        <w:spacing w:after="0" w:line="270" w:lineRule="auto"/>
        <w:tabs>
          <w:tab w:leader="none" w:pos="1157" w:val="left"/>
        </w:tabs>
        <w:numPr>
          <w:ilvl w:val="1"/>
          <w:numId w:val="407"/>
        </w:numPr>
        <w:rPr>
          <w:rFonts w:ascii="Arial" w:cs="Arial" w:eastAsia="Arial" w:hAnsi="Arial"/>
          <w:sz w:val="17"/>
          <w:szCs w:val="17"/>
          <w:color w:val="auto"/>
        </w:rPr>
      </w:pPr>
      <w:r>
        <w:rPr>
          <w:rFonts w:ascii="Arial" w:cs="Arial" w:eastAsia="Arial" w:hAnsi="Arial"/>
          <w:sz w:val="17"/>
          <w:szCs w:val="17"/>
          <w:b w:val="1"/>
          <w:bCs w:val="1"/>
          <w:color w:val="auto"/>
        </w:rPr>
        <w:t>Tenant’s Request For Changes</w:t>
      </w:r>
      <w:r>
        <w:rPr>
          <w:rFonts w:ascii="Arial" w:cs="Arial" w:eastAsia="Arial" w:hAnsi="Arial"/>
          <w:sz w:val="17"/>
          <w:szCs w:val="17"/>
          <w:color w:val="auto"/>
        </w:rPr>
        <w:t>. If Tenant shall request changes to the Tenant Improvements (“</w:t>
      </w:r>
      <w:r>
        <w:rPr>
          <w:rFonts w:ascii="Arial" w:cs="Arial" w:eastAsia="Arial" w:hAnsi="Arial"/>
          <w:sz w:val="17"/>
          <w:szCs w:val="17"/>
          <w:b w:val="1"/>
          <w:bCs w:val="1"/>
          <w:color w:val="auto"/>
        </w:rPr>
        <w:t>Changes</w:t>
      </w:r>
      <w:r>
        <w:rPr>
          <w:rFonts w:ascii="Arial" w:cs="Arial" w:eastAsia="Arial" w:hAnsi="Arial"/>
          <w:sz w:val="17"/>
          <w:szCs w:val="17"/>
          <w:color w:val="auto"/>
        </w:rPr>
        <w:t>”), Tenant shall request such</w:t>
      </w:r>
      <w:r>
        <w:rPr>
          <w:rFonts w:ascii="Arial" w:cs="Arial" w:eastAsia="Arial" w:hAnsi="Arial"/>
          <w:sz w:val="17"/>
          <w:szCs w:val="17"/>
          <w:b w:val="1"/>
          <w:bCs w:val="1"/>
          <w:color w:val="auto"/>
        </w:rPr>
        <w:t xml:space="preserve"> </w:t>
      </w:r>
      <w:r>
        <w:rPr>
          <w:rFonts w:ascii="Arial" w:cs="Arial" w:eastAsia="Arial" w:hAnsi="Arial"/>
          <w:sz w:val="17"/>
          <w:szCs w:val="17"/>
          <w:color w:val="auto"/>
        </w:rPr>
        <w:t>Changes by notifying Landlord in writing in substantially the same form as the AIA standard change order form (a “</w:t>
      </w:r>
      <w:r>
        <w:rPr>
          <w:rFonts w:ascii="Arial" w:cs="Arial" w:eastAsia="Arial" w:hAnsi="Arial"/>
          <w:sz w:val="17"/>
          <w:szCs w:val="17"/>
          <w:b w:val="1"/>
          <w:bCs w:val="1"/>
          <w:color w:val="auto"/>
        </w:rPr>
        <w:t>Change Request</w:t>
      </w:r>
      <w:r>
        <w:rPr>
          <w:rFonts w:ascii="Arial" w:cs="Arial" w:eastAsia="Arial" w:hAnsi="Arial"/>
          <w:sz w:val="17"/>
          <w:szCs w:val="17"/>
          <w:color w:val="auto"/>
        </w:rPr>
        <w:t>”), which Change Request shall detail the nature and extent of any such Change. Such Change Request must be signed by Tenant’s Representative. Landlord shall, before proceeding with any Change, use commercially reasonable efforts to respond to Tenant as soon as is reasonably possible with an estimate of: (i) the time it will take, and (ii) the architectural and engineering fees and costs that will be incurred, to analyze such Change Request (which costs shall be paid from the TI Fund to the extent actually incurred, whether or not such change is implemented). Landlord shall thereafter submit to Tenant in writing, within 5 business days of receipt of the Change Request (or such longer period of time as is reasonably required depending on the extent of the Change Request), an analysis of the additional cost or savings involved, including, without limitation, architectural and engineering costs and the period of time, if any, that the Change will extend the date on which Landlord’s Work in either or both the Initial Premises or the Subsequent Premises will be Substantially Complete. Any such delay in the completion of Landlord’s Work caused by a Change, including any suspension of Landlord’s Work while any such Change is being evaluated and/or designed, shall be Tenant Delay.</w:t>
      </w:r>
    </w:p>
    <w:p>
      <w:pPr>
        <w:spacing w:after="0" w:line="65" w:lineRule="exact"/>
        <w:rPr>
          <w:rFonts w:ascii="Arial" w:cs="Arial" w:eastAsia="Arial" w:hAnsi="Arial"/>
          <w:sz w:val="17"/>
          <w:szCs w:val="17"/>
          <w:color w:val="auto"/>
        </w:rPr>
      </w:pPr>
    </w:p>
    <w:p>
      <w:pPr>
        <w:ind w:right="120" w:firstLine="921"/>
        <w:spacing w:after="0" w:line="303" w:lineRule="auto"/>
        <w:tabs>
          <w:tab w:leader="none" w:pos="1168" w:val="left"/>
        </w:tabs>
        <w:numPr>
          <w:ilvl w:val="1"/>
          <w:numId w:val="407"/>
        </w:numPr>
        <w:rPr>
          <w:rFonts w:ascii="Arial" w:cs="Arial" w:eastAsia="Arial" w:hAnsi="Arial"/>
          <w:sz w:val="16"/>
          <w:szCs w:val="16"/>
          <w:color w:val="auto"/>
        </w:rPr>
      </w:pPr>
      <w:r>
        <w:rPr>
          <w:rFonts w:ascii="Arial" w:cs="Arial" w:eastAsia="Arial" w:hAnsi="Arial"/>
          <w:sz w:val="16"/>
          <w:szCs w:val="16"/>
          <w:b w:val="1"/>
          <w:bCs w:val="1"/>
          <w:color w:val="auto"/>
        </w:rPr>
        <w:t>Implementation of Changes</w:t>
      </w:r>
      <w:r>
        <w:rPr>
          <w:rFonts w:ascii="Arial" w:cs="Arial" w:eastAsia="Arial" w:hAnsi="Arial"/>
          <w:sz w:val="16"/>
          <w:szCs w:val="16"/>
          <w:color w:val="auto"/>
        </w:rPr>
        <w:t>. If Tenant: (i) approves in writing the cost or savings and the estimated extension in the time for completion of</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Landlord’s Work, if any, and (ii) deposits with Landlord any Excess TI Costs required in connection with such Change, Landlord shall cause the approved Change to be instituted. Notwithstanding any approval or disapproval by Tenant of any estimate of the delay caused by such proposed Change, the TI Architect’s determination of the amount of Tenant Delay in connection with such Change shall be final and binding on Landlord and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64770</wp:posOffset>
            </wp:positionV>
            <wp:extent cx="2418080" cy="5143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43" w:name="page544"/>
    <w:bookmarkEnd w:id="5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Kendall Square/Avrobio – Page 5</w:t>
      </w:r>
    </w:p>
    <w:p>
      <w:pPr>
        <w:spacing w:after="0" w:line="158" w:lineRule="exact"/>
        <w:rPr>
          <w:sz w:val="20"/>
          <w:szCs w:val="20"/>
          <w:color w:val="auto"/>
        </w:rPr>
      </w:pPr>
    </w:p>
    <w:p>
      <w:pPr>
        <w:ind w:left="640" w:hanging="176"/>
        <w:spacing w:after="0"/>
        <w:tabs>
          <w:tab w:leader="none" w:pos="640" w:val="left"/>
        </w:tabs>
        <w:numPr>
          <w:ilvl w:val="0"/>
          <w:numId w:val="408"/>
        </w:numPr>
        <w:rPr>
          <w:rFonts w:ascii="Arial" w:cs="Arial" w:eastAsia="Arial" w:hAnsi="Arial"/>
          <w:sz w:val="18"/>
          <w:szCs w:val="18"/>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58" w:lineRule="auto"/>
        <w:tabs>
          <w:tab w:leader="none" w:pos="1157" w:val="left"/>
        </w:tabs>
        <w:numPr>
          <w:ilvl w:val="1"/>
          <w:numId w:val="408"/>
        </w:numPr>
        <w:rPr>
          <w:rFonts w:ascii="Arial" w:cs="Arial" w:eastAsia="Arial" w:hAnsi="Arial"/>
          <w:sz w:val="18"/>
          <w:szCs w:val="18"/>
          <w:color w:val="auto"/>
        </w:rPr>
      </w:pPr>
      <w:r>
        <w:rPr>
          <w:rFonts w:ascii="Arial" w:cs="Arial" w:eastAsia="Arial" w:hAnsi="Arial"/>
          <w:sz w:val="18"/>
          <w:szCs w:val="18"/>
          <w:b w:val="1"/>
          <w:bCs w:val="1"/>
          <w:color w:val="auto"/>
        </w:rPr>
        <w:t>Budget For Tenant Improvements</w:t>
      </w:r>
      <w:r>
        <w:rPr>
          <w:rFonts w:ascii="Arial" w:cs="Arial" w:eastAsia="Arial" w:hAnsi="Arial"/>
          <w:sz w:val="18"/>
          <w:szCs w:val="18"/>
          <w:color w:val="auto"/>
        </w:rPr>
        <w:t>. Before the commencement of construction of the Tenant Improvements, Landlord shall obtain a detailed</w:t>
      </w:r>
      <w:r>
        <w:rPr>
          <w:rFonts w:ascii="Arial" w:cs="Arial" w:eastAsia="Arial" w:hAnsi="Arial"/>
          <w:sz w:val="18"/>
          <w:szCs w:val="18"/>
          <w:b w:val="1"/>
          <w:bCs w:val="1"/>
          <w:color w:val="auto"/>
        </w:rPr>
        <w:t xml:space="preserve"> </w:t>
      </w:r>
      <w:r>
        <w:rPr>
          <w:rFonts w:ascii="Arial" w:cs="Arial" w:eastAsia="Arial" w:hAnsi="Arial"/>
          <w:sz w:val="18"/>
          <w:szCs w:val="18"/>
          <w:color w:val="auto"/>
        </w:rPr>
        <w:t>breakdown by trade of the costs incurred or that will be incurred in connection with the design and construction of the Tenant Improvements (as the same may be amended, the “</w:t>
      </w:r>
      <w:r>
        <w:rPr>
          <w:rFonts w:ascii="Arial" w:cs="Arial" w:eastAsia="Arial" w:hAnsi="Arial"/>
          <w:sz w:val="18"/>
          <w:szCs w:val="18"/>
          <w:b w:val="1"/>
          <w:bCs w:val="1"/>
          <w:color w:val="auto"/>
        </w:rPr>
        <w:t>Budget</w:t>
      </w:r>
      <w:r>
        <w:rPr>
          <w:rFonts w:ascii="Arial" w:cs="Arial" w:eastAsia="Arial" w:hAnsi="Arial"/>
          <w:sz w:val="18"/>
          <w:szCs w:val="18"/>
          <w:color w:val="auto"/>
        </w:rPr>
        <w:t xml:space="preserve">”). The Budget shall be based upon the TI Construction Drawings approved by Tenant. If the Budget is greater than the TI Allowance, Tenant shall deposit with Landlord the difference, in cash, prior to the commencement of construction of the Tenant Improvements or Changes, for disbursement by Landlord as described in </w:t>
      </w:r>
      <w:r>
        <w:rPr>
          <w:rFonts w:ascii="Arial" w:cs="Arial" w:eastAsia="Arial" w:hAnsi="Arial"/>
          <w:sz w:val="18"/>
          <w:szCs w:val="18"/>
          <w:u w:val="single" w:color="auto"/>
          <w:color w:val="auto"/>
        </w:rPr>
        <w:t>Section 5(d)</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520" w:firstLine="921"/>
        <w:spacing w:after="0" w:line="282" w:lineRule="auto"/>
        <w:tabs>
          <w:tab w:leader="none" w:pos="1168" w:val="left"/>
        </w:tabs>
        <w:numPr>
          <w:ilvl w:val="1"/>
          <w:numId w:val="408"/>
        </w:numPr>
        <w:rPr>
          <w:rFonts w:ascii="Arial" w:cs="Arial" w:eastAsia="Arial" w:hAnsi="Arial"/>
          <w:sz w:val="18"/>
          <w:szCs w:val="18"/>
          <w:color w:val="auto"/>
        </w:rPr>
      </w:pPr>
      <w:r>
        <w:rPr>
          <w:rFonts w:ascii="Arial" w:cs="Arial" w:eastAsia="Arial" w:hAnsi="Arial"/>
          <w:sz w:val="18"/>
          <w:szCs w:val="18"/>
          <w:b w:val="1"/>
          <w:bCs w:val="1"/>
          <w:color w:val="auto"/>
        </w:rPr>
        <w:t>TI Allowance</w:t>
      </w:r>
      <w:r>
        <w:rPr>
          <w:rFonts w:ascii="Arial" w:cs="Arial" w:eastAsia="Arial" w:hAnsi="Arial"/>
          <w:sz w:val="18"/>
          <w:szCs w:val="18"/>
          <w:color w:val="auto"/>
        </w:rPr>
        <w:t>. Landlord shall provide a tenant improvement allowance (the “</w:t>
      </w:r>
      <w:r>
        <w:rPr>
          <w:rFonts w:ascii="Arial" w:cs="Arial" w:eastAsia="Arial" w:hAnsi="Arial"/>
          <w:sz w:val="18"/>
          <w:szCs w:val="18"/>
          <w:b w:val="1"/>
          <w:bCs w:val="1"/>
          <w:color w:val="auto"/>
        </w:rPr>
        <w:t>TI Allowance</w:t>
      </w:r>
      <w:r>
        <w:rPr>
          <w:rFonts w:ascii="Arial" w:cs="Arial" w:eastAsia="Arial" w:hAnsi="Arial"/>
          <w:sz w:val="18"/>
          <w:szCs w:val="18"/>
          <w:color w:val="auto"/>
        </w:rPr>
        <w:t>”) of $75.00 per rentable square foot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or $841,350 in the aggregate. The TI Allowance shall be disbursed in accordance with this Work Letter.</w:t>
      </w:r>
    </w:p>
    <w:p>
      <w:pPr>
        <w:spacing w:after="0" w:line="58"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Tenant shall have no right to the use or benefit (including any reduction to or payment of Base Rent) of any portion of the TI Allowance not required for the construction of (i) the Tenant Improvements described in the TI Construction Drawings approved pursuant to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or (ii) any Changes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69" w:lineRule="exact"/>
        <w:rPr>
          <w:sz w:val="20"/>
          <w:szCs w:val="20"/>
          <w:color w:val="auto"/>
        </w:rPr>
      </w:pPr>
    </w:p>
    <w:p>
      <w:pPr>
        <w:ind w:right="80" w:firstLine="921"/>
        <w:spacing w:after="0" w:line="255" w:lineRule="auto"/>
        <w:tabs>
          <w:tab w:leader="none" w:pos="1157" w:val="left"/>
        </w:tabs>
        <w:numPr>
          <w:ilvl w:val="0"/>
          <w:numId w:val="409"/>
        </w:numPr>
        <w:rPr>
          <w:rFonts w:ascii="Arial" w:cs="Arial" w:eastAsia="Arial" w:hAnsi="Arial"/>
          <w:sz w:val="18"/>
          <w:szCs w:val="18"/>
          <w:color w:val="auto"/>
        </w:rPr>
      </w:pPr>
      <w:r>
        <w:rPr>
          <w:rFonts w:ascii="Arial" w:cs="Arial" w:eastAsia="Arial" w:hAnsi="Arial"/>
          <w:sz w:val="18"/>
          <w:szCs w:val="18"/>
          <w:b w:val="1"/>
          <w:bCs w:val="1"/>
          <w:color w:val="auto"/>
        </w:rPr>
        <w:t>Costs Includable in TI Fund</w:t>
      </w:r>
      <w:r>
        <w:rPr>
          <w:rFonts w:ascii="Arial" w:cs="Arial" w:eastAsia="Arial" w:hAnsi="Arial"/>
          <w:sz w:val="18"/>
          <w:szCs w:val="18"/>
          <w:color w:val="auto"/>
        </w:rPr>
        <w:t>. The TI Fund shall be used solely for the payment of design, permits and construction costs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construction of the Tenant Improvements, including, without limitation, the cost of electrical power and other utilities used in connection with the construction of the Tenant Improvements, the cost of preparing the Space Plans and the TI Construction Drawings, all costs set forth in the Budget, including out-of-pocket expenses, costs resulting from Tenant Delays and the cost of Changes (collectively, “</w:t>
      </w:r>
      <w:r>
        <w:rPr>
          <w:rFonts w:ascii="Arial" w:cs="Arial" w:eastAsia="Arial" w:hAnsi="Arial"/>
          <w:sz w:val="18"/>
          <w:szCs w:val="18"/>
          <w:b w:val="1"/>
          <w:bCs w:val="1"/>
          <w:color w:val="auto"/>
        </w:rPr>
        <w:t>TI Costs</w:t>
      </w:r>
      <w:r>
        <w:rPr>
          <w:rFonts w:ascii="Arial" w:cs="Arial" w:eastAsia="Arial" w:hAnsi="Arial"/>
          <w:sz w:val="18"/>
          <w:szCs w:val="18"/>
          <w:color w:val="auto"/>
        </w:rPr>
        <w:t>”). Notwithstanding anything to the contrary contained herein, the TI Fund shall not be used to purchase any furniture, personal property or other non-Building system materials or equipment, including, but not limited to, Tenant’s voice or data cabling, non-ducted biological safety cabinets and other scientific equipment not incorporated into the Tenant Improvements.</w:t>
      </w:r>
    </w:p>
    <w:p>
      <w:pPr>
        <w:spacing w:after="0" w:line="81" w:lineRule="exact"/>
        <w:rPr>
          <w:rFonts w:ascii="Arial" w:cs="Arial" w:eastAsia="Arial" w:hAnsi="Arial"/>
          <w:sz w:val="18"/>
          <w:szCs w:val="18"/>
          <w:color w:val="auto"/>
        </w:rPr>
      </w:pPr>
    </w:p>
    <w:p>
      <w:pPr>
        <w:ind w:right="20" w:firstLine="921"/>
        <w:spacing w:after="0" w:line="289" w:lineRule="auto"/>
        <w:tabs>
          <w:tab w:leader="none" w:pos="1168" w:val="left"/>
        </w:tabs>
        <w:numPr>
          <w:ilvl w:val="0"/>
          <w:numId w:val="409"/>
        </w:numPr>
        <w:rPr>
          <w:rFonts w:ascii="Arial" w:cs="Arial" w:eastAsia="Arial" w:hAnsi="Arial"/>
          <w:sz w:val="16"/>
          <w:szCs w:val="16"/>
          <w:color w:val="auto"/>
        </w:rPr>
      </w:pPr>
      <w:r>
        <w:rPr>
          <w:rFonts w:ascii="Arial" w:cs="Arial" w:eastAsia="Arial" w:hAnsi="Arial"/>
          <w:sz w:val="16"/>
          <w:szCs w:val="16"/>
          <w:b w:val="1"/>
          <w:bCs w:val="1"/>
          <w:color w:val="auto"/>
        </w:rPr>
        <w:t>Excess TI Costs</w:t>
      </w:r>
      <w:r>
        <w:rPr>
          <w:rFonts w:ascii="Arial" w:cs="Arial" w:eastAsia="Arial" w:hAnsi="Arial"/>
          <w:sz w:val="16"/>
          <w:szCs w:val="16"/>
          <w:color w:val="auto"/>
        </w:rPr>
        <w:t>. Landlord shall have no obligation to bear any portion of the cost of any of the Tenant Improvements except to the extent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TI Allowance. If at any time the remaining TI Costs under the Budget exceed the remaining unexpended TI Allowance, Tenant shall deposit with Landlord, as a condition precedent to Landlord’s obligation to complete the Tenant Improvements, 100% of the then current TI Cost in excess of the remaining TI Allowance (“</w:t>
      </w:r>
      <w:r>
        <w:rPr>
          <w:rFonts w:ascii="Arial" w:cs="Arial" w:eastAsia="Arial" w:hAnsi="Arial"/>
          <w:sz w:val="16"/>
          <w:szCs w:val="16"/>
          <w:b w:val="1"/>
          <w:bCs w:val="1"/>
          <w:color w:val="auto"/>
        </w:rPr>
        <w:t>Excess TI Costs</w:t>
      </w:r>
      <w:r>
        <w:rPr>
          <w:rFonts w:ascii="Arial" w:cs="Arial" w:eastAsia="Arial" w:hAnsi="Arial"/>
          <w:sz w:val="16"/>
          <w:szCs w:val="16"/>
          <w:color w:val="auto"/>
        </w:rPr>
        <w:t>”). If Tenant fails to deposit any Excess TI Costs with Landlord, Landlord shall have all of the rights and remedies set forth in the Lease for nonpayment of Rent (including, but not limited to, the right to interest at the Default Rate and the right to assess a late charge). For purposes of any litigation instituted with regard to such amounts, those amounts will be deemed Rent under the Lease. The TI Allowance and Excess TI Costs are herein referred to as the “</w:t>
      </w:r>
      <w:r>
        <w:rPr>
          <w:rFonts w:ascii="Arial" w:cs="Arial" w:eastAsia="Arial" w:hAnsi="Arial"/>
          <w:sz w:val="16"/>
          <w:szCs w:val="16"/>
          <w:b w:val="1"/>
          <w:bCs w:val="1"/>
          <w:color w:val="auto"/>
        </w:rPr>
        <w:t>TI Fund</w:t>
      </w:r>
      <w:r>
        <w:rPr>
          <w:rFonts w:ascii="Arial" w:cs="Arial" w:eastAsia="Arial" w:hAnsi="Arial"/>
          <w:sz w:val="16"/>
          <w:szCs w:val="16"/>
          <w:color w:val="auto"/>
        </w:rPr>
        <w:t xml:space="preserve">.” Funds deposited by Tenant shall be the first disbursed to pay TI Costs. Notwithstanding anything to the contrary set forth in this </w:t>
      </w:r>
      <w:r>
        <w:rPr>
          <w:rFonts w:ascii="Arial" w:cs="Arial" w:eastAsia="Arial" w:hAnsi="Arial"/>
          <w:sz w:val="16"/>
          <w:szCs w:val="16"/>
          <w:u w:val="single" w:color="auto"/>
          <w:color w:val="auto"/>
        </w:rPr>
        <w:t>Section 5(d)</w:t>
      </w:r>
      <w:r>
        <w:rPr>
          <w:rFonts w:ascii="Arial" w:cs="Arial" w:eastAsia="Arial" w:hAnsi="Arial"/>
          <w:sz w:val="16"/>
          <w:szCs w:val="16"/>
          <w:color w:val="auto"/>
        </w:rPr>
        <w:t>, Tenant shall be fully and solely liable for TI Costs and the cost of Minor Variations in excess of the TI Allowance. If upon Substantial Completion of the Tenant Improvements and the payment of all sums due in connection therewith there remains any undisbursed portion of the TI Fund, Tenant shall be entitled to such undisbursed TI Fund solely to the extent of any Excess TI Costs deposit Tenant has actually made with Landlord.</w:t>
      </w:r>
    </w:p>
    <w:p>
      <w:pPr>
        <w:spacing w:after="0" w:line="53" w:lineRule="exact"/>
        <w:rPr>
          <w:rFonts w:ascii="Arial" w:cs="Arial" w:eastAsia="Arial" w:hAnsi="Arial"/>
          <w:sz w:val="16"/>
          <w:szCs w:val="16"/>
          <w:color w:val="auto"/>
        </w:rPr>
      </w:pPr>
    </w:p>
    <w:p>
      <w:pPr>
        <w:ind w:right="40" w:firstLine="921"/>
        <w:spacing w:after="0" w:line="256" w:lineRule="auto"/>
        <w:tabs>
          <w:tab w:leader="none" w:pos="1157" w:val="left"/>
        </w:tabs>
        <w:numPr>
          <w:ilvl w:val="0"/>
          <w:numId w:val="409"/>
        </w:numPr>
        <w:rPr>
          <w:rFonts w:ascii="Arial" w:cs="Arial" w:eastAsia="Arial" w:hAnsi="Arial"/>
          <w:sz w:val="18"/>
          <w:szCs w:val="18"/>
          <w:color w:val="auto"/>
        </w:rPr>
      </w:pPr>
      <w:r>
        <w:rPr>
          <w:rFonts w:ascii="Arial" w:cs="Arial" w:eastAsia="Arial" w:hAnsi="Arial"/>
          <w:sz w:val="18"/>
          <w:szCs w:val="18"/>
          <w:b w:val="1"/>
          <w:bCs w:val="1"/>
          <w:color w:val="auto"/>
        </w:rPr>
        <w:t>Construction Contract</w:t>
      </w:r>
      <w:r>
        <w:rPr>
          <w:rFonts w:ascii="Arial" w:cs="Arial" w:eastAsia="Arial" w:hAnsi="Arial"/>
          <w:sz w:val="18"/>
          <w:szCs w:val="18"/>
          <w:color w:val="auto"/>
        </w:rPr>
        <w:t>. The contract for construction of the Tenant Improvements shall be written substantially on Landlord’s standard form</w:t>
      </w:r>
      <w:r>
        <w:rPr>
          <w:rFonts w:ascii="Arial" w:cs="Arial" w:eastAsia="Arial" w:hAnsi="Arial"/>
          <w:sz w:val="18"/>
          <w:szCs w:val="18"/>
          <w:b w:val="1"/>
          <w:bCs w:val="1"/>
          <w:color w:val="auto"/>
        </w:rPr>
        <w:t xml:space="preserve"> </w:t>
      </w:r>
      <w:r>
        <w:rPr>
          <w:rFonts w:ascii="Arial" w:cs="Arial" w:eastAsia="Arial" w:hAnsi="Arial"/>
          <w:sz w:val="18"/>
          <w:szCs w:val="18"/>
          <w:color w:val="auto"/>
        </w:rPr>
        <w:t>of construction agreement with modifications reasonably acceptable to Landlord where the contract sum is the costs of the work plus a fee not to exceed a “Guaranteed Maximum Price” in an amount equal to the construction costs and contingencies set forth in the Budget) (which Budget shall be based upon completed permit drawings and shall not include comments raised by Governmental Authorities as part of their permit review) subject to the terms of such contract and subject to any increases resulting from Changes and any changes to the permit drawings required by Governmental Authorities implemented after approval of the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88265</wp:posOffset>
            </wp:positionV>
            <wp:extent cx="2418080" cy="5143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44" w:name="page545"/>
    <w:bookmarkEnd w:id="5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Kendall Square/Avrobio – Page 6</w:t>
      </w:r>
    </w:p>
    <w:p>
      <w:pPr>
        <w:spacing w:after="0" w:line="158" w:lineRule="exact"/>
        <w:rPr>
          <w:sz w:val="20"/>
          <w:szCs w:val="20"/>
          <w:color w:val="auto"/>
        </w:rPr>
      </w:pPr>
    </w:p>
    <w:p>
      <w:pPr>
        <w:ind w:left="640" w:hanging="176"/>
        <w:spacing w:after="0"/>
        <w:tabs>
          <w:tab w:leader="none" w:pos="640" w:val="left"/>
        </w:tabs>
        <w:numPr>
          <w:ilvl w:val="0"/>
          <w:numId w:val="410"/>
        </w:numPr>
        <w:rPr>
          <w:rFonts w:ascii="Arial" w:cs="Arial" w:eastAsia="Arial" w:hAnsi="Arial"/>
          <w:sz w:val="18"/>
          <w:szCs w:val="18"/>
          <w:color w:val="auto"/>
        </w:rPr>
      </w:pPr>
      <w:r>
        <w:rPr>
          <w:rFonts w:ascii="Arial" w:cs="Arial" w:eastAsia="Arial" w:hAnsi="Arial"/>
          <w:sz w:val="18"/>
          <w:szCs w:val="18"/>
          <w:b w:val="1"/>
          <w:bCs w:val="1"/>
          <w:color w:val="auto"/>
        </w:rPr>
        <w:t>Tenant Access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21"/>
        <w:spacing w:after="0" w:line="270" w:lineRule="auto"/>
        <w:tabs>
          <w:tab w:leader="none" w:pos="1157" w:val="left"/>
        </w:tabs>
        <w:numPr>
          <w:ilvl w:val="1"/>
          <w:numId w:val="410"/>
        </w:numPr>
        <w:rPr>
          <w:rFonts w:ascii="Arial" w:cs="Arial" w:eastAsia="Arial" w:hAnsi="Arial"/>
          <w:sz w:val="17"/>
          <w:szCs w:val="17"/>
          <w:color w:val="auto"/>
        </w:rPr>
      </w:pPr>
      <w:r>
        <w:rPr>
          <w:rFonts w:ascii="Arial" w:cs="Arial" w:eastAsia="Arial" w:hAnsi="Arial"/>
          <w:sz w:val="17"/>
          <w:szCs w:val="17"/>
          <w:b w:val="1"/>
          <w:bCs w:val="1"/>
          <w:color w:val="auto"/>
        </w:rPr>
        <w:t>Tenant’s Access Rights</w:t>
      </w:r>
      <w:r>
        <w:rPr>
          <w:rFonts w:ascii="Arial" w:cs="Arial" w:eastAsia="Arial" w:hAnsi="Arial"/>
          <w:sz w:val="17"/>
          <w:szCs w:val="17"/>
          <w:color w:val="auto"/>
        </w:rPr>
        <w:t>. Landlord hereby agrees to permit Tenant access, at Tenant’s sole risk and expense, to the Initial Premises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Subsequent Premises, respectively (i) 7 days prior to the Commencement Date or Subsequent Premises Commencement Date, as applicable, to perform any work (“</w:t>
      </w:r>
      <w:r>
        <w:rPr>
          <w:rFonts w:ascii="Arial" w:cs="Arial" w:eastAsia="Arial" w:hAnsi="Arial"/>
          <w:sz w:val="17"/>
          <w:szCs w:val="17"/>
          <w:b w:val="1"/>
          <w:bCs w:val="1"/>
          <w:color w:val="auto"/>
        </w:rPr>
        <w:t>Tenant’s Work</w:t>
      </w:r>
      <w:r>
        <w:rPr>
          <w:rFonts w:ascii="Arial" w:cs="Arial" w:eastAsia="Arial" w:hAnsi="Arial"/>
          <w:sz w:val="17"/>
          <w:szCs w:val="17"/>
          <w:color w:val="auto"/>
        </w:rPr>
        <w:t>”) required by Tenant other than Landlord’s Work, provided that such Tenant’s Work is coordinated with the TI Architect and the general contractor, and complies with the Lease and all other reasonable restrictions and conditions Landlord may impose, and (ii) prior to the completion of Landlord’s Work, to inspect and observe work in process; all such access shall be during normal business hours or at such other times as are reasonably designated by Landlord. Notwithstanding the foregoing, Tenant shall have no right to enter onto the Initial Premises or the Subsequent Premises unless and until Tenant shall deliver to Landlord evidence reasonably satisfactory to Landlord demonstrating that any insurance reasonably required by Landlord in connection with such pre-commencement access (including, but not limited to, any insurance that Landlord may require pursuant to the Lease) is in full force and effect. Any entry by Tenant shall comply with all established safety practices of Landlord’s contractor and Landlord until completion of Landlord’s Work and acceptance thereof by Tenant.</w:t>
      </w:r>
    </w:p>
    <w:p>
      <w:pPr>
        <w:spacing w:after="0" w:line="69" w:lineRule="exact"/>
        <w:rPr>
          <w:rFonts w:ascii="Arial" w:cs="Arial" w:eastAsia="Arial" w:hAnsi="Arial"/>
          <w:sz w:val="17"/>
          <w:szCs w:val="17"/>
          <w:color w:val="auto"/>
        </w:rPr>
      </w:pPr>
    </w:p>
    <w:p>
      <w:pPr>
        <w:jc w:val="both"/>
        <w:ind w:right="100" w:firstLine="921"/>
        <w:spacing w:after="0" w:line="261" w:lineRule="auto"/>
        <w:tabs>
          <w:tab w:leader="none" w:pos="1168" w:val="left"/>
        </w:tabs>
        <w:numPr>
          <w:ilvl w:val="1"/>
          <w:numId w:val="410"/>
        </w:numPr>
        <w:rPr>
          <w:rFonts w:ascii="Arial" w:cs="Arial" w:eastAsia="Arial" w:hAnsi="Arial"/>
          <w:sz w:val="18"/>
          <w:szCs w:val="18"/>
          <w:color w:val="auto"/>
        </w:rPr>
      </w:pPr>
      <w:r>
        <w:rPr>
          <w:rFonts w:ascii="Arial" w:cs="Arial" w:eastAsia="Arial" w:hAnsi="Arial"/>
          <w:sz w:val="18"/>
          <w:szCs w:val="18"/>
          <w:b w:val="1"/>
          <w:bCs w:val="1"/>
          <w:color w:val="auto"/>
        </w:rPr>
        <w:t>No Interference</w:t>
      </w:r>
      <w:r>
        <w:rPr>
          <w:rFonts w:ascii="Arial" w:cs="Arial" w:eastAsia="Arial" w:hAnsi="Arial"/>
          <w:sz w:val="18"/>
          <w:szCs w:val="18"/>
          <w:color w:val="auto"/>
        </w:rPr>
        <w:t>. Neither Tenant nor any Tenant Party (as defined in the Lease) shall interfere with the performance of Landlord’s Work, nor</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inspections or issuance of final approvals by applicable Governmental Authorities, and upon any such interference, Landlord shall have the right to exclude Tenant and any Tenant Party from the Initial Premises under the Substantial Completion of Landlord’s Work in the Initial Premises or from the Subsequent Premises until Substantial Completion of Landlord’s Work.</w:t>
      </w:r>
    </w:p>
    <w:p>
      <w:pPr>
        <w:spacing w:after="0" w:line="71" w:lineRule="exact"/>
        <w:rPr>
          <w:rFonts w:ascii="Arial" w:cs="Arial" w:eastAsia="Arial" w:hAnsi="Arial"/>
          <w:sz w:val="18"/>
          <w:szCs w:val="18"/>
          <w:color w:val="auto"/>
        </w:rPr>
      </w:pPr>
    </w:p>
    <w:p>
      <w:pPr>
        <w:ind w:right="120" w:firstLine="921"/>
        <w:spacing w:after="0" w:line="277" w:lineRule="auto"/>
        <w:tabs>
          <w:tab w:leader="none" w:pos="1157" w:val="left"/>
        </w:tabs>
        <w:numPr>
          <w:ilvl w:val="1"/>
          <w:numId w:val="410"/>
        </w:numPr>
        <w:rPr>
          <w:rFonts w:ascii="Arial" w:cs="Arial" w:eastAsia="Arial" w:hAnsi="Arial"/>
          <w:sz w:val="17"/>
          <w:szCs w:val="17"/>
          <w:color w:val="auto"/>
        </w:rPr>
      </w:pPr>
      <w:r>
        <w:rPr>
          <w:rFonts w:ascii="Arial" w:cs="Arial" w:eastAsia="Arial" w:hAnsi="Arial"/>
          <w:sz w:val="17"/>
          <w:szCs w:val="17"/>
          <w:b w:val="1"/>
          <w:bCs w:val="1"/>
          <w:color w:val="auto"/>
        </w:rPr>
        <w:t>No Acceptance of Premises</w:t>
      </w:r>
      <w:r>
        <w:rPr>
          <w:rFonts w:ascii="Arial" w:cs="Arial" w:eastAsia="Arial" w:hAnsi="Arial"/>
          <w:sz w:val="17"/>
          <w:szCs w:val="17"/>
          <w:color w:val="auto"/>
        </w:rPr>
        <w:t>. The fact that Tenant may, with Landlord’s consent, enter into the Premises, Building, Property or Project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the date Landlord’s Work is Substantially Complete for the purpose of performing Tenant’s Work shall not be deemed an acceptance by Tenant of possession of the Subsequent Premises, but in such event Tenant shall defend with counsel reasonably acceptable by Landlord, indemnify and hold Landlord harmless from and against any loss of or damage to Tenant’s property, completed work, fixtures, equipment, materials or merchandise, and from liability for death of, or injury to, any person, caused by the act or omission of Tenant or any Tenant Party.</w:t>
      </w:r>
    </w:p>
    <w:p>
      <w:pPr>
        <w:spacing w:after="0" w:line="168" w:lineRule="exact"/>
        <w:rPr>
          <w:rFonts w:ascii="Arial" w:cs="Arial" w:eastAsia="Arial" w:hAnsi="Arial"/>
          <w:sz w:val="17"/>
          <w:szCs w:val="17"/>
          <w:color w:val="auto"/>
        </w:rPr>
      </w:pPr>
    </w:p>
    <w:p>
      <w:pPr>
        <w:ind w:left="640" w:hanging="176"/>
        <w:spacing w:after="0"/>
        <w:tabs>
          <w:tab w:leader="none" w:pos="640" w:val="left"/>
        </w:tabs>
        <w:numPr>
          <w:ilvl w:val="0"/>
          <w:numId w:val="410"/>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540" w:firstLine="921"/>
        <w:spacing w:after="0" w:line="282" w:lineRule="auto"/>
        <w:tabs>
          <w:tab w:leader="none" w:pos="1157" w:val="left"/>
        </w:tabs>
        <w:numPr>
          <w:ilvl w:val="1"/>
          <w:numId w:val="410"/>
        </w:numPr>
        <w:rPr>
          <w:rFonts w:ascii="Arial" w:cs="Arial" w:eastAsia="Arial" w:hAnsi="Arial"/>
          <w:sz w:val="18"/>
          <w:szCs w:val="18"/>
          <w:color w:val="auto"/>
        </w:rPr>
      </w:pPr>
      <w:r>
        <w:rPr>
          <w:rFonts w:ascii="Arial" w:cs="Arial" w:eastAsia="Arial" w:hAnsi="Arial"/>
          <w:sz w:val="18"/>
          <w:szCs w:val="18"/>
          <w:b w:val="1"/>
          <w:bCs w:val="1"/>
          <w:color w:val="auto"/>
        </w:rPr>
        <w:t>Consents</w:t>
      </w:r>
      <w:r>
        <w:rPr>
          <w:rFonts w:ascii="Arial" w:cs="Arial" w:eastAsia="Arial" w:hAnsi="Arial"/>
          <w:sz w:val="18"/>
          <w:szCs w:val="18"/>
          <w:color w:val="auto"/>
        </w:rPr>
        <w:t>. Whenever consent or approval of either party is required under this Work Letter, that party shall not unreasonably withhold,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or delay such consent or approval, unless expressly set forth herein to the contrary.</w:t>
      </w:r>
    </w:p>
    <w:p>
      <w:pPr>
        <w:spacing w:after="0" w:line="53" w:lineRule="exact"/>
        <w:rPr>
          <w:rFonts w:ascii="Arial" w:cs="Arial" w:eastAsia="Arial" w:hAnsi="Arial"/>
          <w:sz w:val="18"/>
          <w:szCs w:val="18"/>
          <w:color w:val="auto"/>
        </w:rPr>
      </w:pPr>
    </w:p>
    <w:p>
      <w:pPr>
        <w:ind w:right="420" w:firstLine="921"/>
        <w:spacing w:after="0" w:line="282" w:lineRule="auto"/>
        <w:tabs>
          <w:tab w:leader="none" w:pos="1168" w:val="left"/>
        </w:tabs>
        <w:numPr>
          <w:ilvl w:val="1"/>
          <w:numId w:val="410"/>
        </w:numPr>
        <w:rPr>
          <w:rFonts w:ascii="Arial" w:cs="Arial" w:eastAsia="Arial" w:hAnsi="Arial"/>
          <w:sz w:val="18"/>
          <w:szCs w:val="18"/>
          <w:color w:val="auto"/>
        </w:rPr>
      </w:pPr>
      <w:r>
        <w:rPr>
          <w:rFonts w:ascii="Arial" w:cs="Arial" w:eastAsia="Arial" w:hAnsi="Arial"/>
          <w:sz w:val="18"/>
          <w:szCs w:val="18"/>
          <w:b w:val="1"/>
          <w:bCs w:val="1"/>
          <w:color w:val="auto"/>
        </w:rPr>
        <w:t>Modification</w:t>
      </w:r>
      <w:r>
        <w:rPr>
          <w:rFonts w:ascii="Arial" w:cs="Arial" w:eastAsia="Arial" w:hAnsi="Arial"/>
          <w:sz w:val="18"/>
          <w:szCs w:val="18"/>
          <w:color w:val="auto"/>
        </w:rPr>
        <w:t>. No modification, waiver or amendment of this Work Letter or of any of its conditions or provisions shall be binding upon</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or Tenant unless in writing signed by Landlord and Tenant.</w:t>
      </w:r>
    </w:p>
    <w:p>
      <w:pPr>
        <w:spacing w:after="0" w:line="53" w:lineRule="exact"/>
        <w:rPr>
          <w:rFonts w:ascii="Arial" w:cs="Arial" w:eastAsia="Arial" w:hAnsi="Arial"/>
          <w:sz w:val="18"/>
          <w:szCs w:val="18"/>
          <w:color w:val="auto"/>
        </w:rPr>
      </w:pPr>
    </w:p>
    <w:p>
      <w:pPr>
        <w:ind w:right="400" w:firstLine="921"/>
        <w:spacing w:after="0" w:line="282" w:lineRule="auto"/>
        <w:tabs>
          <w:tab w:leader="none" w:pos="1157" w:val="left"/>
        </w:tabs>
        <w:numPr>
          <w:ilvl w:val="1"/>
          <w:numId w:val="410"/>
        </w:numPr>
        <w:rPr>
          <w:rFonts w:ascii="Arial" w:cs="Arial" w:eastAsia="Arial" w:hAnsi="Arial"/>
          <w:sz w:val="18"/>
          <w:szCs w:val="18"/>
          <w:color w:val="auto"/>
        </w:rPr>
      </w:pPr>
      <w:r>
        <w:rPr>
          <w:rFonts w:ascii="Arial" w:cs="Arial" w:eastAsia="Arial" w:hAnsi="Arial"/>
          <w:sz w:val="18"/>
          <w:szCs w:val="18"/>
          <w:b w:val="1"/>
          <w:bCs w:val="1"/>
          <w:color w:val="auto"/>
        </w:rPr>
        <w:t>Default</w:t>
      </w:r>
      <w:r>
        <w:rPr>
          <w:rFonts w:ascii="Arial" w:cs="Arial" w:eastAsia="Arial" w:hAnsi="Arial"/>
          <w:sz w:val="18"/>
          <w:szCs w:val="18"/>
          <w:color w:val="auto"/>
        </w:rPr>
        <w:t>. Notwithstanding anything set forth herein or in the Lease to the contrary, Landlord shall not have any obligation to perform any</w:t>
      </w:r>
      <w:r>
        <w:rPr>
          <w:rFonts w:ascii="Arial" w:cs="Arial" w:eastAsia="Arial" w:hAnsi="Arial"/>
          <w:sz w:val="18"/>
          <w:szCs w:val="18"/>
          <w:b w:val="1"/>
          <w:bCs w:val="1"/>
          <w:color w:val="auto"/>
        </w:rPr>
        <w:t xml:space="preserve"> </w:t>
      </w:r>
      <w:r>
        <w:rPr>
          <w:rFonts w:ascii="Arial" w:cs="Arial" w:eastAsia="Arial" w:hAnsi="Arial"/>
          <w:sz w:val="18"/>
          <w:szCs w:val="18"/>
          <w:color w:val="auto"/>
        </w:rPr>
        <w:t>work hereunder or to fund any portion of the TI Fund during any period Tenant is in Default under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71755</wp:posOffset>
            </wp:positionV>
            <wp:extent cx="2418080" cy="5143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45" w:name="page546"/>
    <w:bookmarkEnd w:id="5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Kendall Square/Avrobio – Page 7</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Annex 1</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u w:val="single" w:color="auto"/>
          <w:color w:val="auto"/>
        </w:rPr>
        <w:t>Space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172085</wp:posOffset>
            </wp:positionV>
            <wp:extent cx="6037580" cy="742696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037580" cy="7426960"/>
                    </a:xfrm>
                    <a:prstGeom prst="rect">
                      <a:avLst/>
                    </a:prstGeom>
                    <a:noFill/>
                  </pic:spPr>
                </pic:pic>
              </a:graphicData>
            </a:graphic>
          </wp:anchor>
        </w:drawing>
      </w:r>
    </w:p>
    <w:p>
      <w:pPr>
        <w:sectPr>
          <w:pgSz w:w="11900" w:h="16838" w:orient="portrait"/>
          <w:cols w:equalWidth="0" w:num="1">
            <w:col w:w="10220"/>
          </w:cols>
          <w:pgMar w:left="1440" w:top="269" w:right="239" w:bottom="1440" w:gutter="0" w:footer="0" w:header="0"/>
        </w:sectPr>
      </w:pPr>
    </w:p>
    <w:bookmarkStart w:id="546" w:name="page547"/>
    <w:bookmarkEnd w:id="546"/>
    <w:p>
      <w:pPr>
        <w:ind w:left="73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One Kendall Square/Avrobio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126365</wp:posOffset>
            </wp:positionV>
            <wp:extent cx="6191885" cy="80010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191885" cy="8001000"/>
                    </a:xfrm>
                    <a:prstGeom prst="rect">
                      <a:avLst/>
                    </a:prstGeom>
                    <a:noFill/>
                  </pic:spPr>
                </pic:pic>
              </a:graphicData>
            </a:graphic>
          </wp:anchor>
        </w:drawing>
      </w:r>
    </w:p>
    <w:p>
      <w:pPr>
        <w:sectPr>
          <w:pgSz w:w="11900" w:h="16838" w:orient="portrait"/>
          <w:cols w:equalWidth="0" w:num="1">
            <w:col w:w="10220"/>
          </w:cols>
          <w:pgMar w:left="1440" w:top="270" w:right="239" w:bottom="1440" w:gutter="0" w:footer="0" w:header="0"/>
        </w:sectPr>
      </w:pPr>
    </w:p>
    <w:bookmarkStart w:id="547" w:name="page548"/>
    <w:bookmarkEnd w:id="547"/>
    <w:tbl>
      <w:tblPr>
        <w:tblLayout w:type="fixed"/>
        <w:tblInd w:w="46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gridSpan w:val="2"/>
          </w:tcPr>
          <w:p>
            <w:pPr>
              <w:ind w:left="280"/>
              <w:spacing w:after="0"/>
              <w:rPr>
                <w:sz w:val="20"/>
                <w:szCs w:val="20"/>
                <w:color w:val="auto"/>
              </w:rPr>
            </w:pPr>
            <w:r>
              <w:rPr>
                <w:rFonts w:ascii="Arial" w:cs="Arial" w:eastAsia="Arial" w:hAnsi="Arial"/>
                <w:sz w:val="18"/>
                <w:szCs w:val="18"/>
                <w:b w:val="1"/>
                <w:bCs w:val="1"/>
                <w:color w:val="auto"/>
                <w:w w:val="90"/>
              </w:rPr>
              <w:t>One Kendall Square/Avrobio – Page 1</w:t>
            </w:r>
          </w:p>
        </w:tc>
      </w:tr>
      <w:tr>
        <w:trPr>
          <w:trHeight w:val="365"/>
        </w:trPr>
        <w:tc>
          <w:tcPr>
            <w:tcW w:w="3040" w:type="dxa"/>
            <w:vAlign w:val="bottom"/>
          </w:tcPr>
          <w:p>
            <w:pPr>
              <w:spacing w:after="0"/>
              <w:rPr>
                <w:sz w:val="24"/>
                <w:szCs w:val="24"/>
                <w:color w:val="auto"/>
              </w:rPr>
            </w:pPr>
          </w:p>
        </w:tc>
        <w:tc>
          <w:tcPr>
            <w:tcW w:w="3500" w:type="dxa"/>
            <w:vAlign w:val="bottom"/>
          </w:tcPr>
          <w:p>
            <w:pPr>
              <w:jc w:val="center"/>
              <w:ind w:left="850"/>
              <w:spacing w:after="0"/>
              <w:rPr>
                <w:sz w:val="20"/>
                <w:szCs w:val="20"/>
                <w:color w:val="auto"/>
              </w:rPr>
            </w:pPr>
            <w:r>
              <w:rPr>
                <w:rFonts w:ascii="Arial" w:cs="Arial" w:eastAsia="Arial" w:hAnsi="Arial"/>
                <w:sz w:val="18"/>
                <w:szCs w:val="18"/>
                <w:b w:val="1"/>
                <w:bCs w:val="1"/>
                <w:color w:val="auto"/>
              </w:rPr>
              <w:t>EXHIBIT D TO LEASE</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92"/>
        </w:trPr>
        <w:tc>
          <w:tcPr>
            <w:tcW w:w="3040" w:type="dxa"/>
            <w:vAlign w:val="bottom"/>
          </w:tcPr>
          <w:p>
            <w:pPr>
              <w:spacing w:after="0"/>
              <w:rPr>
                <w:sz w:val="24"/>
                <w:szCs w:val="24"/>
                <w:color w:val="auto"/>
              </w:rPr>
            </w:pPr>
          </w:p>
        </w:tc>
        <w:tc>
          <w:tcPr>
            <w:tcW w:w="47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ACKNOWLEDGMENT OF COMMENCEMENT DATE</w:t>
            </w:r>
          </w:p>
        </w:tc>
        <w:tc>
          <w:tcPr>
            <w:tcW w:w="9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0"/>
        </w:trPr>
        <w:tc>
          <w:tcPr>
            <w:tcW w:w="304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453"/>
        </w:trPr>
        <w:tc>
          <w:tcPr>
            <w:tcW w:w="6540" w:type="dxa"/>
            <w:vAlign w:val="bottom"/>
            <w:gridSpan w:val="2"/>
          </w:tcPr>
          <w:p>
            <w:pPr>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ACKNOWLEDGMENT OF COMMENCEMENT DATE</w:t>
            </w:r>
            <w:r>
              <w:rPr>
                <w:rFonts w:ascii="Arial" w:cs="Arial" w:eastAsia="Arial" w:hAnsi="Arial"/>
                <w:sz w:val="18"/>
                <w:szCs w:val="18"/>
                <w:color w:val="auto"/>
              </w:rPr>
              <w:t xml:space="preserve"> is made as of this</w:t>
            </w:r>
          </w:p>
        </w:tc>
        <w:tc>
          <w:tcPr>
            <w:tcW w:w="1220" w:type="dxa"/>
            <w:vAlign w:val="bottom"/>
            <w:gridSpan w:val="2"/>
          </w:tcPr>
          <w:p>
            <w:pPr>
              <w:ind w:left="360"/>
              <w:spacing w:after="0"/>
              <w:rPr>
                <w:sz w:val="20"/>
                <w:szCs w:val="20"/>
                <w:color w:val="auto"/>
              </w:rPr>
            </w:pPr>
            <w:r>
              <w:rPr>
                <w:rFonts w:ascii="Arial" w:cs="Arial" w:eastAsia="Arial" w:hAnsi="Arial"/>
                <w:sz w:val="18"/>
                <w:szCs w:val="18"/>
                <w:color w:val="auto"/>
              </w:rPr>
              <w:t>day of</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300" w:type="dxa"/>
            <w:vAlign w:val="bottom"/>
          </w:tcPr>
          <w:p>
            <w:pPr>
              <w:ind w:left="320"/>
              <w:spacing w:after="0"/>
              <w:rPr>
                <w:sz w:val="20"/>
                <w:szCs w:val="20"/>
                <w:color w:val="auto"/>
              </w:rPr>
            </w:pPr>
            <w:r>
              <w:rPr>
                <w:rFonts w:ascii="Arial" w:cs="Arial" w:eastAsia="Arial" w:hAnsi="Arial"/>
                <w:sz w:val="18"/>
                <w:szCs w:val="18"/>
                <w:color w:val="auto"/>
              </w:rPr>
              <w:t xml:space="preserve">between </w:t>
            </w:r>
            <w:r>
              <w:rPr>
                <w:rFonts w:ascii="Arial" w:cs="Arial" w:eastAsia="Arial" w:hAnsi="Arial"/>
                <w:sz w:val="18"/>
                <w:szCs w:val="18"/>
                <w:b w:val="1"/>
                <w:bCs w:val="1"/>
                <w:color w:val="auto"/>
              </w:rPr>
              <w:t>ARE-MA</w:t>
            </w:r>
          </w:p>
        </w:tc>
      </w:tr>
    </w:tbl>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REGION NO. 59,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AVROBIO, 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 and is attached to</w:t>
      </w:r>
    </w:p>
    <w:p>
      <w:pPr>
        <w:spacing w:after="0" w:line="39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and made a part of the Lease dated as of , (the “</w:t>
      </w:r>
      <w:r>
        <w:rPr>
          <w:rFonts w:ascii="Arial" w:cs="Arial" w:eastAsia="Arial" w:hAnsi="Arial"/>
          <w:sz w:val="18"/>
          <w:szCs w:val="18"/>
          <w:b w:val="1"/>
          <w:bCs w:val="1"/>
          <w:color w:val="auto"/>
        </w:rPr>
        <w:t>Lease</w:t>
      </w:r>
      <w:r>
        <w:rPr>
          <w:rFonts w:ascii="Arial" w:cs="Arial" w:eastAsia="Arial" w:hAnsi="Arial"/>
          <w:sz w:val="18"/>
          <w:szCs w:val="18"/>
          <w:color w:val="auto"/>
        </w:rPr>
        <w:t>”), by and between Landlord and Tenant. Any initially capitalized terms used but not defined herein shall have the meanings given them in the Lease.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Landlord and Tenant hereby acknowledge and agree, for all purposes of the Lease, that the Commencement Date of the Base Term of the Lease is</w:t>
      </w:r>
    </w:p>
    <w:p>
      <w:pPr>
        <w:spacing w:after="0" w:line="46" w:lineRule="exact"/>
        <w:rPr>
          <w:sz w:val="20"/>
          <w:szCs w:val="20"/>
          <w:color w:val="auto"/>
        </w:rPr>
      </w:pPr>
    </w:p>
    <w:p>
      <w:pPr>
        <w:ind w:left="1080"/>
        <w:spacing w:after="0"/>
        <w:tabs>
          <w:tab w:leader="none" w:pos="1700" w:val="left"/>
          <w:tab w:leader="none" w:pos="6480" w:val="left"/>
          <w:tab w:leader="none" w:pos="7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the Subsequent Premises Commencement Date is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and the termination date of the Base Term of the Lease</w:t>
      </w:r>
    </w:p>
    <w:p>
      <w:pPr>
        <w:spacing w:after="0" w:line="9" w:lineRule="exact"/>
        <w:rPr>
          <w:sz w:val="20"/>
          <w:szCs w:val="20"/>
          <w:color w:val="auto"/>
        </w:rPr>
      </w:pPr>
    </w:p>
    <w:p>
      <w:pPr>
        <w:spacing w:after="0"/>
        <w:tabs>
          <w:tab w:leader="none" w:pos="2760" w:val="left"/>
          <w:tab w:leader="none" w:pos="3400" w:val="left"/>
        </w:tabs>
        <w:rPr>
          <w:sz w:val="20"/>
          <w:szCs w:val="20"/>
          <w:color w:val="auto"/>
        </w:rPr>
      </w:pPr>
      <w:r>
        <w:rPr>
          <w:rFonts w:ascii="Arial" w:cs="Arial" w:eastAsia="Arial" w:hAnsi="Arial"/>
          <w:sz w:val="18"/>
          <w:szCs w:val="18"/>
          <w:color w:val="auto"/>
        </w:rPr>
        <w:t>shall be midnight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In case of a conflict between this Acknowledgment of Commencement Date and the Lease,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Acknowledgment of Commencement Date shall control for all purposes.</w:t>
      </w:r>
    </w:p>
    <w:p>
      <w:pPr>
        <w:spacing w:after="0" w:line="21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WITNESS WHEREOF, Landlord and Tenant have executed this ACKNOWLEDGMENT OF COMMENCEMENT DATE to be effective on the date first above written.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AVROBIO, INC</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22860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4937125</wp:posOffset>
            </wp:positionH>
            <wp:positionV relativeFrom="paragraph">
              <wp:posOffset>-19050</wp:posOffset>
            </wp:positionV>
            <wp:extent cx="185737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-19050</wp:posOffset>
            </wp:positionV>
            <wp:extent cx="214312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8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ARE-MA REGION NO. 59, LLC</w:t>
      </w:r>
      <w:r>
        <w:rPr>
          <w:rFonts w:ascii="Arial" w:cs="Arial" w:eastAsia="Arial" w:hAnsi="Arial"/>
          <w:sz w:val="18"/>
          <w:szCs w:val="18"/>
          <w:color w:val="auto"/>
        </w:rPr>
        <w:t>,</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By: ALEXANDRIA REAL ESTATE EQUITIES, L.P.,</w:t>
      </w:r>
    </w:p>
    <w:p>
      <w:pPr>
        <w:spacing w:after="0" w:line="23"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a Delaware limited partnership, managing member</w:t>
      </w:r>
    </w:p>
    <w:p>
      <w:pPr>
        <w:spacing w:after="0" w:line="211"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ARE-QRS CORP.,</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a Maryland corporation, general partner</w:t>
      </w:r>
    </w:p>
    <w:p>
      <w:pPr>
        <w:spacing w:after="0" w:line="21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4761230</wp:posOffset>
            </wp:positionH>
            <wp:positionV relativeFrom="paragraph">
              <wp:posOffset>-10160</wp:posOffset>
            </wp:positionV>
            <wp:extent cx="2085975"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5151755</wp:posOffset>
            </wp:positionH>
            <wp:positionV relativeFrom="paragraph">
              <wp:posOffset>-19050</wp:posOffset>
            </wp:positionV>
            <wp:extent cx="165735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657350" cy="8890"/>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4839335</wp:posOffset>
            </wp:positionH>
            <wp:positionV relativeFrom="paragraph">
              <wp:posOffset>-19050</wp:posOffset>
            </wp:positionV>
            <wp:extent cx="197167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971675"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100330</wp:posOffset>
            </wp:positionV>
            <wp:extent cx="2418080" cy="5143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48" w:name="page549"/>
    <w:bookmarkEnd w:id="548"/>
    <w:p>
      <w:pPr>
        <w:spacing w:after="0"/>
        <w:tabs>
          <w:tab w:leader="none" w:pos="8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Rules and Regulations</w:t>
      </w:r>
      <w:r>
        <w:rPr>
          <w:sz w:val="20"/>
          <w:szCs w:val="20"/>
          <w:color w:val="auto"/>
        </w:rPr>
        <w:tab/>
      </w:r>
      <w:r>
        <w:rPr>
          <w:rFonts w:ascii="Arial" w:cs="Arial" w:eastAsia="Arial" w:hAnsi="Arial"/>
          <w:sz w:val="16"/>
          <w:szCs w:val="16"/>
          <w:b w:val="1"/>
          <w:bCs w:val="1"/>
          <w:color w:val="auto"/>
        </w:rPr>
        <w:t>One Kendall Square/Avrobio – Page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E TO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229" w:lineRule="exact"/>
        <w:rPr>
          <w:sz w:val="20"/>
          <w:szCs w:val="20"/>
          <w:color w:val="auto"/>
        </w:rPr>
      </w:pPr>
    </w:p>
    <w:p>
      <w:pPr>
        <w:ind w:right="100" w:firstLine="464"/>
        <w:spacing w:after="0" w:line="277" w:lineRule="auto"/>
        <w:tabs>
          <w:tab w:leader="none" w:pos="63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sidewalk, entries, and driveways of the Building, Property or Project shall not be obstructed by Tenant, or any Tenant Party, or used by them for any purpose other than ingress and egress to and from the Premises.</w:t>
      </w:r>
    </w:p>
    <w:p>
      <w:pPr>
        <w:spacing w:after="0" w:line="62" w:lineRule="exact"/>
        <w:rPr>
          <w:rFonts w:ascii="Arial" w:cs="Arial" w:eastAsia="Arial" w:hAnsi="Arial"/>
          <w:sz w:val="18"/>
          <w:szCs w:val="18"/>
          <w:color w:val="auto"/>
        </w:rPr>
      </w:pPr>
    </w:p>
    <w:p>
      <w:pPr>
        <w:ind w:right="420" w:firstLine="464"/>
        <w:spacing w:after="0" w:line="277" w:lineRule="auto"/>
        <w:tabs>
          <w:tab w:leader="none" w:pos="63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Tenant shall not place any objects, including antennas, outdoor furniture, etc., in the parking areas, landscaped areas or other areas outside of its Premises, or on the roof of the Building.</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Except for animals assisting the disabled, no animals shall be allowed in the offices, halls, or corridors in the Building, Property or Project.</w:t>
      </w:r>
    </w:p>
    <w:p>
      <w:pPr>
        <w:spacing w:after="0" w:line="128" w:lineRule="exact"/>
        <w:rPr>
          <w:rFonts w:ascii="Arial" w:cs="Arial" w:eastAsia="Arial" w:hAnsi="Arial"/>
          <w:sz w:val="17"/>
          <w:szCs w:val="17"/>
          <w:color w:val="auto"/>
        </w:rPr>
      </w:pPr>
    </w:p>
    <w:p>
      <w:pPr>
        <w:ind w:right="100" w:firstLine="464"/>
        <w:spacing w:after="0" w:line="277" w:lineRule="auto"/>
        <w:tabs>
          <w:tab w:leader="none" w:pos="63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Tenant shall not disturb the occupants of the Building, Property or Project or adjoining buildings by the use of any radio or musical instrument or by the making of loud or improper noises.</w:t>
      </w:r>
    </w:p>
    <w:p>
      <w:pPr>
        <w:spacing w:after="0" w:line="62" w:lineRule="exact"/>
        <w:rPr>
          <w:rFonts w:ascii="Arial" w:cs="Arial" w:eastAsia="Arial" w:hAnsi="Arial"/>
          <w:sz w:val="18"/>
          <w:szCs w:val="18"/>
          <w:color w:val="auto"/>
        </w:rPr>
      </w:pPr>
    </w:p>
    <w:p>
      <w:pPr>
        <w:ind w:right="60" w:firstLine="464"/>
        <w:spacing w:after="0" w:line="264" w:lineRule="auto"/>
        <w:tabs>
          <w:tab w:leader="none" w:pos="63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If Tenant desires telegraphic, telephonic or other electric connections in the Premises, Landlord or its agent will direct the electrician as to where and how the wires may be introduced; and, without such direction, no boring or cutting of wires will be permitted. Any such installation or connection shall be made at Tenant’s expense.</w:t>
      </w:r>
    </w:p>
    <w:p>
      <w:pPr>
        <w:spacing w:after="0" w:line="73" w:lineRule="exact"/>
        <w:rPr>
          <w:rFonts w:ascii="Arial" w:cs="Arial" w:eastAsia="Arial" w:hAnsi="Arial"/>
          <w:sz w:val="18"/>
          <w:szCs w:val="18"/>
          <w:color w:val="auto"/>
        </w:rPr>
      </w:pPr>
    </w:p>
    <w:p>
      <w:pPr>
        <w:ind w:right="20" w:firstLine="464"/>
        <w:spacing w:after="0" w:line="264" w:lineRule="auto"/>
        <w:tabs>
          <w:tab w:leader="none" w:pos="63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Tenant shall not install or operate any steam or gas engine or boiler, or other mechanical apparatus in the Premises, except as specifically approved in the Lease. The use of oil, gas or inflammable liquids for heating, lighting or any other purpose is expressly prohibited. Explosives or other articles deemed extra hazardous shall not be brought into the Building, Property or Project.</w:t>
      </w:r>
    </w:p>
    <w:p>
      <w:pPr>
        <w:spacing w:after="0" w:line="73" w:lineRule="exact"/>
        <w:rPr>
          <w:rFonts w:ascii="Arial" w:cs="Arial" w:eastAsia="Arial" w:hAnsi="Arial"/>
          <w:sz w:val="18"/>
          <w:szCs w:val="18"/>
          <w:color w:val="auto"/>
        </w:rPr>
      </w:pPr>
    </w:p>
    <w:p>
      <w:pPr>
        <w:jc w:val="both"/>
        <w:ind w:right="80" w:firstLine="464"/>
        <w:spacing w:after="0" w:line="257" w:lineRule="auto"/>
        <w:tabs>
          <w:tab w:leader="none" w:pos="63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Parking any type of recreational vehicles is specifically prohibited on or about the Building, Property or Project. Except for the overnight parking of operative vehicles,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conformity with all signs and other markings. All parking will be open parking, and no reserved parking, numbering or lettering of individual spaces will be permitted except as specified by Landlord.</w:t>
      </w:r>
    </w:p>
    <w:p>
      <w:pPr>
        <w:spacing w:after="0" w:line="80" w:lineRule="exact"/>
        <w:rPr>
          <w:rFonts w:ascii="Arial" w:cs="Arial" w:eastAsia="Arial" w:hAnsi="Arial"/>
          <w:sz w:val="18"/>
          <w:szCs w:val="18"/>
          <w:color w:val="auto"/>
        </w:rPr>
      </w:pPr>
    </w:p>
    <w:p>
      <w:pPr>
        <w:ind w:left="640" w:hanging="176"/>
        <w:spacing w:after="0"/>
        <w:tabs>
          <w:tab w:leader="none" w:pos="6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Tenant shall maintain the Premises free from rodents, insects and other pests.</w:t>
      </w:r>
    </w:p>
    <w:p>
      <w:pPr>
        <w:spacing w:after="0" w:line="117" w:lineRule="exact"/>
        <w:rPr>
          <w:rFonts w:ascii="Arial" w:cs="Arial" w:eastAsia="Arial" w:hAnsi="Arial"/>
          <w:sz w:val="18"/>
          <w:szCs w:val="18"/>
          <w:color w:val="auto"/>
        </w:rPr>
      </w:pPr>
    </w:p>
    <w:p>
      <w:pPr>
        <w:ind w:right="60" w:firstLine="464"/>
        <w:spacing w:after="0" w:line="342" w:lineRule="auto"/>
        <w:tabs>
          <w:tab w:leader="none" w:pos="636" w:val="left"/>
        </w:tabs>
        <w:numPr>
          <w:ilvl w:val="0"/>
          <w:numId w:val="411"/>
        </w:numPr>
        <w:rPr>
          <w:rFonts w:ascii="Arial" w:cs="Arial" w:eastAsia="Arial" w:hAnsi="Arial"/>
          <w:sz w:val="16"/>
          <w:szCs w:val="16"/>
          <w:color w:val="auto"/>
        </w:rPr>
      </w:pPr>
      <w:r>
        <w:rPr>
          <w:rFonts w:ascii="Arial" w:cs="Arial" w:eastAsia="Arial" w:hAnsi="Arial"/>
          <w:sz w:val="16"/>
          <w:szCs w:val="16"/>
          <w:color w:val="auto"/>
        </w:rPr>
        <w:t>Landlord reserves the right to exclude or expel from the Building, Property or Project any person who, in the judgment of Landlord, is intoxicated or under the influence of liquor or drugs or who shall in any manner do any act in violation of the Rules and Regulations of the Building, Property or Project.</w:t>
      </w:r>
    </w:p>
    <w:p>
      <w:pPr>
        <w:spacing w:after="0" w:line="15" w:lineRule="exact"/>
        <w:rPr>
          <w:rFonts w:ascii="Arial" w:cs="Arial" w:eastAsia="Arial" w:hAnsi="Arial"/>
          <w:sz w:val="16"/>
          <w:szCs w:val="16"/>
          <w:color w:val="auto"/>
        </w:rPr>
      </w:pPr>
    </w:p>
    <w:p>
      <w:pPr>
        <w:jc w:val="both"/>
        <w:ind w:right="200" w:firstLine="464"/>
        <w:spacing w:after="0" w:line="264" w:lineRule="auto"/>
        <w:tabs>
          <w:tab w:leader="none" w:pos="72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spacing w:after="0" w:line="73" w:lineRule="exact"/>
        <w:rPr>
          <w:rFonts w:ascii="Arial" w:cs="Arial" w:eastAsia="Arial" w:hAnsi="Arial"/>
          <w:sz w:val="18"/>
          <w:szCs w:val="18"/>
          <w:color w:val="auto"/>
        </w:rPr>
      </w:pPr>
    </w:p>
    <w:p>
      <w:pPr>
        <w:ind w:right="560" w:firstLine="464"/>
        <w:spacing w:after="0" w:line="277" w:lineRule="auto"/>
        <w:tabs>
          <w:tab w:leader="none" w:pos="72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Tenant shall give Landlord prompt notice of any defects in the water, lawn sprinkler, sewage, gas pipes, electrical lights and fixtures, heating apparatus, or any other service equipment affecting the Premises.</w:t>
      </w:r>
    </w:p>
    <w:p>
      <w:pPr>
        <w:spacing w:after="0" w:line="62" w:lineRule="exact"/>
        <w:rPr>
          <w:rFonts w:ascii="Arial" w:cs="Arial" w:eastAsia="Arial" w:hAnsi="Arial"/>
          <w:sz w:val="18"/>
          <w:szCs w:val="18"/>
          <w:color w:val="auto"/>
        </w:rPr>
      </w:pPr>
    </w:p>
    <w:p>
      <w:pPr>
        <w:ind w:right="40" w:firstLine="464"/>
        <w:spacing w:after="0" w:line="277" w:lineRule="auto"/>
        <w:tabs>
          <w:tab w:leader="none" w:pos="72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Tenant shall not permit storage outside the Premises, including without limitation, outside storage of trucks and other vehicles, or dumping of waste or refuse or permit any harmful materials to be placed in any drainage system or sanitary system in or about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74295</wp:posOffset>
            </wp:positionV>
            <wp:extent cx="2418080" cy="5143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49" w:name="page550"/>
    <w:bookmarkEnd w:id="549"/>
    <w:p>
      <w:pPr>
        <w:spacing w:after="0"/>
        <w:tabs>
          <w:tab w:leader="none" w:pos="8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Rules and Regulations</w:t>
      </w:r>
      <w:r>
        <w:rPr>
          <w:sz w:val="20"/>
          <w:szCs w:val="20"/>
          <w:color w:val="auto"/>
        </w:rPr>
        <w:tab/>
      </w:r>
      <w:r>
        <w:rPr>
          <w:rFonts w:ascii="Arial" w:cs="Arial" w:eastAsia="Arial" w:hAnsi="Arial"/>
          <w:sz w:val="16"/>
          <w:szCs w:val="16"/>
          <w:b w:val="1"/>
          <w:bCs w:val="1"/>
          <w:color w:val="auto"/>
        </w:rPr>
        <w:t>One Kendall Square/Avrobio – Page 2</w:t>
      </w:r>
    </w:p>
    <w:p>
      <w:pPr>
        <w:spacing w:after="0" w:line="162" w:lineRule="exact"/>
        <w:rPr>
          <w:sz w:val="20"/>
          <w:szCs w:val="20"/>
          <w:color w:val="auto"/>
        </w:rPr>
      </w:pPr>
    </w:p>
    <w:p>
      <w:pPr>
        <w:ind w:right="260" w:firstLine="464"/>
        <w:spacing w:after="0" w:line="277" w:lineRule="auto"/>
        <w:tabs>
          <w:tab w:leader="none" w:pos="726"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All moveable trash receptacles provided by the trash disposal firm for the Premises must be kept in the trash enclosure areas, if any, provided for that purpose.</w:t>
      </w:r>
    </w:p>
    <w:p>
      <w:pPr>
        <w:spacing w:after="0" w:line="62" w:lineRule="exact"/>
        <w:rPr>
          <w:rFonts w:ascii="Arial" w:cs="Arial" w:eastAsia="Arial" w:hAnsi="Arial"/>
          <w:sz w:val="18"/>
          <w:szCs w:val="18"/>
          <w:color w:val="auto"/>
        </w:rPr>
      </w:pPr>
    </w:p>
    <w:p>
      <w:pPr>
        <w:ind w:left="740" w:hanging="276"/>
        <w:spacing w:after="0"/>
        <w:tabs>
          <w:tab w:leader="none" w:pos="7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No auction, public or private, will be permitted on the Premises, Building, Property or Project.</w:t>
      </w:r>
    </w:p>
    <w:p>
      <w:pPr>
        <w:spacing w:after="0" w:line="117" w:lineRule="exact"/>
        <w:rPr>
          <w:rFonts w:ascii="Arial" w:cs="Arial" w:eastAsia="Arial" w:hAnsi="Arial"/>
          <w:sz w:val="18"/>
          <w:szCs w:val="18"/>
          <w:color w:val="auto"/>
        </w:rPr>
      </w:pPr>
    </w:p>
    <w:p>
      <w:pPr>
        <w:ind w:left="740" w:hanging="276"/>
        <w:spacing w:after="0"/>
        <w:tabs>
          <w:tab w:leader="none" w:pos="7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No awnings shall be placed over the windows in the Premises except with the prior written consent of Landlord.</w:t>
      </w:r>
    </w:p>
    <w:p>
      <w:pPr>
        <w:spacing w:after="0" w:line="117" w:lineRule="exact"/>
        <w:rPr>
          <w:rFonts w:ascii="Arial" w:cs="Arial" w:eastAsia="Arial" w:hAnsi="Arial"/>
          <w:sz w:val="18"/>
          <w:szCs w:val="18"/>
          <w:color w:val="auto"/>
        </w:rPr>
      </w:pPr>
    </w:p>
    <w:p>
      <w:pPr>
        <w:ind w:right="160" w:firstLine="464"/>
        <w:spacing w:after="0" w:line="277" w:lineRule="auto"/>
        <w:tabs>
          <w:tab w:leader="none" w:pos="726"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Premises shall not be used for lodging, sleeping or cooking or for any immoral or illegal purposes or for any purpose other than that specified in the Lease. No gaming devices shall be operated in the Premises.</w:t>
      </w:r>
    </w:p>
    <w:p>
      <w:pPr>
        <w:spacing w:after="0" w:line="62" w:lineRule="exact"/>
        <w:rPr>
          <w:rFonts w:ascii="Arial" w:cs="Arial" w:eastAsia="Arial" w:hAnsi="Arial"/>
          <w:sz w:val="18"/>
          <w:szCs w:val="18"/>
          <w:color w:val="auto"/>
        </w:rPr>
      </w:pPr>
    </w:p>
    <w:p>
      <w:pPr>
        <w:ind w:right="220" w:firstLine="464"/>
        <w:spacing w:after="0" w:line="312" w:lineRule="auto"/>
        <w:tabs>
          <w:tab w:leader="none" w:pos="726" w:val="left"/>
        </w:tabs>
        <w:numPr>
          <w:ilvl w:val="0"/>
          <w:numId w:val="412"/>
        </w:numPr>
        <w:rPr>
          <w:rFonts w:ascii="Arial" w:cs="Arial" w:eastAsia="Arial" w:hAnsi="Arial"/>
          <w:sz w:val="16"/>
          <w:szCs w:val="16"/>
          <w:color w:val="auto"/>
        </w:rPr>
      </w:pPr>
      <w:r>
        <w:rPr>
          <w:rFonts w:ascii="Arial" w:cs="Arial" w:eastAsia="Arial" w:hAnsi="Arial"/>
          <w:sz w:val="16"/>
          <w:szCs w:val="16"/>
          <w:color w:val="auto"/>
        </w:rPr>
        <w:t>Tenant shall ascertain from Landlord the maximum amount of electrical current which can safely be used in the Premises, taking into account the capacity of the electrical wiring in the Building, Property and Premises and the needs of other tenants, and shall not use more than such safe capacity. Landlord’s consent to the installation of electric equipment shall not relieve Tenant from the obligation not to use more electricity than such safe capacity.</w:t>
      </w:r>
    </w:p>
    <w:p>
      <w:pPr>
        <w:spacing w:after="0" w:line="38" w:lineRule="exact"/>
        <w:rPr>
          <w:rFonts w:ascii="Arial" w:cs="Arial" w:eastAsia="Arial" w:hAnsi="Arial"/>
          <w:sz w:val="16"/>
          <w:szCs w:val="16"/>
          <w:color w:val="auto"/>
        </w:rPr>
      </w:pPr>
    </w:p>
    <w:p>
      <w:pPr>
        <w:ind w:left="740" w:hanging="276"/>
        <w:spacing w:after="0"/>
        <w:tabs>
          <w:tab w:leader="none" w:pos="7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Tenant assumes full responsibility for protecting the Premises from theft, robbery and pilferage.</w:t>
      </w:r>
    </w:p>
    <w:p>
      <w:pPr>
        <w:spacing w:after="0" w:line="117" w:lineRule="exact"/>
        <w:rPr>
          <w:rFonts w:ascii="Arial" w:cs="Arial" w:eastAsia="Arial" w:hAnsi="Arial"/>
          <w:sz w:val="18"/>
          <w:szCs w:val="18"/>
          <w:color w:val="auto"/>
        </w:rPr>
      </w:pPr>
    </w:p>
    <w:p>
      <w:pPr>
        <w:ind w:right="160" w:firstLine="464"/>
        <w:spacing w:after="0" w:line="308" w:lineRule="auto"/>
        <w:tabs>
          <w:tab w:leader="none" w:pos="726" w:val="left"/>
        </w:tabs>
        <w:numPr>
          <w:ilvl w:val="0"/>
          <w:numId w:val="412"/>
        </w:numPr>
        <w:rPr>
          <w:rFonts w:ascii="Arial" w:cs="Arial" w:eastAsia="Arial" w:hAnsi="Arial"/>
          <w:sz w:val="17"/>
          <w:szCs w:val="17"/>
          <w:color w:val="auto"/>
        </w:rPr>
      </w:pPr>
      <w:r>
        <w:rPr>
          <w:rFonts w:ascii="Arial" w:cs="Arial" w:eastAsia="Arial" w:hAnsi="Arial"/>
          <w:sz w:val="17"/>
          <w:szCs w:val="17"/>
          <w:color w:val="auto"/>
        </w:rPr>
        <w:t>Tenant shall not install or operate on the Premises any machinery or mechanical devices of a nature not directly related to Tenant’s ordinary use of the Premises and shall keep all such machinery free of vibration, noise and air waves which may be transmitted beyond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59690</wp:posOffset>
            </wp:positionV>
            <wp:extent cx="2418080" cy="51435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50" w:name="page551"/>
    <w:bookmarkEnd w:id="550"/>
    <w:p>
      <w:pPr>
        <w:spacing w:after="0"/>
        <w:tabs>
          <w:tab w:leader="none" w:pos="8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Tenant’s Personal Property</w:t>
      </w:r>
      <w:r>
        <w:rPr>
          <w:sz w:val="20"/>
          <w:szCs w:val="20"/>
          <w:color w:val="auto"/>
        </w:rPr>
        <w:tab/>
      </w:r>
      <w:r>
        <w:rPr>
          <w:rFonts w:ascii="Arial" w:cs="Arial" w:eastAsia="Arial" w:hAnsi="Arial"/>
          <w:sz w:val="16"/>
          <w:szCs w:val="16"/>
          <w:b w:val="1"/>
          <w:bCs w:val="1"/>
          <w:color w:val="auto"/>
        </w:rPr>
        <w:t>One Kendall Square/Avrobio – Page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F TO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TENANT’S PERSONAL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109220</wp:posOffset>
            </wp:positionV>
            <wp:extent cx="2418080" cy="5143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51" w:name="page552"/>
    <w:bookmarkEnd w:id="5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Kendall Square/Avrobio – Page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G TO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NOTIFICATION OF THE PRESENCE OF ASBESTOS CONTAINING MATERIALS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This notification provides certain information about asbestos within or about the Premises at Building 300, One Kendall Square, Boston, Massachusetts (“Building”).</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Historically, asbestos was commonly used in building products used in the construction of buildings across the country. Asbestos-containing building products were used because they are fire-resistant and provide good noise and temperature insulation. Because of their prevalence, asbestos-containing materials, or ACMs, are still sometimes found in buildings today.</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 asbestos survey of the building conducted in 2017 confirmed the presence of asbestos in exterior window sealants. However, roofing materials and fire rated doors were not sampled to avoid damage and are considered presumed asbestos-containing materials or PACMS.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Because ACMs and PACMs may be present within or about the Building, we have hired an independent environmental consulting firm to prepare an operations and maintenance program (“</w:t>
      </w:r>
      <w:r>
        <w:rPr>
          <w:rFonts w:ascii="Arial" w:cs="Arial" w:eastAsia="Arial" w:hAnsi="Arial"/>
          <w:sz w:val="18"/>
          <w:szCs w:val="18"/>
          <w:b w:val="1"/>
          <w:bCs w:val="1"/>
          <w:color w:val="auto"/>
        </w:rPr>
        <w:t>O&amp;M Program</w:t>
      </w:r>
      <w:r>
        <w:rPr>
          <w:rFonts w:ascii="Arial" w:cs="Arial" w:eastAsia="Arial" w:hAnsi="Arial"/>
          <w:sz w:val="18"/>
          <w:szCs w:val="18"/>
          <w:color w:val="auto"/>
        </w:rPr>
        <w:t>”). The O&amp;M Program is designed to minimize the potential of any harmful asbestos exposure to any person within or about the Building. The O&amp;M Program includes a description of work methods to be taken in order to maintain any ACMs or PACMs within or about the Building in good condition and to prevent any significant disturbance of such ACMs or PACMs. Appropriate personnel receive regular periodic training on how to properly administer the O&amp;M Program.</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O&amp;M Program describes the risks associated with asbestos exposure and how to prevent such exposure through appropriate work practices. ACMs and PACMs generally are not thought to be a threat to human health unless asbestos fibers are released into the air and inhaled. This does not typically occur unless (1) the ACMs are in a deteriorating condition, or (2) the ACMs have been significantly disturbed (such as through abrasive cleaning, or maintenance or renovation activities). If inhaled, asbestos fibers can accumulate in the lungs and, as exposure increases, the risk of disease (such as asbestosis or cancer) increases. However, measures to minimize exposure, and consequently minimize the accumulation of asbestos fibers, reduce the risks of adverse health effects.</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O&amp;M Program describes a number of activities that should be avoided in order to prevent a release of asbestos fibers. In particular, you should be aware that some of the activities which may present a health risk include moving, drilling, boring, or otherwise disturbing ACMs. Consequently, such activities should not be attempted by any person not qualified to handle ACMs.</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O&amp;M Program is available for review during regular business hours at Landlord’s office located at 400 Technology Square, Suite 101, Cambridge, MA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74295</wp:posOffset>
            </wp:positionV>
            <wp:extent cx="2418080" cy="51435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418080" cy="5143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52" w:name="page553"/>
    <w:bookmarkEnd w:id="552"/>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June 23, 2017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SILICON VALLEY BANK</w:t>
      </w:r>
      <w:r>
        <w:rPr>
          <w:rFonts w:ascii="Arial" w:cs="Arial" w:eastAsia="Arial" w:hAnsi="Arial"/>
          <w:sz w:val="18"/>
          <w:szCs w:val="18"/>
          <w:color w:val="auto"/>
        </w:rPr>
        <w:t>, a California corporation with a loan production office located at 275 Grove Street, Suite 2-200, Newton, Massachusetts 02466 (“</w:t>
      </w:r>
      <w:r>
        <w:rPr>
          <w:rFonts w:ascii="Arial" w:cs="Arial" w:eastAsia="Arial" w:hAnsi="Arial"/>
          <w:sz w:val="18"/>
          <w:szCs w:val="18"/>
          <w:b w:val="1"/>
          <w:bCs w:val="1"/>
          <w:color w:val="auto"/>
        </w:rPr>
        <w:t>Bank</w:t>
      </w:r>
      <w:r>
        <w:rPr>
          <w:rFonts w:ascii="Arial" w:cs="Arial" w:eastAsia="Arial" w:hAnsi="Arial"/>
          <w:sz w:val="18"/>
          <w:szCs w:val="18"/>
          <w:color w:val="auto"/>
        </w:rPr>
        <w:t>”), and</w:t>
      </w:r>
      <w:r>
        <w:rPr>
          <w:rFonts w:ascii="Arial" w:cs="Arial" w:eastAsia="Arial" w:hAnsi="Arial"/>
          <w:sz w:val="18"/>
          <w:szCs w:val="18"/>
          <w:b w:val="1"/>
          <w:bCs w:val="1"/>
          <w:color w:val="auto"/>
        </w:rPr>
        <w:t xml:space="preserve"> AVROBIO,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Bank shall lend to Borrower and Borrower shall repay Bank.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agree as follows:</w:t>
      </w:r>
    </w:p>
    <w:p>
      <w:pPr>
        <w:spacing w:after="0" w:line="207" w:lineRule="exact"/>
        <w:rPr>
          <w:sz w:val="20"/>
          <w:szCs w:val="20"/>
          <w:color w:val="auto"/>
        </w:rPr>
      </w:pPr>
    </w:p>
    <w:p>
      <w:pPr>
        <w:ind w:left="900" w:hanging="446"/>
        <w:spacing w:after="0"/>
        <w:tabs>
          <w:tab w:leader="none" w:pos="900"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Accounting terms not defined in this Agreement shall be construed following GAAP. Calculations and determinations must be made following GAAP. Notwithstanding the foregoing, all financial covenant calculations shall be computed with respect to the Borrower only, and not on a consolidated basis.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194" w:lineRule="exact"/>
        <w:rPr>
          <w:sz w:val="20"/>
          <w:szCs w:val="20"/>
          <w:color w:val="auto"/>
        </w:rPr>
      </w:pPr>
    </w:p>
    <w:p>
      <w:pPr>
        <w:ind w:left="900" w:hanging="446"/>
        <w:spacing w:after="0"/>
        <w:tabs>
          <w:tab w:leader="none" w:pos="90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AND TERMS OF PAYMENT</w:t>
      </w:r>
    </w:p>
    <w:p>
      <w:pPr>
        <w:spacing w:after="0" w:line="117"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2.1 Promise to Pay</w:t>
      </w:r>
      <w:r>
        <w:rPr>
          <w:rFonts w:ascii="Arial" w:cs="Arial" w:eastAsia="Arial" w:hAnsi="Arial"/>
          <w:sz w:val="18"/>
          <w:szCs w:val="18"/>
          <w:color w:val="auto"/>
        </w:rPr>
        <w:t>. Borrower hereby unconditionally promises to pay Bank the outstanding principal amount of all Credit Extensions and accrued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unpaid interest thereon as and when due in accordance with this Agreement.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Term Loan.</w:t>
      </w:r>
    </w:p>
    <w:p>
      <w:pPr>
        <w:spacing w:after="0" w:line="121" w:lineRule="exact"/>
        <w:rPr>
          <w:sz w:val="20"/>
          <w:szCs w:val="20"/>
          <w:color w:val="auto"/>
        </w:rPr>
      </w:pPr>
    </w:p>
    <w:p>
      <w:pPr>
        <w:ind w:right="40" w:firstLine="921"/>
        <w:spacing w:after="0" w:line="269" w:lineRule="auto"/>
        <w:tabs>
          <w:tab w:leader="none" w:pos="1157" w:val="left"/>
        </w:tabs>
        <w:numPr>
          <w:ilvl w:val="1"/>
          <w:numId w:val="415"/>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Subject to the terms and conditions of this Agreement, upon Borrower’s request, during the Tranche 1 Draw Period, Bank shall make term loan advances (each, a “</w:t>
      </w:r>
      <w:r>
        <w:rPr>
          <w:rFonts w:ascii="Arial" w:cs="Arial" w:eastAsia="Arial" w:hAnsi="Arial"/>
          <w:sz w:val="17"/>
          <w:szCs w:val="17"/>
          <w:b w:val="1"/>
          <w:bCs w:val="1"/>
          <w:color w:val="auto"/>
        </w:rPr>
        <w:t>Tranche 1 Advance</w:t>
      </w:r>
      <w:r>
        <w:rPr>
          <w:rFonts w:ascii="Arial" w:cs="Arial" w:eastAsia="Arial" w:hAnsi="Arial"/>
          <w:sz w:val="17"/>
          <w:szCs w:val="17"/>
          <w:color w:val="auto"/>
        </w:rPr>
        <w:t>” and collectively, the “</w:t>
      </w:r>
      <w:r>
        <w:rPr>
          <w:rFonts w:ascii="Arial" w:cs="Arial" w:eastAsia="Arial" w:hAnsi="Arial"/>
          <w:sz w:val="17"/>
          <w:szCs w:val="17"/>
          <w:b w:val="1"/>
          <w:bCs w:val="1"/>
          <w:color w:val="auto"/>
        </w:rPr>
        <w:t>Tranche 1 Advances</w:t>
      </w:r>
      <w:r>
        <w:rPr>
          <w:rFonts w:ascii="Arial" w:cs="Arial" w:eastAsia="Arial" w:hAnsi="Arial"/>
          <w:sz w:val="17"/>
          <w:szCs w:val="17"/>
          <w:color w:val="auto"/>
        </w:rPr>
        <w:t>”) available to Borrower in an aggregate original principal amount not to exceed Three Million Five Hundred Thousand Dollars ($3,500,000.00). Subject to the terms and conditions of this Agreement, upon Borrower’s request, during the Tranche 2 Draw Period, Bank shall make term loan advances (each, a “</w:t>
      </w:r>
      <w:r>
        <w:rPr>
          <w:rFonts w:ascii="Arial" w:cs="Arial" w:eastAsia="Arial" w:hAnsi="Arial"/>
          <w:sz w:val="17"/>
          <w:szCs w:val="17"/>
          <w:b w:val="1"/>
          <w:bCs w:val="1"/>
          <w:color w:val="auto"/>
        </w:rPr>
        <w:t>Tranche 2 Advance</w:t>
      </w:r>
      <w:r>
        <w:rPr>
          <w:rFonts w:ascii="Arial" w:cs="Arial" w:eastAsia="Arial" w:hAnsi="Arial"/>
          <w:sz w:val="17"/>
          <w:szCs w:val="17"/>
          <w:color w:val="auto"/>
        </w:rPr>
        <w:t>” and collectively, the “</w:t>
      </w:r>
      <w:r>
        <w:rPr>
          <w:rFonts w:ascii="Arial" w:cs="Arial" w:eastAsia="Arial" w:hAnsi="Arial"/>
          <w:sz w:val="17"/>
          <w:szCs w:val="17"/>
          <w:b w:val="1"/>
          <w:bCs w:val="1"/>
          <w:color w:val="auto"/>
        </w:rPr>
        <w:t>Tranche 2</w:t>
      </w:r>
      <w:r>
        <w:rPr>
          <w:rFonts w:ascii="Arial" w:cs="Arial" w:eastAsia="Arial" w:hAnsi="Arial"/>
          <w:sz w:val="17"/>
          <w:szCs w:val="17"/>
          <w:color w:val="auto"/>
        </w:rPr>
        <w:t xml:space="preserve"> </w:t>
      </w:r>
      <w:r>
        <w:rPr>
          <w:rFonts w:ascii="Arial" w:cs="Arial" w:eastAsia="Arial" w:hAnsi="Arial"/>
          <w:sz w:val="17"/>
          <w:szCs w:val="17"/>
          <w:b w:val="1"/>
          <w:bCs w:val="1"/>
          <w:color w:val="auto"/>
        </w:rPr>
        <w:t>Advances</w:t>
      </w:r>
      <w:r>
        <w:rPr>
          <w:rFonts w:ascii="Arial" w:cs="Arial" w:eastAsia="Arial" w:hAnsi="Arial"/>
          <w:sz w:val="17"/>
          <w:szCs w:val="17"/>
          <w:color w:val="auto"/>
        </w:rPr>
        <w:t>”) available to Borrower in an aggregate original principal amount not to exceed Three Million Five Hundred Thousand Dollars ($3,500,000.00).</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and conditions of this Agreement, upon Borrower’s request, during the Tranche 3 Draw Period, Bank shall make term loan advances (each, a “</w:t>
      </w:r>
      <w:r>
        <w:rPr>
          <w:rFonts w:ascii="Arial" w:cs="Arial" w:eastAsia="Arial" w:hAnsi="Arial"/>
          <w:sz w:val="17"/>
          <w:szCs w:val="17"/>
          <w:b w:val="1"/>
          <w:bCs w:val="1"/>
          <w:color w:val="auto"/>
        </w:rPr>
        <w:t>Tranche 3 Advance</w:t>
      </w:r>
      <w:r>
        <w:rPr>
          <w:rFonts w:ascii="Arial" w:cs="Arial" w:eastAsia="Arial" w:hAnsi="Arial"/>
          <w:sz w:val="17"/>
          <w:szCs w:val="17"/>
          <w:color w:val="auto"/>
        </w:rPr>
        <w:t>” and collectively, the “</w:t>
      </w:r>
      <w:r>
        <w:rPr>
          <w:rFonts w:ascii="Arial" w:cs="Arial" w:eastAsia="Arial" w:hAnsi="Arial"/>
          <w:sz w:val="17"/>
          <w:szCs w:val="17"/>
          <w:b w:val="1"/>
          <w:bCs w:val="1"/>
          <w:color w:val="auto"/>
        </w:rPr>
        <w:t>Tranche 3 Advances</w:t>
      </w:r>
      <w:r>
        <w:rPr>
          <w:rFonts w:ascii="Arial" w:cs="Arial" w:eastAsia="Arial" w:hAnsi="Arial"/>
          <w:sz w:val="17"/>
          <w:szCs w:val="17"/>
          <w:color w:val="auto"/>
        </w:rPr>
        <w:t>”) available to Borrower in an aggregate original principal amount not to exceed Three Million Dollars ($3,000,000.00). The Tranche 1 Advances, the Tranche 2 Advances, and the Tranche 3 Advances are hereinafter referred to each singly as a “Term Loan Advance” and, collectively, as the “Term Loan Advances”. Borrower may request up to five (5) Term Loan Advances hereunder, and each Term Loan Advance must be in an amount equal to at least One Million Dollars ($1,000,000.00). After repayment, no Term Loan Advance (or any portion thereof) may be reborrowed.</w:t>
      </w:r>
    </w:p>
    <w:p>
      <w:pPr>
        <w:spacing w:after="0" w:line="74" w:lineRule="exact"/>
        <w:rPr>
          <w:rFonts w:ascii="Arial" w:cs="Arial" w:eastAsia="Arial" w:hAnsi="Arial"/>
          <w:sz w:val="17"/>
          <w:szCs w:val="17"/>
          <w:color w:val="auto"/>
        </w:rPr>
      </w:pPr>
    </w:p>
    <w:p>
      <w:pPr>
        <w:ind w:right="80" w:firstLine="921"/>
        <w:spacing w:after="0" w:line="264" w:lineRule="auto"/>
        <w:tabs>
          <w:tab w:leader="none" w:pos="1168" w:val="left"/>
        </w:tabs>
        <w:numPr>
          <w:ilvl w:val="1"/>
          <w:numId w:val="415"/>
        </w:numPr>
        <w:rPr>
          <w:rFonts w:ascii="Arial" w:cs="Arial" w:eastAsia="Arial" w:hAnsi="Arial"/>
          <w:sz w:val="18"/>
          <w:szCs w:val="18"/>
          <w:color w:val="auto"/>
        </w:rPr>
      </w:pPr>
      <w:r>
        <w:rPr>
          <w:rFonts w:ascii="Arial" w:cs="Arial" w:eastAsia="Arial" w:hAnsi="Arial"/>
          <w:sz w:val="18"/>
          <w:szCs w:val="18"/>
          <w:u w:val="single" w:color="auto"/>
          <w:color w:val="auto"/>
        </w:rPr>
        <w:t>Interest Payments</w:t>
      </w:r>
      <w:r>
        <w:rPr>
          <w:rFonts w:ascii="Arial" w:cs="Arial" w:eastAsia="Arial" w:hAnsi="Arial"/>
          <w:sz w:val="18"/>
          <w:szCs w:val="18"/>
          <w:color w:val="auto"/>
        </w:rPr>
        <w:t>. Commencing on the first Payment Date following the Funding Date of the applicable Term Loan Advance and continuing on each Payment Date thereafter, Borrower shall make monthly payments of interest, in arrears, on the principal amount of each Term Loan Advance at the rate set forth in Section 2.2(a).</w:t>
      </w:r>
    </w:p>
    <w:p>
      <w:pPr>
        <w:spacing w:after="0" w:line="73" w:lineRule="exact"/>
        <w:rPr>
          <w:rFonts w:ascii="Arial" w:cs="Arial" w:eastAsia="Arial" w:hAnsi="Arial"/>
          <w:sz w:val="18"/>
          <w:szCs w:val="18"/>
          <w:color w:val="auto"/>
        </w:rPr>
      </w:pPr>
    </w:p>
    <w:p>
      <w:pPr>
        <w:ind w:right="180" w:firstLine="921"/>
        <w:spacing w:after="0" w:line="302" w:lineRule="auto"/>
        <w:tabs>
          <w:tab w:leader="none" w:pos="1157" w:val="left"/>
        </w:tabs>
        <w:numPr>
          <w:ilvl w:val="1"/>
          <w:numId w:val="415"/>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Commencing on the Amortization Date and continuing on each Payment Date thereafter, Borrower shall repay the aggregate outstanding Term Loan Advances in (i) equal monthly installments of principal based upon the Repayment Schedule, plus (ii) monthly payments of accrued interest at the rate set forth in Section 2.2(a). All outstanding principal and accrued and unpaid interest under the Term Loan Advances, and all other outstanding Obligations with respect to the Term Loan Advances, are due and payable in full on the Term Loan Maturity Date.</w:t>
      </w:r>
    </w:p>
    <w:p>
      <w:pPr>
        <w:spacing w:after="0" w:line="46" w:lineRule="exact"/>
        <w:rPr>
          <w:rFonts w:ascii="Arial" w:cs="Arial" w:eastAsia="Arial" w:hAnsi="Arial"/>
          <w:sz w:val="16"/>
          <w:szCs w:val="16"/>
          <w:color w:val="auto"/>
        </w:rPr>
      </w:pPr>
    </w:p>
    <w:p>
      <w:pPr>
        <w:ind w:firstLine="921"/>
        <w:spacing w:after="0" w:line="291" w:lineRule="auto"/>
        <w:tabs>
          <w:tab w:leader="none" w:pos="1168" w:val="left"/>
        </w:tabs>
        <w:numPr>
          <w:ilvl w:val="1"/>
          <w:numId w:val="415"/>
        </w:numPr>
        <w:rPr>
          <w:rFonts w:ascii="Arial" w:cs="Arial" w:eastAsia="Arial" w:hAnsi="Arial"/>
          <w:sz w:val="16"/>
          <w:szCs w:val="16"/>
          <w:color w:val="auto"/>
        </w:rPr>
      </w:pPr>
      <w:r>
        <w:rPr>
          <w:rFonts w:ascii="Arial" w:cs="Arial" w:eastAsia="Arial" w:hAnsi="Arial"/>
          <w:sz w:val="16"/>
          <w:szCs w:val="16"/>
          <w:u w:val="single" w:color="auto"/>
          <w:color w:val="auto"/>
        </w:rPr>
        <w:t>Permitted Prepayment of Term Loan Advances</w:t>
      </w:r>
      <w:r>
        <w:rPr>
          <w:rFonts w:ascii="Arial" w:cs="Arial" w:eastAsia="Arial" w:hAnsi="Arial"/>
          <w:sz w:val="16"/>
          <w:szCs w:val="16"/>
          <w:color w:val="auto"/>
        </w:rPr>
        <w:t>. Borrower shall have the option to prepay all, but not less than all, of the Term Loan Advances advanced by Bank under this Agreement, provided Borrower (i) provides written notice to Bank of its election to prepay the Term Loan Advances at least ten</w:t>
      </w:r>
    </w:p>
    <w:p>
      <w:pPr>
        <w:ind w:left="360" w:hanging="352"/>
        <w:spacing w:after="0"/>
        <w:tabs>
          <w:tab w:leader="none" w:pos="3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days</w:t>
      </w:r>
    </w:p>
    <w:p>
      <w:pPr>
        <w:sectPr>
          <w:pgSz w:w="11900" w:h="16838" w:orient="portrait"/>
          <w:cols w:equalWidth="0" w:num="1">
            <w:col w:w="11420"/>
          </w:cols>
          <w:pgMar w:left="240" w:top="120" w:right="239" w:bottom="1440" w:gutter="0" w:footer="0" w:header="0"/>
        </w:sectPr>
      </w:pPr>
    </w:p>
    <w:bookmarkStart w:id="553" w:name="page554"/>
    <w:bookmarkEnd w:id="553"/>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such prepayment, and (ii) pays, on the date of such prepayment (A) all outstanding principal plus accrued and unpaid interest, (B) the Prepayment Premium, (C) the Final Payment, plus (D) all other sums, if any, that shall have become due and payable under the Loan Documents, including interest at the Default Rate with respect to any past due amounts.</w:t>
      </w:r>
    </w:p>
    <w:p>
      <w:pPr>
        <w:spacing w:after="0" w:line="73" w:lineRule="exact"/>
        <w:rPr>
          <w:sz w:val="20"/>
          <w:szCs w:val="20"/>
          <w:color w:val="auto"/>
        </w:rPr>
      </w:pPr>
    </w:p>
    <w:p>
      <w:pPr>
        <w:ind w:right="160" w:firstLine="921"/>
        <w:spacing w:after="0" w:line="279" w:lineRule="auto"/>
        <w:tabs>
          <w:tab w:leader="none" w:pos="1157" w:val="left"/>
        </w:tabs>
        <w:numPr>
          <w:ilvl w:val="0"/>
          <w:numId w:val="417"/>
        </w:numPr>
        <w:rPr>
          <w:rFonts w:ascii="Arial" w:cs="Arial" w:eastAsia="Arial" w:hAnsi="Arial"/>
          <w:sz w:val="17"/>
          <w:szCs w:val="17"/>
          <w:color w:val="auto"/>
        </w:rPr>
      </w:pPr>
      <w:r>
        <w:rPr>
          <w:rFonts w:ascii="Arial" w:cs="Arial" w:eastAsia="Arial" w:hAnsi="Arial"/>
          <w:sz w:val="17"/>
          <w:szCs w:val="17"/>
          <w:u w:val="single" w:color="auto"/>
          <w:color w:val="auto"/>
        </w:rPr>
        <w:t>Mandatory Prepayment Upon an Acceleration</w:t>
      </w:r>
      <w:r>
        <w:rPr>
          <w:rFonts w:ascii="Arial" w:cs="Arial" w:eastAsia="Arial" w:hAnsi="Arial"/>
          <w:sz w:val="17"/>
          <w:szCs w:val="17"/>
          <w:color w:val="auto"/>
        </w:rPr>
        <w:t>. If the Term Loan Advances are accelerated by Bank hereunder following the occurrence and during the continuance of an Event of Default, Borrower shall immediately pay to Bank an amount equal to the sum of: (i) all outstanding principal plus accrued and unpaid interest, (ii) the Prepayment Premium, (iii) the Final Payment, plus (iv) all other sums, if any, that shall have become due and payable under the Loan Documents, including interest at the Default Rate with respect to any past due amounts.</w:t>
      </w:r>
    </w:p>
    <w:p>
      <w:pPr>
        <w:spacing w:after="0" w:line="19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Payment of Interest on the Credit Extensions.</w:t>
      </w:r>
    </w:p>
    <w:p>
      <w:pPr>
        <w:spacing w:after="0" w:line="121" w:lineRule="exact"/>
        <w:rPr>
          <w:sz w:val="20"/>
          <w:szCs w:val="20"/>
          <w:color w:val="auto"/>
        </w:rPr>
      </w:pPr>
    </w:p>
    <w:p>
      <w:pPr>
        <w:ind w:right="180" w:firstLine="921"/>
        <w:spacing w:after="0" w:line="264" w:lineRule="auto"/>
        <w:tabs>
          <w:tab w:leader="none" w:pos="1157"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Subject to Section 2.2(b), the principal amount outstanding for each Term Loan Advance shall accrue interest at a floating per annum rate equal to the greater of (i) one percent (1.0%) and (ii) the Prime Rate minus three percent (3.0%), which interest shall be payable monthly in accordance with Section 2.2(d) below.</w:t>
      </w:r>
    </w:p>
    <w:p>
      <w:pPr>
        <w:spacing w:after="0" w:line="73" w:lineRule="exact"/>
        <w:rPr>
          <w:rFonts w:ascii="Arial" w:cs="Arial" w:eastAsia="Arial" w:hAnsi="Arial"/>
          <w:sz w:val="18"/>
          <w:szCs w:val="18"/>
          <w:color w:val="auto"/>
        </w:rPr>
      </w:pPr>
    </w:p>
    <w:p>
      <w:pPr>
        <w:ind w:right="20" w:firstLine="921"/>
        <w:spacing w:after="0" w:line="273" w:lineRule="auto"/>
        <w:tabs>
          <w:tab w:leader="none" w:pos="1168" w:val="left"/>
        </w:tabs>
        <w:numPr>
          <w:ilvl w:val="0"/>
          <w:numId w:val="418"/>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Immediately upon the occurrence and during the continuance of an Event of Default, Obligations shall bear interest at a rate per annum which is five percent (5.0%) above the rate that is otherwise applicable thereto (the “</w:t>
      </w:r>
      <w:r>
        <w:rPr>
          <w:rFonts w:ascii="Arial" w:cs="Arial" w:eastAsia="Arial" w:hAnsi="Arial"/>
          <w:sz w:val="17"/>
          <w:szCs w:val="17"/>
          <w:b w:val="1"/>
          <w:bCs w:val="1"/>
          <w:color w:val="auto"/>
        </w:rPr>
        <w:t>Default Rate</w:t>
      </w:r>
      <w:r>
        <w:rPr>
          <w:rFonts w:ascii="Arial" w:cs="Arial" w:eastAsia="Arial" w:hAnsi="Arial"/>
          <w:sz w:val="17"/>
          <w:szCs w:val="17"/>
          <w:color w:val="auto"/>
        </w:rPr>
        <w:t>”) unless Bank otherwise elects from time to time in its sole discretion to impose a smaller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2.2(b) is not a permitted alternative to timely payment and shall not constitute a waiver of any Event of Default or otherwise prejudice or limit any rights or remedies of Bank.</w:t>
      </w:r>
    </w:p>
    <w:p>
      <w:pPr>
        <w:spacing w:after="0" w:line="70" w:lineRule="exact"/>
        <w:rPr>
          <w:rFonts w:ascii="Arial" w:cs="Arial" w:eastAsia="Arial" w:hAnsi="Arial"/>
          <w:sz w:val="17"/>
          <w:szCs w:val="17"/>
          <w:color w:val="auto"/>
        </w:rPr>
      </w:pPr>
    </w:p>
    <w:p>
      <w:pPr>
        <w:ind w:right="80" w:firstLine="921"/>
        <w:spacing w:after="0" w:line="277" w:lineRule="auto"/>
        <w:tabs>
          <w:tab w:leader="none" w:pos="1157"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Adjustment to Interest Rate</w:t>
      </w:r>
      <w:r>
        <w:rPr>
          <w:rFonts w:ascii="Arial" w:cs="Arial" w:eastAsia="Arial" w:hAnsi="Arial"/>
          <w:sz w:val="18"/>
          <w:szCs w:val="18"/>
          <w:color w:val="auto"/>
        </w:rPr>
        <w:t>. Changes to the interest rate of any Credit Extension based on changes to the Prime Rate shall be effective on the effective date of any change to the Prime Rate and to the extent of any such change.</w:t>
      </w:r>
    </w:p>
    <w:p>
      <w:pPr>
        <w:spacing w:after="0" w:line="62" w:lineRule="exact"/>
        <w:rPr>
          <w:rFonts w:ascii="Arial" w:cs="Arial" w:eastAsia="Arial" w:hAnsi="Arial"/>
          <w:sz w:val="18"/>
          <w:szCs w:val="18"/>
          <w:color w:val="auto"/>
        </w:rPr>
      </w:pPr>
    </w:p>
    <w:p>
      <w:pPr>
        <w:ind w:firstLine="921"/>
        <w:spacing w:after="0" w:line="257" w:lineRule="auto"/>
        <w:tabs>
          <w:tab w:leader="none" w:pos="1168"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Payment; Interest Computation</w:t>
      </w:r>
      <w:r>
        <w:rPr>
          <w:rFonts w:ascii="Arial" w:cs="Arial" w:eastAsia="Arial" w:hAnsi="Arial"/>
          <w:sz w:val="18"/>
          <w:szCs w:val="18"/>
          <w:color w:val="auto"/>
        </w:rPr>
        <w:t>. Interest is payable monthly in arrears on the Payment Date and shall be computed on the basis of a 360-day year for the actual number of days elapsed. In computing interest, (i) all payments received after 2:00 p.m. Eastern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21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 xml:space="preserve">Fees. </w:t>
      </w:r>
      <w:r>
        <w:rPr>
          <w:rFonts w:ascii="Arial" w:cs="Arial" w:eastAsia="Arial" w:hAnsi="Arial"/>
          <w:sz w:val="16"/>
          <w:szCs w:val="16"/>
          <w:color w:val="auto"/>
        </w:rPr>
        <w:t>Borrower shall pay to Bank:</w:t>
      </w:r>
    </w:p>
    <w:p>
      <w:pPr>
        <w:spacing w:after="0" w:line="121" w:lineRule="exact"/>
        <w:rPr>
          <w:sz w:val="20"/>
          <w:szCs w:val="20"/>
          <w:color w:val="auto"/>
        </w:rPr>
      </w:pPr>
    </w:p>
    <w:p>
      <w:pPr>
        <w:ind w:left="1160" w:hanging="239"/>
        <w:spacing w:after="0"/>
        <w:tabs>
          <w:tab w:leader="none" w:pos="1160"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Final Payment</w:t>
      </w:r>
      <w:r>
        <w:rPr>
          <w:rFonts w:ascii="Arial" w:cs="Arial" w:eastAsia="Arial" w:hAnsi="Arial"/>
          <w:sz w:val="18"/>
          <w:szCs w:val="18"/>
          <w:color w:val="auto"/>
        </w:rPr>
        <w:t>. The Final Payment, when due hereunder;</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Prepayment Premium</w:t>
      </w:r>
      <w:r>
        <w:rPr>
          <w:rFonts w:ascii="Arial" w:cs="Arial" w:eastAsia="Arial" w:hAnsi="Arial"/>
          <w:sz w:val="18"/>
          <w:szCs w:val="18"/>
          <w:color w:val="auto"/>
        </w:rPr>
        <w:t>. The Prepayment Premium, when due hereunder;</w:t>
      </w:r>
    </w:p>
    <w:p>
      <w:pPr>
        <w:spacing w:after="0" w:line="117" w:lineRule="exact"/>
        <w:rPr>
          <w:rFonts w:ascii="Arial" w:cs="Arial" w:eastAsia="Arial" w:hAnsi="Arial"/>
          <w:sz w:val="18"/>
          <w:szCs w:val="18"/>
          <w:color w:val="auto"/>
        </w:rPr>
      </w:pPr>
    </w:p>
    <w:p>
      <w:pPr>
        <w:ind w:right="40" w:firstLine="921"/>
        <w:spacing w:after="0" w:line="277" w:lineRule="auto"/>
        <w:tabs>
          <w:tab w:leader="none" w:pos="1157"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Bank Expenses</w:t>
      </w:r>
      <w:r>
        <w:rPr>
          <w:rFonts w:ascii="Arial" w:cs="Arial" w:eastAsia="Arial" w:hAnsi="Arial"/>
          <w:sz w:val="18"/>
          <w:szCs w:val="18"/>
          <w:color w:val="auto"/>
        </w:rPr>
        <w:t>. All Bank Expenses (including reasonable attorneys’ fees and expenses for documentation and negotiation of this Agreement) incurred through and after the Effective Date, when due (or, if no stated due date, upon demand by Bank).</w:t>
      </w:r>
    </w:p>
    <w:p>
      <w:pPr>
        <w:spacing w:after="0" w:line="62"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6"/>
          <w:szCs w:val="16"/>
          <w:color w:val="auto"/>
        </w:rPr>
        <w:t>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2.3 pursuant to the terms of</w:t>
      </w:r>
    </w:p>
    <w:p>
      <w:pPr>
        <w:ind w:right="140"/>
        <w:spacing w:after="0" w:line="261" w:lineRule="auto"/>
        <w:rPr>
          <w:sz w:val="20"/>
          <w:szCs w:val="20"/>
          <w:color w:val="auto"/>
        </w:rPr>
      </w:pPr>
      <w:r>
        <w:rPr>
          <w:rFonts w:ascii="Arial" w:cs="Arial" w:eastAsia="Arial" w:hAnsi="Arial"/>
          <w:sz w:val="18"/>
          <w:szCs w:val="18"/>
          <w:color w:val="auto"/>
        </w:rPr>
        <w:t>Section 2.4(c). Bank shall provide Borrower written notice of deductions made from the Designated Deposit Account pursuant to the terms of the clauses of this Section 2.5.</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554" w:name="page555"/>
    <w:bookmarkEnd w:id="554"/>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w:t>
      </w:r>
      <w:r>
        <w:rPr>
          <w:sz w:val="20"/>
          <w:szCs w:val="20"/>
          <w:color w:val="auto"/>
        </w:rPr>
        <w:tab/>
      </w:r>
      <w:r>
        <w:rPr>
          <w:rFonts w:ascii="Arial" w:cs="Arial" w:eastAsia="Arial" w:hAnsi="Arial"/>
          <w:sz w:val="16"/>
          <w:szCs w:val="16"/>
          <w:b w:val="1"/>
          <w:bCs w:val="1"/>
          <w:color w:val="auto"/>
        </w:rPr>
        <w:t>Payments; Application of Payments; Debit of Accounts.</w:t>
      </w:r>
    </w:p>
    <w:p>
      <w:pPr>
        <w:spacing w:after="0" w:line="121" w:lineRule="exact"/>
        <w:rPr>
          <w:sz w:val="20"/>
          <w:szCs w:val="20"/>
          <w:color w:val="auto"/>
        </w:rPr>
      </w:pPr>
    </w:p>
    <w:p>
      <w:pPr>
        <w:jc w:val="both"/>
        <w:ind w:right="80" w:firstLine="921"/>
        <w:spacing w:after="0" w:line="279" w:lineRule="auto"/>
        <w:tabs>
          <w:tab w:leader="none" w:pos="1158" w:val="left"/>
        </w:tabs>
        <w:numPr>
          <w:ilvl w:val="0"/>
          <w:numId w:val="420"/>
        </w:numPr>
        <w:rPr>
          <w:rFonts w:ascii="Arial" w:cs="Arial" w:eastAsia="Arial" w:hAnsi="Arial"/>
          <w:sz w:val="17"/>
          <w:szCs w:val="17"/>
          <w:color w:val="auto"/>
        </w:rPr>
      </w:pPr>
      <w:r>
        <w:rPr>
          <w:rFonts w:ascii="Arial" w:cs="Arial" w:eastAsia="Arial" w:hAnsi="Arial"/>
          <w:sz w:val="17"/>
          <w:szCs w:val="17"/>
          <w:color w:val="auto"/>
        </w:rPr>
        <w:t>All payments to be made by Borrower under any Loan Document shall be made in immediately available funds in Dollars, without setoff or counterclaim, before 2:00 p.m. Eastern time on the date when due. Payments of principal and/or interest received after 2:00 p.m. Eastern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63" w:lineRule="exact"/>
        <w:rPr>
          <w:rFonts w:ascii="Arial" w:cs="Arial" w:eastAsia="Arial" w:hAnsi="Arial"/>
          <w:sz w:val="17"/>
          <w:szCs w:val="17"/>
          <w:color w:val="auto"/>
        </w:rPr>
      </w:pPr>
    </w:p>
    <w:p>
      <w:pPr>
        <w:ind w:right="340" w:firstLine="921"/>
        <w:spacing w:after="0" w:line="312" w:lineRule="auto"/>
        <w:tabs>
          <w:tab w:leader="none" w:pos="1168" w:val="left"/>
        </w:tabs>
        <w:numPr>
          <w:ilvl w:val="0"/>
          <w:numId w:val="420"/>
        </w:numPr>
        <w:rPr>
          <w:rFonts w:ascii="Arial" w:cs="Arial" w:eastAsia="Arial" w:hAnsi="Arial"/>
          <w:sz w:val="16"/>
          <w:szCs w:val="16"/>
          <w:color w:val="auto"/>
        </w:rPr>
      </w:pPr>
      <w:r>
        <w:rPr>
          <w:rFonts w:ascii="Arial" w:cs="Arial" w:eastAsia="Arial" w:hAnsi="Arial"/>
          <w:sz w:val="16"/>
          <w:szCs w:val="16"/>
          <w:color w:val="auto"/>
        </w:rPr>
        <w:t>Bank has the exclusive right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38" w:lineRule="exact"/>
        <w:rPr>
          <w:rFonts w:ascii="Arial" w:cs="Arial" w:eastAsia="Arial" w:hAnsi="Arial"/>
          <w:sz w:val="16"/>
          <w:szCs w:val="16"/>
          <w:color w:val="auto"/>
        </w:rPr>
      </w:pPr>
    </w:p>
    <w:p>
      <w:pPr>
        <w:ind w:right="220" w:firstLine="921"/>
        <w:spacing w:after="0" w:line="277" w:lineRule="auto"/>
        <w:tabs>
          <w:tab w:leader="none" w:pos="1158" w:val="left"/>
        </w:tabs>
        <w:numPr>
          <w:ilvl w:val="0"/>
          <w:numId w:val="420"/>
        </w:numPr>
        <w:rPr>
          <w:rFonts w:ascii="Arial" w:cs="Arial" w:eastAsia="Arial" w:hAnsi="Arial"/>
          <w:sz w:val="18"/>
          <w:szCs w:val="18"/>
          <w:color w:val="auto"/>
        </w:rPr>
      </w:pPr>
      <w:r>
        <w:rPr>
          <w:rFonts w:ascii="Arial" w:cs="Arial" w:eastAsia="Arial" w:hAnsi="Arial"/>
          <w:sz w:val="18"/>
          <w:szCs w:val="18"/>
          <w:color w:val="auto"/>
        </w:rPr>
        <w:t>Bank may debit any of Borrower’s deposit accounts, including the Designated Deposit Account, for principal and interest payments or any other amounts Borrower owes Bank when due. These debits shall not constitute a set-off.</w:t>
      </w:r>
    </w:p>
    <w:p>
      <w:pPr>
        <w:spacing w:after="0" w:line="193" w:lineRule="exact"/>
        <w:rPr>
          <w:sz w:val="20"/>
          <w:szCs w:val="20"/>
          <w:color w:val="auto"/>
        </w:rPr>
      </w:pPr>
    </w:p>
    <w:p>
      <w:pPr>
        <w:ind w:left="900" w:hanging="446"/>
        <w:spacing w:after="0"/>
        <w:tabs>
          <w:tab w:leader="none" w:pos="900"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117"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3.1 Conditions Precedent to Initial Credit Extension</w:t>
      </w:r>
      <w:r>
        <w:rPr>
          <w:rFonts w:ascii="Arial" w:cs="Arial" w:eastAsia="Arial" w:hAnsi="Arial"/>
          <w:sz w:val="18"/>
          <w:szCs w:val="18"/>
          <w:color w:val="auto"/>
        </w:rPr>
        <w:t>. Bank’s obligation to make the initial Credit Extension is subject to the condition precedent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Bank shall have received, in form and substance satisfactory to Bank, such documents, and completion of such other matters, as Bank may have reasonably requested, including, without limitation:</w:t>
      </w:r>
    </w:p>
    <w:p>
      <w:pPr>
        <w:spacing w:after="0" w:line="72" w:lineRule="exact"/>
        <w:rPr>
          <w:sz w:val="20"/>
          <w:szCs w:val="20"/>
          <w:color w:val="auto"/>
        </w:rPr>
      </w:pPr>
    </w:p>
    <w:p>
      <w:pPr>
        <w:ind w:left="1160" w:hanging="239"/>
        <w:spacing w:after="0"/>
        <w:tabs>
          <w:tab w:leader="none" w:pos="11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duly executed original signatures to the Loan Documents;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duly executed original signatures to the Warrant;</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duly executed original signatures to any Control Agreement(s);</w:t>
      </w:r>
    </w:p>
    <w:p>
      <w:pPr>
        <w:spacing w:after="0" w:line="117" w:lineRule="exact"/>
        <w:rPr>
          <w:rFonts w:ascii="Arial" w:cs="Arial" w:eastAsia="Arial" w:hAnsi="Arial"/>
          <w:sz w:val="18"/>
          <w:szCs w:val="18"/>
          <w:color w:val="auto"/>
        </w:rPr>
      </w:pPr>
    </w:p>
    <w:p>
      <w:pPr>
        <w:ind w:right="40" w:firstLine="921"/>
        <w:spacing w:after="0" w:line="264" w:lineRule="auto"/>
        <w:tabs>
          <w:tab w:leader="none" w:pos="1168"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Operating Documents and long-form good standing certificates of Borrower certified by the Secretary of State (or equivalent agency) of Borrower’s jurisdiction of organization or formation and each jurisdiction in which Borrower and each Subsidiary is qualified to conduct business, each as of a date no earlier than thirty (30) days prior to the Effective Date;</w:t>
      </w:r>
    </w:p>
    <w:p>
      <w:pPr>
        <w:spacing w:after="0" w:line="73" w:lineRule="exact"/>
        <w:rPr>
          <w:rFonts w:ascii="Arial" w:cs="Arial" w:eastAsia="Arial" w:hAnsi="Arial"/>
          <w:sz w:val="18"/>
          <w:szCs w:val="18"/>
          <w:color w:val="auto"/>
        </w:rPr>
      </w:pPr>
    </w:p>
    <w:p>
      <w:pPr>
        <w:ind w:left="1160" w:hanging="239"/>
        <w:spacing w:after="0"/>
        <w:tabs>
          <w:tab w:leader="none" w:pos="11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duly executed original signatures to the completed Borrowing Resolutions for Borrower;</w:t>
      </w:r>
    </w:p>
    <w:p>
      <w:pPr>
        <w:spacing w:after="0" w:line="117" w:lineRule="exact"/>
        <w:rPr>
          <w:rFonts w:ascii="Arial" w:cs="Arial" w:eastAsia="Arial" w:hAnsi="Arial"/>
          <w:sz w:val="18"/>
          <w:szCs w:val="18"/>
          <w:color w:val="auto"/>
        </w:rPr>
      </w:pPr>
    </w:p>
    <w:p>
      <w:pPr>
        <w:ind w:right="80" w:firstLine="921"/>
        <w:spacing w:after="0" w:line="264" w:lineRule="auto"/>
        <w:tabs>
          <w:tab w:leader="none" w:pos="1138" w:val="left"/>
        </w:tabs>
        <w:numPr>
          <w:ilvl w:val="0"/>
          <w:numId w:val="422"/>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Bank may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Perfection Certificate of Borrower, together with the duly executed original signature thereto;</w:t>
      </w:r>
    </w:p>
    <w:p>
      <w:pPr>
        <w:spacing w:after="0" w:line="117" w:lineRule="exact"/>
        <w:rPr>
          <w:rFonts w:ascii="Arial" w:cs="Arial" w:eastAsia="Arial" w:hAnsi="Arial"/>
          <w:sz w:val="18"/>
          <w:szCs w:val="18"/>
          <w:color w:val="auto"/>
        </w:rPr>
      </w:pPr>
    </w:p>
    <w:p>
      <w:pPr>
        <w:ind w:firstLine="921"/>
        <w:spacing w:after="0" w:line="308" w:lineRule="auto"/>
        <w:tabs>
          <w:tab w:leader="none" w:pos="1168" w:val="left"/>
        </w:tabs>
        <w:numPr>
          <w:ilvl w:val="0"/>
          <w:numId w:val="422"/>
        </w:numPr>
        <w:rPr>
          <w:rFonts w:ascii="Arial" w:cs="Arial" w:eastAsia="Arial" w:hAnsi="Arial"/>
          <w:sz w:val="17"/>
          <w:szCs w:val="17"/>
          <w:color w:val="auto"/>
        </w:rPr>
      </w:pPr>
      <w:r>
        <w:rPr>
          <w:rFonts w:ascii="Arial" w:cs="Arial" w:eastAsia="Arial" w:hAnsi="Arial"/>
          <w:sz w:val="17"/>
          <w:szCs w:val="17"/>
          <w:color w:val="auto"/>
        </w:rPr>
        <w:t>evidence satisfactory to Bank that the insurance policies and endorsements required by Section 6.5 hereof are in full force and effect, together with appropriate evidence showing lender loss payable and/or additional insured clauses or endorsements in favor of Bank; and</w:t>
      </w:r>
    </w:p>
    <w:p>
      <w:pPr>
        <w:spacing w:after="0" w:line="38" w:lineRule="exact"/>
        <w:rPr>
          <w:rFonts w:ascii="Arial" w:cs="Arial" w:eastAsia="Arial" w:hAnsi="Arial"/>
          <w:sz w:val="17"/>
          <w:szCs w:val="17"/>
          <w:color w:val="auto"/>
        </w:rPr>
      </w:pPr>
    </w:p>
    <w:p>
      <w:pPr>
        <w:ind w:left="1140" w:hanging="219"/>
        <w:spacing w:after="0"/>
        <w:tabs>
          <w:tab w:leader="none" w:pos="114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payment of the fees and Bank Expenses then due as specified in Section 2.5 hereof.</w:t>
      </w:r>
    </w:p>
    <w:p>
      <w:pPr>
        <w:spacing w:after="0" w:line="221"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3.2 Conditions Precedent to all Credit Extensions</w:t>
      </w:r>
      <w:r>
        <w:rPr>
          <w:rFonts w:ascii="Arial" w:cs="Arial" w:eastAsia="Arial" w:hAnsi="Arial"/>
          <w:sz w:val="18"/>
          <w:szCs w:val="18"/>
          <w:color w:val="auto"/>
        </w:rPr>
        <w:t>. Bank’s obligations to make each Credit Extension, including the initial Credit Extension,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conditions precedent: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0" w:right="279" w:bottom="1440" w:gutter="0" w:footer="0" w:header="0"/>
        </w:sectPr>
      </w:pPr>
    </w:p>
    <w:bookmarkStart w:id="555" w:name="page556"/>
    <w:bookmarkEnd w:id="555"/>
    <w:p>
      <w:pPr>
        <w:ind w:left="1160" w:hanging="239"/>
        <w:spacing w:after="0"/>
        <w:tabs>
          <w:tab w:leader="none" w:pos="11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provided in Section 3.5(a), timely receipt of an executed Payment/Advance Form;</w:t>
      </w:r>
    </w:p>
    <w:p>
      <w:pPr>
        <w:spacing w:after="0" w:line="117" w:lineRule="exact"/>
        <w:rPr>
          <w:rFonts w:ascii="Arial" w:cs="Arial" w:eastAsia="Arial" w:hAnsi="Arial"/>
          <w:sz w:val="18"/>
          <w:szCs w:val="18"/>
          <w:color w:val="auto"/>
        </w:rPr>
      </w:pPr>
    </w:p>
    <w:p>
      <w:pPr>
        <w:ind w:right="20" w:firstLine="921"/>
        <w:spacing w:after="0" w:line="270" w:lineRule="auto"/>
        <w:tabs>
          <w:tab w:leader="none" w:pos="1168" w:val="left"/>
        </w:tabs>
        <w:numPr>
          <w:ilvl w:val="0"/>
          <w:numId w:val="423"/>
        </w:numPr>
        <w:rPr>
          <w:rFonts w:ascii="Arial" w:cs="Arial" w:eastAsia="Arial" w:hAnsi="Arial"/>
          <w:sz w:val="17"/>
          <w:szCs w:val="17"/>
          <w:color w:val="auto"/>
        </w:rPr>
      </w:pPr>
      <w:r>
        <w:rPr>
          <w:rFonts w:ascii="Arial" w:cs="Arial" w:eastAsia="Arial" w:hAnsi="Arial"/>
          <w:sz w:val="17"/>
          <w:szCs w:val="17"/>
          <w:color w:val="auto"/>
        </w:rPr>
        <w:t>the representations and warranties in this Agreement shall be true, accurate, and complete in all material respects on the date of the Payment/Advance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this Agreement are true, accurate, and complete in all material respects as of such date;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w:t>
      </w:r>
    </w:p>
    <w:p>
      <w:pPr>
        <w:spacing w:after="0" w:line="73" w:lineRule="exact"/>
        <w:rPr>
          <w:rFonts w:ascii="Arial" w:cs="Arial" w:eastAsia="Arial" w:hAnsi="Arial"/>
          <w:sz w:val="17"/>
          <w:szCs w:val="17"/>
          <w:color w:val="auto"/>
        </w:rPr>
      </w:pPr>
    </w:p>
    <w:p>
      <w:pPr>
        <w:jc w:val="both"/>
        <w:ind w:right="240" w:firstLine="921"/>
        <w:spacing w:after="0" w:line="264" w:lineRule="auto"/>
        <w:tabs>
          <w:tab w:leader="none" w:pos="1158" w:val="left"/>
        </w:tabs>
        <w:numPr>
          <w:ilvl w:val="0"/>
          <w:numId w:val="423"/>
        </w:numPr>
        <w:rPr>
          <w:rFonts w:ascii="Arial" w:cs="Arial" w:eastAsia="Arial" w:hAnsi="Arial"/>
          <w:sz w:val="18"/>
          <w:szCs w:val="18"/>
          <w:color w:val="auto"/>
        </w:rPr>
      </w:pPr>
      <w:r>
        <w:rPr>
          <w:rFonts w:ascii="Arial" w:cs="Arial" w:eastAsia="Arial" w:hAnsi="Arial"/>
          <w:sz w:val="18"/>
          <w:szCs w:val="18"/>
          <w:color w:val="auto"/>
        </w:rPr>
        <w:t>Bank determines to its satisfaction that there has not been any material impairment in the general affairs, management, results of operation, financial condition or the prospect of repayment of the Obligations then due, or any material adverse deviation by Borrower from the most recent business plan of Borrower presented to and accepted by Bank.</w:t>
      </w:r>
    </w:p>
    <w:p>
      <w:pPr>
        <w:spacing w:after="0" w:line="17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3.3 Covenant to Deliver</w:t>
      </w:r>
      <w:r>
        <w:rPr>
          <w:rFonts w:ascii="Arial" w:cs="Arial" w:eastAsia="Arial" w:hAnsi="Arial"/>
          <w:sz w:val="18"/>
          <w:szCs w:val="18"/>
          <w:color w:val="auto"/>
        </w:rPr>
        <w:t>. Borrower agrees to deliver to Bank each item required to be delivered to Bank under this Agreement as a condition precedent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Credit Extension. Borrower expressly agrees that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80" w:lineRule="exact"/>
        <w:rPr>
          <w:sz w:val="20"/>
          <w:szCs w:val="20"/>
          <w:color w:val="auto"/>
        </w:rPr>
      </w:pPr>
    </w:p>
    <w:p>
      <w:pPr>
        <w:ind w:right="140" w:firstLine="456"/>
        <w:spacing w:after="0" w:line="292" w:lineRule="auto"/>
        <w:rPr>
          <w:sz w:val="20"/>
          <w:szCs w:val="20"/>
          <w:color w:val="auto"/>
        </w:rPr>
      </w:pPr>
      <w:r>
        <w:rPr>
          <w:rFonts w:ascii="Arial" w:cs="Arial" w:eastAsia="Arial" w:hAnsi="Arial"/>
          <w:sz w:val="16"/>
          <w:szCs w:val="16"/>
          <w:b w:val="1"/>
          <w:bCs w:val="1"/>
          <w:color w:val="auto"/>
        </w:rPr>
        <w:t>3.4 Procedures for Borrowing</w:t>
      </w:r>
      <w:r>
        <w:rPr>
          <w:rFonts w:ascii="Arial" w:cs="Arial" w:eastAsia="Arial" w:hAnsi="Arial"/>
          <w:sz w:val="16"/>
          <w:szCs w:val="16"/>
          <w:color w:val="auto"/>
        </w:rPr>
        <w:t>. Subject to the prior satisfaction of all other applicable conditions to the making of a Credit Extension set forth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to obtain a Credit Extension, Borrower shall notify Bank (which notice shall be irrevocable) by electronic mail, facsimile, or telephone by 2:00 p.m. Eastern time two (2) Business Days before the proposed Funding Date of the Credit Extension. Together with any such electronic or facsimile notification, Borrower shall deliver to Bank by electronic mail or facsimile a completed Payment/Advance Form executed by a Responsible Officer or his or her designee. Bank may rely on any telephone notice given by a person whom Bank reasonably believes is a Responsible Officer or designee. Bank shall credit Credit Extensions to the Designated Deposit Account. Bank may make Credit Extensions under this Agreement based on instructions from a Responsible Officer or his or her designee or without instructions if the Credit Extensions are necessary to meet Obligations which have become due.</w:t>
      </w:r>
    </w:p>
    <w:p>
      <w:pPr>
        <w:spacing w:after="0" w:line="189" w:lineRule="exact"/>
        <w:rPr>
          <w:sz w:val="20"/>
          <w:szCs w:val="20"/>
          <w:color w:val="auto"/>
        </w:rPr>
      </w:pPr>
    </w:p>
    <w:p>
      <w:pPr>
        <w:ind w:left="900" w:hanging="446"/>
        <w:spacing w:after="0"/>
        <w:tabs>
          <w:tab w:leader="none" w:pos="90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117"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4.1 Grant of Security Interest. </w:t>
      </w:r>
      <w:r>
        <w:rPr>
          <w:rFonts w:ascii="Arial" w:cs="Arial" w:eastAsia="Arial" w:hAnsi="Arial"/>
          <w:sz w:val="18"/>
          <w:szCs w:val="18"/>
          <w:color w:val="auto"/>
        </w:rPr>
        <w:t>Borrower hereby grants Bank, to secure the payment and performance in full of all of the Obligations, a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interest in, and pledges to Bank, the Collateral, wherever located, whether now owned or hereafter acquired or arising, and all proceeds and products thereof.</w:t>
      </w:r>
    </w:p>
    <w:p>
      <w:pPr>
        <w:spacing w:after="0" w:line="18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are permitted pursuant to the terms of this Agreement to have superior priority to Bank’s Lien in this Agreement).</w:t>
      </w:r>
    </w:p>
    <w:p>
      <w:pPr>
        <w:spacing w:after="0" w:line="15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Bank shall terminate the security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56" w:name="page557"/>
    <w:bookmarkEnd w:id="556"/>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granted herein upon Borrower providing cash collateral acceptable to Bank in its good faith business judgment for Bank Services, if any. In the event such Bank Services consist of outstanding Letters of Credit, Borrower shall provide to Bank cash collateral in an amount equal to (x) if such Letters of Credit are denominated in Dollars, then at least one hundred five percent (105.0%); and (y) if such Letters of Credit are denominated in a Foreign Currency, then at least one hundred ten percent (110.0%), of the Dollar Equivalent of the face amount of all such Letters of Credit plus, in each case, all interest, fees, and costs due or to become due in connection therewith (as estimated by Bank in its business judgment), to secure all of the Obligations relating to such Letters of Credit.</w:t>
      </w:r>
    </w:p>
    <w:p>
      <w:pPr>
        <w:spacing w:after="0" w:line="189"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4.2 Priority of Security Interest</w:t>
      </w:r>
      <w:r>
        <w:rPr>
          <w:rFonts w:ascii="Arial" w:cs="Arial" w:eastAsia="Arial" w:hAnsi="Arial"/>
          <w:sz w:val="17"/>
          <w:szCs w:val="17"/>
          <w:color w:val="auto"/>
        </w:rPr>
        <w:t>. Borrower represents, warrants, and covenants that the security interest granted herein is and shall at all times</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to be a first priority perfected security interest in the Collateral (subject only to Permitted Liens that are permitted pursuant to the terms of this Agreement to have superior priority to Bank’s Lien under this Agreement). If Borrower shall acquire a commercial tort claim,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68" w:lineRule="exact"/>
        <w:rPr>
          <w:sz w:val="20"/>
          <w:szCs w:val="20"/>
          <w:color w:val="auto"/>
        </w:rPr>
      </w:pPr>
    </w:p>
    <w:p>
      <w:pPr>
        <w:ind w:right="20" w:firstLine="456"/>
        <w:spacing w:after="0" w:line="281" w:lineRule="auto"/>
        <w:rPr>
          <w:sz w:val="20"/>
          <w:szCs w:val="20"/>
          <w:color w:val="auto"/>
        </w:rPr>
      </w:pPr>
      <w:r>
        <w:rPr>
          <w:rFonts w:ascii="Arial" w:cs="Arial" w:eastAsia="Arial" w:hAnsi="Arial"/>
          <w:sz w:val="17"/>
          <w:szCs w:val="17"/>
          <w:b w:val="1"/>
          <w:bCs w:val="1"/>
          <w:color w:val="auto"/>
        </w:rPr>
        <w:t>4.3 Authorization to File Financing Statements</w:t>
      </w:r>
      <w:r>
        <w:rPr>
          <w:rFonts w:ascii="Arial" w:cs="Arial" w:eastAsia="Arial" w:hAnsi="Arial"/>
          <w:sz w:val="17"/>
          <w:szCs w:val="17"/>
          <w:color w:val="auto"/>
        </w:rPr>
        <w:t>. Borrower hereby authorizes Bank to file financing statements, without notice to Borrower,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jurisdictions to perfect or protect Bank’s interest or rights hereunder, including a notice that any disposition of the Collateral, by either Borrower or any other Person, shall be deemed to violate the rights of Bank under the Code. Such financing statements may indicate the Collateral as “all assets of the Debtor” or words of similar effect, or as being of an equal or lesser scope, or with greater detail, all in Bank’s discretion.</w:t>
      </w:r>
    </w:p>
    <w:p>
      <w:pPr>
        <w:spacing w:after="0" w:line="192" w:lineRule="exact"/>
        <w:rPr>
          <w:sz w:val="20"/>
          <w:szCs w:val="20"/>
          <w:color w:val="auto"/>
        </w:rPr>
      </w:pPr>
    </w:p>
    <w:p>
      <w:pPr>
        <w:ind w:left="900" w:hanging="446"/>
        <w:spacing w:after="0"/>
        <w:tabs>
          <w:tab w:leader="none" w:pos="90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represents and warrants as follows: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color w:val="auto"/>
        </w:rPr>
        <w:t>5.1 Due Organization, Authorization; Power and Authority</w:t>
      </w:r>
      <w:r>
        <w:rPr>
          <w:rFonts w:ascii="Arial" w:cs="Arial" w:eastAsia="Arial" w:hAnsi="Arial"/>
          <w:sz w:val="17"/>
          <w:szCs w:val="17"/>
          <w:color w:val="auto"/>
        </w:rPr>
        <w:t>. Borrower is duly existing and in good standing as a Registered Organization in its</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delivered to Bank a completed certificate signed by Borrower entitled “Perfection Certificate”. Borrower represents and warrants to Bank that (a) 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(it being understood and agreed that Borrower may from time to time update certain information in the Perfection Certificate after the Effective Date to the extent permitted by one or more specific provisions in this Agreement). If Borrower is not now a Registered Organization but later becomes one, Borrower shall promptly notify Bank of such occurrence and provide Bank with Borrower’s organizational identification number.</w:t>
      </w:r>
    </w:p>
    <w:p>
      <w:pPr>
        <w:spacing w:after="0" w:line="18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w:t>
      </w:r>
    </w:p>
    <w:p>
      <w:pPr>
        <w:jc w:val="both"/>
        <w:ind w:right="100" w:firstLine="8"/>
        <w:spacing w:after="0" w:line="290" w:lineRule="auto"/>
        <w:tabs>
          <w:tab w:leader="none" w:pos="315" w:val="left"/>
        </w:tabs>
        <w:numPr>
          <w:ilvl w:val="0"/>
          <w:numId w:val="426"/>
        </w:numPr>
        <w:rPr>
          <w:rFonts w:ascii="Arial" w:cs="Arial" w:eastAsia="Arial" w:hAnsi="Arial"/>
          <w:sz w:val="16"/>
          <w:szCs w:val="16"/>
          <w:color w:val="auto"/>
        </w:rPr>
      </w:pPr>
      <w:r>
        <w:rPr>
          <w:rFonts w:ascii="Arial" w:cs="Arial" w:eastAsia="Arial" w:hAnsi="Arial"/>
          <w:sz w:val="16"/>
          <w:szCs w:val="16"/>
          <w:color w:val="auto"/>
        </w:rPr>
        <w:t>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3" w:right="239" w:bottom="1440" w:gutter="0" w:footer="0" w:header="0"/>
        </w:sectPr>
      </w:pPr>
    </w:p>
    <w:bookmarkStart w:id="557" w:name="page558"/>
    <w:bookmarkEnd w:id="557"/>
    <w:p>
      <w:pPr>
        <w:ind w:right="80"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 Collateral</w:t>
      </w:r>
      <w:r>
        <w:rPr>
          <w:rFonts w:ascii="Arial" w:cs="Arial" w:eastAsia="Arial" w:hAnsi="Arial"/>
          <w:sz w:val="18"/>
          <w:szCs w:val="18"/>
          <w:color w:val="auto"/>
        </w:rPr>
        <w:t>. Borrower has good title to, rights in, and the power to transfer each item of the Collateral upon which it purports to grant a Lien</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free and clear of any and all Liens except Permitted Liens. 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pursuant to the terms of Section 6.6(b). The Accounts are bona fide, existing obligations of the Account Debtors.</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Collateral is not in the possession of any third party bailee (such as a warehouse) except as otherwise provided in the Perfection Certificate. None of the components of the Collateral (other than mobile equipment such as laptop computers with an aggregate value not exceeding One Hundred Thousand Dollars ($100,000.00) in the possession of Borrower’s employees or agents) shall be maintained at locations other than as provided in the Perfection Certificate or as permitted pursuant to Section 7.2.</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Inventory is in all material respects of good and marketable quality, free from material defects.</w:t>
      </w:r>
    </w:p>
    <w:p>
      <w:pPr>
        <w:spacing w:after="0" w:line="22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Borrower is the sole owner of the Intellectual Property which it owns or purports to own except for (a) non-exclusive licenses granted to its customers in the ordinary course of business, (b) over-the-counter software that is commercially available to the public, and (c) material Intellectual Property licensed to Borrower and noted on the Perfection Certificate. Each Patent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noted on the Perfection Certificate, Borrower is not a party to, nor is it bound by, any Restricted License.</w:t>
      </w:r>
    </w:p>
    <w:p>
      <w:pPr>
        <w:spacing w:after="0" w:line="221" w:lineRule="exact"/>
        <w:rPr>
          <w:sz w:val="20"/>
          <w:szCs w:val="20"/>
          <w:color w:val="auto"/>
        </w:rPr>
      </w:pPr>
    </w:p>
    <w:p>
      <w:pPr>
        <w:ind w:right="560" w:firstLine="456"/>
        <w:spacing w:after="0" w:line="313" w:lineRule="auto"/>
        <w:rPr>
          <w:sz w:val="20"/>
          <w:szCs w:val="20"/>
          <w:color w:val="auto"/>
        </w:rPr>
      </w:pPr>
      <w:r>
        <w:rPr>
          <w:rFonts w:ascii="Arial" w:cs="Arial" w:eastAsia="Arial" w:hAnsi="Arial"/>
          <w:sz w:val="17"/>
          <w:szCs w:val="17"/>
          <w:b w:val="1"/>
          <w:bCs w:val="1"/>
          <w:color w:val="auto"/>
        </w:rPr>
        <w:t>5.3 Litigation</w:t>
      </w:r>
      <w:r>
        <w:rPr>
          <w:rFonts w:ascii="Arial" w:cs="Arial" w:eastAsia="Arial" w:hAnsi="Arial"/>
          <w:sz w:val="17"/>
          <w:szCs w:val="17"/>
          <w:color w:val="auto"/>
        </w:rPr>
        <w:t>. There are no actions or proceedings pending or, to the knowledge of any Responsible Officer, threatened in writing by or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or any of its Subsidiaries involving more than, individually or in the aggregate, One Hundred Thousand Dollars ($100,000.00)</w:t>
      </w:r>
    </w:p>
    <w:p>
      <w:pPr>
        <w:spacing w:after="0" w:line="138" w:lineRule="exact"/>
        <w:rPr>
          <w:sz w:val="20"/>
          <w:szCs w:val="20"/>
          <w:color w:val="auto"/>
        </w:rPr>
      </w:pPr>
    </w:p>
    <w:p>
      <w:pPr>
        <w:ind w:right="160" w:firstLine="456"/>
        <w:spacing w:after="0" w:line="314" w:lineRule="auto"/>
        <w:rPr>
          <w:sz w:val="20"/>
          <w:szCs w:val="20"/>
          <w:color w:val="auto"/>
        </w:rPr>
      </w:pPr>
      <w:r>
        <w:rPr>
          <w:rFonts w:ascii="Arial" w:cs="Arial" w:eastAsia="Arial" w:hAnsi="Arial"/>
          <w:sz w:val="16"/>
          <w:szCs w:val="16"/>
          <w:b w:val="1"/>
          <w:bCs w:val="1"/>
          <w:color w:val="auto"/>
        </w:rPr>
        <w:t>5.4 Financial Statements; Financial Condition</w:t>
      </w:r>
      <w:r>
        <w:rPr>
          <w:rFonts w:ascii="Arial" w:cs="Arial" w:eastAsia="Arial" w:hAnsi="Arial"/>
          <w:sz w:val="16"/>
          <w:szCs w:val="16"/>
          <w:color w:val="auto"/>
        </w:rPr>
        <w:t>. All consolidated financial statements for Borrower and any of its Subsidiaries delivered to Bank</w:t>
      </w:r>
      <w:r>
        <w:rPr>
          <w:rFonts w:ascii="Arial" w:cs="Arial" w:eastAsia="Arial" w:hAnsi="Arial"/>
          <w:sz w:val="16"/>
          <w:szCs w:val="16"/>
          <w:b w:val="1"/>
          <w:bCs w:val="1"/>
          <w:color w:val="auto"/>
        </w:rPr>
        <w:t xml:space="preserve"> </w:t>
      </w:r>
      <w:r>
        <w:rPr>
          <w:rFonts w:ascii="Arial" w:cs="Arial" w:eastAsia="Arial" w:hAnsi="Arial"/>
          <w:sz w:val="16"/>
          <w:szCs w:val="16"/>
          <w:color w:val="auto"/>
        </w:rPr>
        <w:t>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Bank.</w:t>
      </w:r>
    </w:p>
    <w:p>
      <w:pPr>
        <w:spacing w:after="0" w:line="142" w:lineRule="exact"/>
        <w:rPr>
          <w:sz w:val="20"/>
          <w:szCs w:val="20"/>
          <w:color w:val="auto"/>
        </w:rPr>
      </w:pPr>
    </w:p>
    <w:p>
      <w:pPr>
        <w:ind w:right="420" w:firstLine="456"/>
        <w:spacing w:after="0" w:line="266" w:lineRule="auto"/>
        <w:rPr>
          <w:sz w:val="20"/>
          <w:szCs w:val="20"/>
          <w:color w:val="auto"/>
        </w:rPr>
      </w:pPr>
      <w:r>
        <w:rPr>
          <w:rFonts w:ascii="Arial" w:cs="Arial" w:eastAsia="Arial" w:hAnsi="Arial"/>
          <w:sz w:val="18"/>
          <w:szCs w:val="18"/>
          <w:b w:val="1"/>
          <w:bCs w:val="1"/>
          <w:color w:val="auto"/>
        </w:rPr>
        <w:t>5.5 Solvency</w:t>
      </w:r>
      <w:r>
        <w:rPr>
          <w:rFonts w:ascii="Arial" w:cs="Arial" w:eastAsia="Arial" w:hAnsi="Arial"/>
          <w:sz w:val="18"/>
          <w:szCs w:val="18"/>
          <w:color w:val="auto"/>
        </w:rPr>
        <w:t>. The fair salable value of Borrower’s consolidated assets (including goodwill minus disposition costs) exceeds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liabilities; Borrower is not left with unreasonably small capital after the transactions in this Agreement; and Borrower is able to pay its debts (including trade debts) as they mature.</w:t>
      </w:r>
    </w:p>
    <w:p>
      <w:pPr>
        <w:spacing w:after="0" w:line="17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5.6 Regulatory Compliance</w:t>
      </w:r>
      <w:r>
        <w:rPr>
          <w:rFonts w:ascii="Arial" w:cs="Arial" w:eastAsia="Arial" w:hAnsi="Arial"/>
          <w:sz w:val="17"/>
          <w:szCs w:val="17"/>
          <w:color w:val="auto"/>
        </w:rPr>
        <w:t>. Borrower is not an “investment company” or a company “controlled” by an “investment company” under the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 or, to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Governmental Authorities that are necessary to continue their respective businesses as currently conducted.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69" w:right="259" w:bottom="1440" w:gutter="0" w:footer="0" w:header="0"/>
        </w:sectPr>
      </w:pPr>
    </w:p>
    <w:bookmarkStart w:id="558" w:name="page559"/>
    <w:bookmarkEnd w:id="558"/>
    <w:p>
      <w:pPr>
        <w:ind w:right="66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5.7 Subsidiaries; Investments</w:t>
      </w:r>
      <w:r>
        <w:rPr>
          <w:rFonts w:ascii="Arial" w:cs="Arial" w:eastAsia="Arial" w:hAnsi="Arial"/>
          <w:sz w:val="18"/>
          <w:szCs w:val="18"/>
          <w:color w:val="auto"/>
        </w:rPr>
        <w:t>. Borrower does not own any stock, partnership, or other ownership interest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162"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5.8 Tax Returns and Payments; Pension Contributions</w:t>
      </w:r>
      <w:r>
        <w:rPr>
          <w:rFonts w:ascii="Arial" w:cs="Arial" w:eastAsia="Arial" w:hAnsi="Arial"/>
          <w:sz w:val="18"/>
          <w:szCs w:val="18"/>
          <w:color w:val="auto"/>
        </w:rPr>
        <w:t>. Borrower has timely filed all required tax returns and reports, and Borrower has timely paid</w:t>
      </w:r>
      <w:r>
        <w:rPr>
          <w:rFonts w:ascii="Arial" w:cs="Arial" w:eastAsia="Arial" w:hAnsi="Arial"/>
          <w:sz w:val="18"/>
          <w:szCs w:val="18"/>
          <w:b w:val="1"/>
          <w:bCs w:val="1"/>
          <w:color w:val="auto"/>
        </w:rPr>
        <w:t xml:space="preserve"> </w:t>
      </w:r>
      <w:r>
        <w:rPr>
          <w:rFonts w:ascii="Arial" w:cs="Arial" w:eastAsia="Arial" w:hAnsi="Arial"/>
          <w:sz w:val="18"/>
          <w:szCs w:val="18"/>
          <w:color w:val="auto"/>
        </w:rPr>
        <w:t>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Five Thousand Dollars ($5,000.00).</w:t>
      </w:r>
    </w:p>
    <w:p>
      <w:pPr>
        <w:spacing w:after="0" w:line="1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To the extent Borrower defers payment of any contested taxes,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88"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5.9 Use of Proceeds</w:t>
      </w:r>
      <w:r>
        <w:rPr>
          <w:rFonts w:ascii="Arial" w:cs="Arial" w:eastAsia="Arial" w:hAnsi="Arial"/>
          <w:sz w:val="18"/>
          <w:szCs w:val="18"/>
          <w:color w:val="auto"/>
        </w:rPr>
        <w:t>. Borrower shall use the proceeds of the Credit Extensions as working capital and to fund its general business requirements and not</w:t>
      </w:r>
      <w:r>
        <w:rPr>
          <w:rFonts w:ascii="Arial" w:cs="Arial" w:eastAsia="Arial" w:hAnsi="Arial"/>
          <w:sz w:val="18"/>
          <w:szCs w:val="18"/>
          <w:b w:val="1"/>
          <w:bCs w:val="1"/>
          <w:color w:val="auto"/>
        </w:rPr>
        <w:t xml:space="preserve"> </w:t>
      </w:r>
      <w:r>
        <w:rPr>
          <w:rFonts w:ascii="Arial" w:cs="Arial" w:eastAsia="Arial" w:hAnsi="Arial"/>
          <w:sz w:val="18"/>
          <w:szCs w:val="18"/>
          <w:color w:val="auto"/>
        </w:rPr>
        <w:t>for personal, family, household or agricultural purposes.</w:t>
      </w:r>
    </w:p>
    <w:p>
      <w:pPr>
        <w:spacing w:after="0" w:line="162"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b w:val="1"/>
          <w:bCs w:val="1"/>
          <w:color w:val="auto"/>
        </w:rPr>
        <w:t>5.10 Full Disclosure</w:t>
      </w:r>
      <w:r>
        <w:rPr>
          <w:rFonts w:ascii="Arial" w:cs="Arial" w:eastAsia="Arial" w:hAnsi="Arial"/>
          <w:sz w:val="18"/>
          <w:szCs w:val="18"/>
          <w:color w:val="auto"/>
        </w:rPr>
        <w:t>. No written representation, warranty or other statement of Borrower in any certificate or written statement given to Bank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Loan Documents or the transactions contemplated thereby, as of the date such representation, warranty, or other statement was made, taken together with all such written certificates and written statements given to Bank, contains any untrue statement of a material fact or omits to state a material fact necessary to make the statements contained in the certificates or statements not misleading in light of the circumstances in which they were made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89"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b w:val="1"/>
          <w:bCs w:val="1"/>
          <w:color w:val="auto"/>
        </w:rPr>
        <w:t>5.11 Definition of “Knowledge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the Loan Documents, whenever a representation or warranty is made to Borrower’s knowledge or</w:t>
      </w:r>
      <w:r>
        <w:rPr>
          <w:rFonts w:ascii="Arial" w:cs="Arial" w:eastAsia="Arial" w:hAnsi="Arial"/>
          <w:sz w:val="18"/>
          <w:szCs w:val="18"/>
          <w:b w:val="1"/>
          <w:bCs w:val="1"/>
          <w:color w:val="auto"/>
        </w:rPr>
        <w:t xml:space="preserve"> </w:t>
      </w:r>
      <w:r>
        <w:rPr>
          <w:rFonts w:ascii="Arial" w:cs="Arial" w:eastAsia="Arial" w:hAnsi="Arial"/>
          <w:sz w:val="18"/>
          <w:szCs w:val="18"/>
          <w:color w:val="auto"/>
        </w:rPr>
        <w:t>awareness, to the “best of” Borrower’s knowledge, or with a similar qualification, knowledge or awareness means the actual knowledge, after reasonable investigation, of any Responsible Officer.</w:t>
      </w:r>
    </w:p>
    <w:p>
      <w:pPr>
        <w:spacing w:after="0" w:line="203" w:lineRule="exact"/>
        <w:rPr>
          <w:sz w:val="20"/>
          <w:szCs w:val="20"/>
          <w:color w:val="auto"/>
        </w:rPr>
      </w:pPr>
    </w:p>
    <w:p>
      <w:pPr>
        <w:ind w:left="900" w:hanging="446"/>
        <w:spacing w:after="0"/>
        <w:tabs>
          <w:tab w:leader="none" w:pos="900"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shall do all of the following:</w:t>
      </w:r>
    </w:p>
    <w:p>
      <w:pPr>
        <w:spacing w:after="0" w:line="12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Government Compliance.</w:t>
      </w:r>
    </w:p>
    <w:p>
      <w:pPr>
        <w:spacing w:after="0" w:line="121" w:lineRule="exact"/>
        <w:rPr>
          <w:sz w:val="20"/>
          <w:szCs w:val="20"/>
          <w:color w:val="auto"/>
        </w:rPr>
      </w:pPr>
    </w:p>
    <w:p>
      <w:pPr>
        <w:jc w:val="both"/>
        <w:ind w:right="60" w:firstLine="921"/>
        <w:spacing w:after="0" w:line="259" w:lineRule="auto"/>
        <w:tabs>
          <w:tab w:leader="none" w:pos="1158" w:val="left"/>
        </w:tabs>
        <w:numPr>
          <w:ilvl w:val="0"/>
          <w:numId w:val="428"/>
        </w:numPr>
        <w:rPr>
          <w:rFonts w:ascii="Arial" w:cs="Arial" w:eastAsia="Arial" w:hAnsi="Arial"/>
          <w:sz w:val="18"/>
          <w:szCs w:val="18"/>
          <w:color w:val="auto"/>
        </w:rPr>
      </w:pPr>
      <w:r>
        <w:rPr>
          <w:rFonts w:ascii="Arial" w:cs="Arial" w:eastAsia="Arial" w:hAnsi="Arial"/>
          <w:sz w:val="18"/>
          <w:szCs w:val="18"/>
          <w:color w:val="auto"/>
        </w:rPr>
        <w:t>Maintain its and (except as permitted by Section 7.3)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559" w:name="page560"/>
    <w:bookmarkEnd w:id="559"/>
    <w:p>
      <w:pPr>
        <w:ind w:right="80" w:firstLine="921"/>
        <w:spacing w:after="0" w:line="264" w:lineRule="auto"/>
        <w:tabs>
          <w:tab w:leader="none" w:pos="1168" w:val="left"/>
        </w:tabs>
        <w:numPr>
          <w:ilvl w:val="0"/>
          <w:numId w:val="4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Obtain all of the Governmental Approvals necessary for the performance by Borrower of its obligations under the Loan Documents to which it is a party and the grant of a security interest to Bank in all of its property. Borrower shall promptly provide copies of any such obtained Governmental Approvals to Bank.</w:t>
      </w:r>
    </w:p>
    <w:p>
      <w:pPr>
        <w:spacing w:after="0" w:line="20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 xml:space="preserve">Financial Statements, Reports, Certificates. </w:t>
      </w:r>
      <w:r>
        <w:rPr>
          <w:rFonts w:ascii="Arial" w:cs="Arial" w:eastAsia="Arial" w:hAnsi="Arial"/>
          <w:sz w:val="16"/>
          <w:szCs w:val="16"/>
          <w:color w:val="auto"/>
        </w:rPr>
        <w:t>Provide Bank with the following:</w:t>
      </w:r>
    </w:p>
    <w:p>
      <w:pPr>
        <w:spacing w:after="0" w:line="121" w:lineRule="exact"/>
        <w:rPr>
          <w:sz w:val="20"/>
          <w:szCs w:val="20"/>
          <w:color w:val="auto"/>
        </w:rPr>
      </w:pPr>
    </w:p>
    <w:p>
      <w:pPr>
        <w:ind w:right="220" w:firstLine="921"/>
        <w:spacing w:after="0" w:line="264" w:lineRule="auto"/>
        <w:tabs>
          <w:tab w:leader="none" w:pos="1157"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Monthly Financial Statements</w:t>
      </w:r>
      <w:r>
        <w:rPr>
          <w:rFonts w:ascii="Arial" w:cs="Arial" w:eastAsia="Arial" w:hAnsi="Arial"/>
          <w:sz w:val="18"/>
          <w:szCs w:val="18"/>
          <w:color w:val="auto"/>
        </w:rPr>
        <w:t>. As soon as available, but no later than thirty (30) days after the last day of each month, a company prepared consolidated balance sheet and income statement covering Borrower’s consolidated operations for such month certified by a Responsible Officer and in a form acceptable to Bank (the “</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jc w:val="both"/>
        <w:ind w:firstLine="921"/>
        <w:spacing w:after="0" w:line="259" w:lineRule="auto"/>
        <w:tabs>
          <w:tab w:leader="none" w:pos="1168"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Monthly Compliance Certificate</w:t>
      </w:r>
      <w:r>
        <w:rPr>
          <w:rFonts w:ascii="Arial" w:cs="Arial" w:eastAsia="Arial" w:hAnsi="Arial"/>
          <w:sz w:val="18"/>
          <w:szCs w:val="18"/>
          <w:color w:val="auto"/>
        </w:rPr>
        <w:t>. Within thirty (30) days after the last day of each month and together with the Monthly Financial Statements, a duly completed Compliance Certificate signed by a Responsible Officer, certifying that as of the end of such month, Borrower was in compliance with all of the terms and conditions of this Agreement, and setting forth calculations showing compliance with the financial covenants (if any) set forth in this Agreement and such other information as Bank may reasonably request;</w:t>
      </w:r>
    </w:p>
    <w:p>
      <w:pPr>
        <w:spacing w:after="0" w:line="78" w:lineRule="exact"/>
        <w:rPr>
          <w:rFonts w:ascii="Arial" w:cs="Arial" w:eastAsia="Arial" w:hAnsi="Arial"/>
          <w:sz w:val="18"/>
          <w:szCs w:val="18"/>
          <w:color w:val="auto"/>
        </w:rPr>
      </w:pPr>
    </w:p>
    <w:p>
      <w:pPr>
        <w:ind w:right="300" w:firstLine="921"/>
        <w:spacing w:after="0" w:line="277" w:lineRule="auto"/>
        <w:tabs>
          <w:tab w:leader="none" w:pos="1157"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Board-Approved Projections</w:t>
      </w:r>
      <w:r>
        <w:rPr>
          <w:rFonts w:ascii="Arial" w:cs="Arial" w:eastAsia="Arial" w:hAnsi="Arial"/>
          <w:sz w:val="18"/>
          <w:szCs w:val="18"/>
          <w:color w:val="auto"/>
        </w:rPr>
        <w:t>. Within sixty (60) days after the Borrower’s fiscal year, and contemporaneously with any updates or changes thereto, annual Board-approved operating budgets and financial projections, in a form acceptable to Bank;</w:t>
      </w:r>
    </w:p>
    <w:p>
      <w:pPr>
        <w:spacing w:after="0" w:line="62" w:lineRule="exact"/>
        <w:rPr>
          <w:rFonts w:ascii="Arial" w:cs="Arial" w:eastAsia="Arial" w:hAnsi="Arial"/>
          <w:sz w:val="18"/>
          <w:szCs w:val="18"/>
          <w:color w:val="auto"/>
        </w:rPr>
      </w:pPr>
    </w:p>
    <w:p>
      <w:pPr>
        <w:ind w:right="160" w:firstLine="921"/>
        <w:spacing w:after="0" w:line="264" w:lineRule="auto"/>
        <w:tabs>
          <w:tab w:leader="none" w:pos="1168"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Annual Audited Financial Statements</w:t>
      </w:r>
      <w:r>
        <w:rPr>
          <w:rFonts w:ascii="Arial" w:cs="Arial" w:eastAsia="Arial" w:hAnsi="Arial"/>
          <w:sz w:val="18"/>
          <w:szCs w:val="18"/>
          <w:color w:val="auto"/>
        </w:rPr>
        <w:t>. As soon as available, but no later than one hundred eighty (180) days after the last day of Borrower’s fiscal year, audited consolidated financial statements prepared under GAAP, consistently applied, together with an unqualified opinion on the financial statements from an independent certified public accounting firm reasonably acceptable to Bank;</w:t>
      </w:r>
    </w:p>
    <w:p>
      <w:pPr>
        <w:spacing w:after="0" w:line="73" w:lineRule="exact"/>
        <w:rPr>
          <w:rFonts w:ascii="Arial" w:cs="Arial" w:eastAsia="Arial" w:hAnsi="Arial"/>
          <w:sz w:val="18"/>
          <w:szCs w:val="18"/>
          <w:color w:val="auto"/>
        </w:rPr>
      </w:pPr>
    </w:p>
    <w:p>
      <w:pPr>
        <w:ind w:right="40" w:firstLine="921"/>
        <w:spacing w:after="0" w:line="277" w:lineRule="auto"/>
        <w:tabs>
          <w:tab w:leader="none" w:pos="1157"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Other Statements</w:t>
      </w:r>
      <w:r>
        <w:rPr>
          <w:rFonts w:ascii="Arial" w:cs="Arial" w:eastAsia="Arial" w:hAnsi="Arial"/>
          <w:sz w:val="18"/>
          <w:szCs w:val="18"/>
          <w:color w:val="auto"/>
        </w:rPr>
        <w:t>. Within five (5) days of delivery, copies of all statements, reports and notices made available to Borrower’s security holders or to any holders of Subordinated Debt;</w:t>
      </w:r>
    </w:p>
    <w:p>
      <w:pPr>
        <w:spacing w:after="0" w:line="62" w:lineRule="exact"/>
        <w:rPr>
          <w:rFonts w:ascii="Arial" w:cs="Arial" w:eastAsia="Arial" w:hAnsi="Arial"/>
          <w:sz w:val="18"/>
          <w:szCs w:val="18"/>
          <w:color w:val="auto"/>
        </w:rPr>
      </w:pPr>
    </w:p>
    <w:p>
      <w:pPr>
        <w:ind w:right="20" w:firstLine="921"/>
        <w:spacing w:after="0" w:line="255" w:lineRule="auto"/>
        <w:tabs>
          <w:tab w:leader="none" w:pos="1138"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SEC Filings</w:t>
      </w:r>
      <w:r>
        <w:rPr>
          <w:rFonts w:ascii="Arial" w:cs="Arial" w:eastAsia="Arial" w:hAnsi="Arial"/>
          <w:sz w:val="18"/>
          <w:szCs w:val="18"/>
          <w:color w:val="auto"/>
        </w:rPr>
        <w:t>. In the event that Borrower becomes subject to the reporting requirements under the Exchange Act within five (5) days of filing, copies of all periodic and other reports, proxy statements and other materials filed by Borrower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Bank in writing (which may be by electronic mail) of the posting of any such documents;</w:t>
      </w:r>
    </w:p>
    <w:p>
      <w:pPr>
        <w:spacing w:after="0" w:line="81" w:lineRule="exact"/>
        <w:rPr>
          <w:rFonts w:ascii="Arial" w:cs="Arial" w:eastAsia="Arial" w:hAnsi="Arial"/>
          <w:sz w:val="18"/>
          <w:szCs w:val="18"/>
          <w:color w:val="auto"/>
        </w:rPr>
      </w:pPr>
    </w:p>
    <w:p>
      <w:pPr>
        <w:ind w:right="140" w:firstLine="921"/>
        <w:spacing w:after="0" w:line="264" w:lineRule="auto"/>
        <w:tabs>
          <w:tab w:leader="none" w:pos="1168"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Legal Action Notice</w:t>
      </w:r>
      <w:r>
        <w:rPr>
          <w:rFonts w:ascii="Arial" w:cs="Arial" w:eastAsia="Arial" w:hAnsi="Arial"/>
          <w:sz w:val="18"/>
          <w:szCs w:val="18"/>
          <w:color w:val="auto"/>
        </w:rPr>
        <w:t>. A prompt report of any legal actions pending or threatened in writing against Borrower or any of its Subsidiaries that could result in damages or costs to Borrower or any of its Subsidiaries of, individually or in the aggregate, One Hundred Thousand Dollars ($100,000.00) or more; and</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Other information reasonably requested by Bank.</w:t>
      </w:r>
    </w:p>
    <w:p>
      <w:pPr>
        <w:spacing w:after="0" w:line="221"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6.3 Inventory; Returns</w:t>
      </w:r>
      <w:r>
        <w:rPr>
          <w:rFonts w:ascii="Arial" w:cs="Arial" w:eastAsia="Arial" w:hAnsi="Arial"/>
          <w:sz w:val="18"/>
          <w:szCs w:val="18"/>
          <w:color w:val="auto"/>
        </w:rPr>
        <w:t>. Keep all Inventory in good and marketable condition, free from material defects. Returns and allowances between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Account Debtors shall follow Borrower’s customary practices as they exist at the Effective Date. Borrower must promptly notify Bank of all returns, recoveries, disputes and claims that involve more than One Hundred Thousand Dollars ($100,000.00).</w:t>
      </w:r>
    </w:p>
    <w:p>
      <w:pPr>
        <w:spacing w:after="0" w:line="6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6.4 Taxes; Pensions</w:t>
      </w:r>
      <w:r>
        <w:rPr>
          <w:rFonts w:ascii="Arial" w:cs="Arial" w:eastAsia="Arial" w:hAnsi="Arial"/>
          <w:sz w:val="18"/>
          <w:szCs w:val="18"/>
          <w:color w:val="auto"/>
        </w:rPr>
        <w:t>. Timely file, and require each of its Subsidiaries to timely file, all required tax returns and reports and timely pay, and require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its Subsidiaries to timely pay, all foreign, federal, state and local taxes, assessments, deposits and contributions owed by Borrower and each of its Subsidiaries, except for deferred payment of any taxes contested pursuant to the terms of Section 5.8 hereof, and shall deliver to Bank, on demand, appropriate certificates attesting to such payments, and pay all amounts necessary to fund all present pension, profit sharing and deferred compensation plans in accordance with their terms.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560" w:name="page561"/>
    <w:bookmarkEnd w:id="560"/>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6.5</w:t>
      </w:r>
      <w:r>
        <w:rPr>
          <w:sz w:val="20"/>
          <w:szCs w:val="20"/>
          <w:color w:val="auto"/>
        </w:rPr>
        <w:tab/>
      </w:r>
      <w:r>
        <w:rPr>
          <w:rFonts w:ascii="Arial" w:cs="Arial" w:eastAsia="Arial" w:hAnsi="Arial"/>
          <w:sz w:val="16"/>
          <w:szCs w:val="16"/>
          <w:b w:val="1"/>
          <w:bCs w:val="1"/>
          <w:color w:val="auto"/>
        </w:rPr>
        <w:t>Insurance.</w:t>
      </w:r>
    </w:p>
    <w:p>
      <w:pPr>
        <w:spacing w:after="0" w:line="121" w:lineRule="exact"/>
        <w:rPr>
          <w:sz w:val="20"/>
          <w:szCs w:val="20"/>
          <w:color w:val="auto"/>
        </w:rPr>
      </w:pPr>
    </w:p>
    <w:p>
      <w:pPr>
        <w:ind w:right="20" w:firstLine="921"/>
        <w:spacing w:after="0" w:line="276" w:lineRule="auto"/>
        <w:tabs>
          <w:tab w:leader="none" w:pos="1158" w:val="left"/>
        </w:tabs>
        <w:numPr>
          <w:ilvl w:val="0"/>
          <w:numId w:val="431"/>
        </w:numPr>
        <w:rPr>
          <w:rFonts w:ascii="Arial" w:cs="Arial" w:eastAsia="Arial" w:hAnsi="Arial"/>
          <w:sz w:val="17"/>
          <w:szCs w:val="17"/>
          <w:color w:val="auto"/>
        </w:rPr>
      </w:pPr>
      <w:r>
        <w:rPr>
          <w:rFonts w:ascii="Arial" w:cs="Arial" w:eastAsia="Arial" w:hAnsi="Arial"/>
          <w:sz w:val="17"/>
          <w:szCs w:val="17"/>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satisfactory to Bank. 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64" w:lineRule="exact"/>
        <w:rPr>
          <w:rFonts w:ascii="Arial" w:cs="Arial" w:eastAsia="Arial" w:hAnsi="Arial"/>
          <w:sz w:val="17"/>
          <w:szCs w:val="17"/>
          <w:color w:val="auto"/>
        </w:rPr>
      </w:pPr>
    </w:p>
    <w:p>
      <w:pPr>
        <w:ind w:left="1180" w:hanging="259"/>
        <w:spacing w:after="0"/>
        <w:tabs>
          <w:tab w:leader="none" w:pos="118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Ensure that proceeds payable under any property policy are, at Bank’s option, payable to Bank on account of the Obligations.</w:t>
      </w:r>
    </w:p>
    <w:p>
      <w:pPr>
        <w:spacing w:after="0" w:line="23" w:lineRule="exact"/>
        <w:rPr>
          <w:rFonts w:ascii="Arial" w:cs="Arial" w:eastAsia="Arial" w:hAnsi="Arial"/>
          <w:sz w:val="18"/>
          <w:szCs w:val="18"/>
          <w:color w:val="auto"/>
        </w:rPr>
      </w:pPr>
    </w:p>
    <w:p>
      <w:pPr>
        <w:ind w:right="60"/>
        <w:spacing w:after="0" w:line="252" w:lineRule="auto"/>
        <w:rPr>
          <w:rFonts w:ascii="Arial" w:cs="Arial" w:eastAsia="Arial" w:hAnsi="Arial"/>
          <w:sz w:val="18"/>
          <w:szCs w:val="18"/>
          <w:color w:val="auto"/>
        </w:rPr>
      </w:pPr>
      <w:r>
        <w:rPr>
          <w:rFonts w:ascii="Arial" w:cs="Arial" w:eastAsia="Arial" w:hAnsi="Arial"/>
          <w:sz w:val="18"/>
          <w:szCs w:val="18"/>
          <w:color w:val="auto"/>
        </w:rPr>
        <w:t>Notwithstanding the foregoing, (a) so long as no Event of Default has occurred and is continuing, Borrower shall have the option of applying the proceeds of any casualty policy up to Two Hundred Fifty Thousand Dollars ($250,000.00) in the aggregate for all losses under all casualty policies in any one (1) year, toward the replacement or repair of destroyed or damaged property; provided that any such replaced or repaired property (i) shall be of equal or like value as the replaced or repaired Collateral and (ii) shall be deemed Collateral in which Bank has been granted a first priority security interest (subject only to Permitted Liens that are permitted pursuant to the terms of this Agreement to have superior priority to Bank’s Lien), and (b) after the occurrence and during the continuance of an Event of Default, all proceeds payable under such casualty policy shall, at the option of Bank, be payable to Bank on account of the Obligations.</w:t>
      </w:r>
    </w:p>
    <w:p>
      <w:pPr>
        <w:spacing w:after="0" w:line="84" w:lineRule="exact"/>
        <w:rPr>
          <w:rFonts w:ascii="Arial" w:cs="Arial" w:eastAsia="Arial" w:hAnsi="Arial"/>
          <w:sz w:val="18"/>
          <w:szCs w:val="18"/>
          <w:color w:val="auto"/>
        </w:rPr>
      </w:pPr>
    </w:p>
    <w:p>
      <w:pPr>
        <w:ind w:firstLine="921"/>
        <w:spacing w:after="0" w:line="297" w:lineRule="auto"/>
        <w:tabs>
          <w:tab w:leader="none" w:pos="1158" w:val="left"/>
        </w:tabs>
        <w:numPr>
          <w:ilvl w:val="0"/>
          <w:numId w:val="431"/>
        </w:numPr>
        <w:rPr>
          <w:rFonts w:ascii="Arial" w:cs="Arial" w:eastAsia="Arial" w:hAnsi="Arial"/>
          <w:sz w:val="16"/>
          <w:szCs w:val="16"/>
          <w:color w:val="auto"/>
        </w:rPr>
      </w:pPr>
      <w:r>
        <w:rPr>
          <w:rFonts w:ascii="Arial" w:cs="Arial" w:eastAsia="Arial" w:hAnsi="Arial"/>
          <w:sz w:val="16"/>
          <w:szCs w:val="16"/>
          <w:color w:val="auto"/>
        </w:rPr>
        <w:t>At Bank’s request, Borrower shall deliver certified copies of insurance policies and evidence of all premium payments. Each provider of any such insurance required under this Section 6.5 shall agree, by endorsement upon the policy or policies issued by it or by independent instruments furnished to Bank, that it will give Bank thirty (30) days prior written notice before any such policy or policies shall be materially altered or canceled. If Borrower fails to obtain insurance as required under this Section 6.5 or to pay any amount or furnish any required proof of payment to third persons and Bank, Bank may make all or part of such payment or obtain such insurance policies required in this Section 6.5, and take any action under the policies Bank deems prudent.</w:t>
      </w:r>
    </w:p>
    <w:p>
      <w:pPr>
        <w:spacing w:after="0" w:line="18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Operating Accounts.</w:t>
      </w:r>
    </w:p>
    <w:p>
      <w:pPr>
        <w:spacing w:after="0" w:line="121" w:lineRule="exact"/>
        <w:rPr>
          <w:sz w:val="20"/>
          <w:szCs w:val="20"/>
          <w:color w:val="auto"/>
        </w:rPr>
      </w:pPr>
    </w:p>
    <w:p>
      <w:pPr>
        <w:ind w:right="300" w:firstLine="921"/>
        <w:spacing w:after="0" w:line="277" w:lineRule="auto"/>
        <w:tabs>
          <w:tab w:leader="none" w:pos="1158" w:val="left"/>
        </w:tabs>
        <w:numPr>
          <w:ilvl w:val="0"/>
          <w:numId w:val="432"/>
        </w:numPr>
        <w:rPr>
          <w:rFonts w:ascii="Arial" w:cs="Arial" w:eastAsia="Arial" w:hAnsi="Arial"/>
          <w:sz w:val="18"/>
          <w:szCs w:val="18"/>
          <w:color w:val="auto"/>
        </w:rPr>
      </w:pPr>
      <w:r>
        <w:rPr>
          <w:rFonts w:ascii="Arial" w:cs="Arial" w:eastAsia="Arial" w:hAnsi="Arial"/>
          <w:sz w:val="18"/>
          <w:szCs w:val="18"/>
          <w:color w:val="auto"/>
        </w:rPr>
        <w:t>Maintain all of its and all of its Subsidiaries’ operating, depository and securities/investment accounts with Bank and Bank’s Affiliates. In addition, Borrower shall use Bank for all cash management, foreign exchange and letters of credit.</w:t>
      </w:r>
    </w:p>
    <w:p>
      <w:pPr>
        <w:spacing w:after="0" w:line="62" w:lineRule="exact"/>
        <w:rPr>
          <w:rFonts w:ascii="Arial" w:cs="Arial" w:eastAsia="Arial" w:hAnsi="Arial"/>
          <w:sz w:val="18"/>
          <w:szCs w:val="18"/>
          <w:color w:val="auto"/>
        </w:rPr>
      </w:pPr>
    </w:p>
    <w:p>
      <w:pPr>
        <w:ind w:right="140" w:firstLine="921"/>
        <w:spacing w:after="0" w:line="255" w:lineRule="auto"/>
        <w:tabs>
          <w:tab w:leader="none" w:pos="1168" w:val="left"/>
        </w:tabs>
        <w:numPr>
          <w:ilvl w:val="0"/>
          <w:numId w:val="432"/>
        </w:numPr>
        <w:rPr>
          <w:rFonts w:ascii="Arial" w:cs="Arial" w:eastAsia="Arial" w:hAnsi="Arial"/>
          <w:sz w:val="18"/>
          <w:szCs w:val="18"/>
          <w:color w:val="auto"/>
        </w:rPr>
      </w:pPr>
      <w:r>
        <w:rPr>
          <w:rFonts w:ascii="Arial" w:cs="Arial" w:eastAsia="Arial" w:hAnsi="Arial"/>
          <w:sz w:val="18"/>
          <w:szCs w:val="18"/>
          <w:color w:val="auto"/>
        </w:rPr>
        <w:t>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deposit accounts exclusively used for payroll, payroll taxes and other employee wage and benefit payments to or for the benefit of Borrower’s employees and identified to Bank by Borrower as such.</w:t>
      </w:r>
    </w:p>
    <w:p>
      <w:pPr>
        <w:spacing w:after="0" w:line="21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Protection of Intellectual Property Rights.</w:t>
      </w:r>
    </w:p>
    <w:p>
      <w:pPr>
        <w:spacing w:after="0" w:line="121" w:lineRule="exact"/>
        <w:rPr>
          <w:sz w:val="20"/>
          <w:szCs w:val="20"/>
          <w:color w:val="auto"/>
        </w:rPr>
      </w:pPr>
    </w:p>
    <w:p>
      <w:pPr>
        <w:jc w:val="both"/>
        <w:ind w:right="440" w:firstLine="921"/>
        <w:spacing w:after="0" w:line="259" w:lineRule="auto"/>
        <w:tabs>
          <w:tab w:leader="none" w:pos="1158" w:val="left"/>
        </w:tabs>
        <w:numPr>
          <w:ilvl w:val="0"/>
          <w:numId w:val="433"/>
        </w:numPr>
        <w:rPr>
          <w:rFonts w:ascii="Arial" w:cs="Arial" w:eastAsia="Arial" w:hAnsi="Arial"/>
          <w:sz w:val="18"/>
          <w:szCs w:val="18"/>
          <w:color w:val="auto"/>
        </w:rPr>
      </w:pPr>
      <w:r>
        <w:rPr>
          <w:rFonts w:ascii="Arial" w:cs="Arial" w:eastAsia="Arial" w:hAnsi="Arial"/>
          <w:sz w:val="18"/>
          <w:szCs w:val="18"/>
          <w:color w:val="auto"/>
        </w:rPr>
        <w:t>(i) Protect, defend and maintain the validity and enforceability of its Intellectual Property material to Borrower’s business; (ii) promptly advise Bank in writing of material infringements or any other event that could reasonably be expected to materially and adversely affect the value of its Intellectual Property; and (iii) not allow any Intellectual Property material to Borrower’s business to be abandoned, forfeited or dedicated to the public without Bank’s written consent.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69" w:right="279" w:bottom="1440" w:gutter="0" w:footer="0" w:header="0"/>
        </w:sectPr>
      </w:pPr>
    </w:p>
    <w:bookmarkStart w:id="561" w:name="page562"/>
    <w:bookmarkEnd w:id="561"/>
    <w:p>
      <w:pPr>
        <w:ind w:firstLine="921"/>
        <w:spacing w:after="0" w:line="255" w:lineRule="auto"/>
        <w:tabs>
          <w:tab w:leader="none" w:pos="1168" w:val="left"/>
        </w:tabs>
        <w:numPr>
          <w:ilvl w:val="0"/>
          <w:numId w:val="4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 written notice to Bank within ten (10) days of entering or becoming bound by any Restricted License (other than over-the-counter software that is commercially available to the public). Borrower shall take such steps as Bank requests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89" w:lineRule="exact"/>
        <w:rPr>
          <w:sz w:val="20"/>
          <w:szCs w:val="20"/>
          <w:color w:val="auto"/>
        </w:rPr>
      </w:pPr>
    </w:p>
    <w:p>
      <w:pPr>
        <w:jc w:val="both"/>
        <w:ind w:right="60" w:firstLine="456"/>
        <w:spacing w:after="0" w:line="314" w:lineRule="auto"/>
        <w:rPr>
          <w:sz w:val="20"/>
          <w:szCs w:val="20"/>
          <w:color w:val="auto"/>
        </w:rPr>
      </w:pPr>
      <w:r>
        <w:rPr>
          <w:rFonts w:ascii="Arial" w:cs="Arial" w:eastAsia="Arial" w:hAnsi="Arial"/>
          <w:sz w:val="16"/>
          <w:szCs w:val="16"/>
          <w:b w:val="1"/>
          <w:bCs w:val="1"/>
          <w:color w:val="auto"/>
        </w:rPr>
        <w:t>6.8 Litigation Cooperation</w:t>
      </w:r>
      <w:r>
        <w:rPr>
          <w:rFonts w:ascii="Arial" w:cs="Arial" w:eastAsia="Arial" w:hAnsi="Arial"/>
          <w:sz w:val="16"/>
          <w:szCs w:val="16"/>
          <w:color w:val="auto"/>
        </w:rPr>
        <w:t>. From the date hereof and continuing through the termination of this Agreement, make available to Bank, without expense</w:t>
      </w:r>
      <w:r>
        <w:rPr>
          <w:rFonts w:ascii="Arial" w:cs="Arial" w:eastAsia="Arial" w:hAnsi="Arial"/>
          <w:sz w:val="16"/>
          <w:szCs w:val="16"/>
          <w:b w:val="1"/>
          <w:bCs w:val="1"/>
          <w:color w:val="auto"/>
        </w:rPr>
        <w:t xml:space="preserve"> </w:t>
      </w:r>
      <w:r>
        <w:rPr>
          <w:rFonts w:ascii="Arial" w:cs="Arial" w:eastAsia="Arial" w:hAnsi="Arial"/>
          <w:sz w:val="16"/>
          <w:szCs w:val="16"/>
          <w:color w:val="auto"/>
        </w:rPr>
        <w:t>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42"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6.9 Access to Collateral; Books and Records</w:t>
      </w:r>
      <w:r>
        <w:rPr>
          <w:rFonts w:ascii="Arial" w:cs="Arial" w:eastAsia="Arial" w:hAnsi="Arial"/>
          <w:sz w:val="18"/>
          <w:szCs w:val="18"/>
          <w:color w:val="auto"/>
        </w:rPr>
        <w:t>. Allow Bank, or its agents, at reasonable times, on one (1) Business Day’s notice (provided no notice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if an Event of Default has occurred and is continuing), to inspect the Collateral and audit and copy Borrower’s Books. The foregoing inspections and audits shall be at Borrower’s expense.</w:t>
      </w:r>
    </w:p>
    <w:p>
      <w:pPr>
        <w:spacing w:after="0" w:line="176"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6.10 Further Assurances</w:t>
      </w:r>
      <w:r>
        <w:rPr>
          <w:rFonts w:ascii="Arial" w:cs="Arial" w:eastAsia="Arial" w:hAnsi="Arial"/>
          <w:sz w:val="18"/>
          <w:szCs w:val="18"/>
          <w:color w:val="auto"/>
        </w:rPr>
        <w:t>. Execute any further instruments and take further action as Bank reasonably requests to perfect or continue Bank’s Lien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Collateral or to effect the purposes of this Agreement. Deliver to Bank, within five (5)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effect on any of the Governmental Approvals or otherwise on the operations of Borrower or any of its Subsidiaries.</w:t>
      </w:r>
    </w:p>
    <w:p>
      <w:pPr>
        <w:spacing w:after="0" w:line="211" w:lineRule="exact"/>
        <w:rPr>
          <w:sz w:val="20"/>
          <w:szCs w:val="20"/>
          <w:color w:val="auto"/>
        </w:rPr>
      </w:pPr>
    </w:p>
    <w:p>
      <w:pPr>
        <w:ind w:left="900" w:hanging="446"/>
        <w:spacing w:after="0"/>
        <w:tabs>
          <w:tab w:leader="none" w:pos="900"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shall not do any of the following without Bank’s prior written consent:</w:t>
      </w:r>
    </w:p>
    <w:p>
      <w:pPr>
        <w:spacing w:after="0" w:line="113" w:lineRule="exact"/>
        <w:rPr>
          <w:sz w:val="20"/>
          <w:szCs w:val="20"/>
          <w:color w:val="auto"/>
        </w:rPr>
      </w:pPr>
    </w:p>
    <w:p>
      <w:pPr>
        <w:jc w:val="both"/>
        <w:ind w:right="60" w:firstLine="456"/>
        <w:spacing w:after="0" w:line="289" w:lineRule="auto"/>
        <w:rPr>
          <w:sz w:val="20"/>
          <w:szCs w:val="20"/>
          <w:color w:val="auto"/>
        </w:rPr>
      </w:pPr>
      <w:r>
        <w:rPr>
          <w:rFonts w:ascii="Arial" w:cs="Arial" w:eastAsia="Arial" w:hAnsi="Arial"/>
          <w:sz w:val="16"/>
          <w:szCs w:val="16"/>
          <w:b w:val="1"/>
          <w:bCs w:val="1"/>
          <w:color w:val="auto"/>
        </w:rPr>
        <w:t xml:space="preserve">7.1 Dispositions. </w:t>
      </w:r>
      <w:r>
        <w:rPr>
          <w:rFonts w:ascii="Arial" w:cs="Arial" w:eastAsia="Arial" w:hAnsi="Arial"/>
          <w:sz w:val="16"/>
          <w:szCs w:val="16"/>
          <w:color w:val="auto"/>
        </w:rPr>
        <w:t>Convey, sell, lease, transfer, assign, or otherwise dispose of (collectively, “Transfer”), or permit any of its Subsidiaries to Transfer, all</w:t>
      </w:r>
      <w:r>
        <w:rPr>
          <w:rFonts w:ascii="Arial" w:cs="Arial" w:eastAsia="Arial" w:hAnsi="Arial"/>
          <w:sz w:val="16"/>
          <w:szCs w:val="16"/>
          <w:b w:val="1"/>
          <w:bCs w:val="1"/>
          <w:color w:val="auto"/>
        </w:rPr>
        <w:t xml:space="preserve"> </w:t>
      </w:r>
      <w:r>
        <w:rPr>
          <w:rFonts w:ascii="Arial" w:cs="Arial" w:eastAsia="Arial" w:hAnsi="Arial"/>
          <w:sz w:val="16"/>
          <w:szCs w:val="16"/>
          <w:color w:val="auto"/>
        </w:rPr>
        <w:t>or any part of its business or property, except for Transfers (a) of Inventory in the ordinary course of business; (b) of worn-out, obsolete or surplus Equipment that is, in the reasonable judgment of Borrower, no longer economically practicable to maintain or useful in the ordinary course of business of Borrower;</w:t>
      </w:r>
    </w:p>
    <w:p>
      <w:pPr>
        <w:spacing w:after="0" w:line="2" w:lineRule="exact"/>
        <w:rPr>
          <w:sz w:val="20"/>
          <w:szCs w:val="20"/>
          <w:color w:val="auto"/>
        </w:rPr>
      </w:pPr>
    </w:p>
    <w:p>
      <w:pPr>
        <w:ind w:right="160" w:firstLine="8"/>
        <w:spacing w:after="0" w:line="302" w:lineRule="auto"/>
        <w:tabs>
          <w:tab w:leader="none" w:pos="245" w:val="left"/>
        </w:tabs>
        <w:numPr>
          <w:ilvl w:val="0"/>
          <w:numId w:val="436"/>
        </w:numPr>
        <w:rPr>
          <w:rFonts w:ascii="Arial" w:cs="Arial" w:eastAsia="Arial" w:hAnsi="Arial"/>
          <w:sz w:val="16"/>
          <w:szCs w:val="16"/>
          <w:color w:val="auto"/>
        </w:rPr>
      </w:pPr>
      <w:r>
        <w:rPr>
          <w:rFonts w:ascii="Arial" w:cs="Arial" w:eastAsia="Arial" w:hAnsi="Arial"/>
          <w:sz w:val="16"/>
          <w:szCs w:val="16"/>
          <w:color w:val="auto"/>
        </w:rPr>
        <w:t>consisting of Permitted Liens and Permitted Investments; (d) consisting of the sale or issuance of any stock of Borrower permitted under Section 7.2 of this Agreement; (e) consisting of Borrower’s use or transfer of money or Cash Equivalents in a manner that is not prohibited by the terms of this Agreement or the other Loan Documents; and (f) of non-exclusive licenses for the use of the property of Borrower or its Subsidiaries in the ordinary course of business.</w:t>
      </w:r>
    </w:p>
    <w:p>
      <w:pPr>
        <w:spacing w:after="0" w:line="151" w:lineRule="exact"/>
        <w:rPr>
          <w:sz w:val="20"/>
          <w:szCs w:val="20"/>
          <w:color w:val="auto"/>
        </w:rPr>
      </w:pPr>
    </w:p>
    <w:p>
      <w:pPr>
        <w:ind w:right="320" w:firstLine="456"/>
        <w:spacing w:after="0" w:line="293" w:lineRule="auto"/>
        <w:rPr>
          <w:sz w:val="20"/>
          <w:szCs w:val="20"/>
          <w:color w:val="auto"/>
        </w:rPr>
      </w:pPr>
      <w:r>
        <w:rPr>
          <w:rFonts w:ascii="Arial" w:cs="Arial" w:eastAsia="Arial" w:hAnsi="Arial"/>
          <w:sz w:val="16"/>
          <w:szCs w:val="16"/>
          <w:b w:val="1"/>
          <w:bCs w:val="1"/>
          <w:color w:val="auto"/>
        </w:rPr>
        <w:t xml:space="preserve">7.2 Changes in Business, Management Control, or Business Locations. </w:t>
      </w:r>
      <w:r>
        <w:rPr>
          <w:rFonts w:ascii="Arial" w:cs="Arial" w:eastAsia="Arial" w:hAnsi="Arial"/>
          <w:sz w:val="16"/>
          <w:szCs w:val="16"/>
          <w:color w:val="auto"/>
        </w:rPr>
        <w:t>(a) Engage in or permit any of its Subsidiaries to engage in any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the businesses currently engaged in by Borrower and such Subsidiary, as applicable, or reasonably related thereto; (b) liquidate or dissolve; or</w:t>
      </w:r>
    </w:p>
    <w:p>
      <w:pPr>
        <w:spacing w:after="0" w:line="1" w:lineRule="exact"/>
        <w:rPr>
          <w:sz w:val="20"/>
          <w:szCs w:val="20"/>
          <w:color w:val="auto"/>
        </w:rPr>
      </w:pPr>
    </w:p>
    <w:p>
      <w:pPr>
        <w:ind w:right="440" w:firstLine="8"/>
        <w:spacing w:after="0" w:line="261" w:lineRule="auto"/>
        <w:tabs>
          <w:tab w:leader="none" w:pos="245" w:val="left"/>
        </w:tabs>
        <w:numPr>
          <w:ilvl w:val="0"/>
          <w:numId w:val="437"/>
        </w:numPr>
        <w:rPr>
          <w:rFonts w:ascii="Arial" w:cs="Arial" w:eastAsia="Arial" w:hAnsi="Arial"/>
          <w:sz w:val="18"/>
          <w:szCs w:val="18"/>
          <w:color w:val="auto"/>
        </w:rPr>
      </w:pPr>
      <w:r>
        <w:rPr>
          <w:rFonts w:ascii="Arial" w:cs="Arial" w:eastAsia="Arial" w:hAnsi="Arial"/>
          <w:sz w:val="18"/>
          <w:szCs w:val="18"/>
          <w:color w:val="auto"/>
        </w:rPr>
        <w:t>fail to provide notice to Bank of any Key Person departing from or ceasing to be employed by Borrower within five (5) days after such Key Person’s departure from Borrower; or (d) permit or suffer any Change in Control.</w:t>
      </w:r>
    </w:p>
    <w:p>
      <w:pPr>
        <w:spacing w:after="0" w:line="184"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Borrower shall not, without at least thirty (30) days prior written notice to Bank: (1) add any new offices or business locations, including warehouses (unless each such new office or business location contains less than Fifty Thousand Dollars ($50,000.00) in Borrower’s assets or property) or deliver any portion of the Collateral valued, individually or in the aggregate, in excess of One Hundred Thousand Dollars ($100,000.00) to a bailee at a location other than to a bailee and at a location already disclosed in the Perfection Certificate, (2) change its jurisdiction of organization, (3) change its organizational structure or type, (4) change its legal name, or (5) change any organizational number (if any) assigned by its jurisdiction of organization. If Borrower intends to deliver any portion of the Collateral valued, individually or in the aggregate, in excess of One Hundred Thousand Dollars ($100,000.00) to a bailee, and Bank and such bailee are not already parties to a bailee agreement governing both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562" w:name="page563"/>
    <w:bookmarkEnd w:id="56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Collateral and the location to which Borrower intends to deliver the Collateral, then Borrower will first receive the written consent of Bank, and such bailee shall execute and deliver a bailee agreement in form and substance satisfactory to Bank. If Borrower intends to maintain assets or property valued in excess of One Hundred Thousand Dollars ($100,000.00) at any such leased location, then Borrower shall cause such landlord to execute and deliver a landlord consent in form and substance satisfactory to Bank.</w:t>
      </w:r>
    </w:p>
    <w:p>
      <w:pPr>
        <w:spacing w:after="0" w:line="183" w:lineRule="exact"/>
        <w:rPr>
          <w:sz w:val="20"/>
          <w:szCs w:val="20"/>
          <w:color w:val="auto"/>
        </w:rPr>
      </w:pPr>
    </w:p>
    <w:p>
      <w:pPr>
        <w:ind w:right="360" w:firstLine="456"/>
        <w:spacing w:after="0" w:line="266" w:lineRule="auto"/>
        <w:rPr>
          <w:sz w:val="20"/>
          <w:szCs w:val="20"/>
          <w:color w:val="auto"/>
        </w:rPr>
      </w:pPr>
      <w:r>
        <w:rPr>
          <w:rFonts w:ascii="Arial" w:cs="Arial" w:eastAsia="Arial" w:hAnsi="Arial"/>
          <w:sz w:val="18"/>
          <w:szCs w:val="18"/>
          <w:b w:val="1"/>
          <w:bCs w:val="1"/>
          <w:color w:val="auto"/>
        </w:rPr>
        <w:t xml:space="preserve">7.3 Mergers or Acquisitions. </w:t>
      </w:r>
      <w:r>
        <w:rPr>
          <w:rFonts w:ascii="Arial" w:cs="Arial" w:eastAsia="Arial" w:hAnsi="Arial"/>
          <w:sz w:val="18"/>
          <w:szCs w:val="18"/>
          <w:color w:val="auto"/>
        </w:rPr>
        <w:t>Merge or consolidate, or permit any of its Subsidiaries to merge or consolidate, with any other Person, or acquire,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 any of its Subsidiaries to acquire, all or substantially all of the capital stock or property of another Person (including, without limitation, by the formation of any Subsidiary). A Subsidiary may merge or consolidate into another Subsidiary or into Borrower.</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7.4 Indebtedness. </w:t>
      </w:r>
      <w:r>
        <w:rPr>
          <w:rFonts w:ascii="Arial" w:cs="Arial" w:eastAsia="Arial" w:hAnsi="Arial"/>
          <w:sz w:val="16"/>
          <w:szCs w:val="16"/>
          <w:color w:val="auto"/>
        </w:rPr>
        <w:t>Create, incur, assume, or be liable for any Indebtedness, or permit any Subsidiary to do so, other than Permitted Indebtedness.</w:t>
      </w:r>
    </w:p>
    <w:p>
      <w:pPr>
        <w:spacing w:after="0" w:line="24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7.5 Encumbrance. </w:t>
      </w:r>
      <w:r>
        <w:rPr>
          <w:rFonts w:ascii="Arial" w:cs="Arial" w:eastAsia="Arial" w:hAnsi="Arial"/>
          <w:sz w:val="18"/>
          <w:szCs w:val="18"/>
          <w:color w:val="auto"/>
        </w:rPr>
        <w:t>Create, incur, allow, or suffer any Lien on any of its property, or assign or convey any right to receive income, including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7.6 Maintenance of Collateral Accounts. </w:t>
      </w:r>
      <w:r>
        <w:rPr>
          <w:rFonts w:ascii="Arial" w:cs="Arial" w:eastAsia="Arial" w:hAnsi="Arial"/>
          <w:sz w:val="18"/>
          <w:szCs w:val="18"/>
          <w:color w:val="auto"/>
        </w:rPr>
        <w:t>Maintain any Collateral Account except pursuant to the terms of Section 6.6(b) hereof.</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b w:val="1"/>
          <w:bCs w:val="1"/>
          <w:color w:val="auto"/>
        </w:rPr>
        <w:t xml:space="preserve">7.7 Distributions; Investments. </w:t>
      </w:r>
      <w:r>
        <w:rPr>
          <w:rFonts w:ascii="Arial" w:cs="Arial" w:eastAsia="Arial" w:hAnsi="Arial"/>
          <w:sz w:val="16"/>
          <w:szCs w:val="16"/>
          <w:color w:val="auto"/>
        </w:rPr>
        <w:t>(a) Pay any dividends or make any distribution or payment or redeem, retire or purchase any capital stock;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(i) Borrower may convert any of its convertible securities into other securities pursuant to the terms of such convertible securities or otherwise in exchange thereof, (ii) Borrower may pay dividends solely in common stock, and (iii) Borrower may repurchase the stock of former employees or consultants pursuant to stock repurchase agreements so long as an Event of Default does not exist at the time such repurchase and would not exist after giving effect to such repurchase, provided that the aggregate amount of all such repurchases does not exceed Fifty Thousand Dollars ($50,000.00) per fiscal year; or</w:t>
      </w:r>
    </w:p>
    <w:p>
      <w:pPr>
        <w:spacing w:after="0" w:line="2" w:lineRule="exact"/>
        <w:rPr>
          <w:sz w:val="20"/>
          <w:szCs w:val="20"/>
          <w:color w:val="auto"/>
        </w:rPr>
      </w:pPr>
    </w:p>
    <w:p>
      <w:pPr>
        <w:ind w:right="80" w:firstLine="8"/>
        <w:spacing w:after="0" w:line="261" w:lineRule="auto"/>
        <w:tabs>
          <w:tab w:leader="none" w:pos="255" w:val="left"/>
        </w:tabs>
        <w:numPr>
          <w:ilvl w:val="0"/>
          <w:numId w:val="438"/>
        </w:numPr>
        <w:rPr>
          <w:rFonts w:ascii="Arial" w:cs="Arial" w:eastAsia="Arial" w:hAnsi="Arial"/>
          <w:sz w:val="18"/>
          <w:szCs w:val="18"/>
          <w:color w:val="auto"/>
        </w:rPr>
      </w:pPr>
      <w:r>
        <w:rPr>
          <w:rFonts w:ascii="Arial" w:cs="Arial" w:eastAsia="Arial" w:hAnsi="Arial"/>
          <w:sz w:val="18"/>
          <w:szCs w:val="18"/>
          <w:color w:val="auto"/>
        </w:rPr>
        <w:t>directly or indirectly make any Investment (including, without limitation, by the formation of any Subsidiary) other than Permitted Investments, or permit any of its Subsidiaries to do so.</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7.8 Transactions with Affiliates. </w:t>
      </w:r>
      <w:r>
        <w:rPr>
          <w:rFonts w:ascii="Arial" w:cs="Arial" w:eastAsia="Arial" w:hAnsi="Arial"/>
          <w:sz w:val="16"/>
          <w:szCs w:val="16"/>
          <w:color w:val="auto"/>
        </w:rPr>
        <w:t>Directly or indirectly enter into or permit to exist any material transaction with any Affiliate of Borrower, except for</w:t>
      </w:r>
    </w:p>
    <w:p>
      <w:pPr>
        <w:spacing w:after="0" w:line="50" w:lineRule="exact"/>
        <w:rPr>
          <w:sz w:val="20"/>
          <w:szCs w:val="20"/>
          <w:color w:val="auto"/>
        </w:rPr>
      </w:pPr>
    </w:p>
    <w:p>
      <w:pPr>
        <w:ind w:right="260" w:firstLine="8"/>
        <w:spacing w:after="0" w:line="323" w:lineRule="auto"/>
        <w:tabs>
          <w:tab w:leader="none" w:pos="245" w:val="left"/>
        </w:tabs>
        <w:numPr>
          <w:ilvl w:val="0"/>
          <w:numId w:val="439"/>
        </w:numPr>
        <w:rPr>
          <w:rFonts w:ascii="Arial" w:cs="Arial" w:eastAsia="Arial" w:hAnsi="Arial"/>
          <w:sz w:val="16"/>
          <w:szCs w:val="16"/>
          <w:color w:val="auto"/>
        </w:rPr>
      </w:pPr>
      <w:r>
        <w:rPr>
          <w:rFonts w:ascii="Arial" w:cs="Arial" w:eastAsia="Arial" w:hAnsi="Arial"/>
          <w:sz w:val="16"/>
          <w:szCs w:val="16"/>
          <w:color w:val="auto"/>
        </w:rPr>
        <w:t>transactions that are in the ordinary course of Borrower’s business, upon fair and reasonable terms that are no less favorable to Borrower than would be obtained in an arm’s length transaction with a non-affiliated Person and (b) equity financings of Borrower that do not result in a Change of Control.</w:t>
      </w:r>
    </w:p>
    <w:p>
      <w:pPr>
        <w:spacing w:after="0" w:line="135"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7.9 Subordinated Debt. </w:t>
      </w:r>
      <w:r>
        <w:rPr>
          <w:rFonts w:ascii="Arial" w:cs="Arial" w:eastAsia="Arial" w:hAnsi="Arial"/>
          <w:sz w:val="18"/>
          <w:szCs w:val="18"/>
          <w:color w:val="auto"/>
        </w:rPr>
        <w:t>(a) Make or permit any payment on any Subordinated Debt, except under the terms of the subordination, intercreditor,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180" w:lineRule="exact"/>
        <w:rPr>
          <w:sz w:val="20"/>
          <w:szCs w:val="20"/>
          <w:color w:val="auto"/>
        </w:rPr>
      </w:pPr>
    </w:p>
    <w:p>
      <w:pPr>
        <w:ind w:right="120" w:firstLine="456"/>
        <w:spacing w:after="0" w:line="274" w:lineRule="auto"/>
        <w:rPr>
          <w:sz w:val="20"/>
          <w:szCs w:val="20"/>
          <w:color w:val="auto"/>
        </w:rPr>
      </w:pPr>
      <w:r>
        <w:rPr>
          <w:rFonts w:ascii="Arial" w:cs="Arial" w:eastAsia="Arial" w:hAnsi="Arial"/>
          <w:sz w:val="17"/>
          <w:szCs w:val="17"/>
          <w:b w:val="1"/>
          <w:bCs w:val="1"/>
          <w:color w:val="auto"/>
        </w:rPr>
        <w:t xml:space="preserve">7.10 Compliance. </w:t>
      </w:r>
      <w:r>
        <w:rPr>
          <w:rFonts w:ascii="Arial" w:cs="Arial" w:eastAsia="Arial" w:hAnsi="Arial"/>
          <w:sz w:val="17"/>
          <w:szCs w:val="17"/>
          <w:color w:val="auto"/>
        </w:rPr>
        <w:t>Become an “investment company” or a company controlled by an “investment company”, under the Investment Company Act of</w:t>
      </w:r>
      <w:r>
        <w:rPr>
          <w:rFonts w:ascii="Arial" w:cs="Arial" w:eastAsia="Arial" w:hAnsi="Arial"/>
          <w:sz w:val="17"/>
          <w:szCs w:val="17"/>
          <w:b w:val="1"/>
          <w:bCs w:val="1"/>
          <w:color w:val="auto"/>
        </w:rPr>
        <w:t xml:space="preserve"> </w:t>
      </w:r>
      <w:r>
        <w:rPr>
          <w:rFonts w:ascii="Arial" w:cs="Arial" w:eastAsia="Arial" w:hAnsi="Arial"/>
          <w:sz w:val="17"/>
          <w:szCs w:val="17"/>
          <w:color w:val="auto"/>
        </w:rPr>
        <w:t>1940, as amended, or undertake as one of its important activities extending credit to purchase or carry margin stock (as defined in Regulation U of the Board of Governors of the Federal Reserve System), or use the proceeds of any Credit Extension for that purpose; fail to (a) meet the minimum funding requirements of ERISA, (b) prevent a Reportable Event or Prohibited Transaction, as defined in ERISA, from occurring, or (c) comply with the Federal Fair Labor Standards Act, the failure of any of the conditions described in clauses (a) through (c) which could reasonably be expected to have a material adverse effect on Borrower’s business; or violate any other law or regulation, if the violation could reasonably be expected to have 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3" w:right="239" w:bottom="1440" w:gutter="0" w:footer="0" w:header="0"/>
        </w:sectPr>
      </w:pPr>
    </w:p>
    <w:bookmarkStart w:id="563" w:name="page564"/>
    <w:bookmarkEnd w:id="563"/>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210" w:lineRule="exact"/>
        <w:rPr>
          <w:sz w:val="20"/>
          <w:szCs w:val="20"/>
          <w:color w:val="auto"/>
        </w:rPr>
      </w:pPr>
    </w:p>
    <w:p>
      <w:pPr>
        <w:ind w:left="900" w:hanging="446"/>
        <w:spacing w:after="0"/>
        <w:tabs>
          <w:tab w:leader="none" w:pos="900"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8.1 Payment Default</w:t>
      </w:r>
      <w:r>
        <w:rPr>
          <w:rFonts w:ascii="Arial" w:cs="Arial" w:eastAsia="Arial" w:hAnsi="Arial"/>
          <w:sz w:val="18"/>
          <w:szCs w:val="18"/>
          <w:color w:val="auto"/>
        </w:rPr>
        <w:t>. Borrower fails to (a) make any payment of principal or interest on any Credit Extension when due, or (b) pay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within three (3) Business Days after such Obligations are due and payable (which three (3)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20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p>
    <w:p>
      <w:pPr>
        <w:spacing w:after="0" w:line="121" w:lineRule="exact"/>
        <w:rPr>
          <w:sz w:val="20"/>
          <w:szCs w:val="20"/>
          <w:color w:val="auto"/>
        </w:rPr>
      </w:pPr>
    </w:p>
    <w:p>
      <w:pPr>
        <w:ind w:left="1160" w:hanging="239"/>
        <w:spacing w:after="0"/>
        <w:tabs>
          <w:tab w:leader="none" w:pos="116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Borrower fails or neglects to perform any obligation in Sections 6.2, 6.4, 6.5, 6.6 or 6.7(b), or violates any covenant in Section 7; or</w:t>
      </w:r>
    </w:p>
    <w:p>
      <w:pPr>
        <w:spacing w:after="0" w:line="128" w:lineRule="exact"/>
        <w:rPr>
          <w:rFonts w:ascii="Arial" w:cs="Arial" w:eastAsia="Arial" w:hAnsi="Arial"/>
          <w:sz w:val="17"/>
          <w:szCs w:val="17"/>
          <w:color w:val="auto"/>
        </w:rPr>
      </w:pPr>
    </w:p>
    <w:p>
      <w:pPr>
        <w:ind w:right="20" w:firstLine="921"/>
        <w:spacing w:after="0" w:line="254" w:lineRule="auto"/>
        <w:tabs>
          <w:tab w:leader="none" w:pos="1168" w:val="left"/>
        </w:tabs>
        <w:numPr>
          <w:ilvl w:val="0"/>
          <w:numId w:val="441"/>
        </w:numPr>
        <w:rPr>
          <w:rFonts w:ascii="Arial" w:cs="Arial" w:eastAsia="Arial" w:hAnsi="Arial"/>
          <w:sz w:val="18"/>
          <w:szCs w:val="18"/>
          <w:color w:val="auto"/>
        </w:rPr>
      </w:pPr>
      <w:r>
        <w:rPr>
          <w:rFonts w:ascii="Arial" w:cs="Arial" w:eastAsia="Arial" w:hAnsi="Arial"/>
          <w:sz w:val="18"/>
          <w:szCs w:val="18"/>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(if any) or any other covenants set forth in clause (a) above;</w:t>
      </w:r>
    </w:p>
    <w:p>
      <w:pPr>
        <w:spacing w:after="0" w:line="21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Material Adverse Change. A Material Adverse Change occurs;</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Attachment; Levy; Restraint on Business.</w:t>
      </w:r>
    </w:p>
    <w:p>
      <w:pPr>
        <w:spacing w:after="0" w:line="121" w:lineRule="exact"/>
        <w:rPr>
          <w:sz w:val="20"/>
          <w:szCs w:val="20"/>
          <w:color w:val="auto"/>
        </w:rPr>
      </w:pPr>
    </w:p>
    <w:p>
      <w:pPr>
        <w:ind w:firstLine="921"/>
        <w:spacing w:after="0" w:line="279" w:lineRule="auto"/>
        <w:tabs>
          <w:tab w:leader="none" w:pos="1158" w:val="left"/>
        </w:tabs>
        <w:numPr>
          <w:ilvl w:val="0"/>
          <w:numId w:val="442"/>
        </w:numPr>
        <w:rPr>
          <w:rFonts w:ascii="Arial" w:cs="Arial" w:eastAsia="Arial" w:hAnsi="Arial"/>
          <w:sz w:val="17"/>
          <w:szCs w:val="17"/>
          <w:color w:val="auto"/>
        </w:rPr>
      </w:pPr>
      <w:r>
        <w:rPr>
          <w:rFonts w:ascii="Arial" w:cs="Arial" w:eastAsia="Arial" w:hAnsi="Arial"/>
          <w:sz w:val="17"/>
          <w:szCs w:val="17"/>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63" w:lineRule="exact"/>
        <w:rPr>
          <w:rFonts w:ascii="Arial" w:cs="Arial" w:eastAsia="Arial" w:hAnsi="Arial"/>
          <w:sz w:val="17"/>
          <w:szCs w:val="17"/>
          <w:color w:val="auto"/>
        </w:rPr>
      </w:pPr>
    </w:p>
    <w:p>
      <w:pPr>
        <w:ind w:right="160" w:firstLine="921"/>
        <w:spacing w:after="0" w:line="277" w:lineRule="auto"/>
        <w:tabs>
          <w:tab w:leader="none" w:pos="1168"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16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8.5 Insolvency</w:t>
      </w:r>
      <w:r>
        <w:rPr>
          <w:rFonts w:ascii="Arial" w:cs="Arial" w:eastAsia="Arial" w:hAnsi="Arial"/>
          <w:sz w:val="18"/>
          <w:szCs w:val="18"/>
          <w:color w:val="auto"/>
        </w:rPr>
        <w:t>. (a) Borrower or any of its Subsidiaries is unable to pay its debts (including trade debts) as they become due or otherwise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insolvent; (b) Borrower or any of its Subsidiaries begins an Insolvency Proceeding; or (c) an Insolvency Proceeding is begun against Borrower or any of its Subsidiaries and is not dismissed or stayed within forty-five (45) days (but no Credit Extensions shall be made while any of the conditions described in clause (a) exist and/or until any Insolvency Proceeding is dismissed);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564" w:name="page565"/>
    <w:bookmarkEnd w:id="564"/>
    <w:p>
      <w:pPr>
        <w:ind w:right="12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8.6 Other Agreements</w:t>
      </w:r>
      <w:r>
        <w:rPr>
          <w:rFonts w:ascii="Arial" w:cs="Arial" w:eastAsia="Arial" w:hAnsi="Arial"/>
          <w:sz w:val="18"/>
          <w:szCs w:val="18"/>
          <w:color w:val="auto"/>
        </w:rPr>
        <w:t>. There is, under any agreement to which Borrower is a party with a third party or parties, (a) any default resulting in a right by</w:t>
      </w:r>
      <w:r>
        <w:rPr>
          <w:rFonts w:ascii="Arial" w:cs="Arial" w:eastAsia="Arial" w:hAnsi="Arial"/>
          <w:sz w:val="18"/>
          <w:szCs w:val="18"/>
          <w:b w:val="1"/>
          <w:bCs w:val="1"/>
          <w:color w:val="auto"/>
        </w:rPr>
        <w:t xml:space="preserve"> </w:t>
      </w:r>
      <w:r>
        <w:rPr>
          <w:rFonts w:ascii="Arial" w:cs="Arial" w:eastAsia="Arial" w:hAnsi="Arial"/>
          <w:sz w:val="18"/>
          <w:szCs w:val="18"/>
          <w:color w:val="auto"/>
        </w:rPr>
        <w:t>such third party or parties, whether or not exercised, to accelerate the maturity of any Indebtedness in an amount individually or in the aggregate in excess of One Hundred Thousand Dollars ($100,000.00); or (b) any breach or default by Borrower or Guarantor, the result of which could have a material adverse effect on Borrower’s business;</w:t>
      </w:r>
    </w:p>
    <w:p>
      <w:pPr>
        <w:spacing w:after="0" w:line="18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8.7 Judgments; Penalties</w:t>
      </w:r>
      <w:r>
        <w:rPr>
          <w:rFonts w:ascii="Arial" w:cs="Arial" w:eastAsia="Arial" w:hAnsi="Arial"/>
          <w:sz w:val="18"/>
          <w:szCs w:val="18"/>
          <w:color w:val="auto"/>
        </w:rPr>
        <w:t>. One or more fines, penalties or final judgments, orders or decrees for the payment of money in an amount, individually or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aggregate, of at least One Hundred Thousand Dollars ($100,000.00) (not covered by independent third-party insurance as to which liability has been accepted by such 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88" w:lineRule="exact"/>
        <w:rPr>
          <w:sz w:val="20"/>
          <w:szCs w:val="20"/>
          <w:color w:val="auto"/>
        </w:rPr>
      </w:pPr>
    </w:p>
    <w:p>
      <w:pPr>
        <w:ind w:right="540" w:firstLine="456"/>
        <w:spacing w:after="0" w:line="266" w:lineRule="auto"/>
        <w:rPr>
          <w:sz w:val="20"/>
          <w:szCs w:val="20"/>
          <w:color w:val="auto"/>
        </w:rPr>
      </w:pPr>
      <w:r>
        <w:rPr>
          <w:rFonts w:ascii="Arial" w:cs="Arial" w:eastAsia="Arial" w:hAnsi="Arial"/>
          <w:sz w:val="18"/>
          <w:szCs w:val="18"/>
          <w:b w:val="1"/>
          <w:bCs w:val="1"/>
          <w:color w:val="auto"/>
        </w:rPr>
        <w:t>8.8 Misrepresentations</w:t>
      </w:r>
      <w:r>
        <w:rPr>
          <w:rFonts w:ascii="Arial" w:cs="Arial" w:eastAsia="Arial" w:hAnsi="Arial"/>
          <w:sz w:val="18"/>
          <w:szCs w:val="18"/>
          <w:color w:val="auto"/>
        </w:rPr>
        <w:t>. Borrower or any Person acting for Borrower makes any representation, warranty, or other statement now or later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any Loan Document or in any writing delivered to Bank or to induce Bank to enter this Agreement or any Loan Document, and such representation, warranty, or other statement is incorrect in any material respect when made;</w:t>
      </w:r>
    </w:p>
    <w:p>
      <w:pPr>
        <w:spacing w:after="0" w:line="176" w:lineRule="exact"/>
        <w:rPr>
          <w:sz w:val="20"/>
          <w:szCs w:val="20"/>
          <w:color w:val="auto"/>
        </w:rPr>
      </w:pPr>
    </w:p>
    <w:p>
      <w:pPr>
        <w:jc w:val="both"/>
        <w:ind w:right="100" w:firstLine="456"/>
        <w:spacing w:after="0" w:line="261" w:lineRule="auto"/>
        <w:rPr>
          <w:sz w:val="20"/>
          <w:szCs w:val="20"/>
          <w:color w:val="auto"/>
        </w:rPr>
      </w:pPr>
      <w:r>
        <w:rPr>
          <w:rFonts w:ascii="Arial" w:cs="Arial" w:eastAsia="Arial" w:hAnsi="Arial"/>
          <w:sz w:val="18"/>
          <w:szCs w:val="18"/>
          <w:b w:val="1"/>
          <w:bCs w:val="1"/>
          <w:color w:val="auto"/>
        </w:rPr>
        <w:t>8.9 Subordinated Debt</w:t>
      </w:r>
      <w:r>
        <w:rPr>
          <w:rFonts w:ascii="Arial" w:cs="Arial" w:eastAsia="Arial" w:hAnsi="Arial"/>
          <w:sz w:val="18"/>
          <w:szCs w:val="18"/>
          <w:color w:val="auto"/>
        </w:rPr>
        <w:t>. Any document, instrument, or agreement evidencing any Subordinated Debt shall for any reason be revoked or invalidated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w:t>
      </w:r>
    </w:p>
    <w:p>
      <w:pPr>
        <w:spacing w:after="0" w:line="180" w:lineRule="exact"/>
        <w:rPr>
          <w:sz w:val="20"/>
          <w:szCs w:val="20"/>
          <w:color w:val="auto"/>
        </w:rPr>
      </w:pPr>
    </w:p>
    <w:p>
      <w:pPr>
        <w:ind w:right="20" w:firstLine="456"/>
        <w:spacing w:after="0" w:line="292" w:lineRule="auto"/>
        <w:rPr>
          <w:sz w:val="20"/>
          <w:szCs w:val="20"/>
          <w:color w:val="auto"/>
        </w:rPr>
      </w:pPr>
      <w:r>
        <w:rPr>
          <w:rFonts w:ascii="Arial" w:cs="Arial" w:eastAsia="Arial" w:hAnsi="Arial"/>
          <w:sz w:val="16"/>
          <w:szCs w:val="16"/>
          <w:b w:val="1"/>
          <w:bCs w:val="1"/>
          <w:color w:val="auto"/>
        </w:rPr>
        <w:t xml:space="preserve">8.10 Governmental Approvals. </w:t>
      </w:r>
      <w:r>
        <w:rPr>
          <w:rFonts w:ascii="Arial" w:cs="Arial" w:eastAsia="Arial" w:hAnsi="Arial"/>
          <w:sz w:val="16"/>
          <w:szCs w:val="16"/>
          <w:color w:val="auto"/>
        </w:rPr>
        <w:t>Any Governmental Approval shall have been (a) revoked, rescinded, suspended, modified in an adverse manner or not</w:t>
      </w:r>
      <w:r>
        <w:rPr>
          <w:rFonts w:ascii="Arial" w:cs="Arial" w:eastAsia="Arial" w:hAnsi="Arial"/>
          <w:sz w:val="16"/>
          <w:szCs w:val="16"/>
          <w:b w:val="1"/>
          <w:bCs w:val="1"/>
          <w:color w:val="auto"/>
        </w:rPr>
        <w:t xml:space="preserve"> </w:t>
      </w:r>
      <w:r>
        <w:rPr>
          <w:rFonts w:ascii="Arial" w:cs="Arial" w:eastAsia="Arial" w:hAnsi="Arial"/>
          <w:sz w:val="16"/>
          <w:szCs w:val="16"/>
          <w:color w:val="auto"/>
        </w:rPr>
        <w:t>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causes, or could reasonably be expected to cause, a Material Adverse Change, or (ii) adversely affects the legal qualifications of Borrower or any of its Subsidiaries to hold such Governmental Approval in any applicable jurisdiction and such revocation, rescission, suspension, modification or non-renewal could reasonably be expected to affect the status of or legal qualifications of Borrower or any of its Subsidiaries to hold any Governmental Approval in any other jurisdiction.</w:t>
      </w:r>
    </w:p>
    <w:p>
      <w:pPr>
        <w:spacing w:after="0" w:line="189" w:lineRule="exact"/>
        <w:rPr>
          <w:sz w:val="20"/>
          <w:szCs w:val="20"/>
          <w:color w:val="auto"/>
        </w:rPr>
      </w:pPr>
    </w:p>
    <w:p>
      <w:pPr>
        <w:ind w:left="900" w:hanging="446"/>
        <w:spacing w:after="0"/>
        <w:tabs>
          <w:tab w:leader="none" w:pos="900" w:val="left"/>
        </w:tabs>
        <w:numPr>
          <w:ilvl w:val="0"/>
          <w:numId w:val="4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BANK’S RIGHTS AND REMEDIES</w:t>
      </w:r>
    </w:p>
    <w:p>
      <w:pPr>
        <w:spacing w:after="0" w:line="117"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9.1 Rights and Remedies</w:t>
      </w:r>
      <w:r>
        <w:rPr>
          <w:rFonts w:ascii="Arial" w:cs="Arial" w:eastAsia="Arial" w:hAnsi="Arial"/>
          <w:sz w:val="18"/>
          <w:szCs w:val="18"/>
          <w:color w:val="auto"/>
        </w:rPr>
        <w:t>. Upon the occurrence and during the continuance of an Event of Default, Bank may, without notice or demand, do any or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following, to the extent not prohibited by applicable law:</w:t>
      </w:r>
    </w:p>
    <w:p>
      <w:pPr>
        <w:spacing w:after="0" w:line="58" w:lineRule="exact"/>
        <w:rPr>
          <w:sz w:val="20"/>
          <w:szCs w:val="20"/>
          <w:color w:val="auto"/>
        </w:rPr>
      </w:pPr>
    </w:p>
    <w:p>
      <w:pPr>
        <w:ind w:right="860" w:firstLine="921"/>
        <w:spacing w:after="0" w:line="277" w:lineRule="auto"/>
        <w:tabs>
          <w:tab w:leader="none" w:pos="1158" w:val="left"/>
        </w:tabs>
        <w:numPr>
          <w:ilvl w:val="0"/>
          <w:numId w:val="444"/>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Bank);</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444"/>
        </w:numPr>
        <w:rPr>
          <w:rFonts w:ascii="Arial" w:cs="Arial" w:eastAsia="Arial" w:hAnsi="Arial"/>
          <w:sz w:val="16"/>
          <w:szCs w:val="16"/>
          <w:color w:val="auto"/>
        </w:rPr>
      </w:pPr>
      <w:r>
        <w:rPr>
          <w:rFonts w:ascii="Arial" w:cs="Arial" w:eastAsia="Arial" w:hAnsi="Arial"/>
          <w:sz w:val="16"/>
          <w:szCs w:val="16"/>
          <w:color w:val="auto"/>
        </w:rPr>
        <w:t>stop advancing money or extending credit for Borrower’s benefit under this Agreement or under any other agreement between Borrower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Bank;</w:t>
      </w:r>
    </w:p>
    <w:p>
      <w:pPr>
        <w:spacing w:after="0" w:line="102" w:lineRule="exact"/>
        <w:rPr>
          <w:rFonts w:ascii="Arial" w:cs="Arial" w:eastAsia="Arial" w:hAnsi="Arial"/>
          <w:sz w:val="16"/>
          <w:szCs w:val="16"/>
          <w:color w:val="auto"/>
        </w:rPr>
      </w:pPr>
    </w:p>
    <w:p>
      <w:pPr>
        <w:ind w:firstLine="921"/>
        <w:spacing w:after="0" w:line="293" w:lineRule="auto"/>
        <w:tabs>
          <w:tab w:leader="none" w:pos="1158" w:val="left"/>
        </w:tabs>
        <w:numPr>
          <w:ilvl w:val="0"/>
          <w:numId w:val="444"/>
        </w:numPr>
        <w:rPr>
          <w:rFonts w:ascii="Arial" w:cs="Arial" w:eastAsia="Arial" w:hAnsi="Arial"/>
          <w:sz w:val="16"/>
          <w:szCs w:val="16"/>
          <w:color w:val="auto"/>
        </w:rPr>
      </w:pPr>
      <w:r>
        <w:rPr>
          <w:rFonts w:ascii="Arial" w:cs="Arial" w:eastAsia="Arial" w:hAnsi="Arial"/>
          <w:sz w:val="16"/>
          <w:szCs w:val="16"/>
          <w:color w:val="auto"/>
        </w:rPr>
        <w:t>demand that Borrower (i) deposit cash with Bank in an amount equal to at least (A) one hundred five percent (105.0%) of the Dollar Equivalent of the aggregate face amount of all Letters of Credit denominated in Dollars remaining undrawn, and (B) one hundred ten percent (110.0%) of the Dollar Equivalent of the aggregate face amount of all Letters of Credit denominated in a Foreign Currency remaining undrawn (plus, in each case,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565" w:name="page566"/>
    <w:bookmarkEnd w:id="565"/>
    <w:p>
      <w:pPr>
        <w:ind w:left="1180" w:hanging="259"/>
        <w:spacing w:after="0"/>
        <w:tabs>
          <w:tab w:leader="none" w:pos="1180" w:val="left"/>
        </w:tabs>
        <w:numPr>
          <w:ilvl w:val="0"/>
          <w:numId w:val="4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terminate any FX Contracts;</w:t>
      </w:r>
    </w:p>
    <w:p>
      <w:pPr>
        <w:spacing w:after="0" w:line="117" w:lineRule="exact"/>
        <w:rPr>
          <w:rFonts w:ascii="Arial" w:cs="Arial" w:eastAsia="Arial" w:hAnsi="Arial"/>
          <w:sz w:val="18"/>
          <w:szCs w:val="18"/>
          <w:color w:val="auto"/>
        </w:rPr>
      </w:pPr>
    </w:p>
    <w:p>
      <w:pPr>
        <w:ind w:right="80" w:firstLine="921"/>
        <w:spacing w:after="0" w:line="264" w:lineRule="auto"/>
        <w:tabs>
          <w:tab w:leader="none" w:pos="1158" w:val="left"/>
        </w:tabs>
        <w:numPr>
          <w:ilvl w:val="0"/>
          <w:numId w:val="445"/>
        </w:numPr>
        <w:rPr>
          <w:rFonts w:ascii="Arial" w:cs="Arial" w:eastAsia="Arial" w:hAnsi="Arial"/>
          <w:sz w:val="18"/>
          <w:szCs w:val="18"/>
          <w:color w:val="auto"/>
        </w:rPr>
      </w:pPr>
      <w:r>
        <w:rPr>
          <w:rFonts w:ascii="Arial" w:cs="Arial" w:eastAsia="Arial" w:hAnsi="Arial"/>
          <w:sz w:val="18"/>
          <w:szCs w:val="18"/>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spacing w:after="0" w:line="73" w:lineRule="exact"/>
        <w:rPr>
          <w:rFonts w:ascii="Arial" w:cs="Arial" w:eastAsia="Arial" w:hAnsi="Arial"/>
          <w:sz w:val="18"/>
          <w:szCs w:val="18"/>
          <w:color w:val="auto"/>
        </w:rPr>
      </w:pPr>
    </w:p>
    <w:p>
      <w:pPr>
        <w:jc w:val="both"/>
        <w:ind w:right="100" w:firstLine="921"/>
        <w:spacing w:after="0" w:line="276" w:lineRule="auto"/>
        <w:tabs>
          <w:tab w:leader="none" w:pos="1138" w:val="left"/>
        </w:tabs>
        <w:numPr>
          <w:ilvl w:val="0"/>
          <w:numId w:val="445"/>
        </w:numPr>
        <w:rPr>
          <w:rFonts w:ascii="Arial" w:cs="Arial" w:eastAsia="Arial" w:hAnsi="Arial"/>
          <w:sz w:val="17"/>
          <w:szCs w:val="17"/>
          <w:color w:val="auto"/>
        </w:rPr>
      </w:pPr>
      <w:r>
        <w:rPr>
          <w:rFonts w:ascii="Arial" w:cs="Arial" w:eastAsia="Arial" w:hAnsi="Arial"/>
          <w:sz w:val="17"/>
          <w:szCs w:val="17"/>
          <w:color w:val="auto"/>
        </w:rPr>
        <w:t>make any payments and do any acts it considers necessary or reasonable to protect the Collateral and/or its security interest in the Collateral. Borrower shall assemble the Collateral if Bank requests and make it available as Bank designates at a location reasonably convenient to Bank and Borrower. Bank may peaceably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by Borrower, to exercise any of Bank’s rights or remedies;</w:t>
      </w:r>
    </w:p>
    <w:p>
      <w:pPr>
        <w:spacing w:after="0" w:line="64" w:lineRule="exact"/>
        <w:rPr>
          <w:rFonts w:ascii="Arial" w:cs="Arial" w:eastAsia="Arial" w:hAnsi="Arial"/>
          <w:sz w:val="17"/>
          <w:szCs w:val="17"/>
          <w:color w:val="auto"/>
        </w:rPr>
      </w:pPr>
    </w:p>
    <w:p>
      <w:pPr>
        <w:ind w:right="140" w:firstLine="921"/>
        <w:spacing w:after="0" w:line="277" w:lineRule="auto"/>
        <w:tabs>
          <w:tab w:leader="none" w:pos="1168"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apply to the Obligations (i) any balances and deposits of Borrower it holds, or (ii) any amount held by Bank owing to or for the credit or the account of Borrower;</w:t>
      </w:r>
    </w:p>
    <w:p>
      <w:pPr>
        <w:spacing w:after="0" w:line="62" w:lineRule="exact"/>
        <w:rPr>
          <w:rFonts w:ascii="Arial" w:cs="Arial" w:eastAsia="Arial" w:hAnsi="Arial"/>
          <w:sz w:val="18"/>
          <w:szCs w:val="18"/>
          <w:color w:val="auto"/>
        </w:rPr>
      </w:pPr>
    </w:p>
    <w:p>
      <w:pPr>
        <w:ind w:right="80" w:firstLine="921"/>
        <w:spacing w:after="0" w:line="257" w:lineRule="auto"/>
        <w:tabs>
          <w:tab w:leader="none" w:pos="1168" w:val="left"/>
        </w:tabs>
        <w:numPr>
          <w:ilvl w:val="0"/>
          <w:numId w:val="445"/>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advertise for sale, and sell the Collateral.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Borrower’s rights under all licenses and all franchise agreements inure to Bank’s benefit;</w:t>
      </w:r>
    </w:p>
    <w:p>
      <w:pPr>
        <w:spacing w:after="0" w:line="80" w:lineRule="exact"/>
        <w:rPr>
          <w:rFonts w:ascii="Arial" w:cs="Arial" w:eastAsia="Arial" w:hAnsi="Arial"/>
          <w:sz w:val="18"/>
          <w:szCs w:val="18"/>
          <w:color w:val="auto"/>
        </w:rPr>
      </w:pPr>
    </w:p>
    <w:p>
      <w:pPr>
        <w:ind w:right="100" w:firstLine="921"/>
        <w:spacing w:after="0" w:line="277" w:lineRule="auto"/>
        <w:tabs>
          <w:tab w:leader="none" w:pos="1128" w:val="left"/>
        </w:tabs>
        <w:numPr>
          <w:ilvl w:val="0"/>
          <w:numId w:val="445"/>
        </w:numPr>
        <w:rPr>
          <w:rFonts w:ascii="Arial" w:cs="Arial" w:eastAsia="Arial" w:hAnsi="Arial"/>
          <w:sz w:val="18"/>
          <w:szCs w:val="18"/>
          <w:color w:val="auto"/>
        </w:rPr>
      </w:pPr>
      <w:r>
        <w:rPr>
          <w:rFonts w:ascii="Arial" w:cs="Arial" w:eastAsia="Arial" w:hAnsi="Arial"/>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117"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445"/>
        </w:numPr>
        <w:rPr>
          <w:rFonts w:ascii="Arial" w:cs="Arial" w:eastAsia="Arial" w:hAnsi="Arial"/>
          <w:sz w:val="18"/>
          <w:szCs w:val="18"/>
          <w:color w:val="auto"/>
        </w:rPr>
      </w:pPr>
      <w:r>
        <w:rPr>
          <w:rFonts w:ascii="Arial" w:cs="Arial" w:eastAsia="Arial" w:hAnsi="Arial"/>
          <w:sz w:val="18"/>
          <w:szCs w:val="18"/>
          <w:color w:val="auto"/>
        </w:rPr>
        <w:t>exercise all rights and remedies available to Bank under the Loan Documents or at law or equity, including all remedies provided under the Code (including disposal of the Collateral pursuant to the terms thereof).</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9.2 Power of Attorney</w:t>
      </w:r>
      <w:r>
        <w:rPr>
          <w:rFonts w:ascii="Arial" w:cs="Arial" w:eastAsia="Arial" w:hAnsi="Arial"/>
          <w:sz w:val="17"/>
          <w:szCs w:val="17"/>
          <w:color w:val="auto"/>
        </w:rPr>
        <w:t>. Borrower hereby irrevocably appoints Bank as its lawful attorney-in-fact, exercisable upon the occurrence and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continuance of 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Bank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 Event of Default has occurred until all Obligations (other than inchoate indemnity obligations) have been satisfied in full and Bank is under no further obligation to make Credit Extensions hereunder. Bank’s foregoing appointment as Borrower’s attorney in fact, and all of Bank’s rights and powers, coupled with an interest, are irrevocable until all Obligations (other than inchoate indemnity obligations) have been fully repaid and performed and Bank’s obligation to provide Credit Extensions terminates.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3" w:right="259" w:bottom="1440" w:gutter="0" w:footer="0" w:header="0"/>
        </w:sectPr>
      </w:pPr>
    </w:p>
    <w:bookmarkStart w:id="566" w:name="page567"/>
    <w:bookmarkEnd w:id="566"/>
    <w:p>
      <w:pPr>
        <w:ind w:right="260" w:firstLine="456"/>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9.3 Protective Payments</w:t>
      </w:r>
      <w:r>
        <w:rPr>
          <w:rFonts w:ascii="Arial" w:cs="Arial" w:eastAsia="Arial" w:hAnsi="Arial"/>
          <w:sz w:val="17"/>
          <w:szCs w:val="17"/>
          <w:color w:val="auto"/>
        </w:rPr>
        <w:t>. If Borrower fails to obtain the insurance called for by Section 6.5 or fails to pay any premium thereon or fails to pay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74" w:lineRule="exact"/>
        <w:rPr>
          <w:sz w:val="20"/>
          <w:szCs w:val="20"/>
          <w:color w:val="auto"/>
        </w:rPr>
      </w:pPr>
    </w:p>
    <w:p>
      <w:pPr>
        <w:ind w:right="40" w:firstLine="456"/>
        <w:spacing w:after="0" w:line="295" w:lineRule="auto"/>
        <w:rPr>
          <w:sz w:val="20"/>
          <w:szCs w:val="20"/>
          <w:color w:val="auto"/>
        </w:rPr>
      </w:pPr>
      <w:r>
        <w:rPr>
          <w:rFonts w:ascii="Arial" w:cs="Arial" w:eastAsia="Arial" w:hAnsi="Arial"/>
          <w:sz w:val="16"/>
          <w:szCs w:val="16"/>
          <w:b w:val="1"/>
          <w:bCs w:val="1"/>
          <w:color w:val="auto"/>
        </w:rPr>
        <w:t>9.4 Application of Payments and Proceeds Upon Default</w:t>
      </w:r>
      <w:r>
        <w:rPr>
          <w:rFonts w:ascii="Arial" w:cs="Arial" w:eastAsia="Arial" w:hAnsi="Arial"/>
          <w:sz w:val="16"/>
          <w:szCs w:val="16"/>
          <w:color w:val="auto"/>
        </w:rPr>
        <w:t>. If an Event of Default has occurred and is continuing, Bank shall have the right to apply in</w:t>
      </w:r>
      <w:r>
        <w:rPr>
          <w:rFonts w:ascii="Arial" w:cs="Arial" w:eastAsia="Arial" w:hAnsi="Arial"/>
          <w:sz w:val="16"/>
          <w:szCs w:val="16"/>
          <w:b w:val="1"/>
          <w:bCs w:val="1"/>
          <w:color w:val="auto"/>
        </w:rPr>
        <w:t xml:space="preserve"> </w:t>
      </w:r>
      <w:r>
        <w:rPr>
          <w:rFonts w:ascii="Arial" w:cs="Arial" w:eastAsia="Arial" w:hAnsi="Arial"/>
          <w:sz w:val="16"/>
          <w:szCs w:val="16"/>
          <w:color w:val="auto"/>
        </w:rPr>
        <w:t>any order any funds in its possession, whether from Borrower account balances, payments, proceeds realized as the result of any collection of Accounts or other disposition of the Collateral, or otherwise, to the Obligations. Bank shall pay any surplus to Borrower by credit to the Designated Deposit Account or to other Persons legally entitled thereto; Borrower shall remain liable to Bank for any deficiency. If Bank,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56"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9.5 Bank’s Liability for Collateral</w:t>
      </w:r>
      <w:r>
        <w:rPr>
          <w:rFonts w:ascii="Arial" w:cs="Arial" w:eastAsia="Arial" w:hAnsi="Arial"/>
          <w:sz w:val="18"/>
          <w:szCs w:val="18"/>
          <w:color w:val="auto"/>
        </w:rPr>
        <w:t>. So long as Bank complies with applicable law and reasonable banking practices regarding the safekeeping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in the 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8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9.6 No Waiver; Remedies Cumulative</w:t>
      </w:r>
      <w:r>
        <w:rPr>
          <w:rFonts w:ascii="Arial" w:cs="Arial" w:eastAsia="Arial" w:hAnsi="Arial"/>
          <w:sz w:val="17"/>
          <w:szCs w:val="17"/>
          <w:color w:val="auto"/>
        </w:rPr>
        <w:t>. Bank’s failure, at any time or times, to require strict performance by Borrower of any provision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7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9.7 Demand Waiver</w:t>
      </w:r>
      <w:r>
        <w:rPr>
          <w:rFonts w:ascii="Arial" w:cs="Arial" w:eastAsia="Arial" w:hAnsi="Arial"/>
          <w:sz w:val="18"/>
          <w:szCs w:val="18"/>
          <w:color w:val="auto"/>
        </w:rPr>
        <w:t>. Borrower waives demand, notice of default or dishonor, notice of payment and nonpayment, notice of any default, nonpayment at</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release, compromise, settlement, extension, or renewal of accounts, documents, instruments, chattel paper, and guarantees held by Bank on which Borrower is liable.</w:t>
      </w:r>
    </w:p>
    <w:p>
      <w:pPr>
        <w:spacing w:after="0" w:line="325" w:lineRule="exact"/>
        <w:rPr>
          <w:sz w:val="20"/>
          <w:szCs w:val="20"/>
          <w:color w:val="auto"/>
        </w:rPr>
      </w:pPr>
    </w:p>
    <w:p>
      <w:pPr>
        <w:ind w:left="900" w:hanging="446"/>
        <w:spacing w:after="0"/>
        <w:tabs>
          <w:tab w:leader="none" w:pos="900"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567" w:name="page568"/>
    <w:bookmarkEnd w:id="567"/>
    <w:tbl>
      <w:tblPr>
        <w:tblLayout w:type="fixed"/>
        <w:tblInd w:w="86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If to Borrower:</w:t>
            </w: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AvroBio, Inc.</w:t>
            </w:r>
          </w:p>
        </w:tc>
      </w:tr>
      <w:tr>
        <w:trPr>
          <w:trHeight w:val="216"/>
        </w:trPr>
        <w:tc>
          <w:tcPr>
            <w:tcW w:w="2300" w:type="dxa"/>
            <w:vAlign w:val="bottom"/>
          </w:tcPr>
          <w:p>
            <w:pPr>
              <w:spacing w:after="0"/>
              <w:rPr>
                <w:sz w:val="18"/>
                <w:szCs w:val="18"/>
                <w:color w:val="auto"/>
              </w:rPr>
            </w:pP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700 Technology Square, Suite 101</w:t>
            </w:r>
          </w:p>
        </w:tc>
      </w:tr>
      <w:tr>
        <w:trPr>
          <w:trHeight w:val="216"/>
        </w:trPr>
        <w:tc>
          <w:tcPr>
            <w:tcW w:w="2300" w:type="dxa"/>
            <w:vAlign w:val="bottom"/>
          </w:tcPr>
          <w:p>
            <w:pPr>
              <w:spacing w:after="0"/>
              <w:rPr>
                <w:sz w:val="18"/>
                <w:szCs w:val="18"/>
                <w:color w:val="auto"/>
              </w:rPr>
            </w:pP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Cambridge, Massachusetts 02139</w:t>
            </w:r>
          </w:p>
        </w:tc>
      </w:tr>
      <w:tr>
        <w:trPr>
          <w:trHeight w:val="216"/>
        </w:trPr>
        <w:tc>
          <w:tcPr>
            <w:tcW w:w="2300" w:type="dxa"/>
            <w:vAlign w:val="bottom"/>
          </w:tcPr>
          <w:p>
            <w:pPr>
              <w:spacing w:after="0"/>
              <w:rPr>
                <w:sz w:val="18"/>
                <w:szCs w:val="18"/>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Attn:</w:t>
            </w:r>
          </w:p>
        </w:tc>
        <w:tc>
          <w:tcPr>
            <w:tcW w:w="23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230"/>
        </w:trPr>
        <w:tc>
          <w:tcPr>
            <w:tcW w:w="2300" w:type="dxa"/>
            <w:vAlign w:val="bottom"/>
          </w:tcPr>
          <w:p>
            <w:pPr>
              <w:spacing w:after="0"/>
              <w:rPr>
                <w:sz w:val="20"/>
                <w:szCs w:val="20"/>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Email:</w:t>
            </w:r>
          </w:p>
        </w:tc>
        <w:tc>
          <w:tcPr>
            <w:tcW w:w="2340" w:type="dxa"/>
            <w:vAlign w:val="bottom"/>
          </w:tcPr>
          <w:p>
            <w:pPr>
              <w:ind w:left="180"/>
              <w:spacing w:after="0"/>
              <w:rPr>
                <w:sz w:val="20"/>
                <w:szCs w:val="20"/>
                <w:color w:val="auto"/>
              </w:rPr>
            </w:pPr>
            <w:r>
              <w:rPr>
                <w:rFonts w:ascii="Arial" w:cs="Arial" w:eastAsia="Arial" w:hAnsi="Arial"/>
                <w:sz w:val="18"/>
                <w:szCs w:val="18"/>
                <w:color w:val="auto"/>
                <w:w w:val="95"/>
              </w:rPr>
              <w:t>geoff.mackay@avrobio.com</w:t>
            </w:r>
          </w:p>
        </w:tc>
      </w:tr>
      <w:tr>
        <w:trPr>
          <w:trHeight w:val="431"/>
        </w:trPr>
        <w:tc>
          <w:tcPr>
            <w:tcW w:w="2300" w:type="dxa"/>
            <w:vAlign w:val="bottom"/>
          </w:tcPr>
          <w:p>
            <w:pPr>
              <w:spacing w:after="0"/>
              <w:rPr>
                <w:sz w:val="20"/>
                <w:szCs w:val="20"/>
                <w:color w:val="auto"/>
              </w:rPr>
            </w:pPr>
            <w:r>
              <w:rPr>
                <w:rFonts w:ascii="Arial" w:cs="Arial" w:eastAsia="Arial" w:hAnsi="Arial"/>
                <w:sz w:val="18"/>
                <w:szCs w:val="18"/>
                <w:color w:val="auto"/>
              </w:rPr>
              <w:t>with a copy to:</w:t>
            </w: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Goodwin Procter LLP</w:t>
            </w:r>
          </w:p>
        </w:tc>
      </w:tr>
      <w:tr>
        <w:trPr>
          <w:trHeight w:val="216"/>
        </w:trPr>
        <w:tc>
          <w:tcPr>
            <w:tcW w:w="2300" w:type="dxa"/>
            <w:vAlign w:val="bottom"/>
          </w:tcPr>
          <w:p>
            <w:pPr>
              <w:spacing w:after="0"/>
              <w:rPr>
                <w:sz w:val="18"/>
                <w:szCs w:val="18"/>
                <w:color w:val="auto"/>
              </w:rPr>
            </w:pP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100 Northern Avenue</w:t>
            </w:r>
          </w:p>
        </w:tc>
      </w:tr>
      <w:tr>
        <w:trPr>
          <w:trHeight w:val="216"/>
        </w:trPr>
        <w:tc>
          <w:tcPr>
            <w:tcW w:w="2300" w:type="dxa"/>
            <w:vAlign w:val="bottom"/>
          </w:tcPr>
          <w:p>
            <w:pPr>
              <w:spacing w:after="0"/>
              <w:rPr>
                <w:sz w:val="18"/>
                <w:szCs w:val="18"/>
                <w:color w:val="auto"/>
              </w:rPr>
            </w:pP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Boston, Massachusetts 02210</w:t>
            </w:r>
          </w:p>
        </w:tc>
      </w:tr>
      <w:tr>
        <w:trPr>
          <w:trHeight w:val="216"/>
        </w:trPr>
        <w:tc>
          <w:tcPr>
            <w:tcW w:w="2300" w:type="dxa"/>
            <w:vAlign w:val="bottom"/>
          </w:tcPr>
          <w:p>
            <w:pPr>
              <w:spacing w:after="0"/>
              <w:rPr>
                <w:sz w:val="18"/>
                <w:szCs w:val="18"/>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Attn:</w:t>
            </w:r>
          </w:p>
        </w:tc>
        <w:tc>
          <w:tcPr>
            <w:tcW w:w="2340" w:type="dxa"/>
            <w:vAlign w:val="bottom"/>
          </w:tcPr>
          <w:p>
            <w:pPr>
              <w:ind w:left="160"/>
              <w:spacing w:after="0"/>
              <w:rPr>
                <w:sz w:val="20"/>
                <w:szCs w:val="20"/>
                <w:color w:val="auto"/>
              </w:rPr>
            </w:pPr>
            <w:r>
              <w:rPr>
                <w:rFonts w:ascii="Arial" w:cs="Arial" w:eastAsia="Arial" w:hAnsi="Arial"/>
                <w:sz w:val="18"/>
                <w:szCs w:val="18"/>
                <w:color w:val="auto"/>
              </w:rPr>
              <w:t>Mark D. Smith</w:t>
            </w:r>
          </w:p>
        </w:tc>
      </w:tr>
      <w:tr>
        <w:trPr>
          <w:trHeight w:val="216"/>
        </w:trPr>
        <w:tc>
          <w:tcPr>
            <w:tcW w:w="2300" w:type="dxa"/>
            <w:vAlign w:val="bottom"/>
          </w:tcPr>
          <w:p>
            <w:pPr>
              <w:spacing w:after="0"/>
              <w:rPr>
                <w:sz w:val="18"/>
                <w:szCs w:val="18"/>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Fax:</w:t>
            </w:r>
          </w:p>
        </w:tc>
        <w:tc>
          <w:tcPr>
            <w:tcW w:w="2340" w:type="dxa"/>
            <w:vAlign w:val="bottom"/>
          </w:tcPr>
          <w:p>
            <w:pPr>
              <w:ind w:left="140"/>
              <w:spacing w:after="0"/>
              <w:rPr>
                <w:sz w:val="20"/>
                <w:szCs w:val="20"/>
                <w:color w:val="auto"/>
              </w:rPr>
            </w:pPr>
            <w:r>
              <w:rPr>
                <w:rFonts w:ascii="Arial" w:cs="Arial" w:eastAsia="Arial" w:hAnsi="Arial"/>
                <w:sz w:val="18"/>
                <w:szCs w:val="18"/>
                <w:color w:val="auto"/>
              </w:rPr>
              <w:t>(617) 801-8835</w:t>
            </w:r>
          </w:p>
        </w:tc>
      </w:tr>
      <w:tr>
        <w:trPr>
          <w:trHeight w:val="230"/>
        </w:trPr>
        <w:tc>
          <w:tcPr>
            <w:tcW w:w="2300" w:type="dxa"/>
            <w:vAlign w:val="bottom"/>
          </w:tcPr>
          <w:p>
            <w:pPr>
              <w:spacing w:after="0"/>
              <w:rPr>
                <w:sz w:val="20"/>
                <w:szCs w:val="20"/>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Email:</w:t>
            </w:r>
          </w:p>
        </w:tc>
        <w:tc>
          <w:tcPr>
            <w:tcW w:w="2340" w:type="dxa"/>
            <w:vAlign w:val="bottom"/>
          </w:tcPr>
          <w:p>
            <w:pPr>
              <w:ind w:left="180"/>
              <w:spacing w:after="0"/>
              <w:rPr>
                <w:sz w:val="20"/>
                <w:szCs w:val="20"/>
                <w:color w:val="auto"/>
              </w:rPr>
            </w:pPr>
            <w:r>
              <w:rPr>
                <w:rFonts w:ascii="Arial" w:cs="Arial" w:eastAsia="Arial" w:hAnsi="Arial"/>
                <w:sz w:val="18"/>
                <w:szCs w:val="18"/>
                <w:color w:val="auto"/>
                <w:w w:val="91"/>
              </w:rPr>
              <w:t>marksmith@goodwinlaw.com</w:t>
            </w:r>
          </w:p>
        </w:tc>
      </w:tr>
      <w:tr>
        <w:trPr>
          <w:trHeight w:val="431"/>
        </w:trPr>
        <w:tc>
          <w:tcPr>
            <w:tcW w:w="2300" w:type="dxa"/>
            <w:vAlign w:val="bottom"/>
          </w:tcPr>
          <w:p>
            <w:pPr>
              <w:spacing w:after="0"/>
              <w:rPr>
                <w:sz w:val="20"/>
                <w:szCs w:val="20"/>
                <w:color w:val="auto"/>
              </w:rPr>
            </w:pPr>
            <w:r>
              <w:rPr>
                <w:rFonts w:ascii="Arial" w:cs="Arial" w:eastAsia="Arial" w:hAnsi="Arial"/>
                <w:sz w:val="18"/>
                <w:szCs w:val="18"/>
                <w:color w:val="auto"/>
              </w:rPr>
              <w:t>If to Bank:</w:t>
            </w: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Silicon Valley Bank</w:t>
            </w:r>
          </w:p>
        </w:tc>
      </w:tr>
      <w:tr>
        <w:trPr>
          <w:trHeight w:val="216"/>
        </w:trPr>
        <w:tc>
          <w:tcPr>
            <w:tcW w:w="2300" w:type="dxa"/>
            <w:vAlign w:val="bottom"/>
          </w:tcPr>
          <w:p>
            <w:pPr>
              <w:spacing w:after="0"/>
              <w:rPr>
                <w:sz w:val="18"/>
                <w:szCs w:val="18"/>
                <w:color w:val="auto"/>
              </w:rPr>
            </w:pP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275 Grove Street, Suite 2-200</w:t>
            </w:r>
          </w:p>
        </w:tc>
      </w:tr>
      <w:tr>
        <w:trPr>
          <w:trHeight w:val="216"/>
        </w:trPr>
        <w:tc>
          <w:tcPr>
            <w:tcW w:w="2300" w:type="dxa"/>
            <w:vAlign w:val="bottom"/>
          </w:tcPr>
          <w:p>
            <w:pPr>
              <w:spacing w:after="0"/>
              <w:rPr>
                <w:sz w:val="18"/>
                <w:szCs w:val="18"/>
                <w:color w:val="auto"/>
              </w:rPr>
            </w:pP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Newton, Massachusetts 02466</w:t>
            </w:r>
          </w:p>
        </w:tc>
      </w:tr>
      <w:tr>
        <w:trPr>
          <w:trHeight w:val="216"/>
        </w:trPr>
        <w:tc>
          <w:tcPr>
            <w:tcW w:w="2300" w:type="dxa"/>
            <w:vAlign w:val="bottom"/>
          </w:tcPr>
          <w:p>
            <w:pPr>
              <w:spacing w:after="0"/>
              <w:rPr>
                <w:sz w:val="18"/>
                <w:szCs w:val="18"/>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Attn:</w:t>
            </w:r>
          </w:p>
        </w:tc>
        <w:tc>
          <w:tcPr>
            <w:tcW w:w="2340" w:type="dxa"/>
            <w:vAlign w:val="bottom"/>
          </w:tcPr>
          <w:p>
            <w:pPr>
              <w:ind w:left="160"/>
              <w:spacing w:after="0"/>
              <w:rPr>
                <w:sz w:val="20"/>
                <w:szCs w:val="20"/>
                <w:color w:val="auto"/>
              </w:rPr>
            </w:pPr>
            <w:r>
              <w:rPr>
                <w:rFonts w:ascii="Arial" w:cs="Arial" w:eastAsia="Arial" w:hAnsi="Arial"/>
                <w:sz w:val="18"/>
                <w:szCs w:val="18"/>
                <w:color w:val="auto"/>
              </w:rPr>
              <w:t>Ryan Roller</w:t>
            </w:r>
          </w:p>
        </w:tc>
      </w:tr>
      <w:tr>
        <w:trPr>
          <w:trHeight w:val="230"/>
        </w:trPr>
        <w:tc>
          <w:tcPr>
            <w:tcW w:w="2300" w:type="dxa"/>
            <w:vAlign w:val="bottom"/>
          </w:tcPr>
          <w:p>
            <w:pPr>
              <w:spacing w:after="0"/>
              <w:rPr>
                <w:sz w:val="20"/>
                <w:szCs w:val="20"/>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Email:</w:t>
            </w:r>
          </w:p>
        </w:tc>
        <w:tc>
          <w:tcPr>
            <w:tcW w:w="2340" w:type="dxa"/>
            <w:vAlign w:val="bottom"/>
          </w:tcPr>
          <w:p>
            <w:pPr>
              <w:ind w:left="180"/>
              <w:spacing w:after="0"/>
              <w:rPr>
                <w:sz w:val="20"/>
                <w:szCs w:val="20"/>
                <w:color w:val="auto"/>
              </w:rPr>
            </w:pPr>
            <w:r>
              <w:rPr>
                <w:rFonts w:ascii="Arial" w:cs="Arial" w:eastAsia="Arial" w:hAnsi="Arial"/>
                <w:sz w:val="18"/>
                <w:szCs w:val="18"/>
                <w:color w:val="auto"/>
              </w:rPr>
              <w:t>RRoller@svb.com</w:t>
            </w:r>
          </w:p>
        </w:tc>
      </w:tr>
      <w:tr>
        <w:trPr>
          <w:trHeight w:val="431"/>
        </w:trPr>
        <w:tc>
          <w:tcPr>
            <w:tcW w:w="2300" w:type="dxa"/>
            <w:vAlign w:val="bottom"/>
          </w:tcPr>
          <w:p>
            <w:pPr>
              <w:spacing w:after="0"/>
              <w:rPr>
                <w:sz w:val="20"/>
                <w:szCs w:val="20"/>
                <w:color w:val="auto"/>
              </w:rPr>
            </w:pPr>
            <w:r>
              <w:rPr>
                <w:rFonts w:ascii="Arial" w:cs="Arial" w:eastAsia="Arial" w:hAnsi="Arial"/>
                <w:sz w:val="18"/>
                <w:szCs w:val="18"/>
                <w:color w:val="auto"/>
              </w:rPr>
              <w:t>with a copy to:</w:t>
            </w: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Riemer &amp; Braunstein LLP</w:t>
            </w:r>
          </w:p>
        </w:tc>
      </w:tr>
      <w:tr>
        <w:trPr>
          <w:trHeight w:val="216"/>
        </w:trPr>
        <w:tc>
          <w:tcPr>
            <w:tcW w:w="2300" w:type="dxa"/>
            <w:vAlign w:val="bottom"/>
          </w:tcPr>
          <w:p>
            <w:pPr>
              <w:spacing w:after="0"/>
              <w:rPr>
                <w:sz w:val="18"/>
                <w:szCs w:val="18"/>
                <w:color w:val="auto"/>
              </w:rPr>
            </w:pP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Three Center Plaza</w:t>
            </w:r>
          </w:p>
        </w:tc>
      </w:tr>
      <w:tr>
        <w:trPr>
          <w:trHeight w:val="216"/>
        </w:trPr>
        <w:tc>
          <w:tcPr>
            <w:tcW w:w="2300" w:type="dxa"/>
            <w:vAlign w:val="bottom"/>
          </w:tcPr>
          <w:p>
            <w:pPr>
              <w:spacing w:after="0"/>
              <w:rPr>
                <w:sz w:val="18"/>
                <w:szCs w:val="18"/>
                <w:color w:val="auto"/>
              </w:rPr>
            </w:pPr>
          </w:p>
        </w:tc>
        <w:tc>
          <w:tcPr>
            <w:tcW w:w="4180" w:type="dxa"/>
            <w:vAlign w:val="bottom"/>
            <w:gridSpan w:val="2"/>
          </w:tcPr>
          <w:p>
            <w:pPr>
              <w:ind w:left="1220"/>
              <w:spacing w:after="0"/>
              <w:rPr>
                <w:sz w:val="20"/>
                <w:szCs w:val="20"/>
                <w:color w:val="auto"/>
              </w:rPr>
            </w:pPr>
            <w:r>
              <w:rPr>
                <w:rFonts w:ascii="Arial" w:cs="Arial" w:eastAsia="Arial" w:hAnsi="Arial"/>
                <w:sz w:val="18"/>
                <w:szCs w:val="18"/>
                <w:color w:val="auto"/>
              </w:rPr>
              <w:t>Boston, Massachusetts 02108</w:t>
            </w:r>
          </w:p>
        </w:tc>
      </w:tr>
      <w:tr>
        <w:trPr>
          <w:trHeight w:val="216"/>
        </w:trPr>
        <w:tc>
          <w:tcPr>
            <w:tcW w:w="2300" w:type="dxa"/>
            <w:vAlign w:val="bottom"/>
          </w:tcPr>
          <w:p>
            <w:pPr>
              <w:spacing w:after="0"/>
              <w:rPr>
                <w:sz w:val="18"/>
                <w:szCs w:val="18"/>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Attn:</w:t>
            </w:r>
          </w:p>
        </w:tc>
        <w:tc>
          <w:tcPr>
            <w:tcW w:w="2340" w:type="dxa"/>
            <w:vAlign w:val="bottom"/>
          </w:tcPr>
          <w:p>
            <w:pPr>
              <w:ind w:left="160"/>
              <w:spacing w:after="0"/>
              <w:rPr>
                <w:sz w:val="20"/>
                <w:szCs w:val="20"/>
                <w:color w:val="auto"/>
              </w:rPr>
            </w:pPr>
            <w:r>
              <w:rPr>
                <w:rFonts w:ascii="Arial" w:cs="Arial" w:eastAsia="Arial" w:hAnsi="Arial"/>
                <w:sz w:val="18"/>
                <w:szCs w:val="18"/>
                <w:color w:val="auto"/>
              </w:rPr>
              <w:t>David A. Ephraim, Esquire</w:t>
            </w:r>
          </w:p>
        </w:tc>
      </w:tr>
      <w:tr>
        <w:trPr>
          <w:trHeight w:val="216"/>
        </w:trPr>
        <w:tc>
          <w:tcPr>
            <w:tcW w:w="2300" w:type="dxa"/>
            <w:vAlign w:val="bottom"/>
          </w:tcPr>
          <w:p>
            <w:pPr>
              <w:spacing w:after="0"/>
              <w:rPr>
                <w:sz w:val="18"/>
                <w:szCs w:val="18"/>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Fax:</w:t>
            </w:r>
          </w:p>
        </w:tc>
        <w:tc>
          <w:tcPr>
            <w:tcW w:w="2340" w:type="dxa"/>
            <w:vAlign w:val="bottom"/>
          </w:tcPr>
          <w:p>
            <w:pPr>
              <w:ind w:left="140"/>
              <w:spacing w:after="0"/>
              <w:rPr>
                <w:sz w:val="20"/>
                <w:szCs w:val="20"/>
                <w:color w:val="auto"/>
              </w:rPr>
            </w:pPr>
            <w:r>
              <w:rPr>
                <w:rFonts w:ascii="Arial" w:cs="Arial" w:eastAsia="Arial" w:hAnsi="Arial"/>
                <w:sz w:val="18"/>
                <w:szCs w:val="18"/>
                <w:color w:val="auto"/>
              </w:rPr>
              <w:t>(617) 880-3456</w:t>
            </w:r>
          </w:p>
        </w:tc>
      </w:tr>
      <w:tr>
        <w:trPr>
          <w:trHeight w:val="230"/>
        </w:trPr>
        <w:tc>
          <w:tcPr>
            <w:tcW w:w="2300" w:type="dxa"/>
            <w:vAlign w:val="bottom"/>
          </w:tcPr>
          <w:p>
            <w:pPr>
              <w:spacing w:after="0"/>
              <w:rPr>
                <w:sz w:val="20"/>
                <w:szCs w:val="20"/>
                <w:color w:val="auto"/>
              </w:rPr>
            </w:pPr>
          </w:p>
        </w:tc>
        <w:tc>
          <w:tcPr>
            <w:tcW w:w="1840" w:type="dxa"/>
            <w:vAlign w:val="bottom"/>
          </w:tcPr>
          <w:p>
            <w:pPr>
              <w:ind w:left="1220"/>
              <w:spacing w:after="0"/>
              <w:rPr>
                <w:sz w:val="20"/>
                <w:szCs w:val="20"/>
                <w:color w:val="auto"/>
              </w:rPr>
            </w:pPr>
            <w:r>
              <w:rPr>
                <w:rFonts w:ascii="Arial" w:cs="Arial" w:eastAsia="Arial" w:hAnsi="Arial"/>
                <w:sz w:val="18"/>
                <w:szCs w:val="18"/>
                <w:color w:val="auto"/>
              </w:rPr>
              <w:t>Email:</w:t>
            </w:r>
          </w:p>
        </w:tc>
        <w:tc>
          <w:tcPr>
            <w:tcW w:w="2340" w:type="dxa"/>
            <w:vAlign w:val="bottom"/>
          </w:tcPr>
          <w:p>
            <w:pPr>
              <w:ind w:left="180"/>
              <w:spacing w:after="0"/>
              <w:rPr>
                <w:sz w:val="20"/>
                <w:szCs w:val="20"/>
                <w:color w:val="auto"/>
              </w:rPr>
            </w:pPr>
            <w:r>
              <w:rPr>
                <w:rFonts w:ascii="Arial" w:cs="Arial" w:eastAsia="Arial" w:hAnsi="Arial"/>
                <w:sz w:val="18"/>
                <w:szCs w:val="18"/>
                <w:color w:val="auto"/>
                <w:w w:val="99"/>
              </w:rPr>
              <w:t>DEphraim@riemerlaw.com</w:t>
            </w:r>
          </w:p>
        </w:tc>
      </w:tr>
    </w:tbl>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00" w:hanging="446"/>
        <w:spacing w:after="0"/>
        <w:tabs>
          <w:tab w:leader="none" w:pos="900"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Except as otherwise expressly provided in any of the Loan Documents, Massachusetts law governs the Loan Documents without regard to principles of conflicts of law. Borrower and Bank each submit to the exclusive jurisdiction of the State and Federal courts in Boston, Massachusetts;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65"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r>
        <w:rPr>
          <w:rFonts w:ascii="Arial" w:cs="Arial" w:eastAsia="Arial" w:hAnsi="Arial"/>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Section 11 shall survive the termination of this Agreement.</w:t>
      </w:r>
    </w:p>
    <w:p>
      <w:pPr>
        <w:spacing w:after="0" w:line="248" w:lineRule="exact"/>
        <w:rPr>
          <w:sz w:val="20"/>
          <w:szCs w:val="20"/>
          <w:color w:val="auto"/>
        </w:rPr>
      </w:pPr>
    </w:p>
    <w:p>
      <w:pPr>
        <w:ind w:left="900" w:hanging="446"/>
        <w:spacing w:after="0"/>
        <w:tabs>
          <w:tab w:leader="none" w:pos="900"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3" w:right="259" w:bottom="1440" w:gutter="0" w:footer="0" w:header="0"/>
        </w:sectPr>
      </w:pPr>
    </w:p>
    <w:bookmarkStart w:id="568" w:name="page569"/>
    <w:bookmarkEnd w:id="568"/>
    <w:p>
      <w:pPr>
        <w:ind w:firstLine="456"/>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12.1 Termination Prior to Term Loan Maturity Date; Survival</w:t>
      </w:r>
      <w:r>
        <w:rPr>
          <w:rFonts w:ascii="Arial" w:cs="Arial" w:eastAsia="Arial" w:hAnsi="Arial"/>
          <w:sz w:val="16"/>
          <w:szCs w:val="16"/>
          <w:color w:val="auto"/>
        </w:rPr>
        <w:t>. All covenants, representations and warranties made in this Agreement continue in</w:t>
      </w:r>
      <w:r>
        <w:rPr>
          <w:rFonts w:ascii="Arial" w:cs="Arial" w:eastAsia="Arial" w:hAnsi="Arial"/>
          <w:sz w:val="16"/>
          <w:szCs w:val="16"/>
          <w:b w:val="1"/>
          <w:bCs w:val="1"/>
          <w:color w:val="auto"/>
        </w:rPr>
        <w:t xml:space="preserve"> </w:t>
      </w:r>
      <w:r>
        <w:rPr>
          <w:rFonts w:ascii="Arial" w:cs="Arial" w:eastAsia="Arial" w:hAnsi="Arial"/>
          <w:sz w:val="16"/>
          <w:szCs w:val="16"/>
          <w:color w:val="auto"/>
        </w:rPr>
        <w:t>full force until this Agreement has terminated pursuant to its terms and all Obligations (other than inchoate indemnity obligations, and any other obligations which, by their terms, are to survive termination of this Agreement) have been satisfied. So long as Borrower has satisfied the Obligations (other than inchoate indemnity obligations, any other obligations which, by their terms, are to survive the termination of this Agreement, and any Obligations under Bank Services Agreements that are cash collateralized in accordance with Section 4.1 of this Agreement), this Agreement may be terminated prior to the Term Loan Maturity Date by Borrower, effective three (3) Business Days after written notice of termination is given to Bank. Those obligations that are expressly specified in this Agreement as surviving this Agreement’s termination shall continue to survive notwithstanding this Agreement’s termination.</w:t>
      </w:r>
    </w:p>
    <w:p>
      <w:pPr>
        <w:spacing w:after="0" w:line="162"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12.2 Successors and Assigns</w:t>
      </w:r>
      <w:r>
        <w:rPr>
          <w:rFonts w:ascii="Arial" w:cs="Arial" w:eastAsia="Arial" w:hAnsi="Arial"/>
          <w:sz w:val="18"/>
          <w:szCs w:val="18"/>
          <w:color w:val="auto"/>
        </w:rPr>
        <w:t>. This Agreement binds and is for the benefit of the successors and permitted assigns of each party. Borrower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 part of, or any interest in, Bank’s obligations, rights, and benefits under this Agreement and the other Loan Documents (other than the Warrant, as to which assignment, transfer and other such actions are governed by the terms thereof).</w:t>
      </w:r>
    </w:p>
    <w:p>
      <w:pPr>
        <w:spacing w:after="0" w:line="18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12.3 Indemnification</w:t>
      </w:r>
      <w:r>
        <w:rPr>
          <w:rFonts w:ascii="Arial" w:cs="Arial" w:eastAsia="Arial" w:hAnsi="Arial"/>
          <w:sz w:val="18"/>
          <w:szCs w:val="18"/>
          <w:color w:val="auto"/>
        </w:rPr>
        <w:t>. Borrower agrees to indemnify, defend and hold Bank and its directors, officers, employees, agents, attorneys,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affiliated with or representing Bank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harmless against: (i) all obligations, demands, claims, and liabilities (collectively, “</w:t>
      </w:r>
      <w:r>
        <w:rPr>
          <w:rFonts w:ascii="Arial" w:cs="Arial" w:eastAsia="Arial" w:hAnsi="Arial"/>
          <w:sz w:val="18"/>
          <w:szCs w:val="18"/>
          <w:b w:val="1"/>
          <w:bCs w:val="1"/>
          <w:color w:val="auto"/>
        </w:rPr>
        <w:t>Claims</w:t>
      </w:r>
      <w:r>
        <w:rPr>
          <w:rFonts w:ascii="Arial" w:cs="Arial" w:eastAsia="Arial" w:hAnsi="Arial"/>
          <w:sz w:val="18"/>
          <w:szCs w:val="18"/>
          <w:color w:val="auto"/>
        </w:rPr>
        <w:t>”) claimed or asserted by any other party in connection with the transactions contemplated by the Loan Documents; and (ii) all losses or expenses (including Bank Expenses) in any way suffered, incurred, or paid by such Indemnified Person as a result of, following from, consequential to, or arising from transactions between Bank and Borrower (including reasonable attorneys’ fees and expenses), except for Claims and/or losses directly caused by such Indemnified Person’s gross negligence or willful misconduct.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12.3 shall survive until all statutes of limitation with respect to the Claims, losses, and expenses for which indemnity is given shall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12.4 Time of Essence</w:t>
      </w:r>
      <w:r>
        <w:rPr>
          <w:rFonts w:ascii="Arial" w:cs="Arial" w:eastAsia="Arial" w:hAnsi="Arial"/>
          <w:sz w:val="18"/>
          <w:szCs w:val="18"/>
          <w:color w:val="auto"/>
        </w:rPr>
        <w:t>. Time is of the essence for the performance of all Obligations in this Agreement.</w:t>
      </w:r>
    </w:p>
    <w:p>
      <w:pPr>
        <w:spacing w:after="0" w:line="225"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12.5 Severability of Provisions</w:t>
      </w:r>
      <w:r>
        <w:rPr>
          <w:rFonts w:ascii="Arial" w:cs="Arial" w:eastAsia="Arial" w:hAnsi="Arial"/>
          <w:sz w:val="18"/>
          <w:szCs w:val="18"/>
          <w:color w:val="auto"/>
        </w:rPr>
        <w:t>. Each provision of this Agreement is severable from every other provision in determining the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w:t>
      </w:r>
    </w:p>
    <w:p>
      <w:pPr>
        <w:spacing w:after="0" w:line="162" w:lineRule="exact"/>
        <w:rPr>
          <w:sz w:val="20"/>
          <w:szCs w:val="20"/>
          <w:color w:val="auto"/>
        </w:rPr>
      </w:pPr>
    </w:p>
    <w:p>
      <w:pPr>
        <w:jc w:val="both"/>
        <w:ind w:right="200" w:firstLine="456"/>
        <w:spacing w:after="0" w:line="347" w:lineRule="auto"/>
        <w:rPr>
          <w:sz w:val="20"/>
          <w:szCs w:val="20"/>
          <w:color w:val="auto"/>
        </w:rPr>
      </w:pPr>
      <w:r>
        <w:rPr>
          <w:rFonts w:ascii="Arial" w:cs="Arial" w:eastAsia="Arial" w:hAnsi="Arial"/>
          <w:sz w:val="16"/>
          <w:szCs w:val="16"/>
          <w:b w:val="1"/>
          <w:bCs w:val="1"/>
          <w:color w:val="auto"/>
        </w:rPr>
        <w:t>12.6 Correction of Loan Documents</w:t>
      </w:r>
      <w:r>
        <w:rPr>
          <w:rFonts w:ascii="Arial" w:cs="Arial" w:eastAsia="Arial" w:hAnsi="Arial"/>
          <w:sz w:val="16"/>
          <w:szCs w:val="16"/>
          <w:color w:val="auto"/>
        </w:rPr>
        <w:t>. Bank may correct patent errors and fill in any blanks in the Loan Documents consistent with the agreement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so long as Bank provides Borrower with written notice of such correction and allows Borrower at least ten (10) days to object to such correction.</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color w:val="auto"/>
        </w:rPr>
        <w:t>12.7 Amendments in Writing; Waiver; Integration</w:t>
      </w:r>
      <w:r>
        <w:rPr>
          <w:rFonts w:ascii="Arial" w:cs="Arial" w:eastAsia="Arial" w:hAnsi="Arial"/>
          <w:sz w:val="18"/>
          <w:szCs w:val="18"/>
          <w:color w:val="auto"/>
        </w:rPr>
        <w:t>. No purported amendment or modification of any Loan Document, or waiver, discharge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89"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12.8 Counterparts</w:t>
      </w:r>
      <w:r>
        <w:rPr>
          <w:rFonts w:ascii="Arial" w:cs="Arial" w:eastAsia="Arial" w:hAnsi="Arial"/>
          <w:sz w:val="18"/>
          <w:szCs w:val="18"/>
          <w:color w:val="auto"/>
        </w:rPr>
        <w:t>. This Agreement may be executed in any number of counterparts and by different parties on separate counterparts,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when executed and delivered, is an original, and all taken together, constitute one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569" w:name="page570"/>
    <w:bookmarkEnd w:id="569"/>
    <w:p>
      <w:pPr>
        <w:ind w:right="20" w:firstLine="456"/>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12.9 Confidentiality</w:t>
      </w:r>
      <w:r>
        <w:rPr>
          <w:rFonts w:ascii="Arial" w:cs="Arial" w:eastAsia="Arial" w:hAnsi="Arial"/>
          <w:sz w:val="17"/>
          <w:szCs w:val="17"/>
          <w:color w:val="auto"/>
        </w:rPr>
        <w:t>. In handling any confidential information, Bank shall exercise the same degree of care that it exercises for its own proprietary</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but disclosure of information may be made: (a) to Bank’s Subsidiaries or Affiliates (such Subsidiaries and Affiliates, together with Bank, collectively, “</w:t>
      </w:r>
      <w:r>
        <w:rPr>
          <w:rFonts w:ascii="Arial" w:cs="Arial" w:eastAsia="Arial" w:hAnsi="Arial"/>
          <w:sz w:val="17"/>
          <w:szCs w:val="17"/>
          <w:b w:val="1"/>
          <w:bCs w:val="1"/>
          <w:color w:val="auto"/>
        </w:rPr>
        <w:t>Bank Entities</w:t>
      </w:r>
      <w:r>
        <w:rPr>
          <w:rFonts w:ascii="Arial" w:cs="Arial" w:eastAsia="Arial" w:hAnsi="Arial"/>
          <w:sz w:val="17"/>
          <w:szCs w:val="17"/>
          <w:color w:val="auto"/>
        </w:rPr>
        <w:t>”); (b) to prospective transferees or purchasers of any interest in the Credit Extensions (provided, however, Bank shall use its best efforts to obtain any prospective transferee’s or purchaser’s agreement to the terms of this provision); (c) as required by law, regulation, subpoena, or other order; (d) to Bank’s regulators or as otherwise required in connection with Bank’s examination or audit; (e) 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82"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Bank Entities may use anonymous forms of confidential information for aggregate datasets, for analyses or reporting, and for any other uses not expressly prohibited in writing by Borrower. The provisions of the immediately preceding sentence shall survive termination of this Agreement.</w:t>
      </w:r>
    </w:p>
    <w:p>
      <w:pPr>
        <w:spacing w:after="0" w:line="12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color w:val="auto"/>
        </w:rPr>
        <w:t xml:space="preserve">12.10 Right of Set Off. </w:t>
      </w:r>
      <w:r>
        <w:rPr>
          <w:rFonts w:ascii="Arial" w:cs="Arial" w:eastAsia="Arial" w:hAnsi="Arial"/>
          <w:sz w:val="17"/>
          <w:szCs w:val="17"/>
          <w:color w:val="auto"/>
        </w:rPr>
        <w:t>Borrower hereby grants to Bank, a lien, security interest and right of set off as security for all Obligations to Bank,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now existing or hereafter arising upon and against all deposits, credits, collateral and property, now or hereafter in the possession, custody, safekeeping or control of Bank or any entity under the control of Bank (including a Bank subsidiary) or in transit to any of them. At any time after the occurrence and during the continuance of an Event of Default, without demand or notice, Bank may set off the same or any part thereof and apply the same to any Obligations of Borrower then due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72" w:lineRule="exact"/>
        <w:rPr>
          <w:sz w:val="20"/>
          <w:szCs w:val="20"/>
          <w:color w:val="auto"/>
        </w:rPr>
      </w:pPr>
    </w:p>
    <w:p>
      <w:pPr>
        <w:ind w:right="260" w:firstLine="456"/>
        <w:spacing w:after="0" w:line="281" w:lineRule="auto"/>
        <w:rPr>
          <w:sz w:val="20"/>
          <w:szCs w:val="20"/>
          <w:color w:val="auto"/>
        </w:rPr>
      </w:pPr>
      <w:r>
        <w:rPr>
          <w:rFonts w:ascii="Arial" w:cs="Arial" w:eastAsia="Arial" w:hAnsi="Arial"/>
          <w:sz w:val="17"/>
          <w:szCs w:val="17"/>
          <w:b w:val="1"/>
          <w:bCs w:val="1"/>
          <w:color w:val="auto"/>
        </w:rPr>
        <w:t>12.11 Electronic Execution of Documents</w:t>
      </w:r>
      <w:r>
        <w:rPr>
          <w:rFonts w:ascii="Arial" w:cs="Arial" w:eastAsia="Arial" w:hAnsi="Arial"/>
          <w:sz w:val="17"/>
          <w:szCs w:val="17"/>
          <w:color w:val="auto"/>
        </w:rPr>
        <w:t>. The words “execution,” “signed,” “signature” and words of like import in any Loan Document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12.12 Captions</w:t>
      </w:r>
      <w:r>
        <w:rPr>
          <w:rFonts w:ascii="Arial" w:cs="Arial" w:eastAsia="Arial" w:hAnsi="Arial"/>
          <w:sz w:val="18"/>
          <w:szCs w:val="18"/>
          <w:color w:val="auto"/>
        </w:rPr>
        <w:t>. The headings used in this Agreement are for convenience only and shall not affect the interpretation of this Agreement.</w:t>
      </w:r>
    </w:p>
    <w:p>
      <w:pPr>
        <w:spacing w:after="0" w:line="225" w:lineRule="exact"/>
        <w:rPr>
          <w:sz w:val="20"/>
          <w:szCs w:val="20"/>
          <w:color w:val="auto"/>
        </w:rPr>
      </w:pPr>
    </w:p>
    <w:p>
      <w:pPr>
        <w:ind w:firstLine="456"/>
        <w:spacing w:after="0" w:line="347" w:lineRule="auto"/>
        <w:rPr>
          <w:sz w:val="20"/>
          <w:szCs w:val="20"/>
          <w:color w:val="auto"/>
        </w:rPr>
      </w:pPr>
      <w:r>
        <w:rPr>
          <w:rFonts w:ascii="Arial" w:cs="Arial" w:eastAsia="Arial" w:hAnsi="Arial"/>
          <w:sz w:val="16"/>
          <w:szCs w:val="16"/>
          <w:b w:val="1"/>
          <w:bCs w:val="1"/>
          <w:color w:val="auto"/>
        </w:rPr>
        <w:t>12.13 Construction of Agreement</w:t>
      </w:r>
      <w:r>
        <w:rPr>
          <w:rFonts w:ascii="Arial" w:cs="Arial" w:eastAsia="Arial" w:hAnsi="Arial"/>
          <w:sz w:val="16"/>
          <w:szCs w:val="16"/>
          <w:color w:val="auto"/>
        </w:rPr>
        <w:t>. The parties mutually acknowledge that they and their attorneys have participated in the preparation and negotiation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In cases of uncertainty this Agreement shall be construed without regard to which of the parties caused the uncertainty to exist.</w:t>
      </w:r>
    </w:p>
    <w:p>
      <w:pPr>
        <w:spacing w:after="0" w:line="116" w:lineRule="exact"/>
        <w:rPr>
          <w:sz w:val="20"/>
          <w:szCs w:val="20"/>
          <w:color w:val="auto"/>
        </w:rPr>
      </w:pPr>
    </w:p>
    <w:p>
      <w:pPr>
        <w:ind w:right="420" w:firstLine="456"/>
        <w:spacing w:after="0" w:line="266" w:lineRule="auto"/>
        <w:rPr>
          <w:sz w:val="20"/>
          <w:szCs w:val="20"/>
          <w:color w:val="auto"/>
        </w:rPr>
      </w:pPr>
      <w:r>
        <w:rPr>
          <w:rFonts w:ascii="Arial" w:cs="Arial" w:eastAsia="Arial" w:hAnsi="Arial"/>
          <w:sz w:val="18"/>
          <w:szCs w:val="18"/>
          <w:b w:val="1"/>
          <w:bCs w:val="1"/>
          <w:color w:val="auto"/>
        </w:rPr>
        <w:t>12.14 Relationship</w:t>
      </w:r>
      <w:r>
        <w:rPr>
          <w:rFonts w:ascii="Arial" w:cs="Arial" w:eastAsia="Arial" w:hAnsi="Arial"/>
          <w:sz w:val="18"/>
          <w:szCs w:val="18"/>
          <w:color w:val="auto"/>
        </w:rPr>
        <w:t>. The relationship of the parties to this Agreement is determined solely by the provisions of this Agreement. The parties do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 to create any agency, partnership, joint venture, trust, fiduciary or other relationship with duties or incidents different from those of parties to an arm’s-length contract.</w:t>
      </w:r>
    </w:p>
    <w:p>
      <w:pPr>
        <w:spacing w:after="0" w:line="176"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12.15 Third Parties</w:t>
      </w:r>
      <w:r>
        <w:rPr>
          <w:rFonts w:ascii="Arial" w:cs="Arial" w:eastAsia="Arial" w:hAnsi="Arial"/>
          <w:sz w:val="18"/>
          <w:szCs w:val="18"/>
          <w:color w:val="auto"/>
        </w:rPr>
        <w:t>. Nothing in this Agreement, whether express or implied, is intended to: (a) confer any benefits, rights or remedies under or by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207" w:lineRule="exact"/>
        <w:rPr>
          <w:sz w:val="20"/>
          <w:szCs w:val="20"/>
          <w:color w:val="auto"/>
        </w:rPr>
      </w:pPr>
    </w:p>
    <w:p>
      <w:pPr>
        <w:ind w:left="900" w:hanging="446"/>
        <w:spacing w:after="0"/>
        <w:tabs>
          <w:tab w:leader="none" w:pos="900"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570" w:name="page571"/>
    <w:bookmarkEnd w:id="570"/>
    <w:p>
      <w:pPr>
        <w:ind w:right="6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13.1 Definitions</w:t>
      </w:r>
      <w:r>
        <w:rPr>
          <w:rFonts w:ascii="Arial" w:cs="Arial" w:eastAsia="Arial" w:hAnsi="Arial"/>
          <w:sz w:val="18"/>
          <w:szCs w:val="18"/>
          <w:color w:val="auto"/>
        </w:rPr>
        <w:t>. As used in the Loan Documents, the word “shall” is mandatory, the word “may” is permissive, the word “or” is not exclusive, the</w:t>
      </w:r>
      <w:r>
        <w:rPr>
          <w:rFonts w:ascii="Arial" w:cs="Arial" w:eastAsia="Arial" w:hAnsi="Arial"/>
          <w:sz w:val="18"/>
          <w:szCs w:val="18"/>
          <w:b w:val="1"/>
          <w:bCs w:val="1"/>
          <w:color w:val="auto"/>
        </w:rPr>
        <w:t xml:space="preserve"> </w:t>
      </w:r>
      <w:r>
        <w:rPr>
          <w:rFonts w:ascii="Arial" w:cs="Arial" w:eastAsia="Arial" w:hAnsi="Arial"/>
          <w:sz w:val="18"/>
          <w:szCs w:val="18"/>
          <w:color w:val="auto"/>
        </w:rPr>
        <w:t>words “includes” and “including” are not limiting, the singular includes the plural, and numbers denoting amounts that are set off in brackets are negative. As used in this Agreement, the following capitalized terms have the following meanings:</w:t>
      </w:r>
    </w:p>
    <w:p>
      <w:pPr>
        <w:spacing w:after="0" w:line="176"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means November 1, 2018; provided that upon the Funding Date of the initial Tranche 3 Advance, the Amortization Date shall mean May, 1, 2019.</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Australian Subsidiary</w:t>
      </w:r>
      <w:r>
        <w:rPr>
          <w:rFonts w:ascii="Arial" w:cs="Arial" w:eastAsia="Arial" w:hAnsi="Arial"/>
          <w:sz w:val="18"/>
          <w:szCs w:val="18"/>
          <w:color w:val="auto"/>
        </w:rPr>
        <w:t>” is AvroBio, Inc., an Australian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Entities</w:t>
      </w:r>
      <w:r>
        <w:rPr>
          <w:rFonts w:ascii="Arial" w:cs="Arial" w:eastAsia="Arial" w:hAnsi="Arial"/>
          <w:sz w:val="18"/>
          <w:szCs w:val="18"/>
          <w:color w:val="auto"/>
        </w:rPr>
        <w:t>” is defined in Section 12.9.</w:t>
      </w:r>
    </w:p>
    <w:p>
      <w:pPr>
        <w:spacing w:after="0" w:line="225" w:lineRule="exact"/>
        <w:rPr>
          <w:sz w:val="20"/>
          <w:szCs w:val="20"/>
          <w:color w:val="auto"/>
        </w:rPr>
      </w:pPr>
    </w:p>
    <w:p>
      <w:pPr>
        <w:ind w:right="3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Expenses</w:t>
      </w:r>
      <w:r>
        <w:rPr>
          <w:rFonts w:ascii="Arial" w:cs="Arial" w:eastAsia="Arial" w:hAnsi="Arial"/>
          <w:sz w:val="18"/>
          <w:szCs w:val="18"/>
          <w:color w:val="auto"/>
        </w:rPr>
        <w:t>” are all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w:t>
      </w:r>
    </w:p>
    <w:p>
      <w:pPr>
        <w:spacing w:after="0" w:line="17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Services</w:t>
      </w:r>
      <w:r>
        <w:rPr>
          <w:rFonts w:ascii="Arial" w:cs="Arial" w:eastAsia="Arial" w:hAnsi="Arial"/>
          <w:sz w:val="17"/>
          <w:szCs w:val="17"/>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7"/>
          <w:szCs w:val="17"/>
          <w:b w:val="1"/>
          <w:bCs w:val="1"/>
          <w:color w:val="auto"/>
        </w:rPr>
        <w:t>Bank Services Agreement</w:t>
      </w:r>
      <w:r>
        <w:rPr>
          <w:rFonts w:ascii="Arial" w:cs="Arial" w:eastAsia="Arial" w:hAnsi="Arial"/>
          <w:sz w:val="17"/>
          <w:szCs w:val="17"/>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 Agreement</w:t>
      </w:r>
      <w:r>
        <w:rPr>
          <w:rFonts w:ascii="Arial" w:cs="Arial" w:eastAsia="Arial" w:hAnsi="Arial"/>
          <w:sz w:val="18"/>
          <w:szCs w:val="18"/>
          <w:color w:val="auto"/>
        </w:rPr>
        <w:t>” is defined in the definition of “Bank Services”.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is Borrower’s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38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1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Resolutions</w:t>
      </w:r>
      <w:r>
        <w:rPr>
          <w:rFonts w:ascii="Arial" w:cs="Arial" w:eastAsia="Arial" w:hAnsi="Arial"/>
          <w:sz w:val="18"/>
          <w:szCs w:val="18"/>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571" w:name="page572"/>
    <w:bookmarkEnd w:id="571"/>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correct, and complete copy of the resolutions then in full force and effect authorizing and ratifying the execution, delivery, and performance by such Person of the Loan Documents to which it is a party, (c) the name(s) of the Person(s) authorized to execute the Loan Documents, including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Bank is closed.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Subsidiary</w:t>
      </w:r>
      <w:r>
        <w:rPr>
          <w:rFonts w:ascii="Arial" w:cs="Arial" w:eastAsia="Arial" w:hAnsi="Arial"/>
          <w:sz w:val="18"/>
          <w:szCs w:val="18"/>
          <w:color w:val="auto"/>
        </w:rPr>
        <w:t>” is AvroBio, Inc., a Canadian corporation.</w:t>
      </w:r>
    </w:p>
    <w:p>
      <w:pPr>
        <w:spacing w:after="0" w:line="225"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ninety-five percent (95.0%) of the assets of which constitute Cash Equivalents of the kinds described in clauses (a) through (c) of this definition.</w:t>
      </w:r>
    </w:p>
    <w:p>
      <w:pPr>
        <w:spacing w:after="0" w:line="18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forty percent (40.0%) or more of the ordinary voting power for the election of directors of Borrower (determined on a fully diluted basis)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(b) during any period of twelve (12) consecutive months, a majority of the members of the board of directors or other equivalent governing body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one hundred percent (100.0%) of each class of outstanding capital stock of each Subsidiary of Borrower free and clear of all Liens (except Liens created by this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22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is the Uniform Commercial Code, as the same may, from time to time, be enacted and in effect in the Commonwealth of Massachusetts;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Commonwealth of Massachusetts, the term “</w:t>
      </w:r>
      <w:r>
        <w:rPr>
          <w:rFonts w:ascii="Arial" w:cs="Arial" w:eastAsia="Arial" w:hAnsi="Arial"/>
          <w:sz w:val="17"/>
          <w:szCs w:val="17"/>
          <w:b w:val="1"/>
          <w:bCs w:val="1"/>
          <w:color w:val="auto"/>
        </w:rPr>
        <w:t>Code</w:t>
      </w:r>
      <w:r>
        <w:rPr>
          <w:rFonts w:ascii="Arial" w:cs="Arial" w:eastAsia="Arial" w:hAnsi="Arial"/>
          <w:sz w:val="17"/>
          <w:szCs w:val="17"/>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3" w:right="259" w:bottom="1440" w:gutter="0" w:footer="0" w:header="0"/>
        </w:sectPr>
      </w:pPr>
    </w:p>
    <w:bookmarkStart w:id="572" w:name="page573"/>
    <w:bookmarkEnd w:id="57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Commodity Account</w:t>
      </w:r>
      <w:r>
        <w:rPr>
          <w:rFonts w:ascii="Arial" w:cs="Arial" w:eastAsia="Arial" w:hAnsi="Arial"/>
          <w:sz w:val="18"/>
          <w:szCs w:val="18"/>
          <w:color w:val="auto"/>
        </w:rPr>
        <w:t>” is any “commodity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0" w:lineRule="exact"/>
        <w:rPr>
          <w:sz w:val="20"/>
          <w:szCs w:val="20"/>
          <w:color w:val="auto"/>
        </w:rPr>
      </w:pPr>
    </w:p>
    <w:p>
      <w:pPr>
        <w:ind w:right="20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 Agreement</w:t>
      </w:r>
      <w:r>
        <w:rPr>
          <w:rFonts w:ascii="Arial" w:cs="Arial" w:eastAsia="Arial" w:hAnsi="Arial"/>
          <w:sz w:val="16"/>
          <w:szCs w:val="16"/>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42"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Term Loan Advance, or any other extension of credit by Bank for Borrower’s benefit.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2.2(b).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Deposit Account</w:t>
      </w:r>
      <w:r>
        <w:rPr>
          <w:rFonts w:ascii="Arial" w:cs="Arial" w:eastAsia="Arial" w:hAnsi="Arial"/>
          <w:sz w:val="16"/>
          <w:szCs w:val="16"/>
          <w:color w:val="auto"/>
        </w:rPr>
        <w:t>” is the multicurrency account denominated in Dollars, account number XXXXXXX738, maintained by Borrower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07"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w:t>
      </w:r>
      <w:r>
        <w:rPr>
          <w:rFonts w:ascii="Arial" w:cs="Arial" w:eastAsia="Arial" w:hAnsi="Arial"/>
          <w:sz w:val="18"/>
          <w:szCs w:val="18"/>
          <w:b w:val="1"/>
          <w:bCs w:val="1"/>
          <w:color w:val="auto"/>
        </w:rPr>
        <w:t>$</w:t>
      </w:r>
      <w:r>
        <w:rPr>
          <w:rFonts w:ascii="Arial" w:cs="Arial" w:eastAsia="Arial" w:hAnsi="Arial"/>
          <w:sz w:val="18"/>
          <w:szCs w:val="18"/>
          <w:color w:val="auto"/>
        </w:rPr>
        <w:t>”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ind w:right="16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0" w:right="259" w:bottom="1440" w:gutter="0" w:footer="0" w:header="0"/>
        </w:sectPr>
      </w:pPr>
    </w:p>
    <w:bookmarkStart w:id="573" w:name="page574"/>
    <w:bookmarkEnd w:id="57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w:t>
      </w:r>
      <w:r>
        <w:rPr>
          <w:rFonts w:ascii="Arial" w:cs="Arial" w:eastAsia="Arial" w:hAnsi="Arial"/>
          <w:sz w:val="18"/>
          <w:szCs w:val="18"/>
          <w:color w:val="auto"/>
        </w:rPr>
        <w:t>” is a payment (in addition to and not a substitution for the regular monthly payments of principal plus accrued interest) equal to the original principal amount of the Term Loan Advances extended by Bank to Borrower multiplied by the Final Payment Percentage, due on the earliest to occur of (a) the Term Loan Maturity Date, (b) the acceleration of the Term Loan Advances by Bank pursuant to Section 9.1(a), (c) the prepayment of the Term Loan Advances by Borrower pursuant to Section 2.1.1(d) or 2.1.1(e), (d) the repayment in full of all obligations under the Term Loan Advances, or (e) the termination of this Agreement.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 Percentage</w:t>
      </w:r>
      <w:r>
        <w:rPr>
          <w:rFonts w:ascii="Arial" w:cs="Arial" w:eastAsia="Arial" w:hAnsi="Arial"/>
          <w:sz w:val="18"/>
          <w:szCs w:val="18"/>
          <w:color w:val="auto"/>
        </w:rPr>
        <w:t>” is, for each Term Loan Advance, six and three-quarters of one percent (6.75%).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Bank under which Borrower commits to purchase from or sell to Bank a specific amount of Foreign Currency on a specified date.</w:t>
      </w:r>
    </w:p>
    <w:p>
      <w:pPr>
        <w:spacing w:after="0" w:line="162"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4"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0" w:right="259" w:bottom="1440" w:gutter="0" w:footer="0" w:header="0"/>
        </w:sectPr>
      </w:pPr>
    </w:p>
    <w:bookmarkStart w:id="574" w:name="page575"/>
    <w:bookmarkEnd w:id="574"/>
    <w:p>
      <w:pPr>
        <w:ind w:left="1160" w:hanging="239"/>
        <w:spacing w:after="0"/>
        <w:tabs>
          <w:tab w:leader="none" w:pos="11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Copyrights, Trademarks and Patents;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any and all trade secrets and trade secret rights, including, without limitation, any rights to unpatented inventions, know-how, and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manuals;</w:t>
      </w:r>
    </w:p>
    <w:p>
      <w:pPr>
        <w:spacing w:after="0" w:line="103" w:lineRule="exact"/>
        <w:rPr>
          <w:sz w:val="20"/>
          <w:szCs w:val="20"/>
          <w:color w:val="auto"/>
        </w:rPr>
      </w:pPr>
    </w:p>
    <w:p>
      <w:pPr>
        <w:ind w:left="1160" w:hanging="239"/>
        <w:spacing w:after="0"/>
        <w:tabs>
          <w:tab w:leader="none" w:pos="116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117" w:lineRule="exact"/>
        <w:rPr>
          <w:rFonts w:ascii="Arial" w:cs="Arial" w:eastAsia="Arial" w:hAnsi="Arial"/>
          <w:sz w:val="18"/>
          <w:szCs w:val="18"/>
          <w:color w:val="auto"/>
        </w:rPr>
      </w:pPr>
    </w:p>
    <w:p>
      <w:pPr>
        <w:ind w:right="60" w:firstLine="921"/>
        <w:spacing w:after="0" w:line="277" w:lineRule="auto"/>
        <w:tabs>
          <w:tab w:leader="none" w:pos="1158" w:val="left"/>
        </w:tabs>
        <w:numPr>
          <w:ilvl w:val="0"/>
          <w:numId w:val="451"/>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Borrower’s Chief Executive Officer, who is Geoff MacKay as of the Effective Date.</w:t>
      </w:r>
    </w:p>
    <w:p>
      <w:pPr>
        <w:spacing w:after="0" w:line="225"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Bank upon request of Borrower based upon an application, guarantee, indemnity, or similar agreement.</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12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Documents</w:t>
      </w:r>
      <w:r>
        <w:rPr>
          <w:rFonts w:ascii="Arial" w:cs="Arial" w:eastAsia="Arial" w:hAnsi="Arial"/>
          <w:sz w:val="17"/>
          <w:szCs w:val="17"/>
          <w:color w:val="auto"/>
        </w:rPr>
        <w:t>” are, collectively, this Agreement and any schedules, exhibits, certificates, notices, and any other documents related to this Agreement, the Warrant, the Stock Pledge Agreement, the Perfection Certificate, any Control Agreement, any Bank Services Agreement, any subordination agreement, any note, or notes or guaranties executed by Borrower, and any other present or future agreement by Borrower with or for the benefit of Bank in connection with this Agreement or Bank Services, all as amended, restated, or otherwise modified.</w:t>
      </w:r>
    </w:p>
    <w:p>
      <w:pPr>
        <w:spacing w:after="0" w:line="165"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Bank’s Lien in the Collateral or in the value of such Collateral; (b) a material adverse change in the business, operations, or condition (financial or otherwise) of Borrower; or (c) a material impairment of the prospect of repayment of any portion of the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 is defined in Section 6.2(a).</w:t>
      </w:r>
    </w:p>
    <w:p>
      <w:pPr>
        <w:spacing w:after="0" w:line="225" w:lineRule="exact"/>
        <w:rPr>
          <w:sz w:val="20"/>
          <w:szCs w:val="20"/>
          <w:color w:val="auto"/>
        </w:rPr>
      </w:pPr>
    </w:p>
    <w:p>
      <w:pPr>
        <w:ind w:right="28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are Borrower’s obligations to pay when due any debts, principal, interest, fees, Bank Expenses, the Prepayment Premium, the Final Payment and other amounts Borrower owes Bank now or later, whether under this Agreement, the other Loan Documents (other than the Warrant), or otherwise, including, without limitation, interest accruing after Insolvency Proceedings begin and debts, liabilities, or obligations of Borrower assigned to Bank, and to perform Borrower’s duties under the Loan Documents (other than the Warrant).</w:t>
      </w:r>
    </w:p>
    <w:p>
      <w:pPr>
        <w:spacing w:after="0" w:line="16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Documents</w:t>
      </w:r>
      <w:r>
        <w:rPr>
          <w:rFonts w:ascii="Arial" w:cs="Arial" w:eastAsia="Arial" w:hAnsi="Arial"/>
          <w:sz w:val="18"/>
          <w:szCs w:val="18"/>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73" w:right="299" w:bottom="1440" w:gutter="0" w:footer="0" w:header="0"/>
        </w:sectPr>
      </w:pPr>
    </w:p>
    <w:bookmarkStart w:id="575" w:name="page576"/>
    <w:bookmarkEnd w:id="575"/>
    <w:p>
      <w:pPr>
        <w:ind w:right="320" w:firstLine="8"/>
        <w:spacing w:after="0" w:line="277" w:lineRule="auto"/>
        <w:tabs>
          <w:tab w:leader="none" w:pos="255" w:val="left"/>
        </w:tabs>
        <w:numPr>
          <w:ilvl w:val="0"/>
          <w:numId w:val="4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66"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w:t>
      </w:r>
      <w:r>
        <w:rPr>
          <w:rFonts w:ascii="Arial" w:cs="Arial" w:eastAsia="Arial" w:hAnsi="Arial"/>
          <w:sz w:val="15"/>
          <w:szCs w:val="15"/>
          <w:color w:val="auto"/>
        </w:rPr>
        <w:t>st</w:t>
      </w:r>
      <w:r>
        <w:rPr>
          <w:rFonts w:ascii="Arial" w:cs="Arial" w:eastAsia="Arial" w:hAnsi="Arial"/>
          <w:sz w:val="18"/>
          <w:szCs w:val="18"/>
          <w:color w:val="auto"/>
        </w:rPr>
        <w:t>) calendar day of the month.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121" w:lineRule="exact"/>
        <w:rPr>
          <w:sz w:val="20"/>
          <w:szCs w:val="20"/>
          <w:color w:val="auto"/>
        </w:rPr>
      </w:pPr>
    </w:p>
    <w:p>
      <w:pPr>
        <w:ind w:left="1160" w:hanging="239"/>
        <w:spacing w:after="0"/>
        <w:tabs>
          <w:tab w:leader="none" w:pos="11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Borrower’s Indebtedness to Bank under this Agreement and the other Loan Documents;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Indebtedness existing on the Effective Date and shown on the Perfection Certificate;</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Indebtedness secured by Liens permitted under clauses (a) and (c) of the definition of “Permitted Liens” hereunder; and</w:t>
      </w:r>
    </w:p>
    <w:p>
      <w:pPr>
        <w:spacing w:after="0" w:line="117" w:lineRule="exact"/>
        <w:rPr>
          <w:rFonts w:ascii="Arial" w:cs="Arial" w:eastAsia="Arial" w:hAnsi="Arial"/>
          <w:sz w:val="18"/>
          <w:szCs w:val="18"/>
          <w:color w:val="auto"/>
        </w:rPr>
      </w:pPr>
    </w:p>
    <w:p>
      <w:pPr>
        <w:jc w:val="both"/>
        <w:ind w:firstLine="921"/>
        <w:spacing w:after="0" w:line="264" w:lineRule="auto"/>
        <w:tabs>
          <w:tab w:leader="none" w:pos="1168" w:val="left"/>
        </w:tabs>
        <w:numPr>
          <w:ilvl w:val="0"/>
          <w:numId w:val="453"/>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(f) above, provided that the principal amount thereof is not increased or the terms thereof are not modified to impose more burdensome terms upon Borrower or its Subsidiary, as the case may be.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121" w:lineRule="exact"/>
        <w:rPr>
          <w:sz w:val="20"/>
          <w:szCs w:val="20"/>
          <w:color w:val="auto"/>
        </w:rPr>
      </w:pPr>
    </w:p>
    <w:p>
      <w:pPr>
        <w:ind w:left="1160" w:hanging="239"/>
        <w:spacing w:after="0"/>
        <w:tabs>
          <w:tab w:leader="none" w:pos="116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Investments (including, without limitation, Subsidiaries) existing on the Effective Date and shown on the Perfection Certificate;</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Investments consisting of Cash Equivalents;</w:t>
      </w:r>
    </w:p>
    <w:p>
      <w:pPr>
        <w:spacing w:after="0" w:line="117" w:lineRule="exact"/>
        <w:rPr>
          <w:rFonts w:ascii="Arial" w:cs="Arial" w:eastAsia="Arial" w:hAnsi="Arial"/>
          <w:sz w:val="18"/>
          <w:szCs w:val="18"/>
          <w:color w:val="auto"/>
        </w:rPr>
      </w:pPr>
    </w:p>
    <w:p>
      <w:pPr>
        <w:ind w:right="40" w:firstLine="921"/>
        <w:spacing w:after="0" w:line="288" w:lineRule="auto"/>
        <w:tabs>
          <w:tab w:leader="none" w:pos="1158" w:val="left"/>
        </w:tabs>
        <w:numPr>
          <w:ilvl w:val="1"/>
          <w:numId w:val="454"/>
        </w:numPr>
        <w:rPr>
          <w:rFonts w:ascii="Arial" w:cs="Arial" w:eastAsia="Arial" w:hAnsi="Arial"/>
          <w:sz w:val="16"/>
          <w:szCs w:val="16"/>
          <w:color w:val="auto"/>
        </w:rPr>
      </w:pPr>
      <w:r>
        <w:rPr>
          <w:rFonts w:ascii="Arial" w:cs="Arial" w:eastAsia="Arial" w:hAnsi="Arial"/>
          <w:sz w:val="16"/>
          <w:szCs w:val="16"/>
          <w:color w:val="auto"/>
        </w:rPr>
        <w:t>Investments by Borrower to (i) Australian Subsidiary for ordinary, necessary and current operating expenses in an amount not to exceed One Million Five Hundred Thousand Dollars ($1,500,000.00) in the aggregate during any twelve (12) month period and (ii) Canadian Subsidiary for ordinary, necessary and current operating expenses in an amount not to exceed Two Hundred Fifty Thousand Dollars ($250,000.00) in the aggregate during any twelve</w:t>
      </w:r>
    </w:p>
    <w:p>
      <w:pPr>
        <w:ind w:right="360" w:firstLine="8"/>
        <w:spacing w:after="0" w:line="261" w:lineRule="auto"/>
        <w:tabs>
          <w:tab w:leader="none" w:pos="345" w:val="left"/>
        </w:tabs>
        <w:numPr>
          <w:ilvl w:val="0"/>
          <w:numId w:val="455"/>
        </w:numPr>
        <w:rPr>
          <w:rFonts w:ascii="Arial" w:cs="Arial" w:eastAsia="Arial" w:hAnsi="Arial"/>
          <w:sz w:val="18"/>
          <w:szCs w:val="18"/>
          <w:color w:val="auto"/>
        </w:rPr>
      </w:pPr>
      <w:r>
        <w:rPr>
          <w:rFonts w:ascii="Arial" w:cs="Arial" w:eastAsia="Arial" w:hAnsi="Arial"/>
          <w:sz w:val="18"/>
          <w:szCs w:val="18"/>
          <w:color w:val="auto"/>
        </w:rPr>
        <w:t>month period; so long as, in the case of (i) and (ii), an Event of Default does not exist at the time of such Investment and would not result from such Investment;</w:t>
      </w:r>
    </w:p>
    <w:p>
      <w:pPr>
        <w:spacing w:after="0" w:line="75" w:lineRule="exact"/>
        <w:rPr>
          <w:rFonts w:ascii="Arial" w:cs="Arial" w:eastAsia="Arial" w:hAnsi="Arial"/>
          <w:sz w:val="18"/>
          <w:szCs w:val="18"/>
          <w:color w:val="auto"/>
        </w:rPr>
      </w:pPr>
    </w:p>
    <w:p>
      <w:pPr>
        <w:ind w:left="1180" w:hanging="259"/>
        <w:spacing w:after="0"/>
        <w:tabs>
          <w:tab w:leader="none" w:pos="1180" w:val="left"/>
        </w:tabs>
        <w:numPr>
          <w:ilvl w:val="1"/>
          <w:numId w:val="455"/>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102" w:lineRule="exact"/>
        <w:rPr>
          <w:rFonts w:ascii="Arial" w:cs="Arial" w:eastAsia="Arial" w:hAnsi="Arial"/>
          <w:sz w:val="16"/>
          <w:szCs w:val="16"/>
          <w:color w:val="auto"/>
        </w:rPr>
      </w:pPr>
    </w:p>
    <w:p>
      <w:pPr>
        <w:ind w:left="1160" w:hanging="239"/>
        <w:spacing w:after="0"/>
        <w:tabs>
          <w:tab w:leader="none" w:pos="116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117" w:lineRule="exact"/>
        <w:rPr>
          <w:rFonts w:ascii="Arial" w:cs="Arial" w:eastAsia="Arial" w:hAnsi="Arial"/>
          <w:sz w:val="18"/>
          <w:szCs w:val="18"/>
          <w:color w:val="auto"/>
        </w:rPr>
      </w:pPr>
    </w:p>
    <w:p>
      <w:pPr>
        <w:ind w:right="60" w:firstLine="921"/>
        <w:spacing w:after="0" w:line="264" w:lineRule="auto"/>
        <w:tabs>
          <w:tab w:leader="none" w:pos="1138" w:val="left"/>
        </w:tabs>
        <w:numPr>
          <w:ilvl w:val="1"/>
          <w:numId w:val="455"/>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576" w:name="page577"/>
    <w:bookmarkEnd w:id="576"/>
    <w:p>
      <w:pPr>
        <w:ind w:right="480" w:firstLine="921"/>
        <w:spacing w:after="0" w:line="308" w:lineRule="auto"/>
        <w:tabs>
          <w:tab w:leader="none" w:pos="1168" w:val="left"/>
        </w:tabs>
        <w:numPr>
          <w:ilvl w:val="0"/>
          <w:numId w:val="4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(including debt obligations) received in connection with the bankruptcy or reorganization of customers or suppliers and in settlement of delinquent obligations of, and other disputes with, customers or suppliers arising in the ordinary course of business; and</w:t>
      </w:r>
    </w:p>
    <w:p>
      <w:pPr>
        <w:spacing w:after="0" w:line="38" w:lineRule="exact"/>
        <w:rPr>
          <w:rFonts w:ascii="Arial" w:cs="Arial" w:eastAsia="Arial" w:hAnsi="Arial"/>
          <w:sz w:val="17"/>
          <w:szCs w:val="17"/>
          <w:color w:val="auto"/>
        </w:rPr>
      </w:pPr>
    </w:p>
    <w:p>
      <w:pPr>
        <w:ind w:right="580" w:firstLine="921"/>
        <w:spacing w:after="0" w:line="342" w:lineRule="auto"/>
        <w:tabs>
          <w:tab w:leader="none" w:pos="1168" w:val="left"/>
        </w:tabs>
        <w:numPr>
          <w:ilvl w:val="0"/>
          <w:numId w:val="456"/>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121" w:lineRule="exact"/>
        <w:rPr>
          <w:sz w:val="20"/>
          <w:szCs w:val="20"/>
          <w:color w:val="auto"/>
        </w:rPr>
      </w:pPr>
    </w:p>
    <w:p>
      <w:pPr>
        <w:ind w:left="1160" w:hanging="239"/>
        <w:spacing w:after="0"/>
        <w:tabs>
          <w:tab w:leader="none" w:pos="116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Liens existing on the Effective Date and shown on the Perfection Certificate or arising under this Agreement and the other Loan Documents;</w:t>
      </w:r>
    </w:p>
    <w:p>
      <w:pPr>
        <w:spacing w:after="0" w:line="140" w:lineRule="exact"/>
        <w:rPr>
          <w:rFonts w:ascii="Arial" w:cs="Arial" w:eastAsia="Arial" w:hAnsi="Arial"/>
          <w:sz w:val="16"/>
          <w:szCs w:val="16"/>
          <w:color w:val="auto"/>
        </w:rPr>
      </w:pPr>
    </w:p>
    <w:p>
      <w:pPr>
        <w:ind w:right="220" w:firstLine="921"/>
        <w:spacing w:after="0" w:line="264" w:lineRule="auto"/>
        <w:tabs>
          <w:tab w:leader="none" w:pos="1168" w:val="left"/>
        </w:tabs>
        <w:numPr>
          <w:ilvl w:val="0"/>
          <w:numId w:val="457"/>
        </w:numPr>
        <w:rPr>
          <w:rFonts w:ascii="Arial" w:cs="Arial" w:eastAsia="Arial" w:hAnsi="Arial"/>
          <w:sz w:val="18"/>
          <w:szCs w:val="18"/>
          <w:color w:val="auto"/>
        </w:rPr>
      </w:pPr>
      <w:r>
        <w:rPr>
          <w:rFonts w:ascii="Arial" w:cs="Arial" w:eastAsia="Arial" w:hAnsi="Arial"/>
          <w:sz w:val="18"/>
          <w:szCs w:val="18"/>
          <w:color w:val="auto"/>
        </w:rPr>
        <w:t xml:space="preserve">Liens for taxes, fees, assessments or other government charges or levies, either (i) not due and payable or (ii) being contested in good faith and for which Borrower maintains adequate reserves on its Books,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of any such Lien has been filed or recorded under the Internal Revenue Code of 1986, as amended, and the Treasury Regulations adopted thereunder;</w:t>
      </w:r>
    </w:p>
    <w:p>
      <w:pPr>
        <w:spacing w:after="0" w:line="73" w:lineRule="exact"/>
        <w:rPr>
          <w:rFonts w:ascii="Arial" w:cs="Arial" w:eastAsia="Arial" w:hAnsi="Arial"/>
          <w:sz w:val="18"/>
          <w:szCs w:val="18"/>
          <w:color w:val="auto"/>
        </w:rPr>
      </w:pPr>
    </w:p>
    <w:p>
      <w:pPr>
        <w:ind w:right="120" w:firstLine="921"/>
        <w:spacing w:after="0" w:line="264" w:lineRule="auto"/>
        <w:tabs>
          <w:tab w:leader="none" w:pos="1158" w:val="left"/>
        </w:tabs>
        <w:numPr>
          <w:ilvl w:val="0"/>
          <w:numId w:val="457"/>
        </w:numPr>
        <w:rPr>
          <w:rFonts w:ascii="Arial" w:cs="Arial" w:eastAsia="Arial" w:hAnsi="Arial"/>
          <w:sz w:val="18"/>
          <w:szCs w:val="18"/>
          <w:color w:val="auto"/>
        </w:rPr>
      </w:pPr>
      <w:r>
        <w:rPr>
          <w:rFonts w:ascii="Arial" w:cs="Arial" w:eastAsia="Arial" w:hAnsi="Arial"/>
          <w:sz w:val="18"/>
          <w:szCs w:val="18"/>
          <w:color w:val="auto"/>
        </w:rPr>
        <w:t xml:space="preserve">purchase money Liens (i) on Equipment acquired or held by Borrower incurred for financing the acquisition of the Equipment securing no more than Fifty Thousand Dollars ($50,000.00) in the aggregate amount outstanding, or (ii) existing on Equipment when acquired,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the Lien is confined to the property and improvements and the proceeds of the Equipment;</w:t>
      </w:r>
    </w:p>
    <w:p>
      <w:pPr>
        <w:spacing w:after="0" w:line="73" w:lineRule="exact"/>
        <w:rPr>
          <w:rFonts w:ascii="Arial" w:cs="Arial" w:eastAsia="Arial" w:hAnsi="Arial"/>
          <w:sz w:val="18"/>
          <w:szCs w:val="18"/>
          <w:color w:val="auto"/>
        </w:rPr>
      </w:pPr>
    </w:p>
    <w:p>
      <w:pPr>
        <w:jc w:val="both"/>
        <w:ind w:firstLine="921"/>
        <w:spacing w:after="0" w:line="259" w:lineRule="auto"/>
        <w:tabs>
          <w:tab w:leader="none" w:pos="1168" w:val="left"/>
        </w:tabs>
        <w:numPr>
          <w:ilvl w:val="0"/>
          <w:numId w:val="457"/>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Twenty-Five Thousand Dollars ($25,000.00)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78" w:lineRule="exact"/>
        <w:rPr>
          <w:rFonts w:ascii="Arial" w:cs="Arial" w:eastAsia="Arial" w:hAnsi="Arial"/>
          <w:sz w:val="18"/>
          <w:szCs w:val="18"/>
          <w:color w:val="auto"/>
        </w:rPr>
      </w:pPr>
    </w:p>
    <w:p>
      <w:pPr>
        <w:ind w:right="480" w:firstLine="921"/>
        <w:spacing w:after="0" w:line="277" w:lineRule="auto"/>
        <w:tabs>
          <w:tab w:leader="none" w:pos="1158" w:val="left"/>
        </w:tabs>
        <w:numPr>
          <w:ilvl w:val="0"/>
          <w:numId w:val="457"/>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62" w:lineRule="exact"/>
        <w:rPr>
          <w:rFonts w:ascii="Arial" w:cs="Arial" w:eastAsia="Arial" w:hAnsi="Arial"/>
          <w:sz w:val="18"/>
          <w:szCs w:val="18"/>
          <w:color w:val="auto"/>
        </w:rPr>
      </w:pPr>
    </w:p>
    <w:p>
      <w:pPr>
        <w:ind w:right="20" w:firstLine="921"/>
        <w:spacing w:after="0" w:line="342" w:lineRule="auto"/>
        <w:tabs>
          <w:tab w:leader="none" w:pos="1138" w:val="left"/>
        </w:tabs>
        <w:numPr>
          <w:ilvl w:val="0"/>
          <w:numId w:val="457"/>
        </w:numPr>
        <w:rPr>
          <w:rFonts w:ascii="Arial" w:cs="Arial" w:eastAsia="Arial" w:hAnsi="Arial"/>
          <w:sz w:val="16"/>
          <w:szCs w:val="16"/>
          <w:color w:val="auto"/>
        </w:rPr>
      </w:pPr>
      <w:r>
        <w:rPr>
          <w:rFonts w:ascii="Arial" w:cs="Arial" w:eastAsia="Arial" w:hAnsi="Arial"/>
          <w:sz w:val="16"/>
          <w:szCs w:val="16"/>
          <w:color w:val="auto"/>
        </w:rPr>
        <w:t xml:space="preserve">Liens incurred in the extension, renewal or refinancing of the indebtedness secured by Liens described in (a) through (e), </w:t>
      </w:r>
      <w:r>
        <w:rPr>
          <w:rFonts w:ascii="Arial" w:cs="Arial" w:eastAsia="Arial" w:hAnsi="Arial"/>
          <w:sz w:val="16"/>
          <w:szCs w:val="16"/>
          <w:u w:val="single" w:color="auto"/>
          <w:color w:val="auto"/>
        </w:rPr>
        <w:t>but</w:t>
      </w:r>
      <w:r>
        <w:rPr>
          <w:rFonts w:ascii="Arial" w:cs="Arial" w:eastAsia="Arial" w:hAnsi="Arial"/>
          <w:sz w:val="16"/>
          <w:szCs w:val="16"/>
          <w:color w:val="auto"/>
        </w:rPr>
        <w:t xml:space="preserve"> any extension, renewal or replacement Lien must be limited to the property encumbered by the existing Lien and the principal amount of the indebtedness may not increase;</w:t>
      </w:r>
    </w:p>
    <w:p>
      <w:pPr>
        <w:spacing w:after="0" w:line="15" w:lineRule="exact"/>
        <w:rPr>
          <w:rFonts w:ascii="Arial" w:cs="Arial" w:eastAsia="Arial" w:hAnsi="Arial"/>
          <w:sz w:val="16"/>
          <w:szCs w:val="16"/>
          <w:color w:val="auto"/>
        </w:rPr>
      </w:pPr>
    </w:p>
    <w:p>
      <w:pPr>
        <w:ind w:right="80" w:firstLine="921"/>
        <w:spacing w:after="0" w:line="259" w:lineRule="auto"/>
        <w:tabs>
          <w:tab w:leader="none" w:pos="1168" w:val="left"/>
        </w:tabs>
        <w:numPr>
          <w:ilvl w:val="0"/>
          <w:numId w:val="457"/>
        </w:numPr>
        <w:rPr>
          <w:rFonts w:ascii="Arial" w:cs="Arial" w:eastAsia="Arial" w:hAnsi="Arial"/>
          <w:sz w:val="18"/>
          <w:szCs w:val="18"/>
          <w:color w:val="auto"/>
        </w:rPr>
      </w:pPr>
      <w:r>
        <w:rPr>
          <w:rFonts w:ascii="Arial" w:cs="Arial" w:eastAsia="Arial" w:hAnsi="Arial"/>
          <w:sz w:val="18"/>
          <w:szCs w:val="18"/>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prohibiting granting Bank a security interest therein;</w:t>
      </w:r>
    </w:p>
    <w:p>
      <w:pPr>
        <w:spacing w:after="0" w:line="78" w:lineRule="exact"/>
        <w:rPr>
          <w:rFonts w:ascii="Arial" w:cs="Arial" w:eastAsia="Arial" w:hAnsi="Arial"/>
          <w:sz w:val="18"/>
          <w:szCs w:val="18"/>
          <w:color w:val="auto"/>
        </w:rPr>
      </w:pPr>
    </w:p>
    <w:p>
      <w:pPr>
        <w:ind w:left="1180" w:hanging="259"/>
        <w:spacing w:after="0"/>
        <w:tabs>
          <w:tab w:leader="none" w:pos="1180" w:val="left"/>
        </w:tabs>
        <w:numPr>
          <w:ilvl w:val="0"/>
          <w:numId w:val="457"/>
        </w:numPr>
        <w:rPr>
          <w:rFonts w:ascii="Arial" w:cs="Arial" w:eastAsia="Arial" w:hAnsi="Arial"/>
          <w:sz w:val="17"/>
          <w:szCs w:val="17"/>
          <w:color w:val="auto"/>
        </w:rPr>
      </w:pPr>
      <w:r>
        <w:rPr>
          <w:rFonts w:ascii="Arial" w:cs="Arial" w:eastAsia="Arial" w:hAnsi="Arial"/>
          <w:sz w:val="17"/>
          <w:szCs w:val="17"/>
          <w:color w:val="auto"/>
        </w:rPr>
        <w:t>non-exclusive license partnerships, and joint ventures of Intellectual Property granted to third parties in the ordinary course of business;</w:t>
      </w:r>
    </w:p>
    <w:p>
      <w:pPr>
        <w:spacing w:after="0" w:line="128" w:lineRule="exact"/>
        <w:rPr>
          <w:rFonts w:ascii="Arial" w:cs="Arial" w:eastAsia="Arial" w:hAnsi="Arial"/>
          <w:sz w:val="17"/>
          <w:szCs w:val="17"/>
          <w:color w:val="auto"/>
        </w:rPr>
      </w:pPr>
    </w:p>
    <w:p>
      <w:pPr>
        <w:ind w:left="1140" w:hanging="219"/>
        <w:spacing w:after="0"/>
        <w:tabs>
          <w:tab w:leader="none" w:pos="114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 under Sections 8.4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8.7; and</w:t>
      </w:r>
    </w:p>
    <w:p>
      <w:pPr>
        <w:spacing w:after="0" w:line="102" w:lineRule="exact"/>
        <w:rPr>
          <w:rFonts w:ascii="Arial" w:cs="Arial" w:eastAsia="Arial" w:hAnsi="Arial"/>
          <w:sz w:val="16"/>
          <w:szCs w:val="16"/>
          <w:color w:val="auto"/>
        </w:rPr>
      </w:pPr>
    </w:p>
    <w:p>
      <w:pPr>
        <w:ind w:right="40" w:firstLine="921"/>
        <w:spacing w:after="0" w:line="277" w:lineRule="auto"/>
        <w:tabs>
          <w:tab w:leader="none" w:pos="1128" w:val="left"/>
        </w:tabs>
        <w:numPr>
          <w:ilvl w:val="0"/>
          <w:numId w:val="457"/>
        </w:numPr>
        <w:rPr>
          <w:rFonts w:ascii="Arial" w:cs="Arial" w:eastAsia="Arial" w:hAnsi="Arial"/>
          <w:sz w:val="18"/>
          <w:szCs w:val="18"/>
          <w:color w:val="auto"/>
        </w:rPr>
      </w:pPr>
      <w:r>
        <w:rPr>
          <w:rFonts w:ascii="Arial" w:cs="Arial" w:eastAsia="Arial" w:hAnsi="Arial"/>
          <w:sz w:val="18"/>
          <w:szCs w:val="18"/>
          <w:color w:val="auto"/>
        </w:rPr>
        <w:t>Liens in favor of other financial institutions arising in connection with Borrower’s deposit and/or securities accounts held at such institutions, provided that Bank has a first priority perfected security interest in the amounts held in such deposit and/or securities accounts.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73" w:right="299" w:bottom="1440" w:gutter="0" w:footer="0" w:header="0"/>
        </w:sectPr>
      </w:pPr>
    </w:p>
    <w:bookmarkStart w:id="577" w:name="page578"/>
    <w:bookmarkEnd w:id="577"/>
    <w:p>
      <w:pPr>
        <w:ind w:right="440" w:firstLine="456"/>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Premium</w:t>
      </w:r>
      <w:r>
        <w:rPr>
          <w:rFonts w:ascii="Arial" w:cs="Arial" w:eastAsia="Arial" w:hAnsi="Arial"/>
          <w:sz w:val="18"/>
          <w:szCs w:val="18"/>
          <w:color w:val="auto"/>
        </w:rPr>
        <w:t>” shall be an additional fee payable to Bank in an amount equal to:</w:t>
      </w:r>
    </w:p>
    <w:p>
      <w:pPr>
        <w:spacing w:after="0" w:line="121" w:lineRule="exact"/>
        <w:rPr>
          <w:sz w:val="20"/>
          <w:szCs w:val="20"/>
          <w:color w:val="auto"/>
        </w:rPr>
      </w:pPr>
    </w:p>
    <w:p>
      <w:pPr>
        <w:ind w:right="240" w:firstLine="921"/>
        <w:spacing w:after="0" w:line="342" w:lineRule="auto"/>
        <w:tabs>
          <w:tab w:leader="none" w:pos="1158" w:val="left"/>
        </w:tabs>
        <w:numPr>
          <w:ilvl w:val="0"/>
          <w:numId w:val="458"/>
        </w:numPr>
        <w:rPr>
          <w:rFonts w:ascii="Arial" w:cs="Arial" w:eastAsia="Arial" w:hAnsi="Arial"/>
          <w:sz w:val="16"/>
          <w:szCs w:val="16"/>
          <w:color w:val="auto"/>
        </w:rPr>
      </w:pPr>
      <w:r>
        <w:rPr>
          <w:rFonts w:ascii="Arial" w:cs="Arial" w:eastAsia="Arial" w:hAnsi="Arial"/>
          <w:sz w:val="16"/>
          <w:szCs w:val="16"/>
          <w:color w:val="auto"/>
        </w:rPr>
        <w:t>for a prepayment of a Term Loan Advance made on or prior to the first (1st) anniversary of the Funding Date of such Term Loan Advance, one percent (1.0%) of the principal amount of such Term Loan Advance outstanding as of the date immediately and prior to such prepayment;</w:t>
      </w:r>
    </w:p>
    <w:p>
      <w:pPr>
        <w:spacing w:after="0" w:line="15" w:lineRule="exact"/>
        <w:rPr>
          <w:rFonts w:ascii="Arial" w:cs="Arial" w:eastAsia="Arial" w:hAnsi="Arial"/>
          <w:sz w:val="16"/>
          <w:szCs w:val="16"/>
          <w:color w:val="auto"/>
        </w:rPr>
      </w:pPr>
    </w:p>
    <w:p>
      <w:pPr>
        <w:ind w:firstLine="921"/>
        <w:spacing w:after="0" w:line="264" w:lineRule="auto"/>
        <w:tabs>
          <w:tab w:leader="none" w:pos="1168" w:val="left"/>
        </w:tabs>
        <w:numPr>
          <w:ilvl w:val="0"/>
          <w:numId w:val="458"/>
        </w:numPr>
        <w:rPr>
          <w:rFonts w:ascii="Arial" w:cs="Arial" w:eastAsia="Arial" w:hAnsi="Arial"/>
          <w:sz w:val="18"/>
          <w:szCs w:val="18"/>
          <w:color w:val="auto"/>
        </w:rPr>
      </w:pPr>
      <w:r>
        <w:rPr>
          <w:rFonts w:ascii="Arial" w:cs="Arial" w:eastAsia="Arial" w:hAnsi="Arial"/>
          <w:sz w:val="18"/>
          <w:szCs w:val="18"/>
          <w:color w:val="auto"/>
        </w:rPr>
        <w:t>for a prepayment of a Term Loan Advance made after the first (1st) anniversary of the Funding Date of such Term Loan Advance, but prior to the second (2nd) anniversary of the Funding Date of such Term Loan Advance, one-half of one percent (0.5%) of the principal amount of such Term Loan Advance outstanding as of the date immediately prior to such prepayment; and</w:t>
      </w:r>
    </w:p>
    <w:p>
      <w:pPr>
        <w:spacing w:after="0" w:line="73" w:lineRule="exact"/>
        <w:rPr>
          <w:rFonts w:ascii="Arial" w:cs="Arial" w:eastAsia="Arial" w:hAnsi="Arial"/>
          <w:sz w:val="18"/>
          <w:szCs w:val="18"/>
          <w:color w:val="auto"/>
        </w:rPr>
      </w:pPr>
    </w:p>
    <w:p>
      <w:pPr>
        <w:ind w:right="240" w:firstLine="921"/>
        <w:spacing w:after="0" w:line="308" w:lineRule="auto"/>
        <w:tabs>
          <w:tab w:leader="none" w:pos="1158" w:val="left"/>
        </w:tabs>
        <w:numPr>
          <w:ilvl w:val="0"/>
          <w:numId w:val="458"/>
        </w:numPr>
        <w:rPr>
          <w:rFonts w:ascii="Arial" w:cs="Arial" w:eastAsia="Arial" w:hAnsi="Arial"/>
          <w:sz w:val="17"/>
          <w:szCs w:val="17"/>
          <w:color w:val="auto"/>
        </w:rPr>
      </w:pPr>
      <w:r>
        <w:rPr>
          <w:rFonts w:ascii="Arial" w:cs="Arial" w:eastAsia="Arial" w:hAnsi="Arial"/>
          <w:sz w:val="17"/>
          <w:szCs w:val="17"/>
          <w:color w:val="auto"/>
        </w:rPr>
        <w:t>for a prepayment of a Term Loan Advance made after the second (2nd) anniversary of the Funding Date of such Term Loan Advance, zero percent (0.0%) of the principal amount of such Term Loan Advance outstanding as of the date immediately prior to such prepayment.</w:t>
      </w:r>
    </w:p>
    <w:p>
      <w:pPr>
        <w:spacing w:after="0" w:line="14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Notwithstanding the foregoing, provided no Event of Default has occurred and is continuing, the Prepayment Premium shall be waived by Bank if Bank closes on the refinance and redocumentation of this Agreement (in its sole and absolute discretion) prior to the Term Loan Maturity Date.</w:t>
      </w:r>
    </w:p>
    <w:p>
      <w:pPr>
        <w:spacing w:after="0" w:line="120" w:lineRule="exact"/>
        <w:rPr>
          <w:sz w:val="20"/>
          <w:szCs w:val="20"/>
          <w:color w:val="auto"/>
        </w:rPr>
      </w:pPr>
    </w:p>
    <w:p>
      <w:pPr>
        <w:ind w:right="22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Prime Rate</w:t>
      </w:r>
      <w:r>
        <w:rPr>
          <w:rFonts w:ascii="Arial" w:cs="Arial" w:eastAsia="Arial" w:hAnsi="Arial"/>
          <w:sz w:val="17"/>
          <w:szCs w:val="17"/>
          <w:color w:val="auto"/>
        </w:rPr>
        <w:t>” is the rate of interest per annum from time to time published in the money rates section of The Wall Street Journal or any successor publication thereto as the “prime rate” then in effect; ; provided that, in the event such rate of interest is less than zero, such rate shall be deemed to be zero for purposes of this Agreement and provided further that if such rate of interest, as set forth from time to time in the money rates section of The Wall Street Journal,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37"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Schedule</w:t>
      </w:r>
      <w:r>
        <w:rPr>
          <w:rFonts w:ascii="Arial" w:cs="Arial" w:eastAsia="Arial" w:hAnsi="Arial"/>
          <w:sz w:val="18"/>
          <w:szCs w:val="18"/>
          <w:color w:val="auto"/>
        </w:rPr>
        <w:t>” is thirty (30) months; provided, however, upon the Funding Date of the initial Tranche 3 Advance, the Repayment Schedule shall mean twenty-four (24) months.</w:t>
      </w:r>
    </w:p>
    <w:p>
      <w:pPr>
        <w:spacing w:after="0" w:line="162"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and Controller of Borrower.</w:t>
      </w:r>
    </w:p>
    <w:p>
      <w:pPr>
        <w:spacing w:after="0" w:line="225"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License</w:t>
      </w:r>
      <w:r>
        <w:rPr>
          <w:rFonts w:ascii="Arial" w:cs="Arial" w:eastAsia="Arial" w:hAnsi="Arial"/>
          <w:sz w:val="18"/>
          <w:szCs w:val="18"/>
          <w:color w:val="auto"/>
        </w:rPr>
        <w:t>” is any material license or other similar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the Bank’s right to sell any Collateral.</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0" w:right="259" w:bottom="1440" w:gutter="0" w:footer="0" w:header="0"/>
        </w:sectPr>
      </w:pPr>
    </w:p>
    <w:bookmarkStart w:id="578" w:name="page579"/>
    <w:bookmarkEnd w:id="578"/>
    <w:p>
      <w:pPr>
        <w:ind w:right="16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Second Closing Milestone Achievement</w:t>
      </w:r>
      <w:r>
        <w:rPr>
          <w:rFonts w:ascii="Arial" w:cs="Arial" w:eastAsia="Arial" w:hAnsi="Arial"/>
          <w:sz w:val="17"/>
          <w:szCs w:val="17"/>
          <w:color w:val="auto"/>
        </w:rPr>
        <w:t>” means Borrower has, prior to December 31, 2017 (a) either (i) achieved data reasonably supporting proof of mechanism in the AML program (as defined in the Series A Preferred Stock Purchase Agreement) and a demonstrable adequate safety profile at a dose level at which proof of mechanism was established, or (ii) achieved data reasonably supporting proof of mechanism and adequate engraftment using a non-myeloablative conditioning regimen in the Fabry’s program (as defined in the Series A Preferred Stock Purchase Agreement), (b) established a full commercial-quality and scalable long-range vector supply and manufacturing strategy, and (c) executed a license agreement with the University Health Network on the University Health Network License Terms (as defined in the Series A Preferred Stock Purchase Agreement) or other terms acceptable to the Requisite Board Members (as defined in the Series A Preferred Stock Purchase Agreement) and the Requisite Series A Preferred Holders (as defined in the Series A Preferred Stock Purchase Agreement).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225"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Preferred Stock Purchase Agreement</w:t>
      </w:r>
      <w:r>
        <w:rPr>
          <w:rFonts w:ascii="Arial" w:cs="Arial" w:eastAsia="Arial" w:hAnsi="Arial"/>
          <w:sz w:val="18"/>
          <w:szCs w:val="18"/>
          <w:color w:val="auto"/>
        </w:rPr>
        <w:t>” means that certain Amended and Restated Series A Preferred Stock Purchase Agreement between Borrower and the Purchasers (as defined therein) dated as of March 30, 2017</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Pledge Agreement</w:t>
      </w:r>
      <w:r>
        <w:rPr>
          <w:rFonts w:ascii="Arial" w:cs="Arial" w:eastAsia="Arial" w:hAnsi="Arial"/>
          <w:sz w:val="18"/>
          <w:szCs w:val="18"/>
          <w:color w:val="auto"/>
        </w:rPr>
        <w:t>” is that certain Stock Pledge Agreement dated as of the Effective Date, by and between Borrower and Bank, as the same may from time to time be amended, restated, modified or otherwise supplemented.</w:t>
      </w:r>
    </w:p>
    <w:p>
      <w:pPr>
        <w:spacing w:after="0" w:line="16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17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Advance</w:t>
      </w:r>
      <w:r>
        <w:rPr>
          <w:rFonts w:ascii="Arial" w:cs="Arial" w:eastAsia="Arial" w:hAnsi="Arial"/>
          <w:sz w:val="18"/>
          <w:szCs w:val="18"/>
          <w:color w:val="auto"/>
        </w:rPr>
        <w:t>” and “</w:t>
      </w:r>
      <w:r>
        <w:rPr>
          <w:rFonts w:ascii="Arial" w:cs="Arial" w:eastAsia="Arial" w:hAnsi="Arial"/>
          <w:sz w:val="18"/>
          <w:szCs w:val="18"/>
          <w:b w:val="1"/>
          <w:bCs w:val="1"/>
          <w:color w:val="auto"/>
        </w:rPr>
        <w:t>Term Loan Advances</w:t>
      </w:r>
      <w:r>
        <w:rPr>
          <w:rFonts w:ascii="Arial" w:cs="Arial" w:eastAsia="Arial" w:hAnsi="Arial"/>
          <w:sz w:val="18"/>
          <w:szCs w:val="18"/>
          <w:color w:val="auto"/>
        </w:rPr>
        <w:t>” are defined in Section 2.1.1(a).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April 1, 2021.</w:t>
      </w:r>
    </w:p>
    <w:p>
      <w:pPr>
        <w:spacing w:after="0" w:line="225"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1 Draw Period</w:t>
      </w:r>
      <w:r>
        <w:rPr>
          <w:rFonts w:ascii="Arial" w:cs="Arial" w:eastAsia="Arial" w:hAnsi="Arial"/>
          <w:sz w:val="18"/>
          <w:szCs w:val="18"/>
          <w:color w:val="auto"/>
        </w:rPr>
        <w:t>” is the period of time commencing upon the occurrence of the Tranche 1 Milestone Event, and continuing through the earlier to occur of (a) October 31, 2018, or (b) an Event of Default.</w:t>
      </w:r>
    </w:p>
    <w:p>
      <w:pPr>
        <w:spacing w:after="0" w:line="162"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1 Milestone Event</w:t>
      </w:r>
      <w:r>
        <w:rPr>
          <w:rFonts w:ascii="Arial" w:cs="Arial" w:eastAsia="Arial" w:hAnsi="Arial"/>
          <w:sz w:val="18"/>
          <w:szCs w:val="18"/>
          <w:color w:val="auto"/>
        </w:rPr>
        <w:t>” means confirmation by Bank in writing that Borrower received after March 1, 2017, but on or before October 31, 2018, unrestricted and unencumbered net cash proceeds in an amount of Three Million Five Hundred Thousand Dollars ($3,500,000.00) from the issuance and sale by Borrower of its equity securities to investors reasonably acceptable to Bank.</w:t>
      </w:r>
    </w:p>
    <w:p>
      <w:pPr>
        <w:spacing w:after="0" w:line="176"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2 Draw Period</w:t>
      </w:r>
      <w:r>
        <w:rPr>
          <w:rFonts w:ascii="Arial" w:cs="Arial" w:eastAsia="Arial" w:hAnsi="Arial"/>
          <w:sz w:val="18"/>
          <w:szCs w:val="18"/>
          <w:color w:val="auto"/>
        </w:rPr>
        <w:t>” is the period of time commencing upon the occurrence of each of the following: (a) the Tranche 1 Milestone Event and the funding of the Tranche 1 Advances, and (b) the Tranche 2 Milestone Event, and continuing through the earlier to occur of (i) October 31, 2018, or (ii) an Event of Default.</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2 Milestone Event</w:t>
      </w:r>
      <w:r>
        <w:rPr>
          <w:rFonts w:ascii="Arial" w:cs="Arial" w:eastAsia="Arial" w:hAnsi="Arial"/>
          <w:sz w:val="17"/>
          <w:szCs w:val="17"/>
          <w:color w:val="auto"/>
        </w:rPr>
        <w:t>” means confirmation by Bank in writing that either (a) the Second Closing Milestone Achievement has occurred or</w:t>
      </w:r>
    </w:p>
    <w:p>
      <w:pPr>
        <w:spacing w:after="0" w:line="39" w:lineRule="exact"/>
        <w:rPr>
          <w:sz w:val="20"/>
          <w:szCs w:val="20"/>
          <w:color w:val="auto"/>
        </w:rPr>
      </w:pPr>
    </w:p>
    <w:p>
      <w:pPr>
        <w:ind w:right="100" w:firstLine="8"/>
        <w:spacing w:after="0" w:line="255" w:lineRule="auto"/>
        <w:tabs>
          <w:tab w:leader="none" w:pos="255" w:val="left"/>
        </w:tabs>
        <w:numPr>
          <w:ilvl w:val="0"/>
          <w:numId w:val="459"/>
        </w:numPr>
        <w:rPr>
          <w:rFonts w:ascii="Arial" w:cs="Arial" w:eastAsia="Arial" w:hAnsi="Arial"/>
          <w:sz w:val="18"/>
          <w:szCs w:val="18"/>
          <w:color w:val="auto"/>
        </w:rPr>
      </w:pPr>
      <w:r>
        <w:rPr>
          <w:rFonts w:ascii="Arial" w:cs="Arial" w:eastAsia="Arial" w:hAnsi="Arial"/>
          <w:sz w:val="18"/>
          <w:szCs w:val="18"/>
          <w:color w:val="auto"/>
        </w:rPr>
        <w:t>Borrower received, after the Effective Date, but on or before October 31, 2018, unrestricted and unencumbered net cash proceeds in an amount of at least Seven Million Five Hundred Thousand Dollars ($7,500,000.00) from the issuance and sale by Borrower of its equity securities to investors reasonably acceptable to Bank (excluding funds received in connection with the Tranche 1 Milestone Event).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69" w:right="239" w:bottom="1440" w:gutter="0" w:footer="0" w:header="0"/>
        </w:sectPr>
      </w:pPr>
    </w:p>
    <w:bookmarkStart w:id="579" w:name="page580"/>
    <w:bookmarkEnd w:id="579"/>
    <w:p>
      <w:pPr>
        <w:ind w:right="2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Tranche 3 Draw Period</w:t>
      </w:r>
      <w:r>
        <w:rPr>
          <w:rFonts w:ascii="Arial" w:cs="Arial" w:eastAsia="Arial" w:hAnsi="Arial"/>
          <w:sz w:val="18"/>
          <w:szCs w:val="18"/>
          <w:color w:val="auto"/>
        </w:rPr>
        <w:t>” is the period of time commencing upon the occurrence of each of the following: (a) the Tranche 1 Milestone Event and the funding of the Tranche 1 Advances, (b) the Tranche 2 Milestone Event and the funding of the Tranche 2 Advances, and (c) the Tranche 3 Milestone Event, and continuing through the earlier to occur of (i) October 31, 2018, or (ii) an Event of Default.</w:t>
      </w:r>
    </w:p>
    <w:p>
      <w:pPr>
        <w:spacing w:after="0" w:line="17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3 Milestone Event</w:t>
      </w:r>
      <w:r>
        <w:rPr>
          <w:rFonts w:ascii="Arial" w:cs="Arial" w:eastAsia="Arial" w:hAnsi="Arial"/>
          <w:sz w:val="17"/>
          <w:szCs w:val="17"/>
          <w:color w:val="auto"/>
        </w:rPr>
        <w:t>” means confirmation by Bank in writing, on or before October 31, 2018, that (a) Borrower received, after the Effective Date, but on or before October 31, 2018, unrestricted and unencumbered net cash proceeds in an amount of Six Million Five Hundred Thousand Dollars ($6,500,000.00) from the issuance and sale by Borrower of its equity securities to investors reasonably acceptable to Bank (excluding funds received in connection with the Tranche 1 Milestone Event and the Tranche 2 Milestone Event) and (b) Borrower received a signed and enforceable term sheet from one or more investor parties, acceptable to Bank in its sole but reasonable discretion, in favor of and accepted by Borrower, evidencing such investor’s or such investors’ commitment to provide financing to Borrower, which would result in the receipt by Borrower on or before March 31, 2018 of unrestricted and unencumbered net cash proceeds equal to twelve (12) months of operating expenses for the next twelve (12) successive months based on the most recent Board-approved plan of Borrower presented to and accepted by Bank.</w:t>
      </w:r>
    </w:p>
    <w:p>
      <w:pPr>
        <w:spacing w:after="0" w:line="172"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is that certain warrant to purchase stock between Borrower and Bank dated as of the Effective Date, as may be amended, modified, supplemented or restated from time to time.</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 follows.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270" w:right="339" w:bottom="1440" w:gutter="0" w:footer="0" w:header="0"/>
        </w:sectPr>
      </w:pPr>
    </w:p>
    <w:bookmarkStart w:id="580" w:name="page581"/>
    <w:bookmarkEnd w:id="580"/>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Agreement to be executed as a sealed instrument under the laws of the Commonwealth</w:t>
      </w:r>
      <w:r>
        <w:rPr>
          <w:rFonts w:ascii="Arial" w:cs="Arial" w:eastAsia="Arial" w:hAnsi="Arial"/>
          <w:sz w:val="18"/>
          <w:szCs w:val="18"/>
          <w:b w:val="1"/>
          <w:bCs w:val="1"/>
          <w:color w:val="auto"/>
        </w:rPr>
        <w:t xml:space="preserve"> </w:t>
      </w:r>
      <w:r>
        <w:rPr>
          <w:rFonts w:ascii="Arial" w:cs="Arial" w:eastAsia="Arial" w:hAnsi="Arial"/>
          <w:sz w:val="18"/>
          <w:szCs w:val="18"/>
          <w:color w:val="auto"/>
        </w:rPr>
        <w:t>of Massachusetts as of the Effective Date.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Geoffrey MacKay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Geoffrey MacKay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President, CEO, Treasurer and Secretary</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SILICON VALLEY BANK</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Thomas Kelly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Thomas E. Kelly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Loan and Security Agreement</w:t>
      </w:r>
    </w:p>
    <w:p>
      <w:pPr>
        <w:sectPr>
          <w:pgSz w:w="11900" w:h="16838" w:orient="portrait"/>
          <w:cols w:equalWidth="0" w:num="1">
            <w:col w:w="11380"/>
          </w:cols>
          <w:pgMar w:left="240" w:top="269" w:right="279" w:bottom="1440" w:gutter="0" w:footer="0" w:header="0"/>
        </w:sectPr>
      </w:pPr>
    </w:p>
    <w:bookmarkStart w:id="581" w:name="page582"/>
    <w:bookmarkEnd w:id="58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 COLLATERAL DESCRIPTION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Notwithstanding the foregoing, the Collateral does not include (a) with respect to stock in Australian Subsidiary and Canadian Subsidiary, more than sixty-five percent (65.0%) of the presently existing and hereafter arising issued and outstanding shares of capital stock owned by Borrower of each of Australian Subsidiary or Canadian Subsidiary which shares entitle the holder thereof to vote for directors or any other matter or (b)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pacing w:after="0" w:line="19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terms of a certain negative pledge arrangement with Bank, Borrower has agreed not to encumber any of its Intellectual Property without Bank’s prior written consent.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582" w:name="page583"/>
    <w:bookmarkEnd w:id="582"/>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8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rPr>
              <w:t>EXHIBIT B</w:t>
            </w:r>
          </w:p>
        </w:tc>
      </w:tr>
      <w:tr>
        <w:trPr>
          <w:trHeight w:val="20"/>
        </w:trPr>
        <w:tc>
          <w:tcPr>
            <w:tcW w:w="3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3400" w:type="dxa"/>
            <w:vAlign w:val="bottom"/>
          </w:tcPr>
          <w:p>
            <w:pPr>
              <w:spacing w:after="0"/>
              <w:rPr>
                <w:sz w:val="24"/>
                <w:szCs w:val="24"/>
                <w:color w:val="auto"/>
              </w:rPr>
            </w:pPr>
          </w:p>
        </w:tc>
        <w:tc>
          <w:tcPr>
            <w:tcW w:w="3920" w:type="dxa"/>
            <w:vAlign w:val="bottom"/>
            <w:gridSpan w:val="5"/>
          </w:tcPr>
          <w:p>
            <w:pPr>
              <w:jc w:val="center"/>
              <w:ind w:left="630"/>
              <w:spacing w:after="0"/>
              <w:rPr>
                <w:sz w:val="20"/>
                <w:szCs w:val="20"/>
                <w:color w:val="auto"/>
              </w:rPr>
            </w:pPr>
            <w:r>
              <w:rPr>
                <w:rFonts w:ascii="Arial" w:cs="Arial" w:eastAsia="Arial" w:hAnsi="Arial"/>
                <w:sz w:val="18"/>
                <w:szCs w:val="18"/>
                <w:b w:val="1"/>
                <w:bCs w:val="1"/>
                <w:color w:val="auto"/>
              </w:rPr>
              <w:t>COMPLIANCE CERTIFICATE</w:t>
            </w:r>
          </w:p>
        </w:tc>
      </w:tr>
      <w:tr>
        <w:trPr>
          <w:trHeight w:val="20"/>
        </w:trPr>
        <w:tc>
          <w:tcPr>
            <w:tcW w:w="3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38"/>
        </w:trPr>
        <w:tc>
          <w:tcPr>
            <w:tcW w:w="3400" w:type="dxa"/>
            <w:vAlign w:val="bottom"/>
          </w:tcPr>
          <w:p>
            <w:pPr>
              <w:spacing w:after="0"/>
              <w:rPr>
                <w:sz w:val="20"/>
                <w:szCs w:val="20"/>
                <w:color w:val="auto"/>
              </w:rPr>
            </w:pPr>
            <w:r>
              <w:rPr>
                <w:rFonts w:ascii="Arial" w:cs="Arial" w:eastAsia="Arial" w:hAnsi="Arial"/>
                <w:sz w:val="18"/>
                <w:szCs w:val="18"/>
                <w:color w:val="auto"/>
              </w:rPr>
              <w:t>TO: SILICON VALLEY BANK</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w w:val="88"/>
              </w:rPr>
              <w:t>Date:</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FROM: AVROBIO, INC.</w:t>
            </w: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-162560</wp:posOffset>
            </wp:positionV>
            <wp:extent cx="128587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18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undersigned authorized officer of AVROBIO, INC. (“Borrower”) certifies that under the terms and conditions of the Loan and Security Agreement between Borrower and Bank (the “Agreement”):</w:t>
      </w:r>
    </w:p>
    <w:p>
      <w:pPr>
        <w:spacing w:after="0" w:line="17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(1) Borrower is in compliance for the period ending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of the Agreement; and (5) no Liens have been levied or claims made against Borrower or any of its Subsidiaries relating to unpaid employee payroll or benefits of which Borrower has not previously provided written notification to Bank.</w:t>
      </w:r>
    </w:p>
    <w:p>
      <w:pPr>
        <w:spacing w:after="0" w:line="179" w:lineRule="exact"/>
        <w:rPr>
          <w:sz w:val="20"/>
          <w:szCs w:val="20"/>
          <w:color w:val="auto"/>
        </w:rPr>
      </w:pPr>
    </w:p>
    <w:p>
      <w:pPr>
        <w:ind w:right="380" w:firstLine="456"/>
        <w:spacing w:after="0" w:line="257" w:lineRule="auto"/>
        <w:rPr>
          <w:sz w:val="20"/>
          <w:szCs w:val="20"/>
          <w:color w:val="auto"/>
        </w:rPr>
      </w:pPr>
      <w:r>
        <w:rPr>
          <w:rFonts w:ascii="Arial" w:cs="Arial" w:eastAsia="Arial" w:hAnsi="Arial"/>
          <w:sz w:val="18"/>
          <w:szCs w:val="18"/>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Reporting Covenants</w:t>
            </w:r>
          </w:p>
        </w:tc>
        <w:tc>
          <w:tcPr>
            <w:tcW w:w="3780" w:type="dxa"/>
            <w:vAlign w:val="bottom"/>
            <w:gridSpan w:val="2"/>
          </w:tcPr>
          <w:p>
            <w:pPr>
              <w:ind w:left="1560"/>
              <w:spacing w:after="0"/>
              <w:rPr>
                <w:sz w:val="20"/>
                <w:szCs w:val="20"/>
                <w:color w:val="auto"/>
              </w:rPr>
            </w:pPr>
            <w:r>
              <w:rPr>
                <w:rFonts w:ascii="Arial" w:cs="Arial" w:eastAsia="Arial" w:hAnsi="Arial"/>
                <w:sz w:val="14"/>
                <w:szCs w:val="14"/>
                <w:b w:val="1"/>
                <w:bCs w:val="1"/>
                <w:color w:val="auto"/>
              </w:rPr>
              <w:t>Required</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1"/>
              </w:rPr>
              <w:t>Complies</w:t>
            </w:r>
          </w:p>
        </w:tc>
      </w:tr>
      <w:tr>
        <w:trPr>
          <w:trHeight w:val="182"/>
        </w:trPr>
        <w:tc>
          <w:tcPr>
            <w:tcW w:w="20" w:type="dxa"/>
            <w:vAlign w:val="bottom"/>
          </w:tcPr>
          <w:p>
            <w:pPr>
              <w:spacing w:after="0"/>
              <w:rPr>
                <w:sz w:val="15"/>
                <w:szCs w:val="15"/>
                <w:color w:val="auto"/>
              </w:rPr>
            </w:pPr>
          </w:p>
        </w:tc>
        <w:tc>
          <w:tcPr>
            <w:tcW w:w="13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5"/>
              </w:rPr>
              <w:t>Monthly financial</w:t>
            </w:r>
          </w:p>
        </w:tc>
        <w:tc>
          <w:tcPr>
            <w:tcW w:w="2800" w:type="dxa"/>
            <w:vAlign w:val="bottom"/>
          </w:tcPr>
          <w:p>
            <w:pPr>
              <w:ind w:left="20"/>
              <w:spacing w:after="0" w:line="182" w:lineRule="exact"/>
              <w:rPr>
                <w:sz w:val="20"/>
                <w:szCs w:val="20"/>
                <w:color w:val="auto"/>
              </w:rPr>
            </w:pPr>
            <w:r>
              <w:rPr>
                <w:rFonts w:ascii="Arial" w:cs="Arial" w:eastAsia="Arial" w:hAnsi="Arial"/>
                <w:sz w:val="18"/>
                <w:szCs w:val="18"/>
                <w:color w:val="auto"/>
              </w:rPr>
              <w:t>statements with</w:t>
            </w:r>
          </w:p>
        </w:tc>
        <w:tc>
          <w:tcPr>
            <w:tcW w:w="36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Monthly within 30 days</w:t>
            </w:r>
          </w:p>
        </w:tc>
        <w:tc>
          <w:tcPr>
            <w:tcW w:w="120" w:type="dxa"/>
            <w:vAlign w:val="bottom"/>
          </w:tcPr>
          <w:p>
            <w:pPr>
              <w:spacing w:after="0"/>
              <w:rPr>
                <w:sz w:val="15"/>
                <w:szCs w:val="15"/>
                <w:color w:val="auto"/>
              </w:rPr>
            </w:pPr>
          </w:p>
        </w:tc>
        <w:tc>
          <w:tcPr>
            <w:tcW w:w="35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8"/>
              </w:rPr>
              <w:t>Yes No</w:t>
            </w:r>
          </w:p>
        </w:tc>
      </w:tr>
      <w:tr>
        <w:trPr>
          <w:trHeight w:val="216"/>
        </w:trPr>
        <w:tc>
          <w:tcPr>
            <w:tcW w:w="2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Compliance Certificate</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Annual financial statement (CPA Audited) + CC</w:t>
            </w:r>
          </w:p>
        </w:tc>
        <w:tc>
          <w:tcPr>
            <w:tcW w:w="3780" w:type="dxa"/>
            <w:vAlign w:val="bottom"/>
            <w:gridSpan w:val="2"/>
          </w:tcPr>
          <w:p>
            <w:pPr>
              <w:spacing w:after="0"/>
              <w:rPr>
                <w:sz w:val="20"/>
                <w:szCs w:val="20"/>
                <w:color w:val="auto"/>
              </w:rPr>
            </w:pPr>
            <w:r>
              <w:rPr>
                <w:rFonts w:ascii="Arial" w:cs="Arial" w:eastAsia="Arial" w:hAnsi="Arial"/>
                <w:sz w:val="18"/>
                <w:szCs w:val="18"/>
                <w:color w:val="auto"/>
              </w:rPr>
              <w:t>FYE within 180 days</w:t>
            </w:r>
          </w:p>
        </w:tc>
        <w:tc>
          <w:tcPr>
            <w:tcW w:w="3520" w:type="dxa"/>
            <w:vAlign w:val="bottom"/>
          </w:tcPr>
          <w:p>
            <w:pPr>
              <w:jc w:val="center"/>
              <w:spacing w:after="0"/>
              <w:rPr>
                <w:sz w:val="20"/>
                <w:szCs w:val="20"/>
                <w:color w:val="auto"/>
              </w:rPr>
            </w:pPr>
            <w:r>
              <w:rPr>
                <w:rFonts w:ascii="Arial" w:cs="Arial" w:eastAsia="Arial" w:hAnsi="Arial"/>
                <w:sz w:val="18"/>
                <w:szCs w:val="18"/>
                <w:color w:val="auto"/>
                <w:w w:val="88"/>
              </w:rPr>
              <w:t>Yes No</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Board-Approved Projections</w:t>
            </w:r>
          </w:p>
        </w:tc>
        <w:tc>
          <w:tcPr>
            <w:tcW w:w="3780" w:type="dxa"/>
            <w:vAlign w:val="bottom"/>
            <w:gridSpan w:val="2"/>
          </w:tcPr>
          <w:p>
            <w:pPr>
              <w:spacing w:after="0"/>
              <w:rPr>
                <w:sz w:val="20"/>
                <w:szCs w:val="20"/>
                <w:color w:val="auto"/>
              </w:rPr>
            </w:pPr>
            <w:r>
              <w:rPr>
                <w:rFonts w:ascii="Arial" w:cs="Arial" w:eastAsia="Arial" w:hAnsi="Arial"/>
                <w:sz w:val="18"/>
                <w:szCs w:val="18"/>
                <w:color w:val="auto"/>
              </w:rPr>
              <w:t>FYE within 60 days and</w:t>
            </w:r>
          </w:p>
        </w:tc>
        <w:tc>
          <w:tcPr>
            <w:tcW w:w="3520" w:type="dxa"/>
            <w:vAlign w:val="bottom"/>
          </w:tcPr>
          <w:p>
            <w:pPr>
              <w:jc w:val="center"/>
              <w:spacing w:after="0"/>
              <w:rPr>
                <w:sz w:val="20"/>
                <w:szCs w:val="20"/>
                <w:color w:val="auto"/>
              </w:rPr>
            </w:pPr>
            <w:r>
              <w:rPr>
                <w:rFonts w:ascii="Arial" w:cs="Arial" w:eastAsia="Arial" w:hAnsi="Arial"/>
                <w:sz w:val="18"/>
                <w:szCs w:val="18"/>
                <w:color w:val="auto"/>
                <w:w w:val="88"/>
              </w:rPr>
              <w:t>Yes No</w:t>
            </w: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contemporaneously with any material changes</w:t>
            </w:r>
          </w:p>
        </w:tc>
        <w:tc>
          <w:tcPr>
            <w:tcW w:w="35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thereto</w:t>
            </w:r>
          </w:p>
        </w:tc>
        <w:tc>
          <w:tcPr>
            <w:tcW w:w="3520" w:type="dxa"/>
            <w:vAlign w:val="bottom"/>
          </w:tcPr>
          <w:p>
            <w:pPr>
              <w:spacing w:after="0"/>
              <w:rPr>
                <w:sz w:val="19"/>
                <w:szCs w:val="19"/>
                <w:color w:val="auto"/>
              </w:rPr>
            </w:pP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10-Q, 10-K and 8-K</w:t>
            </w:r>
          </w:p>
        </w:tc>
        <w:tc>
          <w:tcPr>
            <w:tcW w:w="3780" w:type="dxa"/>
            <w:vAlign w:val="bottom"/>
            <w:gridSpan w:val="2"/>
          </w:tcPr>
          <w:p>
            <w:pPr>
              <w:spacing w:after="0"/>
              <w:rPr>
                <w:sz w:val="20"/>
                <w:szCs w:val="20"/>
                <w:color w:val="auto"/>
              </w:rPr>
            </w:pPr>
            <w:r>
              <w:rPr>
                <w:rFonts w:ascii="Arial" w:cs="Arial" w:eastAsia="Arial" w:hAnsi="Arial"/>
                <w:sz w:val="18"/>
                <w:szCs w:val="18"/>
                <w:color w:val="auto"/>
              </w:rPr>
              <w:t>Within 5 days after filing with SEC</w:t>
            </w:r>
          </w:p>
        </w:tc>
        <w:tc>
          <w:tcPr>
            <w:tcW w:w="3520" w:type="dxa"/>
            <w:vAlign w:val="bottom"/>
          </w:tcPr>
          <w:p>
            <w:pPr>
              <w:jc w:val="center"/>
              <w:spacing w:after="0"/>
              <w:rPr>
                <w:sz w:val="20"/>
                <w:szCs w:val="20"/>
                <w:color w:val="auto"/>
              </w:rPr>
            </w:pPr>
            <w:r>
              <w:rPr>
                <w:rFonts w:ascii="Arial" w:cs="Arial" w:eastAsia="Arial" w:hAnsi="Arial"/>
                <w:sz w:val="18"/>
                <w:szCs w:val="18"/>
                <w:color w:val="auto"/>
                <w:w w:val="88"/>
              </w:rPr>
              <w:t>Yes No</w:t>
            </w:r>
          </w:p>
        </w:tc>
      </w:tr>
    </w:tbl>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b w:val="1"/>
                <w:bCs w:val="1"/>
                <w:color w:val="auto"/>
              </w:rPr>
              <w:t>Other Matters</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60"/>
        </w:trPr>
        <w:tc>
          <w:tcPr>
            <w:tcW w:w="10540" w:type="dxa"/>
            <w:vAlign w:val="bottom"/>
            <w:gridSpan w:val="3"/>
          </w:tcPr>
          <w:p>
            <w:pPr>
              <w:spacing w:after="0"/>
              <w:rPr>
                <w:sz w:val="20"/>
                <w:szCs w:val="20"/>
                <w:color w:val="auto"/>
              </w:rPr>
            </w:pPr>
            <w:r>
              <w:rPr>
                <w:rFonts w:ascii="Arial" w:cs="Arial" w:eastAsia="Arial" w:hAnsi="Arial"/>
                <w:sz w:val="18"/>
                <w:szCs w:val="18"/>
                <w:color w:val="auto"/>
                <w:w w:val="91"/>
              </w:rPr>
              <w:t>Have there been any amendments of or other changes to the capitalization table of Borrower and to the Operating Documents of Borrower or any</w:t>
            </w:r>
          </w:p>
        </w:tc>
        <w:tc>
          <w:tcPr>
            <w:tcW w:w="480" w:type="dxa"/>
            <w:vAlign w:val="bottom"/>
          </w:tcPr>
          <w:p>
            <w:pPr>
              <w:ind w:left="60"/>
              <w:spacing w:after="0"/>
              <w:rPr>
                <w:sz w:val="20"/>
                <w:szCs w:val="20"/>
                <w:color w:val="auto"/>
              </w:rPr>
            </w:pPr>
            <w:r>
              <w:rPr>
                <w:rFonts w:ascii="Arial" w:cs="Arial" w:eastAsia="Arial" w:hAnsi="Arial"/>
                <w:sz w:val="18"/>
                <w:szCs w:val="18"/>
                <w:color w:val="auto"/>
              </w:rPr>
              <w:t>Yes</w:t>
            </w:r>
          </w:p>
        </w:tc>
        <w:tc>
          <w:tcPr>
            <w:tcW w:w="400" w:type="dxa"/>
            <w:vAlign w:val="bottom"/>
          </w:tcPr>
          <w:p>
            <w:pPr>
              <w:ind w:left="140"/>
              <w:spacing w:after="0"/>
              <w:rPr>
                <w:sz w:val="20"/>
                <w:szCs w:val="20"/>
                <w:color w:val="auto"/>
              </w:rPr>
            </w:pPr>
            <w:r>
              <w:rPr>
                <w:rFonts w:ascii="Arial" w:cs="Arial" w:eastAsia="Arial" w:hAnsi="Arial"/>
                <w:sz w:val="18"/>
                <w:szCs w:val="18"/>
                <w:color w:val="auto"/>
              </w:rPr>
              <w:t>No</w:t>
            </w:r>
          </w:p>
        </w:tc>
      </w:tr>
      <w:tr>
        <w:trPr>
          <w:trHeight w:val="230"/>
        </w:trPr>
        <w:tc>
          <w:tcPr>
            <w:tcW w:w="10540" w:type="dxa"/>
            <w:vAlign w:val="bottom"/>
            <w:gridSpan w:val="3"/>
          </w:tcPr>
          <w:p>
            <w:pPr>
              <w:spacing w:after="0"/>
              <w:rPr>
                <w:sz w:val="20"/>
                <w:szCs w:val="20"/>
                <w:color w:val="auto"/>
              </w:rPr>
            </w:pPr>
            <w:r>
              <w:rPr>
                <w:rFonts w:ascii="Arial" w:cs="Arial" w:eastAsia="Arial" w:hAnsi="Arial"/>
                <w:sz w:val="18"/>
                <w:szCs w:val="18"/>
                <w:color w:val="auto"/>
              </w:rPr>
              <w:t>of its Subsidiaries? If yes, provide copies of any such amendments or changes with this Compliance Certificate.</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6"/>
        </w:trPr>
        <w:tc>
          <w:tcPr>
            <w:tcW w:w="180" w:type="dxa"/>
            <w:vAlign w:val="bottom"/>
          </w:tcPr>
          <w:p>
            <w:pPr>
              <w:spacing w:after="0"/>
              <w:rPr>
                <w:sz w:val="24"/>
                <w:szCs w:val="24"/>
                <w:color w:val="auto"/>
              </w:rPr>
            </w:pPr>
          </w:p>
        </w:tc>
        <w:tc>
          <w:tcPr>
            <w:tcW w:w="10360" w:type="dxa"/>
            <w:vAlign w:val="bottom"/>
            <w:gridSpan w:val="2"/>
          </w:tcPr>
          <w:p>
            <w:pPr>
              <w:ind w:left="280"/>
              <w:spacing w:after="0"/>
              <w:rPr>
                <w:sz w:val="20"/>
                <w:szCs w:val="20"/>
                <w:color w:val="auto"/>
              </w:rPr>
            </w:pPr>
            <w:r>
              <w:rPr>
                <w:rFonts w:ascii="Arial" w:cs="Arial" w:eastAsia="Arial" w:hAnsi="Arial"/>
                <w:sz w:val="18"/>
                <w:szCs w:val="18"/>
                <w:color w:val="auto"/>
              </w:rPr>
              <w:t>The following are the exceptions with respect to the certification above: (If no exceptions exist, state “No exceptions to note.”)</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43"/>
        </w:trPr>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9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r>
      <w:tr>
        <w:trPr>
          <w:trHeight w:val="210"/>
        </w:trPr>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r>
      <w:tr>
        <w:trPr>
          <w:trHeight w:val="210"/>
        </w:trPr>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r>
      <w:tr>
        <w:trPr>
          <w:trHeight w:val="210"/>
        </w:trPr>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r>
    </w:tbl>
    <w:p>
      <w:pPr>
        <w:spacing w:after="0" w:line="198" w:lineRule="exact"/>
        <w:rPr>
          <w:sz w:val="20"/>
          <w:szCs w:val="20"/>
          <w:color w:val="auto"/>
        </w:rPr>
      </w:pPr>
    </w:p>
    <w:p>
      <w:pPr>
        <w:spacing w:after="0"/>
        <w:tabs>
          <w:tab w:leader="none" w:pos="5200" w:val="left"/>
        </w:tabs>
        <w:rPr>
          <w:sz w:val="20"/>
          <w:szCs w:val="20"/>
          <w:color w:val="auto"/>
        </w:rPr>
      </w:pPr>
      <w:r>
        <w:rPr>
          <w:rFonts w:ascii="Arial" w:cs="Arial" w:eastAsia="Arial" w:hAnsi="Arial"/>
          <w:sz w:val="18"/>
          <w:szCs w:val="18"/>
          <w:b w:val="1"/>
          <w:bCs w:val="1"/>
          <w:color w:val="auto"/>
        </w:rPr>
        <w:t>AVROBIO, INC.</w:t>
      </w:r>
      <w:r>
        <w:rPr>
          <w:sz w:val="20"/>
          <w:szCs w:val="20"/>
          <w:color w:val="auto"/>
        </w:rPr>
        <w:tab/>
      </w:r>
      <w:r>
        <w:rPr>
          <w:rFonts w:ascii="Arial" w:cs="Arial" w:eastAsia="Arial" w:hAnsi="Arial"/>
          <w:sz w:val="17"/>
          <w:szCs w:val="17"/>
          <w:b w:val="1"/>
          <w:bCs w:val="1"/>
          <w:color w:val="auto"/>
        </w:rPr>
        <w:t>BANK USE ONLY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57" w:right="239" w:bottom="1440" w:gutter="0" w:footer="0" w:header="0"/>
        </w:sectPr>
      </w:pPr>
    </w:p>
    <w:bookmarkStart w:id="583" w:name="page584"/>
    <w:bookmarkEnd w:id="583"/>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85737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-4445</wp:posOffset>
            </wp:positionV>
            <wp:extent cx="168592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68592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-19050</wp:posOffset>
            </wp:positionV>
            <wp:extent cx="174307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Arial" w:cs="Arial" w:eastAsia="Arial" w:hAnsi="Arial"/>
          <w:sz w:val="18"/>
          <w:szCs w:val="18"/>
          <w:color w:val="auto"/>
        </w:rPr>
        <w:t>Received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-215900</wp:posOffset>
            </wp:positionV>
            <wp:extent cx="72891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881380</wp:posOffset>
            </wp:positionH>
            <wp:positionV relativeFrom="paragraph">
              <wp:posOffset>-10160</wp:posOffset>
            </wp:positionV>
            <wp:extent cx="128587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 w:lineRule="exact"/>
        <w:rPr>
          <w:sz w:val="20"/>
          <w:szCs w:val="20"/>
          <w:color w:val="auto"/>
        </w:rPr>
      </w:pPr>
    </w:p>
    <w:p>
      <w:pPr>
        <w:jc w:val="right"/>
        <w:ind w:right="1119"/>
        <w:spacing w:after="0"/>
        <w:rPr>
          <w:sz w:val="20"/>
          <w:szCs w:val="20"/>
          <w:color w:val="auto"/>
        </w:rPr>
      </w:pPr>
      <w:r>
        <w:rPr>
          <w:rFonts w:ascii="Arial" w:cs="Arial" w:eastAsia="Arial" w:hAnsi="Arial"/>
          <w:sz w:val="15"/>
          <w:szCs w:val="15"/>
          <w:color w:val="auto"/>
        </w:rPr>
        <w:t>AUTHORIZED SIGNER</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-10160</wp:posOffset>
            </wp:positionV>
            <wp:extent cx="1628775"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Verified: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-10160</wp:posOffset>
            </wp:positionV>
            <wp:extent cx="145732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20" w:lineRule="exact"/>
        <w:rPr>
          <w:sz w:val="20"/>
          <w:szCs w:val="20"/>
          <w:color w:val="auto"/>
        </w:rPr>
      </w:pPr>
    </w:p>
    <w:p>
      <w:pPr>
        <w:jc w:val="right"/>
        <w:ind w:right="1119"/>
        <w:spacing w:after="0"/>
        <w:rPr>
          <w:sz w:val="20"/>
          <w:szCs w:val="20"/>
          <w:color w:val="auto"/>
        </w:rPr>
      </w:pPr>
      <w:r>
        <w:rPr>
          <w:rFonts w:ascii="Arial" w:cs="Arial" w:eastAsia="Arial" w:hAnsi="Arial"/>
          <w:sz w:val="15"/>
          <w:szCs w:val="15"/>
          <w:color w:val="auto"/>
        </w:rPr>
        <w:t>AUTHORIZED SIGNER</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-10160</wp:posOffset>
            </wp:positionV>
            <wp:extent cx="162877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11" w:lineRule="exact"/>
        <w:rPr>
          <w:sz w:val="20"/>
          <w:szCs w:val="20"/>
          <w:color w:val="auto"/>
        </w:rPr>
      </w:pPr>
    </w:p>
    <w:p>
      <w:pPr>
        <w:ind w:left="400"/>
        <w:spacing w:after="0"/>
        <w:tabs>
          <w:tab w:leader="none" w:pos="2100" w:val="left"/>
        </w:tabs>
        <w:rPr>
          <w:sz w:val="20"/>
          <w:szCs w:val="20"/>
          <w:color w:val="auto"/>
        </w:rPr>
      </w:pPr>
      <w:r>
        <w:rPr>
          <w:rFonts w:ascii="Arial" w:cs="Arial" w:eastAsia="Arial" w:hAnsi="Arial"/>
          <w:sz w:val="18"/>
          <w:szCs w:val="18"/>
          <w:color w:val="auto"/>
        </w:rPr>
        <w:t>Compliance Status:</w:t>
      </w:r>
      <w:r>
        <w:rPr>
          <w:sz w:val="20"/>
          <w:szCs w:val="20"/>
          <w:color w:val="auto"/>
        </w:rPr>
        <w:tab/>
      </w:r>
      <w:r>
        <w:rPr>
          <w:rFonts w:ascii="Arial" w:cs="Arial" w:eastAsia="Arial" w:hAnsi="Arial"/>
          <w:sz w:val="16"/>
          <w:szCs w:val="16"/>
          <w:color w:val="auto"/>
        </w:rPr>
        <w:t>Yes  No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4940" w:space="720"/>
            <w:col w:w="4559"/>
          </w:cols>
          <w:pgMar w:left="240" w:top="274" w:right="1440" w:bottom="1440" w:gutter="0" w:footer="0" w:header="0"/>
        </w:sectPr>
      </w:pPr>
    </w:p>
    <w:bookmarkStart w:id="584" w:name="page585"/>
    <w:bookmarkEnd w:id="584"/>
    <w:tbl>
      <w:tblPr>
        <w:tblLayout w:type="fixed"/>
        <w:tblInd w:w="1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EXHIBIT C – LOAN PAYMENT/ADVANCE REQUEST FORM</w:t>
            </w:r>
          </w:p>
        </w:tc>
        <w:tc>
          <w:tcPr>
            <w:tcW w:w="3200" w:type="dxa"/>
            <w:vAlign w:val="bottom"/>
            <w:gridSpan w:val="4"/>
          </w:tcPr>
          <w:p>
            <w:pPr>
              <w:spacing w:after="0"/>
              <w:rPr>
                <w:sz w:val="17"/>
                <w:szCs w:val="17"/>
                <w:color w:val="auto"/>
              </w:rPr>
            </w:pPr>
          </w:p>
        </w:tc>
      </w:tr>
      <w:tr>
        <w:trPr>
          <w:trHeight w:val="345"/>
        </w:trPr>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0" w:type="dxa"/>
            <w:vAlign w:val="bottom"/>
            <w:gridSpan w:val="11"/>
          </w:tcPr>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EADLINE FOR SAME DAY PROCESSING IS</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OON</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ASTERN</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IME</w:t>
            </w:r>
          </w:p>
        </w:tc>
      </w:tr>
      <w:tr>
        <w:trPr>
          <w:trHeight w:val="392"/>
        </w:trPr>
        <w:tc>
          <w:tcPr>
            <w:tcW w:w="1480" w:type="dxa"/>
            <w:vAlign w:val="bottom"/>
            <w:gridSpan w:val="4"/>
          </w:tcPr>
          <w:p>
            <w:pPr>
              <w:spacing w:after="0"/>
              <w:rPr>
                <w:sz w:val="20"/>
                <w:szCs w:val="20"/>
                <w:color w:val="auto"/>
              </w:rPr>
            </w:pPr>
            <w:r>
              <w:rPr>
                <w:rFonts w:ascii="Arial" w:cs="Arial" w:eastAsia="Arial" w:hAnsi="Arial"/>
                <w:sz w:val="18"/>
                <w:szCs w:val="18"/>
                <w:color w:val="auto"/>
              </w:rPr>
              <w:t>Fax To:</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20" w:type="dxa"/>
            <w:vAlign w:val="bottom"/>
            <w:gridSpan w:val="6"/>
          </w:tcPr>
          <w:p>
            <w:pPr>
              <w:ind w:left="1400"/>
              <w:spacing w:after="0"/>
              <w:rPr>
                <w:sz w:val="20"/>
                <w:szCs w:val="20"/>
                <w:color w:val="auto"/>
              </w:rPr>
            </w:pPr>
            <w:r>
              <w:rPr>
                <w:rFonts w:ascii="Arial" w:cs="Arial" w:eastAsia="Arial" w:hAnsi="Arial"/>
                <w:sz w:val="18"/>
                <w:szCs w:val="18"/>
                <w:color w:val="auto"/>
              </w:rPr>
              <w:t>Date:</w:t>
            </w:r>
          </w:p>
        </w:tc>
      </w:tr>
      <w:tr>
        <w:trPr>
          <w:trHeight w:val="260"/>
        </w:trPr>
        <w:tc>
          <w:tcPr>
            <w:tcW w:w="8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r>
      <w:tr>
        <w:trPr>
          <w:trHeight w:val="213"/>
        </w:trPr>
        <w:tc>
          <w:tcPr>
            <w:tcW w:w="1480" w:type="dxa"/>
            <w:vAlign w:val="bottom"/>
            <w:tcBorders>
              <w:lef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OAN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AYMENT</w:t>
            </w: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560" w:type="dxa"/>
            <w:vAlign w:val="bottom"/>
            <w:gridSpan w:val="3"/>
          </w:tcPr>
          <w:p>
            <w:pPr>
              <w:ind w:left="260"/>
              <w:spacing w:after="0"/>
              <w:rPr>
                <w:sz w:val="20"/>
                <w:szCs w:val="20"/>
                <w:color w:val="auto"/>
              </w:rPr>
            </w:pPr>
            <w:r>
              <w:rPr>
                <w:rFonts w:ascii="Arial" w:cs="Arial" w:eastAsia="Arial" w:hAnsi="Arial"/>
                <w:sz w:val="18"/>
                <w:szCs w:val="18"/>
                <w:color w:val="auto"/>
                <w:w w:val="99"/>
              </w:rPr>
              <w:t>AVROBIO, INC.</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196"/>
        </w:trPr>
        <w:tc>
          <w:tcPr>
            <w:tcW w:w="1480" w:type="dxa"/>
            <w:vAlign w:val="bottom"/>
            <w:tcBorders>
              <w:left w:val="single" w:sz="8" w:color="auto"/>
            </w:tcBorders>
            <w:gridSpan w:val="4"/>
          </w:tcPr>
          <w:p>
            <w:pPr>
              <w:ind w:left="20"/>
              <w:spacing w:after="0" w:line="196" w:lineRule="exact"/>
              <w:rPr>
                <w:sz w:val="20"/>
                <w:szCs w:val="20"/>
                <w:color w:val="auto"/>
              </w:rPr>
            </w:pPr>
            <w:r>
              <w:rPr>
                <w:rFonts w:ascii="Arial" w:cs="Arial" w:eastAsia="Arial" w:hAnsi="Arial"/>
                <w:sz w:val="18"/>
                <w:szCs w:val="18"/>
                <w:color w:val="auto"/>
              </w:rPr>
              <w:t>From Account #</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20" w:type="dxa"/>
            <w:vAlign w:val="bottom"/>
            <w:tcBorders>
              <w:right w:val="single" w:sz="8" w:color="auto"/>
            </w:tcBorders>
            <w:gridSpan w:val="9"/>
          </w:tcPr>
          <w:p>
            <w:pPr>
              <w:ind w:left="540"/>
              <w:spacing w:after="0" w:line="196" w:lineRule="exact"/>
              <w:rPr>
                <w:sz w:val="20"/>
                <w:szCs w:val="20"/>
                <w:color w:val="auto"/>
              </w:rPr>
            </w:pPr>
            <w:r>
              <w:rPr>
                <w:rFonts w:ascii="Arial" w:cs="Arial" w:eastAsia="Arial" w:hAnsi="Arial"/>
                <w:sz w:val="18"/>
                <w:szCs w:val="18"/>
                <w:color w:val="auto"/>
              </w:rPr>
              <w:t>To Account #</w:t>
            </w:r>
          </w:p>
        </w:tc>
      </w:tr>
      <w:tr>
        <w:trPr>
          <w:trHeight w:val="237"/>
        </w:trPr>
        <w:tc>
          <w:tcPr>
            <w:tcW w:w="86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4"/>
          </w:tcPr>
          <w:p>
            <w:pPr>
              <w:ind w:left="120"/>
              <w:spacing w:after="0"/>
              <w:rPr>
                <w:sz w:val="20"/>
                <w:szCs w:val="20"/>
                <w:color w:val="auto"/>
              </w:rPr>
            </w:pPr>
            <w:r>
              <w:rPr>
                <w:rFonts w:ascii="Arial" w:cs="Arial" w:eastAsia="Arial" w:hAnsi="Arial"/>
                <w:sz w:val="18"/>
                <w:szCs w:val="18"/>
                <w:color w:val="auto"/>
              </w:rPr>
              <w:t>(Deposit Account #)</w:t>
            </w:r>
          </w:p>
        </w:tc>
        <w:tc>
          <w:tcPr>
            <w:tcW w:w="5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460" w:type="dxa"/>
            <w:vAlign w:val="bottom"/>
            <w:tcBorders>
              <w:top w:val="single" w:sz="8" w:color="auto"/>
            </w:tcBorders>
            <w:gridSpan w:val="4"/>
          </w:tcPr>
          <w:p>
            <w:pPr>
              <w:ind w:left="760"/>
              <w:spacing w:after="0"/>
              <w:rPr>
                <w:sz w:val="20"/>
                <w:szCs w:val="20"/>
                <w:color w:val="auto"/>
              </w:rPr>
            </w:pPr>
            <w:r>
              <w:rPr>
                <w:rFonts w:ascii="Arial" w:cs="Arial" w:eastAsia="Arial" w:hAnsi="Arial"/>
                <w:sz w:val="18"/>
                <w:szCs w:val="18"/>
                <w:color w:val="auto"/>
              </w:rPr>
              <w:t>(Loan Account #)</w:t>
            </w:r>
          </w:p>
        </w:tc>
        <w:tc>
          <w:tcPr>
            <w:tcW w:w="1960" w:type="dxa"/>
            <w:vAlign w:val="bottom"/>
            <w:tcBorders>
              <w:right w:val="single" w:sz="8" w:color="auto"/>
            </w:tcBorders>
            <w:gridSpan w:val="2"/>
          </w:tcPr>
          <w:p>
            <w:pPr>
              <w:spacing w:after="0"/>
              <w:rPr>
                <w:sz w:val="20"/>
                <w:szCs w:val="20"/>
                <w:color w:val="auto"/>
              </w:rPr>
            </w:pPr>
          </w:p>
        </w:tc>
      </w:tr>
      <w:tr>
        <w:trPr>
          <w:trHeight w:val="284"/>
        </w:trPr>
        <w:tc>
          <w:tcPr>
            <w:tcW w:w="8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7"/>
              </w:rPr>
              <w:t>Principal $</w:t>
            </w:r>
          </w:p>
        </w:tc>
        <w:tc>
          <w:tcPr>
            <w:tcW w:w="62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20" w:type="dxa"/>
            <w:vAlign w:val="bottom"/>
            <w:tcBorders>
              <w:right w:val="single" w:sz="8" w:color="auto"/>
            </w:tcBorders>
            <w:gridSpan w:val="9"/>
          </w:tcPr>
          <w:p>
            <w:pPr>
              <w:ind w:left="560"/>
              <w:spacing w:after="0"/>
              <w:rPr>
                <w:sz w:val="20"/>
                <w:szCs w:val="20"/>
                <w:color w:val="auto"/>
              </w:rPr>
            </w:pPr>
            <w:r>
              <w:rPr>
                <w:rFonts w:ascii="Arial" w:cs="Arial" w:eastAsia="Arial" w:hAnsi="Arial"/>
                <w:sz w:val="18"/>
                <w:szCs w:val="18"/>
                <w:color w:val="auto"/>
              </w:rPr>
              <w:t>and/or Interest $</w:t>
            </w:r>
          </w:p>
        </w:tc>
      </w:tr>
      <w:tr>
        <w:trPr>
          <w:trHeight w:val="20"/>
        </w:trPr>
        <w:tc>
          <w:tcPr>
            <w:tcW w:w="860" w:type="dxa"/>
            <w:vAlign w:val="bottom"/>
            <w:tcBorders>
              <w:lef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Borders>
              <w:right w:val="single" w:sz="8" w:color="auto"/>
            </w:tcBorders>
            <w:gridSpan w:val="2"/>
          </w:tcPr>
          <w:p>
            <w:pPr>
              <w:spacing w:after="0" w:line="20" w:lineRule="exact"/>
              <w:rPr>
                <w:sz w:val="1"/>
                <w:szCs w:val="1"/>
                <w:color w:val="auto"/>
              </w:rPr>
            </w:pPr>
          </w:p>
        </w:tc>
      </w:tr>
      <w:tr>
        <w:trPr>
          <w:trHeight w:val="196"/>
        </w:trPr>
        <w:tc>
          <w:tcPr>
            <w:tcW w:w="3220" w:type="dxa"/>
            <w:vAlign w:val="bottom"/>
            <w:tcBorders>
              <w:left w:val="single" w:sz="8" w:color="auto"/>
            </w:tcBorders>
            <w:gridSpan w:val="8"/>
          </w:tcPr>
          <w:p>
            <w:pPr>
              <w:ind w:left="20"/>
              <w:spacing w:after="0" w:line="196" w:lineRule="exact"/>
              <w:rPr>
                <w:sz w:val="20"/>
                <w:szCs w:val="20"/>
                <w:color w:val="auto"/>
              </w:rPr>
            </w:pPr>
            <w:r>
              <w:rPr>
                <w:rFonts w:ascii="Arial" w:cs="Arial" w:eastAsia="Arial" w:hAnsi="Arial"/>
                <w:sz w:val="18"/>
                <w:szCs w:val="18"/>
                <w:color w:val="auto"/>
              </w:rPr>
              <w:t>Authorized Signature:</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20" w:type="dxa"/>
            <w:vAlign w:val="bottom"/>
            <w:tcBorders>
              <w:right w:val="single" w:sz="8" w:color="auto"/>
            </w:tcBorders>
            <w:gridSpan w:val="9"/>
          </w:tcPr>
          <w:p>
            <w:pPr>
              <w:ind w:left="1020"/>
              <w:spacing w:after="0" w:line="196" w:lineRule="exact"/>
              <w:rPr>
                <w:sz w:val="20"/>
                <w:szCs w:val="20"/>
                <w:color w:val="auto"/>
              </w:rPr>
            </w:pPr>
            <w:r>
              <w:rPr>
                <w:rFonts w:ascii="Arial" w:cs="Arial" w:eastAsia="Arial" w:hAnsi="Arial"/>
                <w:sz w:val="18"/>
                <w:szCs w:val="18"/>
                <w:color w:val="auto"/>
              </w:rPr>
              <w:t>Phone Number:</w:t>
            </w:r>
          </w:p>
        </w:tc>
      </w:tr>
      <w:tr>
        <w:trPr>
          <w:trHeight w:val="196"/>
        </w:trPr>
        <w:tc>
          <w:tcPr>
            <w:tcW w:w="1480" w:type="dxa"/>
            <w:vAlign w:val="bottom"/>
            <w:tcBorders>
              <w:left w:val="single" w:sz="8" w:color="auto"/>
            </w:tcBorders>
            <w:gridSpan w:val="4"/>
          </w:tcPr>
          <w:p>
            <w:pPr>
              <w:ind w:left="20"/>
              <w:spacing w:after="0" w:line="196" w:lineRule="exact"/>
              <w:rPr>
                <w:sz w:val="20"/>
                <w:szCs w:val="20"/>
                <w:color w:val="auto"/>
              </w:rPr>
            </w:pPr>
            <w:r>
              <w:rPr>
                <w:rFonts w:ascii="Arial" w:cs="Arial" w:eastAsia="Arial" w:hAnsi="Arial"/>
                <w:sz w:val="18"/>
                <w:szCs w:val="18"/>
                <w:color w:val="auto"/>
              </w:rPr>
              <w:t>Print Name/Title:</w:t>
            </w: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r>
      <w:tr>
        <w:trPr>
          <w:trHeight w:val="71"/>
        </w:trPr>
        <w:tc>
          <w:tcPr>
            <w:tcW w:w="860" w:type="dxa"/>
            <w:vAlign w:val="bottom"/>
            <w:tcBorders>
              <w:left w:val="single" w:sz="8" w:color="auto"/>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124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193357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50430" cy="1933575"/>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DVANCE</w:t>
      </w:r>
      <w:r>
        <w:rPr>
          <w:rFonts w:ascii="Arial" w:cs="Arial" w:eastAsia="Arial" w:hAnsi="Arial"/>
          <w:sz w:val="18"/>
          <w:szCs w:val="18"/>
          <w:b w:val="1"/>
          <w:bCs w:val="1"/>
          <w:color w:val="auto"/>
        </w:rPr>
        <w: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tbl>
      <w:tblPr>
        <w:tblLayout w:type="fixed"/>
        <w:tblInd w:w="20" w:type="dxa"/>
        <w:tblCellMar>
          <w:top w:w="0" w:type="dxa"/>
          <w:left w:w="0" w:type="dxa"/>
          <w:bottom w:w="0" w:type="dxa"/>
          <w:right w:w="0" w:type="dxa"/>
        </w:tblCellMar>
      </w:tblPr>
      <w:tr>
        <w:trPr>
          <w:trHeight w:val="185"/>
        </w:trPr>
        <w:tc>
          <w:tcPr>
            <w:tcW w:w="3920" w:type="dxa"/>
            <w:vAlign w:val="bottom"/>
            <w:gridSpan w:val="3"/>
          </w:tcPr>
          <w:p>
            <w:pPr>
              <w:spacing w:after="0" w:line="185" w:lineRule="exact"/>
              <w:rPr>
                <w:sz w:val="20"/>
                <w:szCs w:val="20"/>
                <w:color w:val="auto"/>
              </w:rPr>
            </w:pPr>
            <w:r>
              <w:rPr>
                <w:rFonts w:ascii="Arial" w:cs="Arial" w:eastAsia="Arial" w:hAnsi="Arial"/>
                <w:sz w:val="18"/>
                <w:szCs w:val="18"/>
                <w:color w:val="auto"/>
              </w:rPr>
              <w:t>From Account #</w:t>
            </w:r>
          </w:p>
        </w:tc>
        <w:tc>
          <w:tcPr>
            <w:tcW w:w="260" w:type="dxa"/>
            <w:vAlign w:val="bottom"/>
          </w:tcPr>
          <w:p>
            <w:pPr>
              <w:spacing w:after="0"/>
              <w:rPr>
                <w:sz w:val="16"/>
                <w:szCs w:val="16"/>
                <w:color w:val="auto"/>
              </w:rPr>
            </w:pPr>
          </w:p>
        </w:tc>
        <w:tc>
          <w:tcPr>
            <w:tcW w:w="5140" w:type="dxa"/>
            <w:vAlign w:val="bottom"/>
            <w:gridSpan w:val="2"/>
          </w:tcPr>
          <w:p>
            <w:pPr>
              <w:ind w:left="280"/>
              <w:spacing w:after="0" w:line="185" w:lineRule="exact"/>
              <w:rPr>
                <w:sz w:val="20"/>
                <w:szCs w:val="20"/>
                <w:color w:val="auto"/>
              </w:rPr>
            </w:pPr>
            <w:r>
              <w:rPr>
                <w:rFonts w:ascii="Arial" w:cs="Arial" w:eastAsia="Arial" w:hAnsi="Arial"/>
                <w:sz w:val="18"/>
                <w:szCs w:val="18"/>
                <w:color w:val="auto"/>
              </w:rPr>
              <w:t>To Account #</w:t>
            </w:r>
          </w:p>
        </w:tc>
      </w:tr>
      <w:tr>
        <w:trPr>
          <w:trHeight w:val="237"/>
        </w:trPr>
        <w:tc>
          <w:tcPr>
            <w:tcW w:w="11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(Loan Account #)</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8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(Deposit Account #)</w:t>
            </w:r>
          </w:p>
        </w:tc>
      </w:tr>
      <w:tr>
        <w:trPr>
          <w:trHeight w:val="284"/>
        </w:trPr>
        <w:tc>
          <w:tcPr>
            <w:tcW w:w="3920" w:type="dxa"/>
            <w:vAlign w:val="bottom"/>
            <w:gridSpan w:val="3"/>
          </w:tcPr>
          <w:p>
            <w:pPr>
              <w:spacing w:after="0"/>
              <w:rPr>
                <w:sz w:val="20"/>
                <w:szCs w:val="20"/>
                <w:color w:val="auto"/>
              </w:rPr>
            </w:pPr>
            <w:r>
              <w:rPr>
                <w:rFonts w:ascii="Arial" w:cs="Arial" w:eastAsia="Arial" w:hAnsi="Arial"/>
                <w:sz w:val="18"/>
                <w:szCs w:val="18"/>
                <w:color w:val="auto"/>
              </w:rPr>
              <w:t>Amount of Advance $</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bl>
    <w:p>
      <w:pPr>
        <w:spacing w:after="0" w:line="121" w:lineRule="exact"/>
        <w:rPr>
          <w:sz w:val="20"/>
          <w:szCs w:val="20"/>
          <w:color w:val="auto"/>
        </w:rPr>
      </w:pPr>
    </w:p>
    <w:p>
      <w:pPr>
        <w:ind w:left="20" w:right="240"/>
        <w:spacing w:after="0" w:line="259" w:lineRule="auto"/>
        <w:rPr>
          <w:sz w:val="20"/>
          <w:szCs w:val="20"/>
          <w:color w:val="auto"/>
        </w:rPr>
      </w:pPr>
      <w:r>
        <w:rPr>
          <w:rFonts w:ascii="Arial" w:cs="Arial" w:eastAsia="Arial" w:hAnsi="Arial"/>
          <w:sz w:val="18"/>
          <w:szCs w:val="18"/>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640" w:type="dxa"/>
            <w:vAlign w:val="bottom"/>
            <w:gridSpan w:val="2"/>
          </w:tcPr>
          <w:p>
            <w:pPr>
              <w:spacing w:after="0"/>
              <w:rPr>
                <w:sz w:val="20"/>
                <w:szCs w:val="20"/>
                <w:color w:val="auto"/>
              </w:rPr>
            </w:pPr>
            <w:r>
              <w:rPr>
                <w:rFonts w:ascii="Arial" w:cs="Arial" w:eastAsia="Arial" w:hAnsi="Arial"/>
                <w:sz w:val="18"/>
                <w:szCs w:val="18"/>
                <w:color w:val="auto"/>
                <w:w w:val="93"/>
              </w:rPr>
              <w:t>Authorized Signature:</w:t>
            </w:r>
          </w:p>
        </w:tc>
        <w:tc>
          <w:tcPr>
            <w:tcW w:w="27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Pr>
          <w:p>
            <w:pPr>
              <w:ind w:left="1300"/>
              <w:spacing w:after="0"/>
              <w:rPr>
                <w:sz w:val="20"/>
                <w:szCs w:val="20"/>
                <w:color w:val="auto"/>
              </w:rPr>
            </w:pPr>
            <w:r>
              <w:rPr>
                <w:rFonts w:ascii="Arial" w:cs="Arial" w:eastAsia="Arial" w:hAnsi="Arial"/>
                <w:sz w:val="18"/>
                <w:szCs w:val="18"/>
                <w:color w:val="auto"/>
                <w:w w:val="87"/>
              </w:rPr>
              <w:t>Phone Number:</w:t>
            </w: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w w:val="95"/>
              </w:rPr>
              <w:t>Print Name/Title:</w:t>
            </w:r>
          </w:p>
        </w:tc>
        <w:tc>
          <w:tcPr>
            <w:tcW w:w="3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50430" cy="275717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50430" cy="2757170"/>
                    </a:xfrm>
                    <a:prstGeom prst="rect">
                      <a:avLst/>
                    </a:prstGeom>
                    <a:noFill/>
                  </pic:spPr>
                </pic:pic>
              </a:graphicData>
            </a:graphic>
          </wp:anchor>
        </w:drawing>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EQUEST</w:t>
      </w:r>
      <w:r>
        <w:rPr>
          <w:rFonts w:ascii="Arial" w:cs="Arial" w:eastAsia="Arial" w:hAnsi="Arial"/>
          <w:sz w:val="18"/>
          <w:szCs w:val="18"/>
          <w:b w:val="1"/>
          <w:bCs w:val="1"/>
          <w:color w:val="auto"/>
        </w:rPr>
        <w: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Deadline for same day processing is noon, Pacific Time</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60" w:type="dxa"/>
            <w:vAlign w:val="bottom"/>
            <w:gridSpan w:val="3"/>
          </w:tcPr>
          <w:p>
            <w:pPr>
              <w:spacing w:after="0"/>
              <w:rPr>
                <w:sz w:val="20"/>
                <w:szCs w:val="20"/>
                <w:color w:val="auto"/>
              </w:rPr>
            </w:pPr>
            <w:r>
              <w:rPr>
                <w:rFonts w:ascii="Arial" w:cs="Arial" w:eastAsia="Arial" w:hAnsi="Arial"/>
                <w:sz w:val="18"/>
                <w:szCs w:val="18"/>
                <w:color w:val="auto"/>
                <w:w w:val="96"/>
              </w:rPr>
              <w:t>Beneficiary Name:</w:t>
            </w:r>
          </w:p>
        </w:tc>
        <w:tc>
          <w:tcPr>
            <w:tcW w:w="3060" w:type="dxa"/>
            <w:vAlign w:val="bottom"/>
            <w:tcBorders>
              <w:bottom w:val="single" w:sz="8" w:color="auto"/>
            </w:tcBorders>
            <w:gridSpan w:val="7"/>
          </w:tcPr>
          <w:p>
            <w:pPr>
              <w:spacing w:after="0"/>
              <w:rPr>
                <w:sz w:val="18"/>
                <w:szCs w:val="18"/>
                <w:color w:val="auto"/>
              </w:rPr>
            </w:pPr>
          </w:p>
        </w:tc>
        <w:tc>
          <w:tcPr>
            <w:tcW w:w="1860" w:type="dxa"/>
            <w:vAlign w:val="bottom"/>
            <w:gridSpan w:val="3"/>
          </w:tcPr>
          <w:p>
            <w:pPr>
              <w:ind w:left="500"/>
              <w:spacing w:after="0"/>
              <w:rPr>
                <w:sz w:val="20"/>
                <w:szCs w:val="20"/>
                <w:color w:val="auto"/>
              </w:rPr>
            </w:pPr>
            <w:r>
              <w:rPr>
                <w:rFonts w:ascii="Arial" w:cs="Arial" w:eastAsia="Arial" w:hAnsi="Arial"/>
                <w:sz w:val="18"/>
                <w:szCs w:val="18"/>
                <w:color w:val="auto"/>
                <w:w w:val="92"/>
              </w:rPr>
              <w:t>Amount of Wire: $</w:t>
            </w:r>
          </w:p>
        </w:tc>
        <w:tc>
          <w:tcPr>
            <w:tcW w:w="2960" w:type="dxa"/>
            <w:vAlign w:val="bottom"/>
            <w:tcBorders>
              <w:bottom w:val="single" w:sz="8" w:color="auto"/>
            </w:tcBorders>
            <w:gridSpan w:val="4"/>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w w:val="95"/>
              </w:rPr>
              <w:t>Beneficiary Bank:</w:t>
            </w:r>
          </w:p>
        </w:tc>
        <w:tc>
          <w:tcPr>
            <w:tcW w:w="3100" w:type="dxa"/>
            <w:vAlign w:val="bottom"/>
            <w:tcBorders>
              <w:bottom w:val="single" w:sz="8" w:color="auto"/>
            </w:tcBorders>
            <w:gridSpan w:val="6"/>
          </w:tcPr>
          <w:p>
            <w:pPr>
              <w:spacing w:after="0"/>
              <w:rPr>
                <w:sz w:val="17"/>
                <w:szCs w:val="17"/>
                <w:color w:val="auto"/>
              </w:rPr>
            </w:pPr>
          </w:p>
        </w:tc>
        <w:tc>
          <w:tcPr>
            <w:tcW w:w="60" w:type="dxa"/>
            <w:vAlign w:val="bottom"/>
            <w:gridSpan w:val="2"/>
          </w:tcPr>
          <w:p>
            <w:pPr>
              <w:spacing w:after="0"/>
              <w:rPr>
                <w:sz w:val="17"/>
                <w:szCs w:val="17"/>
                <w:color w:val="auto"/>
              </w:rPr>
            </w:pPr>
          </w:p>
        </w:tc>
        <w:tc>
          <w:tcPr>
            <w:tcW w:w="1820" w:type="dxa"/>
            <w:vAlign w:val="bottom"/>
            <w:gridSpan w:val="2"/>
          </w:tcPr>
          <w:p>
            <w:pPr>
              <w:ind w:left="480"/>
              <w:spacing w:after="0" w:line="196" w:lineRule="exact"/>
              <w:rPr>
                <w:sz w:val="20"/>
                <w:szCs w:val="20"/>
                <w:color w:val="auto"/>
              </w:rPr>
            </w:pPr>
            <w:r>
              <w:rPr>
                <w:rFonts w:ascii="Arial" w:cs="Arial" w:eastAsia="Arial" w:hAnsi="Arial"/>
                <w:sz w:val="18"/>
                <w:szCs w:val="18"/>
                <w:color w:val="auto"/>
                <w:w w:val="94"/>
              </w:rPr>
              <w:t>Account Number:</w:t>
            </w:r>
          </w:p>
        </w:tc>
        <w:tc>
          <w:tcPr>
            <w:tcW w:w="3000" w:type="dxa"/>
            <w:vAlign w:val="bottom"/>
            <w:tcBorders>
              <w:bottom w:val="single" w:sz="8" w:color="auto"/>
            </w:tcBorders>
            <w:gridSpan w:val="5"/>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w w:val="93"/>
              </w:rPr>
              <w:t>City and State:</w:t>
            </w:r>
          </w:p>
        </w:tc>
        <w:tc>
          <w:tcPr>
            <w:tcW w:w="3320" w:type="dxa"/>
            <w:vAlign w:val="bottom"/>
            <w:tcBorders>
              <w:bottom w:val="single" w:sz="8" w:color="auto"/>
            </w:tcBorders>
            <w:gridSpan w:val="6"/>
          </w:tcPr>
          <w:p>
            <w:pPr>
              <w:spacing w:after="0"/>
              <w:rPr>
                <w:sz w:val="17"/>
                <w:szCs w:val="17"/>
                <w:color w:val="auto"/>
              </w:rPr>
            </w:pPr>
          </w:p>
        </w:tc>
        <w:tc>
          <w:tcPr>
            <w:tcW w:w="80" w:type="dxa"/>
            <w:vAlign w:val="bottom"/>
            <w:gridSpan w:val="3"/>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580" w:type="dxa"/>
            <w:vAlign w:val="bottom"/>
            <w:gridSpan w:val="5"/>
          </w:tcPr>
          <w:p>
            <w:pPr>
              <w:spacing w:after="0" w:line="196" w:lineRule="exact"/>
              <w:rPr>
                <w:sz w:val="20"/>
                <w:szCs w:val="20"/>
                <w:color w:val="auto"/>
              </w:rPr>
            </w:pPr>
            <w:r>
              <w:rPr>
                <w:rFonts w:ascii="Arial" w:cs="Arial" w:eastAsia="Arial" w:hAnsi="Arial"/>
                <w:sz w:val="18"/>
                <w:szCs w:val="18"/>
                <w:color w:val="auto"/>
                <w:w w:val="95"/>
              </w:rPr>
              <w:t>Beneficiary Bank Transit (ABA) #:</w:t>
            </w:r>
          </w:p>
        </w:tc>
        <w:tc>
          <w:tcPr>
            <w:tcW w:w="1900" w:type="dxa"/>
            <w:vAlign w:val="bottom"/>
            <w:tcBorders>
              <w:bottom w:val="single" w:sz="8" w:color="auto"/>
            </w:tcBorders>
            <w:gridSpan w:val="4"/>
          </w:tcPr>
          <w:p>
            <w:pPr>
              <w:spacing w:after="0"/>
              <w:rPr>
                <w:sz w:val="17"/>
                <w:szCs w:val="17"/>
                <w:color w:val="auto"/>
              </w:rPr>
            </w:pPr>
          </w:p>
        </w:tc>
        <w:tc>
          <w:tcPr>
            <w:tcW w:w="40" w:type="dxa"/>
            <w:vAlign w:val="bottom"/>
          </w:tcPr>
          <w:p>
            <w:pPr>
              <w:spacing w:after="0"/>
              <w:rPr>
                <w:sz w:val="17"/>
                <w:szCs w:val="17"/>
                <w:color w:val="auto"/>
              </w:rPr>
            </w:pPr>
          </w:p>
        </w:tc>
        <w:tc>
          <w:tcPr>
            <w:tcW w:w="3840" w:type="dxa"/>
            <w:vAlign w:val="bottom"/>
            <w:gridSpan w:val="4"/>
          </w:tcPr>
          <w:p>
            <w:pPr>
              <w:ind w:left="320"/>
              <w:spacing w:after="0" w:line="196" w:lineRule="exact"/>
              <w:rPr>
                <w:sz w:val="20"/>
                <w:szCs w:val="20"/>
                <w:color w:val="auto"/>
              </w:rPr>
            </w:pPr>
            <w:r>
              <w:rPr>
                <w:rFonts w:ascii="Arial" w:cs="Arial" w:eastAsia="Arial" w:hAnsi="Arial"/>
                <w:sz w:val="18"/>
                <w:szCs w:val="18"/>
                <w:color w:val="auto"/>
                <w:w w:val="93"/>
              </w:rPr>
              <w:t>Beneficiary Bank Code (Swift, Sort, Chip, etc.):</w:t>
            </w:r>
          </w:p>
        </w:tc>
        <w:tc>
          <w:tcPr>
            <w:tcW w:w="940" w:type="dxa"/>
            <w:vAlign w:val="bottom"/>
            <w:tcBorders>
              <w:bottom w:val="single" w:sz="8" w:color="auto"/>
            </w:tcBorders>
            <w:gridSpan w:val="2"/>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30"/>
        </w:trPr>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gridSpan w:val="7"/>
          </w:tcPr>
          <w:p>
            <w:pPr>
              <w:ind w:left="940"/>
              <w:spacing w:after="0"/>
              <w:rPr>
                <w:sz w:val="20"/>
                <w:szCs w:val="20"/>
                <w:color w:val="auto"/>
              </w:rPr>
            </w:pPr>
            <w:r>
              <w:rPr>
                <w:rFonts w:ascii="Arial" w:cs="Arial" w:eastAsia="Arial" w:hAnsi="Arial"/>
                <w:sz w:val="18"/>
                <w:szCs w:val="18"/>
                <w:b w:val="1"/>
                <w:bCs w:val="1"/>
                <w:color w:val="auto"/>
              </w:rPr>
              <w:t>(For International Wire Only)</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460" w:type="dxa"/>
            <w:vAlign w:val="bottom"/>
            <w:gridSpan w:val="3"/>
          </w:tcPr>
          <w:p>
            <w:pPr>
              <w:spacing w:after="0" w:line="190" w:lineRule="exact"/>
              <w:rPr>
                <w:sz w:val="20"/>
                <w:szCs w:val="20"/>
                <w:color w:val="auto"/>
              </w:rPr>
            </w:pPr>
            <w:r>
              <w:rPr>
                <w:rFonts w:ascii="Arial" w:cs="Arial" w:eastAsia="Arial" w:hAnsi="Arial"/>
                <w:sz w:val="18"/>
                <w:szCs w:val="18"/>
                <w:color w:val="auto"/>
                <w:w w:val="93"/>
              </w:rPr>
              <w:t>Intermediary Bank:</w:t>
            </w:r>
          </w:p>
        </w:tc>
        <w:tc>
          <w:tcPr>
            <w:tcW w:w="2380" w:type="dxa"/>
            <w:vAlign w:val="bottom"/>
            <w:tcBorders>
              <w:bottom w:val="single" w:sz="8" w:color="auto"/>
            </w:tcBorders>
            <w:gridSpan w:val="3"/>
          </w:tcPr>
          <w:p>
            <w:pPr>
              <w:spacing w:after="0"/>
              <w:rPr>
                <w:sz w:val="16"/>
                <w:szCs w:val="16"/>
                <w:color w:val="auto"/>
              </w:rPr>
            </w:pPr>
          </w:p>
        </w:tc>
        <w:tc>
          <w:tcPr>
            <w:tcW w:w="680" w:type="dxa"/>
            <w:vAlign w:val="bottom"/>
            <w:gridSpan w:val="4"/>
          </w:tcPr>
          <w:p>
            <w:pPr>
              <w:spacing w:after="0"/>
              <w:rPr>
                <w:sz w:val="16"/>
                <w:szCs w:val="16"/>
                <w:color w:val="auto"/>
              </w:rPr>
            </w:pPr>
          </w:p>
        </w:tc>
        <w:tc>
          <w:tcPr>
            <w:tcW w:w="1620" w:type="dxa"/>
            <w:vAlign w:val="bottom"/>
          </w:tcPr>
          <w:p>
            <w:pPr>
              <w:ind w:left="360"/>
              <w:spacing w:after="0" w:line="190" w:lineRule="exact"/>
              <w:rPr>
                <w:sz w:val="20"/>
                <w:szCs w:val="20"/>
                <w:color w:val="auto"/>
              </w:rPr>
            </w:pPr>
            <w:r>
              <w:rPr>
                <w:rFonts w:ascii="Arial" w:cs="Arial" w:eastAsia="Arial" w:hAnsi="Arial"/>
                <w:sz w:val="18"/>
                <w:szCs w:val="18"/>
                <w:color w:val="auto"/>
                <w:w w:val="96"/>
              </w:rPr>
              <w:t>Transit (ABA) #:</w:t>
            </w:r>
          </w:p>
        </w:tc>
        <w:tc>
          <w:tcPr>
            <w:tcW w:w="3120" w:type="dxa"/>
            <w:vAlign w:val="bottom"/>
            <w:tcBorders>
              <w:bottom w:val="single" w:sz="8" w:color="auto"/>
            </w:tcBorders>
            <w:gridSpan w:val="4"/>
          </w:tcPr>
          <w:p>
            <w:pPr>
              <w:spacing w:after="0"/>
              <w:rPr>
                <w:sz w:val="16"/>
                <w:szCs w:val="16"/>
                <w:color w:val="auto"/>
              </w:rPr>
            </w:pPr>
          </w:p>
        </w:tc>
        <w:tc>
          <w:tcPr>
            <w:tcW w:w="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600" w:type="dxa"/>
            <w:vAlign w:val="bottom"/>
            <w:gridSpan w:val="4"/>
          </w:tcPr>
          <w:p>
            <w:pPr>
              <w:spacing w:after="0" w:line="196" w:lineRule="exact"/>
              <w:rPr>
                <w:sz w:val="20"/>
                <w:szCs w:val="20"/>
                <w:color w:val="auto"/>
              </w:rPr>
            </w:pPr>
            <w:r>
              <w:rPr>
                <w:rFonts w:ascii="Arial" w:cs="Arial" w:eastAsia="Arial" w:hAnsi="Arial"/>
                <w:sz w:val="18"/>
                <w:szCs w:val="18"/>
                <w:color w:val="auto"/>
                <w:w w:val="93"/>
              </w:rPr>
              <w:t>For Further Credit to:</w:t>
            </w:r>
          </w:p>
        </w:tc>
        <w:tc>
          <w:tcPr>
            <w:tcW w:w="2920" w:type="dxa"/>
            <w:vAlign w:val="bottom"/>
            <w:tcBorders>
              <w:bottom w:val="single" w:sz="8" w:color="auto"/>
            </w:tcBorders>
            <w:gridSpan w:val="6"/>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6"/>
        </w:trPr>
        <w:tc>
          <w:tcPr>
            <w:tcW w:w="4520" w:type="dxa"/>
            <w:vAlign w:val="bottom"/>
            <w:gridSpan w:val="10"/>
          </w:tcPr>
          <w:p>
            <w:pPr>
              <w:spacing w:after="0" w:line="196" w:lineRule="exact"/>
              <w:rPr>
                <w:sz w:val="20"/>
                <w:szCs w:val="20"/>
                <w:color w:val="auto"/>
              </w:rPr>
            </w:pPr>
            <w:r>
              <w:rPr>
                <w:rFonts w:ascii="Arial" w:cs="Arial" w:eastAsia="Arial" w:hAnsi="Arial"/>
                <w:sz w:val="18"/>
                <w:szCs w:val="18"/>
                <w:color w:val="auto"/>
              </w:rPr>
              <w:t>Special Instruction:</w:t>
            </w: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 w:right="440"/>
        <w:spacing w:after="0" w:line="342"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gridSpan w:val="3"/>
          </w:tcPr>
          <w:p>
            <w:pPr>
              <w:ind w:left="20"/>
              <w:spacing w:after="0"/>
              <w:rPr>
                <w:sz w:val="20"/>
                <w:szCs w:val="20"/>
                <w:color w:val="auto"/>
              </w:rPr>
            </w:pPr>
            <w:r>
              <w:rPr>
                <w:rFonts w:ascii="Arial" w:cs="Arial" w:eastAsia="Arial" w:hAnsi="Arial"/>
                <w:sz w:val="18"/>
                <w:szCs w:val="18"/>
                <w:color w:val="auto"/>
                <w:w w:val="93"/>
              </w:rPr>
              <w:t>Authorized Signature:</w:t>
            </w:r>
          </w:p>
        </w:tc>
        <w:tc>
          <w:tcPr>
            <w:tcW w:w="2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3"/>
          </w:tcPr>
          <w:p>
            <w:pPr>
              <w:ind w:left="400"/>
              <w:spacing w:after="0"/>
              <w:rPr>
                <w:sz w:val="20"/>
                <w:szCs w:val="20"/>
                <w:color w:val="auto"/>
              </w:rPr>
            </w:pPr>
            <w:r>
              <w:rPr>
                <w:rFonts w:ascii="Arial" w:cs="Arial" w:eastAsia="Arial" w:hAnsi="Arial"/>
                <w:sz w:val="18"/>
                <w:szCs w:val="18"/>
                <w:color w:val="auto"/>
                <w:w w:val="92"/>
              </w:rPr>
              <w:t>2</w:t>
            </w:r>
            <w:r>
              <w:rPr>
                <w:rFonts w:ascii="Arial" w:cs="Arial" w:eastAsia="Arial" w:hAnsi="Arial"/>
                <w:sz w:val="15"/>
                <w:szCs w:val="15"/>
                <w:color w:val="auto"/>
                <w:w w:val="92"/>
              </w:rPr>
              <w:t>nd</w:t>
            </w:r>
            <w:r>
              <w:rPr>
                <w:rFonts w:ascii="Arial" w:cs="Arial" w:eastAsia="Arial" w:hAnsi="Arial"/>
                <w:sz w:val="18"/>
                <w:szCs w:val="18"/>
                <w:color w:val="auto"/>
                <w:w w:val="92"/>
              </w:rPr>
              <w:t xml:space="preserve"> Signature (if required):</w:t>
            </w:r>
          </w:p>
        </w:tc>
        <w:tc>
          <w:tcPr>
            <w:tcW w:w="2200" w:type="dxa"/>
            <w:vAlign w:val="bottom"/>
            <w:tcBorders>
              <w:bottom w:val="single" w:sz="8" w:color="auto"/>
            </w:tcBorders>
          </w:tcPr>
          <w:p>
            <w:pPr>
              <w:spacing w:after="0"/>
              <w:rPr>
                <w:sz w:val="18"/>
                <w:szCs w:val="18"/>
                <w:color w:val="auto"/>
              </w:rPr>
            </w:pPr>
          </w:p>
        </w:tc>
        <w:tc>
          <w:tcPr>
            <w:tcW w:w="2420" w:type="dxa"/>
            <w:vAlign w:val="bottom"/>
            <w:gridSpan w:val="3"/>
          </w:tcPr>
          <w:p>
            <w:pPr>
              <w:spacing w:after="0"/>
              <w:rPr>
                <w:sz w:val="18"/>
                <w:szCs w:val="18"/>
                <w:color w:val="auto"/>
              </w:rPr>
            </w:pPr>
          </w:p>
        </w:tc>
      </w:tr>
      <w:tr>
        <w:trPr>
          <w:trHeight w:val="196"/>
        </w:trPr>
        <w:tc>
          <w:tcPr>
            <w:tcW w:w="1320" w:type="dxa"/>
            <w:vAlign w:val="bottom"/>
            <w:gridSpan w:val="2"/>
          </w:tcPr>
          <w:p>
            <w:pPr>
              <w:ind w:left="20"/>
              <w:spacing w:after="0" w:line="196" w:lineRule="exact"/>
              <w:rPr>
                <w:sz w:val="20"/>
                <w:szCs w:val="20"/>
                <w:color w:val="auto"/>
              </w:rPr>
            </w:pPr>
            <w:r>
              <w:rPr>
                <w:rFonts w:ascii="Arial" w:cs="Arial" w:eastAsia="Arial" w:hAnsi="Arial"/>
                <w:sz w:val="18"/>
                <w:szCs w:val="18"/>
                <w:color w:val="auto"/>
                <w:w w:val="95"/>
              </w:rPr>
              <w:t>Print Name/Title:</w:t>
            </w:r>
          </w:p>
        </w:tc>
        <w:tc>
          <w:tcPr>
            <w:tcW w:w="3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6"/>
              </w:rPr>
              <w:t>Print Name/Title:</w:t>
            </w:r>
          </w:p>
        </w:tc>
        <w:tc>
          <w:tcPr>
            <w:tcW w:w="2920" w:type="dxa"/>
            <w:vAlign w:val="bottom"/>
            <w:tcBorders>
              <w:bottom w:val="single" w:sz="8" w:color="auto"/>
            </w:tcBorders>
            <w:gridSpan w:val="3"/>
          </w:tcPr>
          <w:p>
            <w:pPr>
              <w:spacing w:after="0"/>
              <w:rPr>
                <w:sz w:val="17"/>
                <w:szCs w:val="17"/>
                <w:color w:val="auto"/>
              </w:rPr>
            </w:pPr>
          </w:p>
        </w:tc>
        <w:tc>
          <w:tcPr>
            <w:tcW w:w="2400" w:type="dxa"/>
            <w:vAlign w:val="bottom"/>
            <w:gridSpan w:val="2"/>
          </w:tcPr>
          <w:p>
            <w:pPr>
              <w:spacing w:after="0"/>
              <w:rPr>
                <w:sz w:val="17"/>
                <w:szCs w:val="17"/>
                <w:color w:val="auto"/>
              </w:rPr>
            </w:pPr>
          </w:p>
        </w:tc>
      </w:tr>
      <w:tr>
        <w:trPr>
          <w:trHeight w:val="196"/>
        </w:trPr>
        <w:tc>
          <w:tcPr>
            <w:tcW w:w="16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Telephone #:</w:t>
            </w:r>
          </w:p>
        </w:tc>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0" w:type="dxa"/>
            <w:vAlign w:val="bottom"/>
            <w:gridSpan w:val="7"/>
          </w:tcPr>
          <w:p>
            <w:pPr>
              <w:jc w:val="right"/>
              <w:ind w:right="5660"/>
              <w:spacing w:after="0" w:line="196" w:lineRule="exact"/>
              <w:rPr>
                <w:sz w:val="20"/>
                <w:szCs w:val="20"/>
                <w:color w:val="auto"/>
              </w:rPr>
            </w:pPr>
            <w:r>
              <w:rPr>
                <w:rFonts w:ascii="Arial" w:cs="Arial" w:eastAsia="Arial" w:hAnsi="Arial"/>
                <w:sz w:val="18"/>
                <w:szCs w:val="18"/>
                <w:color w:val="auto"/>
              </w:rPr>
              <w:t>Telephone #:</w:t>
            </w:r>
          </w:p>
        </w:tc>
      </w:tr>
      <w:tr>
        <w:trPr>
          <w:trHeight w:val="71"/>
        </w:trPr>
        <w:tc>
          <w:tcPr>
            <w:tcW w:w="960" w:type="dxa"/>
            <w:vAlign w:val="bottom"/>
            <w:tcBorders>
              <w:bottom w:val="single" w:sz="8" w:color="auto"/>
            </w:tcBorders>
          </w:tcPr>
          <w:p>
            <w:pPr>
              <w:spacing w:after="0"/>
              <w:rPr>
                <w:sz w:val="6"/>
                <w:szCs w:val="6"/>
                <w:color w:val="auto"/>
              </w:rPr>
            </w:pPr>
          </w:p>
        </w:tc>
        <w:tc>
          <w:tcPr>
            <w:tcW w:w="36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spacing w:after="0"/>
              <w:rPr>
                <w:sz w:val="6"/>
                <w:szCs w:val="6"/>
                <w:color w:val="auto"/>
              </w:rPr>
            </w:pPr>
          </w:p>
        </w:tc>
        <w:tc>
          <w:tcPr>
            <w:tcW w:w="27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22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r>
      <w:tr>
        <w:trPr>
          <w:trHeight w:val="361"/>
        </w:trPr>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gridSpan w:val="4"/>
          </w:tcPr>
          <w:p>
            <w:pPr>
              <w:jc w:val="right"/>
              <w:ind w:right="34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ectPr>
          <w:pgSz w:w="11900" w:h="16838" w:orient="portrait"/>
          <w:cols w:equalWidth="0" w:num="1">
            <w:col w:w="11420"/>
          </w:cols>
          <w:pgMar w:left="240" w:top="256" w:right="239" w:bottom="1440" w:gutter="0" w:footer="0" w:header="0"/>
        </w:sectPr>
      </w:pPr>
    </w:p>
    <w:bookmarkStart w:id="585" w:name="page586"/>
    <w:bookmarkEnd w:id="585"/>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List of Subsidiaries</w:t>
            </w:r>
          </w:p>
        </w:tc>
      </w:tr>
      <w:tr>
        <w:trPr>
          <w:trHeight w:val="412"/>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3120" w:type="dxa"/>
            <w:vAlign w:val="bottom"/>
            <w:gridSpan w:val="3"/>
          </w:tcPr>
          <w:p>
            <w:pPr>
              <w:spacing w:after="0"/>
              <w:rPr>
                <w:sz w:val="20"/>
                <w:szCs w:val="20"/>
                <w:color w:val="auto"/>
              </w:rPr>
            </w:pPr>
            <w:r>
              <w:rPr>
                <w:rFonts w:ascii="Arial" w:cs="Arial" w:eastAsia="Arial" w:hAnsi="Arial"/>
                <w:sz w:val="14"/>
                <w:szCs w:val="14"/>
                <w:b w:val="1"/>
                <w:bCs w:val="1"/>
                <w:color w:val="auto"/>
              </w:rPr>
              <w:t>Jurisdiction of incorporation or organization</w:t>
            </w:r>
          </w:p>
        </w:tc>
      </w:tr>
      <w:tr>
        <w:trPr>
          <w:trHeight w:val="224"/>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0"/>
              </w:rPr>
              <w:t>AVROBIO</w:t>
            </w:r>
          </w:p>
        </w:tc>
        <w:tc>
          <w:tcPr>
            <w:tcW w:w="2660" w:type="dxa"/>
            <w:vAlign w:val="bottom"/>
          </w:tcPr>
          <w:p>
            <w:pPr>
              <w:ind w:left="160"/>
              <w:spacing w:after="0"/>
              <w:rPr>
                <w:sz w:val="20"/>
                <w:szCs w:val="20"/>
                <w:color w:val="auto"/>
              </w:rPr>
            </w:pPr>
            <w:r>
              <w:rPr>
                <w:rFonts w:ascii="Arial" w:cs="Arial" w:eastAsia="Arial" w:hAnsi="Arial"/>
                <w:sz w:val="18"/>
                <w:szCs w:val="18"/>
                <w:color w:val="auto"/>
              </w:rPr>
              <w:t>Inc.</w:t>
            </w:r>
          </w:p>
        </w:tc>
        <w:tc>
          <w:tcPr>
            <w:tcW w:w="2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Ontario, Canada</w:t>
            </w:r>
          </w:p>
        </w:tc>
        <w:tc>
          <w:tcPr>
            <w:tcW w:w="380" w:type="dxa"/>
            <w:vAlign w:val="bottom"/>
          </w:tcPr>
          <w:p>
            <w:pPr>
              <w:spacing w:after="0"/>
              <w:rPr>
                <w:sz w:val="19"/>
                <w:szCs w:val="19"/>
                <w:color w:val="auto"/>
              </w:rPr>
            </w:pPr>
          </w:p>
        </w:tc>
      </w:tr>
      <w:tr>
        <w:trPr>
          <w:trHeight w:val="296"/>
        </w:trPr>
        <w:tc>
          <w:tcPr>
            <w:tcW w:w="3340" w:type="dxa"/>
            <w:vAlign w:val="bottom"/>
            <w:gridSpan w:val="2"/>
          </w:tcPr>
          <w:p>
            <w:pPr>
              <w:spacing w:after="0"/>
              <w:rPr>
                <w:sz w:val="20"/>
                <w:szCs w:val="20"/>
                <w:color w:val="auto"/>
              </w:rPr>
            </w:pPr>
            <w:r>
              <w:rPr>
                <w:rFonts w:ascii="Arial" w:cs="Arial" w:eastAsia="Arial" w:hAnsi="Arial"/>
                <w:sz w:val="18"/>
                <w:szCs w:val="18"/>
                <w:color w:val="auto"/>
              </w:rPr>
              <w:t>AVROBIO Australia Pty Ltd</w:t>
            </w:r>
          </w:p>
        </w:tc>
        <w:tc>
          <w:tcPr>
            <w:tcW w:w="3120" w:type="dxa"/>
            <w:vAlign w:val="bottom"/>
            <w:gridSpan w:val="3"/>
          </w:tcPr>
          <w:p>
            <w:pPr>
              <w:spacing w:after="0"/>
              <w:rPr>
                <w:sz w:val="20"/>
                <w:szCs w:val="20"/>
                <w:color w:val="auto"/>
              </w:rPr>
            </w:pPr>
            <w:r>
              <w:rPr>
                <w:rFonts w:ascii="Arial" w:cs="Arial" w:eastAsia="Arial" w:hAnsi="Arial"/>
                <w:sz w:val="18"/>
                <w:szCs w:val="18"/>
                <w:color w:val="auto"/>
              </w:rPr>
              <w:t>Australia</w:t>
            </w:r>
          </w:p>
        </w:tc>
      </w:tr>
    </w:tbl>
    <w:p>
      <w:pPr>
        <w:sectPr>
          <w:pgSz w:w="11900" w:h="16838" w:orient="portrait"/>
          <w:cols w:equalWidth="0" w:num="1">
            <w:col w:w="11420"/>
          </w:cols>
          <w:pgMar w:left="240" w:top="121" w:right="239" w:bottom="1440" w:gutter="0" w:footer="0" w:header="0"/>
        </w:sectPr>
      </w:pPr>
    </w:p>
    <w:bookmarkStart w:id="586" w:name="page587"/>
    <w:bookmarkEnd w:id="58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April 6, 2018, in the Registration Statement (Form S-1) and related Prospectus of AVROBIO, Inc. for the registration of shares of its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24, 2018</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B52783"/>
    <w:multiLevelType w:val="hybridMultilevel"/>
    <w:lvl w:ilvl="0">
      <w:lvlJc w:val="left"/>
      <w:lvlText w:val="(%1)"/>
      <w:numFmt w:val="decimal"/>
      <w:start w:val="1"/>
    </w:lvl>
  </w:abstractNum>
  <w:abstractNum w:abstractNumId="1">
    <w:nsid w:val="57CE66B4"/>
    <w:multiLevelType w:val="hybridMultilevel"/>
    <w:lvl w:ilvl="0">
      <w:lvlJc w:val="left"/>
      <w:lvlText w:val="(%1)"/>
      <w:numFmt w:val="decimal"/>
      <w:start w:val="1"/>
    </w:lvl>
  </w:abstractNum>
  <w:abstractNum w:abstractNumId="2">
    <w:nsid w:val="67A70B69"/>
    <w:multiLevelType w:val="hybridMultilevel"/>
    <w:lvl w:ilvl="0">
      <w:lvlJc w:val="left"/>
      <w:lvlText w:val="•"/>
      <w:numFmt w:val="bullet"/>
      <w:start w:val="1"/>
    </w:lvl>
  </w:abstractNum>
  <w:abstractNum w:abstractNumId="3">
    <w:nsid w:val="5953172F"/>
    <w:multiLevelType w:val="hybridMultilevel"/>
    <w:lvl w:ilvl="0">
      <w:lvlJc w:val="left"/>
      <w:lvlText w:val="•"/>
      <w:numFmt w:val="bullet"/>
      <w:start w:val="1"/>
    </w:lvl>
  </w:abstractNum>
  <w:abstractNum w:abstractNumId="4">
    <w:nsid w:val="27EDFE3A"/>
    <w:multiLevelType w:val="hybridMultilevel"/>
    <w:lvl w:ilvl="0">
      <w:lvlJc w:val="left"/>
      <w:lvlText w:val="•"/>
      <w:numFmt w:val="bullet"/>
      <w:start w:val="1"/>
    </w:lvl>
  </w:abstractNum>
  <w:abstractNum w:abstractNumId="5">
    <w:nsid w:val="52AC7DFF"/>
    <w:multiLevelType w:val="hybridMultilevel"/>
    <w:lvl w:ilvl="0">
      <w:lvlJc w:val="left"/>
      <w:lvlText w:val="•"/>
      <w:numFmt w:val="bullet"/>
      <w:start w:val="1"/>
    </w:lvl>
  </w:abstractNum>
  <w:abstractNum w:abstractNumId="6">
    <w:nsid w:val="C4C3AF"/>
    <w:multiLevelType w:val="hybridMultilevel"/>
    <w:lvl w:ilvl="0">
      <w:lvlJc w:val="left"/>
      <w:lvlText w:val="•"/>
      <w:numFmt w:val="bullet"/>
      <w:start w:val="1"/>
    </w:lvl>
  </w:abstractNum>
  <w:abstractNum w:abstractNumId="7">
    <w:nsid w:val="44380727"/>
    <w:multiLevelType w:val="hybridMultilevel"/>
    <w:lvl w:ilvl="0">
      <w:lvlJc w:val="left"/>
      <w:lvlText w:val="•"/>
      <w:numFmt w:val="bullet"/>
      <w:start w:val="1"/>
    </w:lvl>
  </w:abstractNum>
  <w:abstractNum w:abstractNumId="8">
    <w:nsid w:val="6C053B16"/>
    <w:multiLevelType w:val="hybridMultilevel"/>
    <w:lvl w:ilvl="0">
      <w:lvlJc w:val="left"/>
      <w:lvlText w:val="(%1)"/>
      <w:numFmt w:val="decimal"/>
      <w:start w:val="1"/>
    </w:lvl>
  </w:abstractNum>
  <w:abstractNum w:abstractNumId="9">
    <w:nsid w:val="4F294393"/>
    <w:multiLevelType w:val="hybridMultilevel"/>
    <w:lvl w:ilvl="0">
      <w:lvlJc w:val="left"/>
      <w:lvlText w:val="(%1)"/>
      <w:numFmt w:val="decimal"/>
      <w:start w:val="1"/>
    </w:lvl>
  </w:abstractNum>
  <w:abstractNum w:abstractNumId="10">
    <w:nsid w:val="5243BFAC"/>
    <w:multiLevelType w:val="hybridMultilevel"/>
    <w:lvl w:ilvl="0">
      <w:lvlJc w:val="left"/>
      <w:lvlText w:val="•"/>
      <w:numFmt w:val="bullet"/>
      <w:start w:val="1"/>
    </w:lvl>
  </w:abstractNum>
  <w:abstractNum w:abstractNumId="11">
    <w:nsid w:val="425EB207"/>
    <w:multiLevelType w:val="hybridMultilevel"/>
    <w:lvl w:ilvl="0">
      <w:lvlJc w:val="left"/>
      <w:lvlText w:val="•"/>
      <w:numFmt w:val="bullet"/>
      <w:start w:val="1"/>
    </w:lvl>
  </w:abstractNum>
  <w:abstractNum w:abstractNumId="12">
    <w:nsid w:val="334A6F1F"/>
    <w:multiLevelType w:val="hybridMultilevel"/>
    <w:lvl w:ilvl="0">
      <w:lvlJc w:val="left"/>
      <w:lvlText w:val="•"/>
      <w:numFmt w:val="bullet"/>
      <w:start w:val="1"/>
    </w:lvl>
  </w:abstractNum>
  <w:abstractNum w:abstractNumId="13">
    <w:nsid w:val="2E5B12B8"/>
    <w:multiLevelType w:val="hybridMultilevel"/>
    <w:lvl w:ilvl="0">
      <w:lvlJc w:val="left"/>
      <w:lvlText w:val="•"/>
      <w:numFmt w:val="bullet"/>
      <w:start w:val="1"/>
    </w:lvl>
  </w:abstractNum>
  <w:abstractNum w:abstractNumId="14">
    <w:nsid w:val="5C03D76D"/>
    <w:multiLevelType w:val="hybridMultilevel"/>
    <w:lvl w:ilvl="0">
      <w:lvlJc w:val="left"/>
      <w:lvlText w:val="•"/>
      <w:numFmt w:val="bullet"/>
      <w:start w:val="1"/>
    </w:lvl>
  </w:abstractNum>
  <w:abstractNum w:abstractNumId="15">
    <w:nsid w:val="66A48D11"/>
    <w:multiLevelType w:val="hybridMultilevel"/>
    <w:lvl w:ilvl="0">
      <w:lvlJc w:val="left"/>
      <w:lvlText w:val="•"/>
      <w:numFmt w:val="bullet"/>
      <w:start w:val="1"/>
    </w:lvl>
  </w:abstractNum>
  <w:abstractNum w:abstractNumId="16">
    <w:nsid w:val="56C28E34"/>
    <w:multiLevelType w:val="hybridMultilevel"/>
    <w:lvl w:ilvl="0">
      <w:lvlJc w:val="left"/>
      <w:lvlText w:val="•"/>
      <w:numFmt w:val="bullet"/>
      <w:start w:val="1"/>
    </w:lvl>
  </w:abstractNum>
  <w:abstractNum w:abstractNumId="17">
    <w:nsid w:val="13916F2D"/>
    <w:multiLevelType w:val="hybridMultilevel"/>
    <w:lvl w:ilvl="0">
      <w:lvlJc w:val="left"/>
      <w:lvlText w:val="•"/>
      <w:numFmt w:val="bullet"/>
      <w:start w:val="1"/>
    </w:lvl>
  </w:abstractNum>
  <w:abstractNum w:abstractNumId="18">
    <w:nsid w:val="435D38D"/>
    <w:multiLevelType w:val="hybridMultilevel"/>
    <w:lvl w:ilvl="0">
      <w:lvlJc w:val="left"/>
      <w:lvlText w:val="•"/>
      <w:numFmt w:val="bullet"/>
      <w:start w:val="1"/>
    </w:lvl>
  </w:abstractNum>
  <w:abstractNum w:abstractNumId="19">
    <w:nsid w:val="822C0EF"/>
    <w:multiLevelType w:val="hybridMultilevel"/>
    <w:lvl w:ilvl="0">
      <w:lvlJc w:val="left"/>
      <w:lvlText w:val="(%1)"/>
      <w:numFmt w:val="decimal"/>
      <w:start w:val="2"/>
    </w:lvl>
  </w:abstractNum>
  <w:abstractNum w:abstractNumId="20">
    <w:nsid w:val="57C5BB4F"/>
    <w:multiLevelType w:val="hybridMultilevel"/>
    <w:lvl w:ilvl="0">
      <w:lvlJc w:val="left"/>
      <w:lvlText w:val="•"/>
      <w:numFmt w:val="bullet"/>
      <w:start w:val="1"/>
    </w:lvl>
  </w:abstractNum>
  <w:abstractNum w:abstractNumId="21">
    <w:nsid w:val="1803D089"/>
    <w:multiLevelType w:val="hybridMultilevel"/>
    <w:lvl w:ilvl="0">
      <w:lvlJc w:val="left"/>
      <w:lvlText w:val="•"/>
      <w:numFmt w:val="bullet"/>
      <w:start w:val="1"/>
    </w:lvl>
  </w:abstractNum>
  <w:abstractNum w:abstractNumId="22">
    <w:nsid w:val="4F3A06D4"/>
    <w:multiLevelType w:val="hybridMultilevel"/>
    <w:lvl w:ilvl="0">
      <w:lvlJc w:val="left"/>
      <w:lvlText w:val="•"/>
      <w:numFmt w:val="bullet"/>
      <w:start w:val="1"/>
    </w:lvl>
  </w:abstractNum>
  <w:abstractNum w:abstractNumId="23">
    <w:nsid w:val="59A377B6"/>
    <w:multiLevelType w:val="hybridMultilevel"/>
    <w:lvl w:ilvl="0">
      <w:lvlJc w:val="left"/>
      <w:lvlText w:val="•"/>
      <w:numFmt w:val="bullet"/>
      <w:start w:val="1"/>
    </w:lvl>
  </w:abstractNum>
  <w:abstractNum w:abstractNumId="24">
    <w:nsid w:val="48AEB063"/>
    <w:multiLevelType w:val="hybridMultilevel"/>
    <w:lvl w:ilvl="0">
      <w:lvlJc w:val="left"/>
      <w:lvlText w:val="•"/>
      <w:numFmt w:val="bullet"/>
      <w:start w:val="1"/>
    </w:lvl>
  </w:abstractNum>
  <w:abstractNum w:abstractNumId="25">
    <w:nsid w:val="24E135"/>
    <w:multiLevelType w:val="hybridMultilevel"/>
    <w:lvl w:ilvl="0">
      <w:lvlJc w:val="left"/>
      <w:lvlText w:val="•"/>
      <w:numFmt w:val="bullet"/>
      <w:start w:val="1"/>
    </w:lvl>
  </w:abstractNum>
  <w:abstractNum w:abstractNumId="26">
    <w:nsid w:val="BB13C1"/>
    <w:multiLevelType w:val="hybridMultilevel"/>
    <w:lvl w:ilvl="0">
      <w:lvlJc w:val="left"/>
      <w:lvlText w:val="•"/>
      <w:numFmt w:val="bullet"/>
      <w:start w:val="1"/>
    </w:lvl>
  </w:abstractNum>
  <w:abstractNum w:abstractNumId="27">
    <w:nsid w:val="271210C7"/>
    <w:multiLevelType w:val="hybridMultilevel"/>
    <w:lvl w:ilvl="0">
      <w:lvlJc w:val="left"/>
      <w:lvlText w:val="•"/>
      <w:numFmt w:val="bullet"/>
      <w:start w:val="1"/>
    </w:lvl>
  </w:abstractNum>
  <w:abstractNum w:abstractNumId="28">
    <w:nsid w:val="217B22E4"/>
    <w:multiLevelType w:val="hybridMultilevel"/>
    <w:lvl w:ilvl="0">
      <w:lvlJc w:val="left"/>
      <w:lvlText w:val="•"/>
      <w:numFmt w:val="bullet"/>
      <w:start w:val="1"/>
    </w:lvl>
  </w:abstractNum>
  <w:abstractNum w:abstractNumId="29">
    <w:nsid w:val="53E31A24"/>
    <w:multiLevelType w:val="hybridMultilevel"/>
    <w:lvl w:ilvl="0">
      <w:lvlJc w:val="left"/>
      <w:lvlText w:val="•"/>
      <w:numFmt w:val="bullet"/>
      <w:start w:val="1"/>
    </w:lvl>
  </w:abstractNum>
  <w:abstractNum w:abstractNumId="30">
    <w:nsid w:val="6DC45E83"/>
    <w:multiLevelType w:val="hybridMultilevel"/>
    <w:lvl w:ilvl="0">
      <w:lvlJc w:val="left"/>
      <w:lvlText w:val="•"/>
      <w:numFmt w:val="bullet"/>
      <w:start w:val="1"/>
    </w:lvl>
  </w:abstractNum>
  <w:abstractNum w:abstractNumId="31">
    <w:nsid w:val="17304A67"/>
    <w:multiLevelType w:val="hybridMultilevel"/>
    <w:lvl w:ilvl="0">
      <w:lvlJc w:val="left"/>
      <w:lvlText w:val="•"/>
      <w:numFmt w:val="bullet"/>
      <w:start w:val="1"/>
    </w:lvl>
  </w:abstractNum>
  <w:abstractNum w:abstractNumId="32">
    <w:nsid w:val="2BB180D8"/>
    <w:multiLevelType w:val="hybridMultilevel"/>
    <w:lvl w:ilvl="0">
      <w:lvlJc w:val="left"/>
      <w:lvlText w:val="•"/>
      <w:numFmt w:val="bullet"/>
      <w:start w:val="1"/>
    </w:lvl>
  </w:abstractNum>
  <w:abstractNum w:abstractNumId="33">
    <w:nsid w:val="556B69ED"/>
    <w:multiLevelType w:val="hybridMultilevel"/>
    <w:lvl w:ilvl="0">
      <w:lvlJc w:val="left"/>
      <w:lvlText w:val="•"/>
      <w:numFmt w:val="bullet"/>
      <w:start w:val="1"/>
    </w:lvl>
  </w:abstractNum>
  <w:abstractNum w:abstractNumId="34">
    <w:nsid w:val="70836196"/>
    <w:multiLevelType w:val="hybridMultilevel"/>
    <w:lvl w:ilvl="0">
      <w:lvlJc w:val="left"/>
      <w:lvlText w:val="•"/>
      <w:numFmt w:val="bullet"/>
      <w:start w:val="1"/>
    </w:lvl>
  </w:abstractNum>
  <w:abstractNum w:abstractNumId="35">
    <w:nsid w:val="539F7F12"/>
    <w:multiLevelType w:val="hybridMultilevel"/>
    <w:lvl w:ilvl="0">
      <w:lvlJc w:val="left"/>
      <w:lvlText w:val="•"/>
      <w:numFmt w:val="bullet"/>
      <w:start w:val="1"/>
    </w:lvl>
  </w:abstractNum>
  <w:abstractNum w:abstractNumId="36">
    <w:nsid w:val="2817E7EC"/>
    <w:multiLevelType w:val="hybridMultilevel"/>
    <w:lvl w:ilvl="0">
      <w:lvlJc w:val="left"/>
      <w:lvlText w:val="•"/>
      <w:numFmt w:val="bullet"/>
      <w:start w:val="1"/>
    </w:lvl>
  </w:abstractNum>
  <w:abstractNum w:abstractNumId="37">
    <w:nsid w:val="71482545"/>
    <w:multiLevelType w:val="hybridMultilevel"/>
    <w:lvl w:ilvl="0">
      <w:lvlJc w:val="left"/>
      <w:lvlText w:val="•"/>
      <w:numFmt w:val="bullet"/>
      <w:start w:val="1"/>
    </w:lvl>
  </w:abstractNum>
  <w:abstractNum w:abstractNumId="38">
    <w:nsid w:val="17D78639"/>
    <w:multiLevelType w:val="hybridMultilevel"/>
    <w:lvl w:ilvl="0">
      <w:lvlJc w:val="left"/>
      <w:lvlText w:val="•"/>
      <w:numFmt w:val="bullet"/>
      <w:start w:val="1"/>
    </w:lvl>
  </w:abstractNum>
  <w:abstractNum w:abstractNumId="39">
    <w:nsid w:val="141D2302"/>
    <w:multiLevelType w:val="hybridMultilevel"/>
    <w:lvl w:ilvl="0">
      <w:lvlJc w:val="left"/>
      <w:lvlText w:val="$"/>
      <w:numFmt w:val="bullet"/>
      <w:start w:val="1"/>
    </w:lvl>
  </w:abstractNum>
  <w:abstractNum w:abstractNumId="40">
    <w:nsid w:val="407168D8"/>
    <w:multiLevelType w:val="hybridMultilevel"/>
    <w:lvl w:ilvl="0">
      <w:lvlJc w:val="left"/>
      <w:lvlText w:val="•"/>
      <w:numFmt w:val="bullet"/>
      <w:start w:val="1"/>
    </w:lvl>
  </w:abstractNum>
  <w:abstractNum w:abstractNumId="41">
    <w:nsid w:val="6A1B45E5"/>
    <w:multiLevelType w:val="hybridMultilevel"/>
    <w:lvl w:ilvl="0">
      <w:lvlJc w:val="left"/>
      <w:lvlText w:val="•"/>
      <w:numFmt w:val="bullet"/>
      <w:start w:val="1"/>
    </w:lvl>
    <w:lvl w:ilvl="1">
      <w:lvlJc w:val="left"/>
      <w:lvlText w:val="•"/>
      <w:numFmt w:val="bullet"/>
      <w:start w:val="1"/>
    </w:lvl>
  </w:abstractNum>
  <w:abstractNum w:abstractNumId="42">
    <w:nsid w:val="567BD50A"/>
    <w:multiLevelType w:val="hybridMultilevel"/>
    <w:lvl w:ilvl="0">
      <w:lvlJc w:val="left"/>
      <w:lvlText w:val="•"/>
      <w:numFmt w:val="bullet"/>
      <w:start w:val="1"/>
    </w:lvl>
  </w:abstractNum>
  <w:abstractNum w:abstractNumId="43">
    <w:nsid w:val="73BBD7F8"/>
    <w:multiLevelType w:val="hybridMultilevel"/>
    <w:lvl w:ilvl="0">
      <w:lvlJc w:val="left"/>
      <w:lvlText w:val="•"/>
      <w:numFmt w:val="bullet"/>
      <w:start w:val="1"/>
    </w:lvl>
  </w:abstractNum>
  <w:abstractNum w:abstractNumId="44">
    <w:nsid w:val="1876589D"/>
    <w:multiLevelType w:val="hybridMultilevel"/>
    <w:lvl w:ilvl="0">
      <w:lvlJc w:val="left"/>
      <w:lvlText w:val="$"/>
      <w:numFmt w:val="bullet"/>
      <w:start w:val="1"/>
    </w:lvl>
  </w:abstractNum>
  <w:abstractNum w:abstractNumId="45">
    <w:nsid w:val="327FAC77"/>
    <w:multiLevelType w:val="hybridMultilevel"/>
    <w:lvl w:ilvl="0">
      <w:lvlJc w:val="left"/>
      <w:lvlText w:val="•"/>
      <w:numFmt w:val="bullet"/>
      <w:start w:val="1"/>
    </w:lvl>
  </w:abstractNum>
  <w:abstractNum w:abstractNumId="46">
    <w:nsid w:val="5A606509"/>
    <w:multiLevelType w:val="hybridMultilevel"/>
    <w:lvl w:ilvl="0">
      <w:lvlJc w:val="left"/>
      <w:lvlText w:val="•"/>
      <w:numFmt w:val="bullet"/>
      <w:start w:val="1"/>
    </w:lvl>
  </w:abstractNum>
  <w:abstractNum w:abstractNumId="47">
    <w:nsid w:val="6F38E6D1"/>
    <w:multiLevelType w:val="hybridMultilevel"/>
    <w:lvl w:ilvl="0">
      <w:lvlJc w:val="left"/>
      <w:lvlText w:val="(%1)"/>
      <w:numFmt w:val="decimal"/>
      <w:start w:val="1"/>
    </w:lvl>
  </w:abstractNum>
  <w:abstractNum w:abstractNumId="48">
    <w:nsid w:val="46111BA5"/>
    <w:multiLevelType w:val="hybridMultilevel"/>
    <w:lvl w:ilvl="0">
      <w:lvlJc w:val="left"/>
      <w:lvlText w:val="(%1)"/>
      <w:numFmt w:val="decimal"/>
      <w:start w:val="1"/>
    </w:lvl>
  </w:abstractNum>
  <w:abstractNum w:abstractNumId="49">
    <w:nsid w:val="5E963896"/>
    <w:multiLevelType w:val="hybridMultilevel"/>
    <w:lvl w:ilvl="0">
      <w:lvlJc w:val="left"/>
      <w:lvlText w:val="•"/>
      <w:numFmt w:val="bullet"/>
      <w:start w:val="1"/>
    </w:lvl>
  </w:abstractNum>
  <w:abstractNum w:abstractNumId="50">
    <w:nsid w:val="775BA7C1"/>
    <w:multiLevelType w:val="hybridMultilevel"/>
    <w:lvl w:ilvl="0">
      <w:lvlJc w:val="left"/>
      <w:lvlText w:val="•"/>
      <w:numFmt w:val="bullet"/>
      <w:start w:val="1"/>
    </w:lvl>
  </w:abstractNum>
  <w:abstractNum w:abstractNumId="51">
    <w:nsid w:val="1DD6D6F4"/>
    <w:multiLevelType w:val="hybridMultilevel"/>
    <w:lvl w:ilvl="0">
      <w:lvlJc w:val="left"/>
      <w:lvlText w:val="•"/>
      <w:numFmt w:val="bullet"/>
      <w:start w:val="1"/>
    </w:lvl>
  </w:abstractNum>
  <w:abstractNum w:abstractNumId="52">
    <w:nsid w:val="769A091F"/>
    <w:multiLevelType w:val="hybridMultilevel"/>
    <w:lvl w:ilvl="0">
      <w:lvlJc w:val="left"/>
      <w:lvlText w:val="•"/>
      <w:numFmt w:val="bullet"/>
      <w:start w:val="1"/>
    </w:lvl>
  </w:abstractNum>
  <w:abstractNum w:abstractNumId="53">
    <w:nsid w:val="4695AE95"/>
    <w:multiLevelType w:val="hybridMultilevel"/>
    <w:lvl w:ilvl="0">
      <w:lvlJc w:val="left"/>
      <w:lvlText w:val="•"/>
      <w:numFmt w:val="bullet"/>
      <w:start w:val="1"/>
    </w:lvl>
  </w:abstractNum>
  <w:abstractNum w:abstractNumId="54">
    <w:nsid w:val="777A4EAA"/>
    <w:multiLevelType w:val="hybridMultilevel"/>
    <w:lvl w:ilvl="0">
      <w:lvlJc w:val="left"/>
      <w:lvlText w:val="(%1)"/>
      <w:numFmt w:val="decimal"/>
      <w:start w:val="1"/>
    </w:lvl>
  </w:abstractNum>
  <w:abstractNum w:abstractNumId="55">
    <w:nsid w:val="3F48B982"/>
    <w:multiLevelType w:val="hybridMultilevel"/>
    <w:lvl w:ilvl="0">
      <w:lvlJc w:val="left"/>
      <w:lvlText w:val="•"/>
      <w:numFmt w:val="bullet"/>
      <w:start w:val="1"/>
    </w:lvl>
  </w:abstractNum>
  <w:abstractNum w:abstractNumId="56">
    <w:nsid w:val="46BA8FCA"/>
    <w:multiLevelType w:val="hybridMultilevel"/>
    <w:lvl w:ilvl="0">
      <w:lvlJc w:val="left"/>
      <w:lvlText w:val="•"/>
      <w:numFmt w:val="bullet"/>
      <w:start w:val="1"/>
    </w:lvl>
  </w:abstractNum>
  <w:abstractNum w:abstractNumId="57">
    <w:nsid w:val="7835626C"/>
    <w:multiLevelType w:val="hybridMultilevel"/>
    <w:lvl w:ilvl="0">
      <w:lvlJc w:val="left"/>
      <w:lvlText w:val="•"/>
      <w:numFmt w:val="bullet"/>
      <w:start w:val="1"/>
    </w:lvl>
  </w:abstractNum>
  <w:abstractNum w:abstractNumId="58">
    <w:nsid w:val="665ACA49"/>
    <w:multiLevelType w:val="hybridMultilevel"/>
    <w:lvl w:ilvl="0">
      <w:lvlJc w:val="left"/>
      <w:lvlText w:val="•"/>
      <w:numFmt w:val="bullet"/>
      <w:start w:val="1"/>
    </w:lvl>
  </w:abstractNum>
  <w:abstractNum w:abstractNumId="59">
    <w:nsid w:val="6835B2AE"/>
    <w:multiLevelType w:val="hybridMultilevel"/>
    <w:lvl w:ilvl="0">
      <w:lvlJc w:val="left"/>
      <w:lvlText w:val="•"/>
      <w:numFmt w:val="bullet"/>
      <w:start w:val="1"/>
    </w:lvl>
  </w:abstractNum>
  <w:abstractNum w:abstractNumId="60">
    <w:nsid w:val="4C187C90"/>
    <w:multiLevelType w:val="hybridMultilevel"/>
    <w:lvl w:ilvl="0">
      <w:lvlJc w:val="left"/>
      <w:lvlText w:val="•"/>
      <w:numFmt w:val="bullet"/>
      <w:start w:val="1"/>
    </w:lvl>
  </w:abstractNum>
  <w:abstractNum w:abstractNumId="61">
    <w:nsid w:val="541F28CD"/>
    <w:multiLevelType w:val="hybridMultilevel"/>
    <w:lvl w:ilvl="0">
      <w:lvlJc w:val="left"/>
      <w:lvlText w:val="•"/>
      <w:numFmt w:val="bullet"/>
      <w:start w:val="1"/>
    </w:lvl>
  </w:abstractNum>
  <w:abstractNum w:abstractNumId="62">
    <w:nsid w:val="7F65FD16"/>
    <w:multiLevelType w:val="hybridMultilevel"/>
    <w:lvl w:ilvl="0">
      <w:lvlJc w:val="left"/>
      <w:lvlText w:val="•"/>
      <w:numFmt w:val="bullet"/>
      <w:start w:val="1"/>
    </w:lvl>
  </w:abstractNum>
  <w:abstractNum w:abstractNumId="63">
    <w:nsid w:val="77C9FD68"/>
    <w:multiLevelType w:val="hybridMultilevel"/>
    <w:lvl w:ilvl="0">
      <w:lvlJc w:val="left"/>
      <w:lvlText w:val="•"/>
      <w:numFmt w:val="bullet"/>
      <w:start w:val="1"/>
    </w:lvl>
  </w:abstractNum>
  <w:abstractNum w:abstractNumId="64">
    <w:nsid w:val="298A92BA"/>
    <w:multiLevelType w:val="hybridMultilevel"/>
    <w:lvl w:ilvl="0">
      <w:lvlJc w:val="left"/>
      <w:lvlText w:val="•"/>
      <w:numFmt w:val="bullet"/>
      <w:start w:val="1"/>
    </w:lvl>
  </w:abstractNum>
  <w:abstractNum w:abstractNumId="65">
    <w:nsid w:val="6FE95EAC"/>
    <w:multiLevelType w:val="hybridMultilevel"/>
    <w:lvl w:ilvl="0">
      <w:lvlJc w:val="left"/>
      <w:lvlText w:val="•"/>
      <w:numFmt w:val="bullet"/>
      <w:start w:val="1"/>
    </w:lvl>
  </w:abstractNum>
  <w:abstractNum w:abstractNumId="66">
    <w:nsid w:val="4B697C7A"/>
    <w:multiLevelType w:val="hybridMultilevel"/>
    <w:lvl w:ilvl="0">
      <w:lvlJc w:val="left"/>
      <w:lvlText w:val="•"/>
      <w:numFmt w:val="bullet"/>
      <w:start w:val="1"/>
    </w:lvl>
  </w:abstractNum>
  <w:abstractNum w:abstractNumId="67">
    <w:nsid w:val="51A27AA6"/>
    <w:multiLevelType w:val="hybridMultilevel"/>
    <w:lvl w:ilvl="0">
      <w:lvlJc w:val="left"/>
      <w:lvlText w:val="•"/>
      <w:numFmt w:val="bullet"/>
      <w:start w:val="1"/>
    </w:lvl>
  </w:abstractNum>
  <w:abstractNum w:abstractNumId="68">
    <w:nsid w:val="613183F2"/>
    <w:multiLevelType w:val="hybridMultilevel"/>
    <w:lvl w:ilvl="0">
      <w:lvlJc w:val="left"/>
      <w:lvlText w:val="•"/>
      <w:numFmt w:val="bullet"/>
      <w:start w:val="1"/>
    </w:lvl>
  </w:abstractNum>
  <w:abstractNum w:abstractNumId="69">
    <w:nsid w:val="634102B4"/>
    <w:multiLevelType w:val="hybridMultilevel"/>
    <w:lvl w:ilvl="0">
      <w:lvlJc w:val="left"/>
      <w:lvlText w:val="•"/>
      <w:numFmt w:val="bullet"/>
      <w:start w:val="1"/>
    </w:lvl>
  </w:abstractNum>
  <w:abstractNum w:abstractNumId="70">
    <w:nsid w:val="65BF9DA8"/>
    <w:multiLevelType w:val="hybridMultilevel"/>
    <w:lvl w:ilvl="0">
      <w:lvlJc w:val="left"/>
      <w:lvlText w:val="•"/>
      <w:numFmt w:val="bullet"/>
      <w:start w:val="1"/>
    </w:lvl>
  </w:abstractNum>
  <w:abstractNum w:abstractNumId="71">
    <w:nsid w:val="21A2ECCA"/>
    <w:multiLevelType w:val="hybridMultilevel"/>
    <w:lvl w:ilvl="0">
      <w:lvlJc w:val="left"/>
      <w:lvlText w:val="•"/>
      <w:numFmt w:val="bullet"/>
      <w:start w:val="1"/>
    </w:lvl>
  </w:abstractNum>
  <w:abstractNum w:abstractNumId="72">
    <w:nsid w:val="4D5C4899"/>
    <w:multiLevelType w:val="hybridMultilevel"/>
    <w:lvl w:ilvl="0">
      <w:lvlJc w:val="left"/>
      <w:lvlText w:val="(%1)"/>
      <w:numFmt w:val="decimal"/>
      <w:start w:val="1"/>
    </w:lvl>
  </w:abstractNum>
  <w:abstractNum w:abstractNumId="73">
    <w:nsid w:val="3C3B72B2"/>
    <w:multiLevelType w:val="hybridMultilevel"/>
    <w:lvl w:ilvl="0">
      <w:lvlJc w:val="left"/>
      <w:lvlText w:val="•"/>
      <w:numFmt w:val="bullet"/>
      <w:start w:val="1"/>
    </w:lvl>
  </w:abstractNum>
  <w:abstractNum w:abstractNumId="74">
    <w:nsid w:val="155EC4C2"/>
    <w:multiLevelType w:val="hybridMultilevel"/>
    <w:lvl w:ilvl="0">
      <w:lvlJc w:val="left"/>
      <w:lvlText w:val="•"/>
      <w:numFmt w:val="bullet"/>
      <w:start w:val="1"/>
    </w:lvl>
  </w:abstractNum>
  <w:abstractNum w:abstractNumId="75">
    <w:nsid w:val="65D2A137"/>
    <w:multiLevelType w:val="hybridMultilevel"/>
    <w:lvl w:ilvl="0">
      <w:lvlJc w:val="left"/>
      <w:lvlText w:val="•"/>
      <w:numFmt w:val="bullet"/>
      <w:start w:val="1"/>
    </w:lvl>
  </w:abstractNum>
  <w:abstractNum w:abstractNumId="76">
    <w:nsid w:val="6EBB1F2A"/>
    <w:multiLevelType w:val="hybridMultilevel"/>
    <w:lvl w:ilvl="0">
      <w:lvlJc w:val="left"/>
      <w:lvlText w:val="•"/>
      <w:numFmt w:val="bullet"/>
      <w:start w:val="1"/>
    </w:lvl>
  </w:abstractNum>
  <w:abstractNum w:abstractNumId="77">
    <w:nsid w:val="6FBF29CB"/>
    <w:multiLevelType w:val="hybridMultilevel"/>
    <w:lvl w:ilvl="0">
      <w:lvlJc w:val="left"/>
      <w:lvlText w:val="•"/>
      <w:numFmt w:val="bullet"/>
      <w:start w:val="1"/>
    </w:lvl>
  </w:abstractNum>
  <w:abstractNum w:abstractNumId="78">
    <w:nsid w:val="550B8808"/>
    <w:multiLevelType w:val="hybridMultilevel"/>
    <w:lvl w:ilvl="0">
      <w:lvlJc w:val="left"/>
      <w:lvlText w:val="•"/>
      <w:numFmt w:val="bullet"/>
      <w:start w:val="1"/>
    </w:lvl>
  </w:abstractNum>
  <w:abstractNum w:abstractNumId="79">
    <w:nsid w:val="34CC3ACF"/>
    <w:multiLevelType w:val="hybridMultilevel"/>
    <w:lvl w:ilvl="0">
      <w:lvlJc w:val="left"/>
      <w:lvlText w:val="(%1)"/>
      <w:numFmt w:val="decimal"/>
      <w:start w:val="1"/>
    </w:lvl>
  </w:abstractNum>
  <w:abstractNum w:abstractNumId="80">
    <w:nsid w:val="4E556261"/>
    <w:multiLevelType w:val="hybridMultilevel"/>
    <w:lvl w:ilvl="0">
      <w:lvlJc w:val="left"/>
      <w:lvlText w:val="(%1)"/>
      <w:numFmt w:val="decimal"/>
      <w:start w:val="1"/>
    </w:lvl>
  </w:abstractNum>
  <w:abstractNum w:abstractNumId="81">
    <w:nsid w:val="4C672FC9"/>
    <w:multiLevelType w:val="hybridMultilevel"/>
    <w:lvl w:ilvl="0">
      <w:lvlJc w:val="left"/>
      <w:lvlText w:val="(%1)"/>
      <w:numFmt w:val="lowerRoman"/>
      <w:start w:val="1"/>
    </w:lvl>
  </w:abstractNum>
  <w:abstractNum w:abstractNumId="82">
    <w:nsid w:val="52A311C3"/>
    <w:multiLevelType w:val="hybridMultilevel"/>
    <w:lvl w:ilvl="0">
      <w:lvlJc w:val="left"/>
      <w:lvlText w:val="(%1)"/>
      <w:numFmt w:val="lowerRoman"/>
      <w:start w:val="2"/>
    </w:lvl>
  </w:abstractNum>
  <w:abstractNum w:abstractNumId="83">
    <w:nsid w:val="44EF6B80"/>
    <w:multiLevelType w:val="hybridMultilevel"/>
    <w:lvl w:ilvl="0">
      <w:lvlJc w:val="left"/>
      <w:lvlText w:val="(%1)"/>
      <w:numFmt w:val="decimal"/>
      <w:start w:val="1"/>
    </w:lvl>
  </w:abstractNum>
  <w:abstractNum w:abstractNumId="84">
    <w:nsid w:val="12FCDE5E"/>
    <w:multiLevelType w:val="hybridMultilevel"/>
    <w:lvl w:ilvl="0">
      <w:lvlJc w:val="left"/>
      <w:lvlText w:val="(%1)"/>
      <w:numFmt w:val="decimal"/>
      <w:start w:val="1"/>
    </w:lvl>
  </w:abstractNum>
  <w:abstractNum w:abstractNumId="85">
    <w:nsid w:val="4A1D606E"/>
    <w:multiLevelType w:val="hybridMultilevel"/>
    <w:lvl w:ilvl="0">
      <w:lvlJc w:val="left"/>
      <w:lvlText w:val="(%1)"/>
      <w:numFmt w:val="decimal"/>
      <w:start w:val="1"/>
    </w:lvl>
  </w:abstractNum>
  <w:abstractNum w:abstractNumId="86">
    <w:nsid w:val="4382503"/>
    <w:multiLevelType w:val="hybridMultilevel"/>
    <w:lvl w:ilvl="0">
      <w:lvlJc w:val="left"/>
      <w:lvlText w:val="(%1)"/>
      <w:numFmt w:val="decimal"/>
      <w:start w:val="4"/>
    </w:lvl>
  </w:abstractNum>
  <w:abstractNum w:abstractNumId="87">
    <w:nsid w:val="59B76E28"/>
    <w:multiLevelType w:val="hybridMultilevel"/>
    <w:lvl w:ilvl="0">
      <w:lvlJc w:val="left"/>
      <w:lvlText w:val="(%1)"/>
      <w:numFmt w:val="decimal"/>
      <w:start w:val="1"/>
    </w:lvl>
  </w:abstractNum>
  <w:abstractNum w:abstractNumId="88">
    <w:nsid w:val="4252C2DA"/>
    <w:multiLevelType w:val="hybridMultilevel"/>
    <w:lvl w:ilvl="0">
      <w:lvlJc w:val="left"/>
      <w:lvlText w:val="•"/>
      <w:numFmt w:val="bullet"/>
      <w:start w:val="1"/>
    </w:lvl>
  </w:abstractNum>
  <w:abstractNum w:abstractNumId="89">
    <w:nsid w:val="6A92EF4C"/>
    <w:multiLevelType w:val="hybridMultilevel"/>
    <w:lvl w:ilvl="0">
      <w:lvlJc w:val="left"/>
      <w:lvlText w:val="*"/>
      <w:numFmt w:val="bullet"/>
      <w:start w:val="1"/>
    </w:lvl>
  </w:abstractNum>
  <w:abstractNum w:abstractNumId="90">
    <w:nsid w:val="41ED20D7"/>
    <w:multiLevelType w:val="hybridMultilevel"/>
    <w:lvl w:ilvl="0">
      <w:lvlJc w:val="left"/>
      <w:lvlText w:val="(%1)"/>
      <w:numFmt w:val="decimal"/>
      <w:start w:val="1"/>
    </w:lvl>
  </w:abstractNum>
  <w:abstractNum w:abstractNumId="91">
    <w:nsid w:val="E6B3F6A"/>
    <w:multiLevelType w:val="hybridMultilevel"/>
    <w:lvl w:ilvl="0">
      <w:lvlJc w:val="left"/>
      <w:lvlText w:val="(%1)"/>
      <w:numFmt w:val="decimal"/>
      <w:start w:val="7"/>
    </w:lvl>
  </w:abstractNum>
  <w:abstractNum w:abstractNumId="92">
    <w:nsid w:val="3EB21819"/>
    <w:multiLevelType w:val="hybridMultilevel"/>
    <w:lvl w:ilvl="0">
      <w:lvlJc w:val="left"/>
      <w:lvlText w:val="(%1)"/>
      <w:numFmt w:val="lowerRoman"/>
      <w:start w:val="1"/>
    </w:lvl>
  </w:abstractNum>
  <w:abstractNum w:abstractNumId="93">
    <w:nsid w:val="41531DED"/>
    <w:multiLevelType w:val="hybridMultilevel"/>
    <w:lvl w:ilvl="0">
      <w:lvlJc w:val="left"/>
      <w:lvlText w:val="•"/>
      <w:numFmt w:val="bullet"/>
      <w:start w:val="1"/>
    </w:lvl>
  </w:abstractNum>
  <w:abstractNum w:abstractNumId="94">
    <w:nsid w:val="6353CD2"/>
    <w:multiLevelType w:val="hybridMultilevel"/>
    <w:lvl w:ilvl="0">
      <w:lvlJc w:val="left"/>
      <w:lvlText w:val="•"/>
      <w:numFmt w:val="bullet"/>
      <w:start w:val="1"/>
    </w:lvl>
  </w:abstractNum>
  <w:abstractNum w:abstractNumId="95">
    <w:nsid w:val="683CAAD3"/>
    <w:multiLevelType w:val="hybridMultilevel"/>
    <w:lvl w:ilvl="0">
      <w:lvlJc w:val="left"/>
      <w:lvlText w:val="(%1)"/>
      <w:numFmt w:val="lowerRoman"/>
      <w:start w:val="1"/>
    </w:lvl>
  </w:abstractNum>
  <w:abstractNum w:abstractNumId="96">
    <w:nsid w:val="313C7C99"/>
    <w:multiLevelType w:val="hybridMultilevel"/>
    <w:lvl w:ilvl="0">
      <w:lvlJc w:val="left"/>
      <w:lvlText w:val="•"/>
      <w:numFmt w:val="bullet"/>
      <w:start w:val="1"/>
    </w:lvl>
  </w:abstractNum>
  <w:abstractNum w:abstractNumId="97">
    <w:nsid w:val="519EB94C"/>
    <w:multiLevelType w:val="hybridMultilevel"/>
    <w:lvl w:ilvl="0">
      <w:lvlJc w:val="left"/>
      <w:lvlText w:val="•"/>
      <w:numFmt w:val="bullet"/>
      <w:start w:val="1"/>
    </w:lvl>
  </w:abstractNum>
  <w:abstractNum w:abstractNumId="98">
    <w:nsid w:val="39DF2579"/>
    <w:multiLevelType w:val="hybridMultilevel"/>
    <w:lvl w:ilvl="0">
      <w:lvlJc w:val="left"/>
      <w:lvlText w:val="•"/>
      <w:numFmt w:val="bullet"/>
      <w:start w:val="1"/>
    </w:lvl>
  </w:abstractNum>
  <w:abstractNum w:abstractNumId="99">
    <w:nsid w:val="126E008B"/>
    <w:multiLevelType w:val="hybridMultilevel"/>
    <w:lvl w:ilvl="0">
      <w:lvlJc w:val="left"/>
      <w:lvlText w:val="•"/>
      <w:numFmt w:val="bullet"/>
      <w:start w:val="1"/>
    </w:lvl>
  </w:abstractNum>
  <w:abstractNum w:abstractNumId="100">
    <w:nsid w:val="34DFBC00"/>
    <w:multiLevelType w:val="hybridMultilevel"/>
    <w:lvl w:ilvl="0">
      <w:lvlJc w:val="left"/>
      <w:lvlText w:val="•"/>
      <w:numFmt w:val="bullet"/>
      <w:start w:val="1"/>
    </w:lvl>
  </w:abstractNum>
  <w:abstractNum w:abstractNumId="101">
    <w:nsid w:val="1F9EC322"/>
    <w:multiLevelType w:val="hybridMultilevel"/>
    <w:lvl w:ilvl="0">
      <w:lvlJc w:val="left"/>
      <w:lvlText w:val="•"/>
      <w:numFmt w:val="bullet"/>
      <w:start w:val="1"/>
    </w:lvl>
  </w:abstractNum>
  <w:abstractNum w:abstractNumId="102">
    <w:nsid w:val="3410ED56"/>
    <w:multiLevelType w:val="hybridMultilevel"/>
    <w:lvl w:ilvl="0">
      <w:lvlJc w:val="left"/>
      <w:lvlText w:val="•"/>
      <w:numFmt w:val="bullet"/>
      <w:start w:val="1"/>
    </w:lvl>
  </w:abstractNum>
  <w:abstractNum w:abstractNumId="103">
    <w:nsid w:val="23C049A"/>
    <w:multiLevelType w:val="hybridMultilevel"/>
    <w:lvl w:ilvl="0">
      <w:lvlJc w:val="left"/>
      <w:lvlText w:val="•"/>
      <w:numFmt w:val="bullet"/>
      <w:start w:val="1"/>
    </w:lvl>
  </w:abstractNum>
  <w:abstractNum w:abstractNumId="104">
    <w:nsid w:val="5BDA35D4"/>
    <w:multiLevelType w:val="hybridMultilevel"/>
    <w:lvl w:ilvl="0">
      <w:lvlJc w:val="left"/>
      <w:lvlText w:val="•"/>
      <w:numFmt w:val="bullet"/>
      <w:start w:val="1"/>
    </w:lvl>
  </w:abstractNum>
  <w:abstractNum w:abstractNumId="105">
    <w:nsid w:val="496FB218"/>
    <w:multiLevelType w:val="hybridMultilevel"/>
    <w:lvl w:ilvl="0">
      <w:lvlJc w:val="left"/>
      <w:lvlText w:val="•"/>
      <w:numFmt w:val="bullet"/>
      <w:start w:val="1"/>
    </w:lvl>
  </w:abstractNum>
  <w:abstractNum w:abstractNumId="106">
    <w:nsid w:val="680EA5D1"/>
    <w:multiLevelType w:val="hybridMultilevel"/>
    <w:lvl w:ilvl="0">
      <w:lvlJc w:val="left"/>
      <w:lvlText w:val="(%1)"/>
      <w:numFmt w:val="lowerLetter"/>
      <w:start w:val="1"/>
    </w:lvl>
  </w:abstractNum>
  <w:abstractNum w:abstractNumId="107">
    <w:nsid w:val="4A9554FE"/>
    <w:multiLevelType w:val="hybridMultilevel"/>
    <w:lvl w:ilvl="0">
      <w:lvlJc w:val="left"/>
      <w:lvlText w:val="(%1)"/>
      <w:numFmt w:val="lowerLetter"/>
      <w:start w:val="1"/>
    </w:lvl>
  </w:abstractNum>
  <w:abstractNum w:abstractNumId="108">
    <w:nsid w:val="392EDBE4"/>
    <w:multiLevelType w:val="hybridMultilevel"/>
    <w:lvl w:ilvl="0">
      <w:lvlJc w:val="left"/>
      <w:lvlText w:val="•"/>
      <w:numFmt w:val="bullet"/>
      <w:start w:val="1"/>
    </w:lvl>
  </w:abstractNum>
  <w:abstractNum w:abstractNumId="109">
    <w:nsid w:val="3D1A2DD9"/>
    <w:multiLevelType w:val="hybridMultilevel"/>
    <w:lvl w:ilvl="0">
      <w:lvlJc w:val="left"/>
      <w:lvlText w:val="$"/>
      <w:numFmt w:val="bullet"/>
      <w:start w:val="1"/>
    </w:lvl>
  </w:abstractNum>
  <w:abstractNum w:abstractNumId="110">
    <w:nsid w:val="7F618FCD"/>
    <w:multiLevelType w:val="hybridMultilevel"/>
    <w:lvl w:ilvl="0">
      <w:lvlJc w:val="left"/>
      <w:lvlText w:val="$"/>
      <w:numFmt w:val="bullet"/>
      <w:start w:val="1"/>
    </w:lvl>
  </w:abstractNum>
  <w:abstractNum w:abstractNumId="111">
    <w:nsid w:val="7843E45"/>
    <w:multiLevelType w:val="hybridMultilevel"/>
    <w:lvl w:ilvl="0">
      <w:lvlJc w:val="left"/>
      <w:lvlText w:val="%1."/>
      <w:numFmt w:val="decimal"/>
      <w:start w:val="14"/>
    </w:lvl>
  </w:abstractNum>
  <w:abstractNum w:abstractNumId="112">
    <w:nsid w:val="9815DA3"/>
    <w:multiLevelType w:val="hybridMultilevel"/>
    <w:lvl w:ilvl="0">
      <w:lvlJc w:val="left"/>
      <w:lvlText w:val="%1."/>
      <w:numFmt w:val="decimal"/>
      <w:start w:val="15"/>
    </w:lvl>
  </w:abstractNum>
  <w:abstractNum w:abstractNumId="113">
    <w:nsid w:val="5204A191"/>
    <w:multiLevelType w:val="hybridMultilevel"/>
    <w:lvl w:ilvl="0">
      <w:lvlJc w:val="left"/>
      <w:lvlText w:val="%1."/>
      <w:numFmt w:val="decimal"/>
      <w:start w:val="2"/>
    </w:lvl>
  </w:abstractNum>
  <w:abstractNum w:abstractNumId="114">
    <w:nsid w:val="4C73A9C6"/>
    <w:multiLevelType w:val="hybridMultilevel"/>
    <w:lvl w:ilvl="0">
      <w:lvlJc w:val="left"/>
      <w:lvlText w:val="%1."/>
      <w:numFmt w:val="decimal"/>
      <w:start w:val="11"/>
    </w:lvl>
  </w:abstractNum>
  <w:abstractNum w:abstractNumId="115">
    <w:nsid w:val="1C7E3C01"/>
    <w:multiLevelType w:val="hybridMultilevel"/>
    <w:lvl w:ilvl="0">
      <w:lvlJc w:val="left"/>
      <w:lvlText w:val="(%1)"/>
      <w:numFmt w:val="lowerRoman"/>
      <w:start w:val="4"/>
    </w:lvl>
  </w:abstractNum>
  <w:abstractNum w:abstractNumId="116">
    <w:nsid w:val="1C2201FF"/>
    <w:multiLevelType w:val="hybridMultilevel"/>
    <w:lvl w:ilvl="0">
      <w:lvlJc w:val="left"/>
      <w:lvlText w:val="%1."/>
      <w:numFmt w:val="decimal"/>
      <w:start w:val="13"/>
    </w:lvl>
  </w:abstractNum>
  <w:abstractNum w:abstractNumId="117">
    <w:nsid w:val="50ABCEC9"/>
    <w:multiLevelType w:val="hybridMultilevel"/>
    <w:lvl w:ilvl="0">
      <w:lvlJc w:val="left"/>
      <w:lvlText w:val="•"/>
      <w:numFmt w:val="bullet"/>
      <w:start w:val="1"/>
    </w:lvl>
  </w:abstractNum>
  <w:abstractNum w:abstractNumId="118">
    <w:nsid w:val="7635AA2A"/>
    <w:multiLevelType w:val="hybridMultilevel"/>
    <w:lvl w:ilvl="0">
      <w:lvlJc w:val="left"/>
      <w:lvlText w:val="•"/>
      <w:numFmt w:val="bullet"/>
      <w:start w:val="1"/>
    </w:lvl>
  </w:abstractNum>
  <w:abstractNum w:abstractNumId="119">
    <w:nsid w:val="5E74C4D9"/>
    <w:multiLevelType w:val="hybridMultilevel"/>
    <w:lvl w:ilvl="0">
      <w:lvlJc w:val="left"/>
      <w:lvlText w:val="*"/>
      <w:numFmt w:val="bullet"/>
      <w:start w:val="1"/>
    </w:lvl>
  </w:abstractNum>
  <w:abstractNum w:abstractNumId="120">
    <w:nsid w:val="3B3EBE15"/>
    <w:multiLevelType w:val="hybridMultilevel"/>
    <w:lvl w:ilvl="0">
      <w:lvlJc w:val="left"/>
      <w:lvlText w:val="†"/>
      <w:numFmt w:val="bullet"/>
      <w:start w:val="1"/>
    </w:lvl>
  </w:abstractNum>
  <w:abstractNum w:abstractNumId="121">
    <w:nsid w:val="3822CB01"/>
    <w:multiLevelType w:val="hybridMultilevel"/>
    <w:lvl w:ilvl="0">
      <w:lvlJc w:val="left"/>
      <w:lvlText w:val="#"/>
      <w:numFmt w:val="bullet"/>
      <w:start w:val="1"/>
    </w:lvl>
  </w:abstractNum>
  <w:abstractNum w:abstractNumId="122">
    <w:nsid w:val="6CE00443"/>
    <w:multiLevelType w:val="hybridMultilevel"/>
    <w:lvl w:ilvl="0">
      <w:lvlJc w:val="left"/>
      <w:lvlText w:val="(%1)"/>
      <w:numFmt w:val="lowerLetter"/>
      <w:start w:val="1"/>
    </w:lvl>
  </w:abstractNum>
  <w:abstractNum w:abstractNumId="123">
    <w:nsid w:val="79F0D62F"/>
    <w:multiLevelType w:val="hybridMultilevel"/>
    <w:lvl w:ilvl="0">
      <w:lvlJc w:val="left"/>
      <w:lvlText w:val="%1."/>
      <w:numFmt w:val="decimal"/>
      <w:start w:val="1"/>
    </w:lvl>
  </w:abstractNum>
  <w:abstractNum w:abstractNumId="124">
    <w:nsid w:val="7975E8EE"/>
    <w:multiLevelType w:val="hybridMultilevel"/>
    <w:lvl w:ilvl="0">
      <w:lvlJc w:val="left"/>
      <w:lvlText w:val="%1"/>
      <w:numFmt w:val="upperLetter"/>
      <w:start w:val="1"/>
    </w:lvl>
    <w:lvl w:ilvl="1">
      <w:lvlJc w:val="left"/>
      <w:lvlText w:val="%2."/>
      <w:numFmt w:val="decimal"/>
      <w:start w:val="1"/>
    </w:lvl>
  </w:abstractNum>
  <w:abstractNum w:abstractNumId="125">
    <w:nsid w:val="73154115"/>
    <w:multiLevelType w:val="hybridMultilevel"/>
    <w:lvl w:ilvl="0">
      <w:lvlJc w:val="left"/>
      <w:lvlText w:val="%1."/>
      <w:numFmt w:val="upperLetter"/>
      <w:start w:val="2"/>
    </w:lvl>
    <w:lvl w:ilvl="1">
      <w:lvlJc w:val="left"/>
      <w:lvlText w:val="%2"/>
      <w:numFmt w:val="decimal"/>
      <w:start w:val="1"/>
    </w:lvl>
  </w:abstractNum>
  <w:abstractNum w:abstractNumId="126">
    <w:nsid w:val="622D8102"/>
    <w:multiLevelType w:val="hybridMultilevel"/>
    <w:lvl w:ilvl="0">
      <w:lvlJc w:val="left"/>
      <w:lvlText w:val="%1."/>
      <w:numFmt w:val="decimal"/>
      <w:start w:val="1"/>
    </w:lvl>
  </w:abstractNum>
  <w:abstractNum w:abstractNumId="127">
    <w:nsid w:val="2AB26587"/>
    <w:multiLevelType w:val="hybridMultilevel"/>
    <w:lvl w:ilvl="0">
      <w:lvlJc w:val="left"/>
      <w:lvlText w:val="%1."/>
      <w:numFmt w:val="decimal"/>
      <w:start w:val="2"/>
    </w:lvl>
  </w:abstractNum>
  <w:abstractNum w:abstractNumId="128">
    <w:nsid w:val="44B3FA61"/>
    <w:multiLevelType w:val="hybridMultilevel"/>
    <w:lvl w:ilvl="0">
      <w:lvlJc w:val="left"/>
      <w:lvlText w:val="(%1)"/>
      <w:numFmt w:val="lowerLetter"/>
      <w:start w:val="1"/>
    </w:lvl>
    <w:lvl w:ilvl="1">
      <w:lvlJc w:val="left"/>
      <w:lvlText w:val="(%2)"/>
      <w:numFmt w:val="lowerRoman"/>
      <w:start w:val="1"/>
    </w:lvl>
  </w:abstractNum>
  <w:abstractNum w:abstractNumId="129">
    <w:nsid w:val="1C0CA67C"/>
    <w:multiLevelType w:val="hybridMultilevel"/>
    <w:lvl w:ilvl="0">
      <w:lvlJc w:val="left"/>
      <w:lvlText w:val="(%1)"/>
      <w:numFmt w:val="decimal"/>
      <w:start w:val="2"/>
    </w:lvl>
  </w:abstractNum>
  <w:abstractNum w:abstractNumId="130">
    <w:nsid w:val="3D206613"/>
    <w:multiLevelType w:val="hybridMultilevel"/>
    <w:lvl w:ilvl="0">
      <w:lvlJc w:val="left"/>
      <w:lvlText w:val="(%1)"/>
      <w:numFmt w:val="lowerLetter"/>
      <w:start w:val="2"/>
    </w:lvl>
  </w:abstractNum>
  <w:abstractNum w:abstractNumId="131">
    <w:nsid w:val="7993B662"/>
    <w:multiLevelType w:val="hybridMultilevel"/>
    <w:lvl w:ilvl="0">
      <w:lvlJc w:val="left"/>
      <w:lvlText w:val="%1"/>
      <w:numFmt w:val="lowerLetter"/>
      <w:start w:val="1"/>
    </w:lvl>
    <w:lvl w:ilvl="1">
      <w:lvlJc w:val="left"/>
      <w:lvlText w:val="(%2)"/>
      <w:numFmt w:val="lowerLetter"/>
      <w:start w:val="1"/>
    </w:lvl>
  </w:abstractNum>
  <w:abstractNum w:abstractNumId="132">
    <w:nsid w:val="3BAB699E"/>
    <w:multiLevelType w:val="hybridMultilevel"/>
    <w:lvl w:ilvl="0">
      <w:lvlJc w:val="left"/>
      <w:lvlText w:val="(%1)"/>
      <w:numFmt w:val="lowerLetter"/>
      <w:start w:val="61"/>
    </w:lvl>
    <w:lvl w:ilvl="1">
      <w:lvlJc w:val="left"/>
      <w:lvlText w:val="%2"/>
      <w:numFmt w:val="lowerLetter"/>
      <w:start w:val="1"/>
    </w:lvl>
  </w:abstractNum>
  <w:abstractNum w:abstractNumId="133">
    <w:nsid w:val="71315369"/>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34">
    <w:nsid w:val="7BCFBAFC"/>
    <w:multiLevelType w:val="hybridMultilevel"/>
    <w:lvl w:ilvl="0">
      <w:lvlJc w:val="left"/>
      <w:lvlText w:val="%1."/>
      <w:numFmt w:val="decimal"/>
      <w:start w:val="3"/>
    </w:lvl>
  </w:abstractNum>
  <w:abstractNum w:abstractNumId="135">
    <w:nsid w:val="17859F72"/>
    <w:multiLevelType w:val="hybridMultilevel"/>
    <w:lvl w:ilvl="0">
      <w:lvlJc w:val="left"/>
      <w:lvlText w:val="(%1)"/>
      <w:numFmt w:val="lowerLetter"/>
      <w:start w:val="25"/>
    </w:lvl>
  </w:abstractNum>
  <w:abstractNum w:abstractNumId="136">
    <w:nsid w:val="3AA10581"/>
    <w:multiLevelType w:val="hybridMultilevel"/>
    <w:lvl w:ilvl="0">
      <w:lvlJc w:val="left"/>
      <w:lvlText w:val="%1."/>
      <w:numFmt w:val="decimal"/>
      <w:start w:val="4"/>
    </w:lvl>
  </w:abstractNum>
  <w:abstractNum w:abstractNumId="137">
    <w:nsid w:val="63DE60CD"/>
    <w:multiLevelType w:val="hybridMultilevel"/>
    <w:lvl w:ilvl="0">
      <w:lvlJc w:val="left"/>
      <w:lvlText w:val="(%1)"/>
      <w:numFmt w:val="lowerLetter"/>
      <w:start w:val="2"/>
    </w:lvl>
  </w:abstractNum>
  <w:abstractNum w:abstractNumId="138">
    <w:nsid w:val="621AF471"/>
    <w:multiLevelType w:val="hybridMultilevel"/>
    <w:lvl w:ilvl="0">
      <w:lvlJc w:val="left"/>
      <w:lvlText w:val="(%1)"/>
      <w:numFmt w:val="lowerLetter"/>
      <w:start w:val="3"/>
    </w:lvl>
    <w:lvl w:ilvl="1">
      <w:lvlJc w:val="left"/>
      <w:lvlText w:val="(%2)"/>
      <w:numFmt w:val="lowerRoman"/>
      <w:start w:val="1"/>
    </w:lvl>
  </w:abstractNum>
  <w:abstractNum w:abstractNumId="139">
    <w:nsid w:val="73CFE165"/>
    <w:multiLevelType w:val="hybridMultilevel"/>
    <w:lvl w:ilvl="0">
      <w:lvlJc w:val="left"/>
      <w:lvlText w:val="(%1)"/>
      <w:numFmt w:val="lowerRoman"/>
      <w:start w:val="6"/>
    </w:lvl>
  </w:abstractNum>
  <w:abstractNum w:abstractNumId="140">
    <w:nsid w:val="20F88EA6"/>
    <w:multiLevelType w:val="hybridMultilevel"/>
    <w:lvl w:ilvl="0">
      <w:lvlJc w:val="left"/>
      <w:lvlText w:val="(%1)"/>
      <w:numFmt w:val="lowerLetter"/>
      <w:start w:val="1"/>
    </w:lvl>
  </w:abstractNum>
  <w:abstractNum w:abstractNumId="141">
    <w:nsid w:val="617C843E"/>
    <w:multiLevelType w:val="hybridMultilevel"/>
    <w:lvl w:ilvl="0">
      <w:lvlJc w:val="left"/>
      <w:lvlText w:val="(%1)"/>
      <w:numFmt w:val="lowerLetter"/>
      <w:start w:val="2"/>
    </w:lvl>
  </w:abstractNum>
  <w:abstractNum w:abstractNumId="142">
    <w:nsid w:val="7B541FAB"/>
    <w:multiLevelType w:val="hybridMultilevel"/>
    <w:lvl w:ilvl="0">
      <w:lvlJc w:val="left"/>
      <w:lvlText w:val="(%1)"/>
      <w:numFmt w:val="lowerLetter"/>
      <w:start w:val="1"/>
    </w:lvl>
  </w:abstractNum>
  <w:abstractNum w:abstractNumId="143">
    <w:nsid w:val="2A79EC49"/>
    <w:multiLevelType w:val="hybridMultilevel"/>
    <w:lvl w:ilvl="0">
      <w:lvlJc w:val="left"/>
      <w:lvlText w:val="(%1)"/>
      <w:numFmt w:val="lowerLetter"/>
      <w:start w:val="1"/>
    </w:lvl>
    <w:lvl w:ilvl="1">
      <w:lvlJc w:val="left"/>
      <w:lvlText w:val="(%2)"/>
      <w:numFmt w:val="lowerRoman"/>
      <w:start w:val="1"/>
    </w:lvl>
  </w:abstractNum>
  <w:abstractNum w:abstractNumId="144">
    <w:nsid w:val="338125CF"/>
    <w:multiLevelType w:val="hybridMultilevel"/>
    <w:lvl w:ilvl="0">
      <w:lvlJc w:val="left"/>
      <w:lvlText w:val="(%1)"/>
      <w:numFmt w:val="lowerRoman"/>
      <w:start w:val="2"/>
    </w:lvl>
  </w:abstractNum>
  <w:abstractNum w:abstractNumId="145">
    <w:nsid w:val="47C7C971"/>
    <w:multiLevelType w:val="hybridMultilevel"/>
    <w:lvl w:ilvl="0">
      <w:lvlJc w:val="left"/>
      <w:lvlText w:val="(%1)"/>
      <w:numFmt w:val="decimal"/>
      <w:start w:val="1"/>
    </w:lvl>
  </w:abstractNum>
  <w:abstractNum w:abstractNumId="146">
    <w:nsid w:val="46F8284B"/>
    <w:multiLevelType w:val="hybridMultilevel"/>
    <w:lvl w:ilvl="0">
      <w:lvlJc w:val="left"/>
      <w:lvlText w:val="(%1)"/>
      <w:numFmt w:val="decimal"/>
      <w:start w:val="2"/>
    </w:lvl>
  </w:abstractNum>
  <w:abstractNum w:abstractNumId="147">
    <w:nsid w:val="4FA327CE"/>
    <w:multiLevelType w:val="hybridMultilevel"/>
    <w:lvl w:ilvl="0">
      <w:lvlJc w:val="left"/>
      <w:lvlText w:val="(%1)"/>
      <w:numFmt w:val="decimal"/>
      <w:start w:val="10"/>
    </w:lvl>
  </w:abstractNum>
  <w:abstractNum w:abstractNumId="148">
    <w:nsid w:val="1873983A"/>
    <w:multiLevelType w:val="hybridMultilevel"/>
    <w:lvl w:ilvl="0">
      <w:lvlJc w:val="left"/>
      <w:lvlText w:val="(%1)"/>
      <w:numFmt w:val="lowerLetter"/>
      <w:start w:val="1"/>
    </w:lvl>
  </w:abstractNum>
  <w:abstractNum w:abstractNumId="149">
    <w:nsid w:val="3D2DD275"/>
    <w:multiLevelType w:val="hybridMultilevel"/>
    <w:lvl w:ilvl="0">
      <w:lvlJc w:val="left"/>
      <w:lvlText w:val="%1."/>
      <w:numFmt w:val="decimal"/>
      <w:start w:val="5"/>
    </w:lvl>
  </w:abstractNum>
  <w:abstractNum w:abstractNumId="150">
    <w:nsid w:val="2E17ECA7"/>
    <w:multiLevelType w:val="hybridMultilevel"/>
    <w:lvl w:ilvl="0">
      <w:lvlJc w:val="left"/>
      <w:lvlText w:val="(%1)"/>
      <w:numFmt w:val="lowerRoman"/>
      <w:start w:val="1"/>
    </w:lvl>
  </w:abstractNum>
  <w:abstractNum w:abstractNumId="151">
    <w:nsid w:val="53B2564F"/>
    <w:multiLevelType w:val="hybridMultilevel"/>
    <w:lvl w:ilvl="0">
      <w:lvlJc w:val="left"/>
      <w:lvlText w:val="%1."/>
      <w:numFmt w:val="decimal"/>
      <w:start w:val="6"/>
    </w:lvl>
  </w:abstractNum>
  <w:abstractNum w:abstractNumId="152">
    <w:nsid w:val="75509D76"/>
    <w:multiLevelType w:val="hybridMultilevel"/>
    <w:lvl w:ilvl="0">
      <w:lvlJc w:val="left"/>
      <w:lvlText w:val="(%1)"/>
      <w:numFmt w:val="lowerLetter"/>
      <w:start w:val="1"/>
    </w:lvl>
  </w:abstractNum>
  <w:abstractNum w:abstractNumId="153">
    <w:nsid w:val="1AF7F0EA"/>
    <w:multiLevelType w:val="hybridMultilevel"/>
    <w:lvl w:ilvl="0">
      <w:lvlJc w:val="left"/>
      <w:lvlText w:val="%1."/>
      <w:numFmt w:val="decimal"/>
      <w:start w:val="7"/>
    </w:lvl>
  </w:abstractNum>
  <w:abstractNum w:abstractNumId="154">
    <w:nsid w:val="4DA32C7E"/>
    <w:multiLevelType w:val="hybridMultilevel"/>
    <w:lvl w:ilvl="0">
      <w:lvlJc w:val="left"/>
      <w:lvlText w:val="%1."/>
      <w:numFmt w:val="decimal"/>
      <w:start w:val="3"/>
    </w:lvl>
  </w:abstractNum>
  <w:abstractNum w:abstractNumId="155">
    <w:nsid w:val="6EC68664"/>
    <w:multiLevelType w:val="hybridMultilevel"/>
    <w:lvl w:ilvl="0">
      <w:lvlJc w:val="left"/>
      <w:lvlText w:val="%1."/>
      <w:numFmt w:val="decimal"/>
      <w:start w:val="1"/>
    </w:lvl>
    <w:lvl w:ilvl="1">
      <w:lvlJc w:val="left"/>
      <w:lvlText w:val="(%2)"/>
      <w:numFmt w:val="lowerLetter"/>
      <w:start w:val="1"/>
    </w:lvl>
  </w:abstractNum>
  <w:abstractNum w:abstractNumId="156">
    <w:nsid w:val="E0D31FF"/>
    <w:multiLevelType w:val="hybridMultilevel"/>
    <w:lvl w:ilvl="0">
      <w:lvlJc w:val="left"/>
      <w:lvlText w:val="(%1)"/>
      <w:numFmt w:val="lowerLetter"/>
      <w:start w:val="4"/>
    </w:lvl>
  </w:abstractNum>
  <w:abstractNum w:abstractNumId="157">
    <w:nsid w:val="2FD0AD81"/>
    <w:multiLevelType w:val="hybridMultilevel"/>
    <w:lvl w:ilvl="0">
      <w:lvlJc w:val="left"/>
      <w:lvlText w:val="%1"/>
      <w:numFmt w:val="decimal"/>
      <w:start w:val="1"/>
    </w:lvl>
    <w:lvl w:ilvl="1">
      <w:lvlJc w:val="left"/>
      <w:lvlText w:val="(%2)"/>
      <w:numFmt w:val="lowerLetter"/>
      <w:start w:val="9"/>
    </w:lvl>
  </w:abstractNum>
  <w:abstractNum w:abstractNumId="158">
    <w:nsid w:val="1978EBEB"/>
    <w:multiLevelType w:val="hybridMultilevel"/>
    <w:lvl w:ilvl="0">
      <w:lvlJc w:val="left"/>
      <w:lvlText w:val="%1."/>
      <w:numFmt w:val="decimal"/>
      <w:start w:val="2"/>
    </w:lvl>
    <w:lvl w:ilvl="1">
      <w:lvlJc w:val="left"/>
      <w:lvlText w:val="(%2)"/>
      <w:numFmt w:val="lowerLetter"/>
      <w:start w:val="1"/>
    </w:lvl>
  </w:abstractNum>
  <w:abstractNum w:abstractNumId="159">
    <w:nsid w:val="52C12C61"/>
    <w:multiLevelType w:val="hybridMultilevel"/>
    <w:lvl w:ilvl="0">
      <w:lvlJc w:val="left"/>
      <w:lvlText w:val="(%1)"/>
      <w:numFmt w:val="lowerLetter"/>
      <w:start w:val="3"/>
    </w:lvl>
  </w:abstractNum>
  <w:abstractNum w:abstractNumId="160">
    <w:nsid w:val="4BDD53FD"/>
    <w:multiLevelType w:val="hybridMultilevel"/>
    <w:lvl w:ilvl="0">
      <w:lvlJc w:val="left"/>
      <w:lvlText w:val="(%1)"/>
      <w:numFmt w:val="lowerLetter"/>
      <w:start w:val="10"/>
    </w:lvl>
  </w:abstractNum>
  <w:abstractNum w:abstractNumId="161">
    <w:nsid w:val="569951FE"/>
    <w:multiLevelType w:val="hybridMultilevel"/>
    <w:lvl w:ilvl="0">
      <w:lvlJc w:val="left"/>
      <w:lvlText w:val="(%1)"/>
      <w:numFmt w:val="lowerRoman"/>
      <w:start w:val="1"/>
    </w:lvl>
  </w:abstractNum>
  <w:abstractNum w:abstractNumId="162">
    <w:nsid w:val="4C54E2C3"/>
    <w:multiLevelType w:val="hybridMultilevel"/>
    <w:lvl w:ilvl="0">
      <w:lvlJc w:val="left"/>
      <w:lvlText w:val="%1."/>
      <w:numFmt w:val="decimal"/>
      <w:start w:val="3"/>
    </w:lvl>
    <w:lvl w:ilvl="1">
      <w:lvlJc w:val="left"/>
      <w:lvlText w:val="(%2)"/>
      <w:numFmt w:val="lowerLetter"/>
      <w:start w:val="1"/>
    </w:lvl>
  </w:abstractNum>
  <w:abstractNum w:abstractNumId="163">
    <w:nsid w:val="788BD9B"/>
    <w:multiLevelType w:val="hybridMultilevel"/>
    <w:lvl w:ilvl="0">
      <w:lvlJc w:val="left"/>
      <w:lvlText w:val="(%1)"/>
      <w:numFmt w:val="lowerLetter"/>
      <w:start w:val="2"/>
    </w:lvl>
  </w:abstractNum>
  <w:abstractNum w:abstractNumId="164">
    <w:nsid w:val="47CAA567"/>
    <w:multiLevelType w:val="hybridMultilevel"/>
    <w:lvl w:ilvl="0">
      <w:lvlJc w:val="left"/>
      <w:lvlText w:val="(%1)"/>
      <w:numFmt w:val="lowerLetter"/>
      <w:start w:val="8"/>
    </w:lvl>
  </w:abstractNum>
  <w:abstractNum w:abstractNumId="165">
    <w:nsid w:val="48249DBF"/>
    <w:multiLevelType w:val="hybridMultilevel"/>
    <w:lvl w:ilvl="0">
      <w:lvlJc w:val="left"/>
      <w:lvlText w:val="(%1)"/>
      <w:numFmt w:val="lowerLetter"/>
      <w:start w:val="10"/>
    </w:lvl>
  </w:abstractNum>
  <w:abstractNum w:abstractNumId="166">
    <w:nsid w:val="1F0E5D0D"/>
    <w:multiLevelType w:val="hybridMultilevel"/>
    <w:lvl w:ilvl="0">
      <w:lvlJc w:val="left"/>
      <w:lvlText w:val="(%1)"/>
      <w:numFmt w:val="lowerLetter"/>
      <w:start w:val="12"/>
    </w:lvl>
  </w:abstractNum>
  <w:abstractNum w:abstractNumId="167">
    <w:nsid w:val="26BAAE9"/>
    <w:multiLevelType w:val="hybridMultilevel"/>
    <w:lvl w:ilvl="0">
      <w:lvlJc w:val="left"/>
      <w:lvlText w:val="%1"/>
      <w:numFmt w:val="decimal"/>
      <w:start w:val="1"/>
    </w:lvl>
    <w:lvl w:ilvl="1">
      <w:lvlJc w:val="left"/>
      <w:lvlText w:val="(%2)"/>
      <w:numFmt w:val="lowerLetter"/>
      <w:start w:val="13"/>
    </w:lvl>
  </w:abstractNum>
  <w:abstractNum w:abstractNumId="168">
    <w:nsid w:val="2C02FE8C"/>
    <w:multiLevelType w:val="hybridMultilevel"/>
    <w:lvl w:ilvl="0">
      <w:lvlJc w:val="left"/>
      <w:lvlText w:val="%1."/>
      <w:numFmt w:val="decimal"/>
      <w:start w:val="4"/>
    </w:lvl>
    <w:lvl w:ilvl="1">
      <w:lvlJc w:val="left"/>
      <w:lvlText w:val="(%2)"/>
      <w:numFmt w:val="lowerLetter"/>
      <w:start w:val="1"/>
    </w:lvl>
  </w:abstractNum>
  <w:abstractNum w:abstractNumId="169">
    <w:nsid w:val="129517E"/>
    <w:multiLevelType w:val="hybridMultilevel"/>
    <w:lvl w:ilvl="0">
      <w:lvlJc w:val="left"/>
      <w:lvlText w:val="(%1)"/>
      <w:numFmt w:val="lowerLetter"/>
      <w:start w:val="2"/>
    </w:lvl>
  </w:abstractNum>
  <w:abstractNum w:abstractNumId="170">
    <w:nsid w:val="763B8C4E"/>
    <w:multiLevelType w:val="hybridMultilevel"/>
    <w:lvl w:ilvl="0">
      <w:lvlJc w:val="left"/>
      <w:lvlText w:val="(%1)"/>
      <w:numFmt w:val="lowerLetter"/>
      <w:start w:val="4"/>
    </w:lvl>
  </w:abstractNum>
  <w:abstractNum w:abstractNumId="171">
    <w:nsid w:val="4CFB8D32"/>
    <w:multiLevelType w:val="hybridMultilevel"/>
    <w:lvl w:ilvl="0">
      <w:lvlJc w:val="left"/>
      <w:lvlText w:val="(%1)"/>
      <w:numFmt w:val="lowerLetter"/>
      <w:start w:val="5"/>
    </w:lvl>
  </w:abstractNum>
  <w:abstractNum w:abstractNumId="172">
    <w:nsid w:val="62A5D5B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73">
    <w:nsid w:val="718FABF9"/>
    <w:multiLevelType w:val="hybridMultilevel"/>
    <w:lvl w:ilvl="0">
      <w:lvlJc w:val="left"/>
      <w:lvlText w:val="%1"/>
      <w:numFmt w:val="lowerLetter"/>
      <w:start w:val="1"/>
    </w:lvl>
    <w:lvl w:ilvl="1">
      <w:lvlJc w:val="left"/>
      <w:lvlText w:val="(%2)"/>
      <w:numFmt w:val="lowerRoman"/>
      <w:start w:val="7"/>
    </w:lvl>
  </w:abstractNum>
  <w:abstractNum w:abstractNumId="174">
    <w:nsid w:val="7775797C"/>
    <w:multiLevelType w:val="hybridMultilevel"/>
    <w:lvl w:ilvl="0">
      <w:lvlJc w:val="left"/>
      <w:lvlText w:val="(%1)"/>
      <w:numFmt w:val="lowerLetter"/>
      <w:start w:val="2"/>
    </w:lvl>
    <w:lvl w:ilvl="1">
      <w:lvlJc w:val="left"/>
      <w:lvlText w:val="(%2)"/>
      <w:numFmt w:val="lowerRoman"/>
      <w:start w:val="1"/>
    </w:lvl>
  </w:abstractNum>
  <w:abstractNum w:abstractNumId="175">
    <w:nsid w:val="1626FB8C"/>
    <w:multiLevelType w:val="hybridMultilevel"/>
    <w:lvl w:ilvl="0">
      <w:lvlJc w:val="left"/>
      <w:lvlText w:val="%1"/>
      <w:numFmt w:val="lowerLetter"/>
      <w:start w:val="1"/>
    </w:lvl>
    <w:lvl w:ilvl="1">
      <w:lvlJc w:val="left"/>
      <w:lvlText w:val="(%2)"/>
      <w:numFmt w:val="lowerRoman"/>
      <w:start w:val="3"/>
    </w:lvl>
  </w:abstractNum>
  <w:abstractNum w:abstractNumId="176">
    <w:nsid w:val="3957756A"/>
    <w:multiLevelType w:val="hybridMultilevel"/>
    <w:lvl w:ilvl="0">
      <w:lvlJc w:val="left"/>
      <w:lvlText w:val="(%1)"/>
      <w:numFmt w:val="lowerLetter"/>
      <w:start w:val="3"/>
    </w:lvl>
    <w:lvl w:ilvl="1">
      <w:lvlJc w:val="left"/>
      <w:lvlText w:val="%2"/>
      <w:numFmt w:val="lowerRoman"/>
      <w:start w:val="1"/>
    </w:lvl>
  </w:abstractNum>
  <w:abstractNum w:abstractNumId="177">
    <w:nsid w:val="3E6DA1C7"/>
    <w:multiLevelType w:val="hybridMultilevel"/>
    <w:lvl w:ilvl="0">
      <w:lvlJc w:val="left"/>
      <w:lvlText w:val="(%1)"/>
      <w:numFmt w:val="lowerLetter"/>
      <w:start w:val="5"/>
    </w:lvl>
    <w:lvl w:ilvl="1">
      <w:lvlJc w:val="left"/>
      <w:lvlText w:val="(%2)"/>
      <w:numFmt w:val="lowerRoman"/>
      <w:start w:val="1"/>
    </w:lvl>
  </w:abstractNum>
  <w:abstractNum w:abstractNumId="178">
    <w:nsid w:val="65CA235B"/>
    <w:multiLevelType w:val="hybridMultilevel"/>
    <w:lvl w:ilvl="0">
      <w:lvlJc w:val="left"/>
      <w:lvlText w:val="(%1)"/>
      <w:numFmt w:val="lowerLetter"/>
      <w:start w:val="6"/>
    </w:lvl>
    <w:lvl w:ilvl="1">
      <w:lvlJc w:val="left"/>
      <w:lvlText w:val="(%2)"/>
      <w:numFmt w:val="lowerRoman"/>
      <w:start w:val="1"/>
    </w:lvl>
  </w:abstractNum>
  <w:abstractNum w:abstractNumId="179">
    <w:nsid w:val="51CB0DA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80">
    <w:nsid w:val="7B9B743C"/>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81">
    <w:nsid w:val="13E21002"/>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82">
    <w:nsid w:val="257D63F4"/>
    <w:multiLevelType w:val="hybridMultilevel"/>
    <w:lvl w:ilvl="0">
      <w:lvlJc w:val="left"/>
      <w:lvlText w:val="(%1)"/>
      <w:numFmt w:val="lowerLetter"/>
      <w:start w:val="5"/>
    </w:lvl>
  </w:abstractNum>
  <w:abstractNum w:abstractNumId="183">
    <w:nsid w:val="70EC11B2"/>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84">
    <w:nsid w:val="2EDA00ED"/>
    <w:multiLevelType w:val="hybridMultilevel"/>
    <w:lvl w:ilvl="0">
      <w:lvlJc w:val="left"/>
      <w:lvlText w:val="(%1)"/>
      <w:numFmt w:val="decimal"/>
      <w:start w:val="180"/>
    </w:lvl>
    <w:lvl w:ilvl="1">
      <w:lvlJc w:val="left"/>
      <w:lvlText w:val="%2"/>
      <w:numFmt w:val="decimal"/>
      <w:start w:val="1"/>
    </w:lvl>
    <w:lvl w:ilvl="2">
      <w:lvlJc w:val="left"/>
      <w:lvlText w:val="%3"/>
      <w:numFmt w:val="lowerLetter"/>
      <w:start w:val="1"/>
    </w:lvl>
  </w:abstractNum>
  <w:abstractNum w:abstractNumId="185">
    <w:nsid w:val="73209072"/>
    <w:multiLevelType w:val="hybridMultilevel"/>
    <w:lvl w:ilvl="0">
      <w:lvlJc w:val="left"/>
      <w:lvlText w:val="%1"/>
      <w:numFmt w:val="lowerLetter"/>
      <w:start w:val="1"/>
    </w:lvl>
    <w:lvl w:ilvl="1">
      <w:lvlJc w:val="left"/>
      <w:lvlText w:val="(%2)"/>
      <w:numFmt w:val="lowerLetter"/>
      <w:start w:val="2"/>
    </w:lvl>
  </w:abstractNum>
  <w:abstractNum w:abstractNumId="186">
    <w:nsid w:val="5FB29816"/>
    <w:multiLevelType w:val="hybridMultilevel"/>
    <w:lvl w:ilvl="0">
      <w:lvlJc w:val="left"/>
      <w:lvlText w:val="(%1)"/>
      <w:numFmt w:val="lowerLetter"/>
      <w:start w:val="35"/>
    </w:lvl>
    <w:lvl w:ilvl="1">
      <w:lvlJc w:val="left"/>
      <w:lvlText w:val="(%2)"/>
      <w:numFmt w:val="lowerLetter"/>
      <w:start w:val="3"/>
    </w:lvl>
  </w:abstractNum>
  <w:abstractNum w:abstractNumId="187">
    <w:nsid w:val="3CE732EC"/>
    <w:multiLevelType w:val="hybridMultilevel"/>
    <w:lvl w:ilvl="0">
      <w:lvlJc w:val="left"/>
      <w:lvlText w:val="(%1)"/>
      <w:numFmt w:val="lowerLetter"/>
      <w:start w:val="1"/>
    </w:lvl>
  </w:abstractNum>
  <w:abstractNum w:abstractNumId="188">
    <w:nsid w:val="22F13DF3"/>
    <w:multiLevelType w:val="hybridMultilevel"/>
    <w:lvl w:ilvl="0">
      <w:lvlJc w:val="left"/>
      <w:lvlText w:val="(%1)"/>
      <w:numFmt w:val="lowerLetter"/>
      <w:start w:val="2"/>
    </w:lvl>
  </w:abstractNum>
  <w:abstractNum w:abstractNumId="189">
    <w:nsid w:val="792B8401"/>
    <w:multiLevelType w:val="hybridMultilevel"/>
    <w:lvl w:ilvl="0">
      <w:lvlJc w:val="left"/>
      <w:lvlText w:val="(%1)"/>
      <w:numFmt w:val="lowerLetter"/>
      <w:start w:val="1"/>
    </w:lvl>
  </w:abstractNum>
  <w:abstractNum w:abstractNumId="190">
    <w:nsid w:val="FA85F4D"/>
    <w:multiLevelType w:val="hybridMultilevel"/>
    <w:lvl w:ilvl="0">
      <w:lvlJc w:val="left"/>
      <w:lvlText w:val="(%1)"/>
      <w:numFmt w:val="lowerLetter"/>
      <w:start w:val="8"/>
    </w:lvl>
  </w:abstractNum>
  <w:abstractNum w:abstractNumId="191">
    <w:nsid w:val="6ECE91F0"/>
    <w:multiLevelType w:val="hybridMultilevel"/>
    <w:lvl w:ilvl="0">
      <w:lvlJc w:val="left"/>
      <w:lvlText w:val="(%1)"/>
      <w:numFmt w:val="lowerLetter"/>
      <w:start w:val="1"/>
    </w:lvl>
  </w:abstractNum>
  <w:abstractNum w:abstractNumId="192">
    <w:nsid w:val="4FC4D600"/>
    <w:multiLevelType w:val="hybridMultilevel"/>
    <w:lvl w:ilvl="0">
      <w:lvlJc w:val="left"/>
      <w:lvlText w:val="%1"/>
      <w:numFmt w:val="lowerLetter"/>
      <w:start w:val="1"/>
    </w:lvl>
    <w:lvl w:ilvl="1">
      <w:lvlJc w:val="left"/>
      <w:lvlText w:val="(%2)"/>
      <w:numFmt w:val="lowerLetter"/>
      <w:start w:val="3"/>
    </w:lvl>
  </w:abstractNum>
  <w:abstractNum w:abstractNumId="193">
    <w:nsid w:val="5BFD4210"/>
    <w:multiLevelType w:val="hybridMultilevel"/>
    <w:lvl w:ilvl="0">
      <w:lvlJc w:val="left"/>
      <w:lvlText w:val="(%1)"/>
      <w:numFmt w:val="lowerLetter"/>
      <w:start w:val="35"/>
    </w:lvl>
    <w:lvl w:ilvl="1">
      <w:lvlJc w:val="left"/>
      <w:lvlText w:val="%2"/>
      <w:numFmt w:val="lowerLetter"/>
      <w:start w:val="1"/>
    </w:lvl>
  </w:abstractNum>
  <w:abstractNum w:abstractNumId="194">
    <w:nsid w:val="76574F8B"/>
    <w:multiLevelType w:val="hybridMultilevel"/>
    <w:lvl w:ilvl="0">
      <w:lvlJc w:val="left"/>
      <w:lvlText w:val="(%1)"/>
      <w:numFmt w:val="lowerLetter"/>
      <w:start w:val="5"/>
    </w:lvl>
  </w:abstractNum>
  <w:abstractNum w:abstractNumId="195">
    <w:nsid w:val="178F7B67"/>
    <w:multiLevelType w:val="hybridMultilevel"/>
    <w:lvl w:ilvl="0">
      <w:lvlJc w:val="left"/>
      <w:lvlText w:val="%1"/>
      <w:numFmt w:val="lowerLetter"/>
      <w:start w:val="1"/>
    </w:lvl>
    <w:lvl w:ilvl="1">
      <w:lvlJc w:val="left"/>
      <w:lvlText w:val="(%2)"/>
      <w:numFmt w:val="lowerLetter"/>
      <w:start w:val="1"/>
    </w:lvl>
  </w:abstractNum>
  <w:abstractNum w:abstractNumId="196">
    <w:nsid w:val="2421DFCF"/>
    <w:multiLevelType w:val="hybridMultilevel"/>
    <w:lvl w:ilvl="0">
      <w:lvlJc w:val="left"/>
      <w:lvlText w:val="(%1)"/>
      <w:numFmt w:val="lowerLetter"/>
      <w:start w:val="61"/>
    </w:lvl>
    <w:lvl w:ilvl="1">
      <w:lvlJc w:val="left"/>
      <w:lvlText w:val="%2"/>
      <w:numFmt w:val="lowerLetter"/>
      <w:start w:val="1"/>
    </w:lvl>
  </w:abstractNum>
  <w:abstractNum w:abstractNumId="197">
    <w:nsid w:val="1565AC99"/>
    <w:multiLevelType w:val="hybridMultilevel"/>
    <w:lvl w:ilvl="0">
      <w:lvlJc w:val="left"/>
      <w:lvlText w:val="(%1)"/>
      <w:numFmt w:val="lowerLetter"/>
      <w:start w:val="1"/>
    </w:lvl>
  </w:abstractNum>
  <w:abstractNum w:abstractNumId="198">
    <w:nsid w:val="19FB2650"/>
    <w:multiLevelType w:val="hybridMultilevel"/>
    <w:lvl w:ilvl="0">
      <w:lvlJc w:val="left"/>
      <w:lvlText w:val="(%1)"/>
      <w:numFmt w:val="lowerLetter"/>
      <w:start w:val="3"/>
    </w:lvl>
  </w:abstractNum>
  <w:abstractNum w:abstractNumId="199">
    <w:nsid w:val="5024DE5B"/>
    <w:multiLevelType w:val="hybridMultilevel"/>
    <w:lvl w:ilvl="0">
      <w:lvlJc w:val="left"/>
      <w:lvlText w:val="%1"/>
      <w:numFmt w:val="decimal"/>
      <w:start w:val="1"/>
    </w:lvl>
    <w:lvl w:ilvl="1">
      <w:lvlJc w:val="left"/>
      <w:lvlText w:val="(%2)"/>
      <w:numFmt w:val="lowerLetter"/>
      <w:start w:val="1"/>
    </w:lvl>
  </w:abstractNum>
  <w:abstractNum w:abstractNumId="200">
    <w:nsid w:val="168EFE17"/>
    <w:multiLevelType w:val="hybridMultilevel"/>
    <w:lvl w:ilvl="0">
      <w:lvlJc w:val="left"/>
      <w:lvlText w:val="%1."/>
      <w:numFmt w:val="decimal"/>
      <w:start w:val="3"/>
    </w:lvl>
    <w:lvl w:ilvl="1">
      <w:lvlJc w:val="left"/>
      <w:lvlText w:val="%2"/>
      <w:numFmt w:val="lowerLetter"/>
      <w:start w:val="1"/>
    </w:lvl>
  </w:abstractNum>
  <w:abstractNum w:abstractNumId="201">
    <w:nsid w:val="1036B29F"/>
    <w:multiLevelType w:val="hybridMultilevel"/>
    <w:lvl w:ilvl="0">
      <w:lvlJc w:val="left"/>
      <w:lvlText w:val="(%1)"/>
      <w:numFmt w:val="lowerLetter"/>
      <w:start w:val="1"/>
    </w:lvl>
  </w:abstractNum>
  <w:abstractNum w:abstractNumId="202">
    <w:nsid w:val="1D206B8E"/>
    <w:multiLevelType w:val="hybridMultilevel"/>
    <w:lvl w:ilvl="0">
      <w:lvlJc w:val="left"/>
      <w:lvlText w:val="(%1)"/>
      <w:numFmt w:val="lowerLetter"/>
      <w:start w:val="3"/>
    </w:lvl>
  </w:abstractNum>
  <w:abstractNum w:abstractNumId="203">
    <w:nsid w:val="7934D3D4"/>
    <w:multiLevelType w:val="hybridMultilevel"/>
    <w:lvl w:ilvl="0">
      <w:lvlJc w:val="left"/>
      <w:lvlText w:val="%1."/>
      <w:numFmt w:val="decimal"/>
      <w:start w:val="4"/>
    </w:lvl>
  </w:abstractNum>
  <w:abstractNum w:abstractNumId="204">
    <w:nsid w:val="1C65E98"/>
    <w:multiLevelType w:val="hybridMultilevel"/>
    <w:lvl w:ilvl="0">
      <w:lvlJc w:val="left"/>
      <w:lvlText w:val="%1"/>
      <w:numFmt w:val="decimal"/>
      <w:start w:val="1"/>
    </w:lvl>
    <w:lvl w:ilvl="1">
      <w:lvlJc w:val="left"/>
      <w:lvlText w:val="(%2)"/>
      <w:numFmt w:val="lowerLetter"/>
      <w:start w:val="1"/>
    </w:lvl>
  </w:abstractNum>
  <w:abstractNum w:abstractNumId="205">
    <w:nsid w:val="1495E50A"/>
    <w:multiLevelType w:val="hybridMultilevel"/>
    <w:lvl w:ilvl="0">
      <w:lvlJc w:val="left"/>
      <w:lvlText w:val="(%1)"/>
      <w:numFmt w:val="decimal"/>
      <w:start w:val="10"/>
    </w:lvl>
    <w:lvl w:ilvl="1">
      <w:lvlJc w:val="left"/>
      <w:lvlText w:val="%2"/>
      <w:numFmt w:val="lowerLetter"/>
      <w:start w:val="1"/>
    </w:lvl>
  </w:abstractNum>
  <w:abstractNum w:abstractNumId="206">
    <w:nsid w:val="F5BCF61"/>
    <w:multiLevelType w:val="hybridMultilevel"/>
    <w:lvl w:ilvl="0">
      <w:lvlJc w:val="left"/>
      <w:lvlText w:val="(%1)"/>
      <w:numFmt w:val="lowerLetter"/>
      <w:start w:val="3"/>
    </w:lvl>
  </w:abstractNum>
  <w:abstractNum w:abstractNumId="207">
    <w:nsid w:val="3B1DD403"/>
    <w:multiLevelType w:val="hybridMultilevel"/>
    <w:lvl w:ilvl="0">
      <w:lvlJc w:val="left"/>
      <w:lvlText w:val="%1."/>
      <w:numFmt w:val="decimal"/>
      <w:start w:val="5"/>
    </w:lvl>
  </w:abstractNum>
  <w:abstractNum w:abstractNumId="208">
    <w:nsid w:val="530386D1"/>
    <w:multiLevelType w:val="hybridMultilevel"/>
    <w:lvl w:ilvl="0">
      <w:lvlJc w:val="left"/>
      <w:lvlText w:val="(%1)"/>
      <w:numFmt w:val="lowerLetter"/>
      <w:start w:val="1"/>
    </w:lvl>
  </w:abstractNum>
  <w:abstractNum w:abstractNumId="209">
    <w:nsid w:val="7525F2BC"/>
    <w:multiLevelType w:val="hybridMultilevel"/>
    <w:lvl w:ilvl="0">
      <w:lvlJc w:val="left"/>
      <w:lvlText w:val="%1"/>
      <w:numFmt w:val="decimal"/>
      <w:start w:val="1"/>
    </w:lvl>
    <w:lvl w:ilvl="1">
      <w:lvlJc w:val="left"/>
      <w:lvlText w:val="(%2)"/>
      <w:numFmt w:val="lowerLetter"/>
      <w:start w:val="2"/>
    </w:lvl>
  </w:abstractNum>
  <w:abstractNum w:abstractNumId="210">
    <w:nsid w:val="CE8E1A7"/>
    <w:multiLevelType w:val="hybridMultilevel"/>
    <w:lvl w:ilvl="0">
      <w:lvlJc w:val="left"/>
      <w:lvlText w:val="%1."/>
      <w:numFmt w:val="decimal"/>
      <w:start w:val="6"/>
    </w:lvl>
    <w:lvl w:ilvl="1">
      <w:lvlJc w:val="left"/>
      <w:lvlText w:val="%2"/>
      <w:numFmt w:val="lowerLetter"/>
      <w:start w:val="1"/>
    </w:lvl>
  </w:abstractNum>
  <w:abstractNum w:abstractNumId="211">
    <w:nsid w:val="4E9EFB0D"/>
    <w:multiLevelType w:val="hybridMultilevel"/>
    <w:lvl w:ilvl="0">
      <w:lvlJc w:val="left"/>
      <w:lvlText w:val="%1:"/>
      <w:numFmt w:val="upperLetter"/>
      <w:start w:val="20"/>
    </w:lvl>
  </w:abstractNum>
  <w:abstractNum w:abstractNumId="212">
    <w:nsid w:val="90802BE"/>
    <w:multiLevelType w:val="hybridMultilevel"/>
    <w:lvl w:ilvl="0">
      <w:lvlJc w:val="left"/>
      <w:lvlText w:val="%1:"/>
      <w:numFmt w:val="upperLetter"/>
      <w:start w:val="6"/>
    </w:lvl>
  </w:abstractNum>
  <w:abstractNum w:abstractNumId="213">
    <w:nsid w:val="3266459B"/>
    <w:multiLevelType w:val="hybridMultilevel"/>
    <w:lvl w:ilvl="0">
      <w:lvlJc w:val="left"/>
      <w:lvlText w:val="%1:"/>
      <w:numFmt w:val="upperLetter"/>
      <w:start w:val="20"/>
    </w:lvl>
  </w:abstractNum>
  <w:abstractNum w:abstractNumId="214">
    <w:nsid w:val="3F8B0CBF"/>
    <w:multiLevelType w:val="hybridMultilevel"/>
    <w:lvl w:ilvl="0">
      <w:lvlJc w:val="left"/>
      <w:lvlText w:val="%1:"/>
      <w:numFmt w:val="upperLetter"/>
      <w:start w:val="6"/>
    </w:lvl>
  </w:abstractNum>
  <w:abstractNum w:abstractNumId="215">
    <w:nsid w:val="37E203AB"/>
    <w:multiLevelType w:val="hybridMultilevel"/>
    <w:lvl w:ilvl="0">
      <w:lvlJc w:val="left"/>
      <w:lvlText w:val="%1)"/>
      <w:numFmt w:val="decimal"/>
      <w:start w:val="2"/>
    </w:lvl>
  </w:abstractNum>
  <w:abstractNum w:abstractNumId="216">
    <w:nsid w:val="2586D60E"/>
    <w:multiLevelType w:val="hybridMultilevel"/>
    <w:lvl w:ilvl="0">
      <w:lvlJc w:val="left"/>
      <w:lvlText w:val="(%1)"/>
      <w:numFmt w:val="decimal"/>
      <w:start w:val="1"/>
    </w:lvl>
  </w:abstractNum>
  <w:abstractNum w:abstractNumId="217">
    <w:nsid w:val="1F3DA4D5"/>
    <w:multiLevelType w:val="hybridMultilevel"/>
    <w:lvl w:ilvl="0">
      <w:lvlJc w:val="left"/>
      <w:lvlText w:val="(%1)"/>
      <w:numFmt w:val="decimal"/>
      <w:start w:val="3"/>
    </w:lvl>
  </w:abstractNum>
  <w:abstractNum w:abstractNumId="218">
    <w:nsid w:val="74C93698"/>
    <w:multiLevelType w:val="hybridMultilevel"/>
    <w:lvl w:ilvl="0">
      <w:lvlJc w:val="left"/>
      <w:lvlText w:val="(%1)"/>
      <w:numFmt w:val="lowerLetter"/>
      <w:start w:val="1"/>
    </w:lvl>
  </w:abstractNum>
  <w:abstractNum w:abstractNumId="219">
    <w:nsid w:val="48781401"/>
    <w:multiLevelType w:val="hybridMultilevel"/>
    <w:lvl w:ilvl="0">
      <w:lvlJc w:val="left"/>
      <w:lvlText w:val="(%1)"/>
      <w:numFmt w:val="lowerLetter"/>
      <w:start w:val="4"/>
    </w:lvl>
  </w:abstractNum>
  <w:abstractNum w:abstractNumId="220">
    <w:nsid w:val="186928D6"/>
    <w:multiLevelType w:val="hybridMultilevel"/>
    <w:lvl w:ilvl="0">
      <w:lvlJc w:val="left"/>
      <w:lvlText w:val="(%1)"/>
      <w:numFmt w:val="lowerLetter"/>
      <w:start w:val="1"/>
    </w:lvl>
  </w:abstractNum>
  <w:abstractNum w:abstractNumId="221">
    <w:nsid w:val="47195E5"/>
    <w:multiLevelType w:val="hybridMultilevel"/>
    <w:lvl w:ilvl="0">
      <w:lvlJc w:val="left"/>
      <w:lvlText w:val="(%1)"/>
      <w:numFmt w:val="lowerLetter"/>
      <w:start w:val="2"/>
    </w:lvl>
  </w:abstractNum>
  <w:abstractNum w:abstractNumId="222">
    <w:nsid w:val="3746A5F2"/>
    <w:multiLevelType w:val="hybridMultilevel"/>
    <w:lvl w:ilvl="0">
      <w:lvlJc w:val="left"/>
      <w:lvlText w:val="(%1)"/>
      <w:numFmt w:val="lowerLetter"/>
      <w:start w:val="1"/>
    </w:lvl>
  </w:abstractNum>
  <w:abstractNum w:abstractNumId="223">
    <w:nsid w:val="682DFED6"/>
    <w:multiLevelType w:val="hybridMultilevel"/>
    <w:lvl w:ilvl="0">
      <w:lvlJc w:val="left"/>
      <w:lvlText w:val="(%1)"/>
      <w:numFmt w:val="decimal"/>
      <w:start w:val="1"/>
    </w:lvl>
  </w:abstractNum>
  <w:abstractNum w:abstractNumId="224">
    <w:nsid w:val="606ED7F6"/>
    <w:multiLevelType w:val="hybridMultilevel"/>
    <w:lvl w:ilvl="0">
      <w:lvlJc w:val="left"/>
      <w:lvlText w:val="(%1)"/>
      <w:numFmt w:val="lowerLetter"/>
      <w:start w:val="1"/>
    </w:lvl>
  </w:abstractNum>
  <w:abstractNum w:abstractNumId="225">
    <w:nsid w:val="2D9DF57D"/>
    <w:multiLevelType w:val="hybridMultilevel"/>
    <w:lvl w:ilvl="0">
      <w:lvlJc w:val="left"/>
      <w:lvlText w:val="☐"/>
      <w:numFmt w:val="bullet"/>
      <w:start w:val="1"/>
    </w:lvl>
  </w:abstractNum>
  <w:abstractNum w:abstractNumId="226">
    <w:nsid w:val="7FBD7A3E"/>
    <w:multiLevelType w:val="hybridMultilevel"/>
    <w:lvl w:ilvl="0">
      <w:lvlJc w:val="left"/>
      <w:lvlText w:val="%1."/>
      <w:numFmt w:val="decimal"/>
      <w:start w:val="2"/>
    </w:lvl>
  </w:abstractNum>
  <w:abstractNum w:abstractNumId="227">
    <w:nsid w:val="490B7C5"/>
    <w:multiLevelType w:val="hybridMultilevel"/>
    <w:lvl w:ilvl="0">
      <w:lvlJc w:val="left"/>
      <w:lvlText w:val="%1."/>
      <w:numFmt w:val="decimal"/>
      <w:start w:val="3"/>
    </w:lvl>
  </w:abstractNum>
  <w:abstractNum w:abstractNumId="228">
    <w:nsid w:val="4303A216"/>
    <w:multiLevelType w:val="hybridMultilevel"/>
    <w:lvl w:ilvl="0">
      <w:lvlJc w:val="left"/>
      <w:lvlText w:val="(%1)"/>
      <w:numFmt w:val="lowerLetter"/>
      <w:start w:val="1"/>
    </w:lvl>
  </w:abstractNum>
  <w:abstractNum w:abstractNumId="229">
    <w:nsid w:val="19B8A08E"/>
    <w:multiLevelType w:val="hybridMultilevel"/>
    <w:lvl w:ilvl="0">
      <w:lvlJc w:val="left"/>
      <w:lvlText w:val="(%1)"/>
      <w:numFmt w:val="lowerRoman"/>
      <w:start w:val="1"/>
    </w:lvl>
  </w:abstractNum>
  <w:abstractNum w:abstractNumId="230">
    <w:nsid w:val="54B59621"/>
    <w:multiLevelType w:val="hybridMultilevel"/>
    <w:lvl w:ilvl="0">
      <w:lvlJc w:val="left"/>
      <w:lvlText w:val="(%1)"/>
      <w:numFmt w:val="lowerLetter"/>
      <w:start w:val="3"/>
    </w:lvl>
  </w:abstractNum>
  <w:abstractNum w:abstractNumId="231">
    <w:nsid w:val="5992A02E"/>
    <w:multiLevelType w:val="hybridMultilevel"/>
    <w:lvl w:ilvl="0">
      <w:lvlJc w:val="left"/>
      <w:lvlText w:val="(%1)"/>
      <w:numFmt w:val="lowerLetter"/>
      <w:start w:val="5"/>
    </w:lvl>
  </w:abstractNum>
  <w:abstractNum w:abstractNumId="232">
    <w:nsid w:val="29EF532D"/>
    <w:multiLevelType w:val="hybridMultilevel"/>
    <w:lvl w:ilvl="0">
      <w:lvlJc w:val="left"/>
      <w:lvlText w:val="(%1)"/>
      <w:numFmt w:val="lowerLetter"/>
      <w:start w:val="1"/>
    </w:lvl>
  </w:abstractNum>
  <w:abstractNum w:abstractNumId="233">
    <w:nsid w:val="71D601A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34">
    <w:nsid w:val="52C77402"/>
    <w:multiLevelType w:val="hybridMultilevel"/>
    <w:lvl w:ilvl="0">
      <w:lvlJc w:val="left"/>
      <w:lvlText w:val="(%1)"/>
      <w:numFmt w:val="lowerRoman"/>
      <w:start w:val="2"/>
    </w:lvl>
    <w:lvl w:ilvl="1">
      <w:lvlJc w:val="left"/>
      <w:lvlText w:val="(%2)"/>
      <w:numFmt w:val="upperLetter"/>
      <w:start w:val="1"/>
    </w:lvl>
  </w:abstractNum>
  <w:abstractNum w:abstractNumId="235">
    <w:nsid w:val="2BB5B1C6"/>
    <w:multiLevelType w:val="hybridMultilevel"/>
    <w:lvl w:ilvl="0">
      <w:lvlJc w:val="left"/>
      <w:lvlText w:val="(%1)"/>
      <w:numFmt w:val="lowerLetter"/>
      <w:start w:val="1"/>
    </w:lvl>
  </w:abstractNum>
  <w:abstractNum w:abstractNumId="236">
    <w:nsid w:val="66BE6B9"/>
    <w:multiLevelType w:val="hybridMultilevel"/>
    <w:lvl w:ilvl="0">
      <w:lvlJc w:val="left"/>
      <w:lvlText w:val="(%1)"/>
      <w:numFmt w:val="lowerRoman"/>
      <w:start w:val="1"/>
    </w:lvl>
    <w:lvl w:ilvl="1">
      <w:lvlJc w:val="left"/>
      <w:lvlText w:val="(%2)"/>
      <w:numFmt w:val="upperLetter"/>
      <w:start w:val="1"/>
    </w:lvl>
  </w:abstractNum>
  <w:abstractNum w:abstractNumId="237">
    <w:nsid w:val="62234363"/>
    <w:multiLevelType w:val="hybridMultilevel"/>
    <w:lvl w:ilvl="0">
      <w:lvlJc w:val="left"/>
      <w:lvlText w:val="(%1)"/>
      <w:numFmt w:val="upperLetter"/>
      <w:start w:val="4"/>
    </w:lvl>
  </w:abstractNum>
  <w:abstractNum w:abstractNumId="238">
    <w:nsid w:val="66D385C9"/>
    <w:multiLevelType w:val="hybridMultilevel"/>
    <w:lvl w:ilvl="0">
      <w:lvlJc w:val="left"/>
      <w:lvlText w:val="(%1)"/>
      <w:numFmt w:val="lowerLetter"/>
      <w:start w:val="2"/>
    </w:lvl>
  </w:abstractNum>
  <w:abstractNum w:abstractNumId="239">
    <w:nsid w:val="596F6D8A"/>
    <w:multiLevelType w:val="hybridMultilevel"/>
    <w:lvl w:ilvl="0">
      <w:lvlJc w:val="left"/>
      <w:lvlText w:val="(%1)"/>
      <w:numFmt w:val="lowerLetter"/>
      <w:start w:val="3"/>
    </w:lvl>
  </w:abstractNum>
  <w:abstractNum w:abstractNumId="240">
    <w:nsid w:val="5749361F"/>
    <w:multiLevelType w:val="hybridMultilevel"/>
    <w:lvl w:ilvl="0">
      <w:lvlJc w:val="left"/>
      <w:lvlText w:val="(%1)"/>
      <w:numFmt w:val="lowerLetter"/>
      <w:start w:val="1"/>
    </w:lvl>
  </w:abstractNum>
  <w:abstractNum w:abstractNumId="241">
    <w:nsid w:val="73BC6770"/>
    <w:multiLevelType w:val="hybridMultilevel"/>
    <w:lvl w:ilvl="0">
      <w:lvlJc w:val="left"/>
      <w:lvlText w:val="(%1)"/>
      <w:numFmt w:val="lowerLetter"/>
      <w:start w:val="3"/>
    </w:lvl>
  </w:abstractNum>
  <w:abstractNum w:abstractNumId="242">
    <w:nsid w:val="280E6897"/>
    <w:multiLevelType w:val="hybridMultilevel"/>
    <w:lvl w:ilvl="0">
      <w:lvlJc w:val="left"/>
      <w:lvlText w:val="(%1)"/>
      <w:numFmt w:val="lowerLetter"/>
      <w:start w:val="1"/>
    </w:lvl>
  </w:abstractNum>
  <w:abstractNum w:abstractNumId="243">
    <w:nsid w:val="605138DE"/>
    <w:multiLevelType w:val="hybridMultilevel"/>
    <w:lvl w:ilvl="0">
      <w:lvlJc w:val="left"/>
      <w:lvlText w:val="(%1)"/>
      <w:numFmt w:val="lowerLetter"/>
      <w:start w:val="1"/>
    </w:lvl>
    <w:lvl w:ilvl="1">
      <w:lvlJc w:val="left"/>
      <w:lvlText w:val="(%2)"/>
      <w:numFmt w:val="lowerRoman"/>
      <w:start w:val="1"/>
    </w:lvl>
  </w:abstractNum>
  <w:abstractNum w:abstractNumId="244">
    <w:nsid w:val="2622AD0C"/>
    <w:multiLevelType w:val="hybridMultilevel"/>
    <w:lvl w:ilvl="0">
      <w:lvlJc w:val="left"/>
      <w:lvlText w:val="%1"/>
      <w:numFmt w:val="lowerLetter"/>
      <w:start w:val="1"/>
    </w:lvl>
    <w:lvl w:ilvl="1">
      <w:lvlJc w:val="left"/>
      <w:lvlText w:val="(%2)"/>
      <w:numFmt w:val="upperLetter"/>
      <w:start w:val="1"/>
    </w:lvl>
  </w:abstractNum>
  <w:abstractNum w:abstractNumId="245">
    <w:nsid w:val="67997556"/>
    <w:multiLevelType w:val="hybridMultilevel"/>
    <w:lvl w:ilvl="0">
      <w:lvlJc w:val="left"/>
      <w:lvlText w:val="(%1)"/>
      <w:numFmt w:val="lowerLetter"/>
      <w:start w:val="2"/>
    </w:lvl>
    <w:lvl w:ilvl="1">
      <w:lvlJc w:val="left"/>
      <w:lvlText w:val="%2"/>
      <w:numFmt w:val="upperLetter"/>
      <w:start w:val="1"/>
    </w:lvl>
  </w:abstractNum>
  <w:abstractNum w:abstractNumId="246">
    <w:nsid w:val="18333C89"/>
    <w:multiLevelType w:val="hybridMultilevel"/>
    <w:lvl w:ilvl="0">
      <w:lvlJc w:val="left"/>
      <w:lvlText w:val="(%1)"/>
      <w:numFmt w:val="lowerLetter"/>
      <w:start w:val="3"/>
    </w:lvl>
    <w:lvl w:ilvl="1">
      <w:lvlJc w:val="left"/>
      <w:lvlText w:val="(%2)"/>
      <w:numFmt w:val="lowerRoman"/>
      <w:start w:val="1"/>
    </w:lvl>
  </w:abstractNum>
  <w:abstractNum w:abstractNumId="247">
    <w:nsid w:val="4BA9831A"/>
    <w:multiLevelType w:val="hybridMultilevel"/>
    <w:lvl w:ilvl="0">
      <w:lvlJc w:val="left"/>
      <w:lvlText w:val="%1"/>
      <w:numFmt w:val="lowerLetter"/>
      <w:start w:val="1"/>
    </w:lvl>
    <w:lvl w:ilvl="1">
      <w:lvlJc w:val="left"/>
      <w:lvlText w:val="(%2)"/>
      <w:numFmt w:val="lowerRoman"/>
      <w:start w:val="1"/>
    </w:lvl>
  </w:abstractNum>
  <w:abstractNum w:abstractNumId="248">
    <w:nsid w:val="6D71A2B"/>
    <w:multiLevelType w:val="hybridMultilevel"/>
    <w:lvl w:ilvl="0">
      <w:lvlJc w:val="left"/>
      <w:lvlText w:val="(%1)"/>
      <w:numFmt w:val="lowerLetter"/>
      <w:start w:val="6"/>
    </w:lvl>
    <w:lvl w:ilvl="1">
      <w:lvlJc w:val="left"/>
      <w:lvlText w:val="%2"/>
      <w:numFmt w:val="lowerRoman"/>
      <w:start w:val="1"/>
    </w:lvl>
  </w:abstractNum>
  <w:abstractNum w:abstractNumId="249">
    <w:nsid w:val="CFC7321"/>
    <w:multiLevelType w:val="hybridMultilevel"/>
    <w:lvl w:ilvl="0">
      <w:lvlJc w:val="left"/>
      <w:lvlText w:val="(%1)"/>
      <w:numFmt w:val="lowerLetter"/>
      <w:start w:val="1"/>
    </w:lvl>
  </w:abstractNum>
  <w:abstractNum w:abstractNumId="250">
    <w:nsid w:val="1421971B"/>
    <w:multiLevelType w:val="hybridMultilevel"/>
    <w:lvl w:ilvl="0">
      <w:lvlJc w:val="left"/>
      <w:lvlText w:val="(%1)"/>
      <w:numFmt w:val="lowerLetter"/>
      <w:start w:val="1"/>
    </w:lvl>
  </w:abstractNum>
  <w:abstractNum w:abstractNumId="251">
    <w:nsid w:val="1F404301"/>
    <w:multiLevelType w:val="hybridMultilevel"/>
    <w:lvl w:ilvl="0">
      <w:lvlJc w:val="left"/>
      <w:lvlText w:val="(%1)"/>
      <w:numFmt w:val="lowerLetter"/>
      <w:start w:val="6"/>
    </w:lvl>
  </w:abstractNum>
  <w:abstractNum w:abstractNumId="252">
    <w:nsid w:val="116E0907"/>
    <w:multiLevelType w:val="hybridMultilevel"/>
    <w:lvl w:ilvl="0">
      <w:lvlJc w:val="left"/>
      <w:lvlText w:val="(%1)"/>
      <w:numFmt w:val="lowerLetter"/>
      <w:start w:val="7"/>
    </w:lvl>
  </w:abstractNum>
  <w:abstractNum w:abstractNumId="253">
    <w:nsid w:val="4B683D0D"/>
    <w:multiLevelType w:val="hybridMultilevel"/>
    <w:lvl w:ilvl="0">
      <w:lvlJc w:val="left"/>
      <w:lvlText w:val="%1."/>
      <w:numFmt w:val="decimal"/>
      <w:start w:val="1"/>
    </w:lvl>
    <w:lvl w:ilvl="1">
      <w:lvlJc w:val="left"/>
      <w:lvlText w:val="(%2)"/>
      <w:numFmt w:val="lowerLetter"/>
      <w:start w:val="1"/>
    </w:lvl>
  </w:abstractNum>
  <w:abstractNum w:abstractNumId="254">
    <w:nsid w:val="76E41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5">
    <w:nsid w:val="71DCE0FD"/>
    <w:multiLevelType w:val="hybridMultilevel"/>
    <w:lvl w:ilvl="0">
      <w:lvlJc w:val="left"/>
      <w:lvlText w:val="%1"/>
      <w:numFmt w:val="decimal"/>
      <w:start w:val="1"/>
    </w:lvl>
    <w:lvl w:ilvl="1">
      <w:lvlJc w:val="left"/>
      <w:lvlText w:val="(%2)"/>
      <w:numFmt w:val="lowerLetter"/>
      <w:start w:val="4"/>
    </w:lvl>
  </w:abstractNum>
  <w:abstractNum w:abstractNumId="256">
    <w:nsid w:val="7906328B"/>
    <w:multiLevelType w:val="hybridMultilevel"/>
    <w:lvl w:ilvl="0">
      <w:lvlJc w:val="left"/>
      <w:lvlText w:val="%1."/>
      <w:numFmt w:val="decimal"/>
      <w:start w:val="2"/>
    </w:lvl>
    <w:lvl w:ilvl="1">
      <w:lvlJc w:val="left"/>
      <w:lvlText w:val="(%2)"/>
      <w:numFmt w:val="lowerLetter"/>
      <w:start w:val="1"/>
    </w:lvl>
  </w:abstractNum>
  <w:abstractNum w:abstractNumId="257">
    <w:nsid w:val="72BBC16"/>
    <w:multiLevelType w:val="hybridMultilevel"/>
    <w:lvl w:ilvl="0">
      <w:lvlJc w:val="left"/>
      <w:lvlText w:val="%1."/>
      <w:numFmt w:val="decimal"/>
      <w:start w:val="5"/>
    </w:lvl>
    <w:lvl w:ilvl="1">
      <w:lvlJc w:val="left"/>
      <w:lvlText w:val="(%2)"/>
      <w:numFmt w:val="lowerLetter"/>
      <w:start w:val="1"/>
    </w:lvl>
  </w:abstractNum>
  <w:abstractNum w:abstractNumId="258">
    <w:nsid w:val="766D98C2"/>
    <w:multiLevelType w:val="hybridMultilevel"/>
    <w:lvl w:ilvl="0">
      <w:lvlJc w:val="left"/>
      <w:lvlText w:val="%1"/>
      <w:numFmt w:val="decimal"/>
      <w:start w:val="1"/>
    </w:lvl>
    <w:lvl w:ilvl="1">
      <w:lvlJc w:val="left"/>
      <w:lvlText w:val="(%2)"/>
      <w:numFmt w:val="lowerLetter"/>
      <w:start w:val="9"/>
    </w:lvl>
  </w:abstractNum>
  <w:abstractNum w:abstractNumId="259">
    <w:nsid w:val="3C09D4A1"/>
    <w:multiLevelType w:val="hybridMultilevel"/>
    <w:lvl w:ilvl="0">
      <w:lvlJc w:val="left"/>
      <w:lvlText w:val="%1."/>
      <w:numFmt w:val="decimal"/>
      <w:start w:val="7"/>
    </w:lvl>
    <w:lvl w:ilvl="1">
      <w:lvlJc w:val="left"/>
      <w:lvlText w:val="(%2)"/>
      <w:numFmt w:val="lowerLetter"/>
      <w:start w:val="1"/>
    </w:lvl>
  </w:abstractNum>
  <w:abstractNum w:abstractNumId="260">
    <w:nsid w:val="20E45CA4"/>
    <w:multiLevelType w:val="hybridMultilevel"/>
    <w:lvl w:ilvl="0">
      <w:lvlJc w:val="left"/>
      <w:lvlText w:val="(%1)"/>
      <w:numFmt w:val="lowerLetter"/>
      <w:start w:val="4"/>
    </w:lvl>
  </w:abstractNum>
  <w:abstractNum w:abstractNumId="261">
    <w:nsid w:val="4B232EE3"/>
    <w:multiLevelType w:val="hybridMultilevel"/>
    <w:lvl w:ilvl="0">
      <w:lvlJc w:val="left"/>
      <w:lvlText w:val="☐"/>
      <w:numFmt w:val="bullet"/>
      <w:start w:val="1"/>
    </w:lvl>
  </w:abstractNum>
  <w:abstractNum w:abstractNumId="262">
    <w:nsid w:val="159C74CF"/>
    <w:multiLevelType w:val="hybridMultilevel"/>
    <w:lvl w:ilvl="0">
      <w:lvlJc w:val="left"/>
      <w:lvlText w:val="(%1)"/>
      <w:numFmt w:val="lowerRoman"/>
      <w:start w:val="1"/>
    </w:lvl>
  </w:abstractNum>
  <w:abstractNum w:abstractNumId="263">
    <w:nsid w:val="4AD3AFD2"/>
    <w:multiLevelType w:val="hybridMultilevel"/>
    <w:lvl w:ilvl="0">
      <w:lvlJc w:val="left"/>
      <w:lvlText w:val="(%1)"/>
      <w:numFmt w:val="lowerRoman"/>
      <w:start w:val="6"/>
    </w:lvl>
  </w:abstractNum>
  <w:abstractNum w:abstractNumId="264">
    <w:nsid w:val="3CF9309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5">
    <w:nsid w:val="6863E8D2"/>
    <w:multiLevelType w:val="hybridMultilevel"/>
    <w:lvl w:ilvl="0">
      <w:lvlJc w:val="left"/>
      <w:lvlText w:val="%1."/>
      <w:numFmt w:val="decimal"/>
      <w:start w:val="2"/>
    </w:lvl>
    <w:lvl w:ilvl="1">
      <w:lvlJc w:val="left"/>
      <w:lvlText w:val="(%2)"/>
      <w:numFmt w:val="lowerLetter"/>
      <w:start w:val="1"/>
    </w:lvl>
  </w:abstractNum>
  <w:abstractNum w:abstractNumId="266">
    <w:nsid w:val="76896198"/>
    <w:multiLevelType w:val="hybridMultilevel"/>
    <w:lvl w:ilvl="0">
      <w:lvlJc w:val="left"/>
      <w:lvlText w:val="%1"/>
      <w:numFmt w:val="decimal"/>
      <w:start w:val="1"/>
    </w:lvl>
    <w:lvl w:ilvl="1">
      <w:lvlJc w:val="left"/>
      <w:lvlText w:val="(%2)"/>
      <w:numFmt w:val="lowerLetter"/>
      <w:start w:val="3"/>
    </w:lvl>
  </w:abstractNum>
  <w:abstractNum w:abstractNumId="267">
    <w:nsid w:val="4365174B"/>
    <w:multiLevelType w:val="hybridMultilevel"/>
    <w:lvl w:ilvl="0">
      <w:lvlJc w:val="left"/>
      <w:lvlText w:val="%1."/>
      <w:numFmt w:val="decimal"/>
      <w:start w:val="7"/>
    </w:lvl>
    <w:lvl w:ilvl="1">
      <w:lvlJc w:val="left"/>
      <w:lvlText w:val="(%2)"/>
      <w:numFmt w:val="lowerLetter"/>
      <w:start w:val="1"/>
    </w:lvl>
  </w:abstractNum>
  <w:abstractNum w:abstractNumId="268">
    <w:nsid w:val="4A872C35"/>
    <w:multiLevelType w:val="hybridMultilevel"/>
    <w:lvl w:ilvl="0">
      <w:lvlJc w:val="left"/>
      <w:lvlText w:val="(%1)"/>
      <w:numFmt w:val="lowerLetter"/>
      <w:start w:val="2"/>
    </w:lvl>
  </w:abstractNum>
  <w:abstractNum w:abstractNumId="269">
    <w:nsid w:val="5D5CE761"/>
    <w:multiLevelType w:val="hybridMultilevel"/>
    <w:lvl w:ilvl="0">
      <w:lvlJc w:val="left"/>
      <w:lvlText w:val="☐"/>
      <w:numFmt w:val="bullet"/>
      <w:start w:val="1"/>
    </w:lvl>
  </w:abstractNum>
  <w:abstractNum w:abstractNumId="270">
    <w:nsid w:val="1CD484D5"/>
    <w:multiLevelType w:val="hybridMultilevel"/>
    <w:lvl w:ilvl="0">
      <w:lvlJc w:val="left"/>
      <w:lvlText w:val="(%1)"/>
      <w:numFmt w:val="lowerRoman"/>
      <w:start w:val="1"/>
    </w:lvl>
  </w:abstractNum>
  <w:abstractNum w:abstractNumId="271">
    <w:nsid w:val="21D06255"/>
    <w:multiLevelType w:val="hybridMultilevel"/>
    <w:lvl w:ilvl="0">
      <w:lvlJc w:val="left"/>
      <w:lvlText w:val="(%1)"/>
      <w:numFmt w:val="lowerRoman"/>
      <w:start w:val="6"/>
    </w:lvl>
  </w:abstractNum>
  <w:abstractNum w:abstractNumId="272">
    <w:nsid w:val="51194E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3">
    <w:nsid w:val="44E2ED6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74">
    <w:nsid w:val="2219B3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75">
    <w:nsid w:val="773BFBDD"/>
    <w:multiLevelType w:val="hybridMultilevel"/>
    <w:lvl w:ilvl="0">
      <w:lvlJc w:val="left"/>
      <w:lvlText w:val="%1"/>
      <w:numFmt w:val="decimal"/>
      <w:start w:val="1"/>
    </w:lvl>
    <w:lvl w:ilvl="1">
      <w:lvlJc w:val="left"/>
      <w:lvlText w:val="(%2)"/>
      <w:numFmt w:val="lowerLetter"/>
      <w:start w:val="4"/>
    </w:lvl>
  </w:abstractNum>
  <w:abstractNum w:abstractNumId="276">
    <w:nsid w:val="2C7C62C2"/>
    <w:multiLevelType w:val="hybridMultilevel"/>
    <w:lvl w:ilvl="0">
      <w:lvlJc w:val="left"/>
      <w:lvlText w:val="%1."/>
      <w:numFmt w:val="decimal"/>
      <w:start w:val="6"/>
    </w:lvl>
    <w:lvl w:ilvl="1">
      <w:lvlJc w:val="left"/>
      <w:lvlText w:val="(%2)"/>
      <w:numFmt w:val="lowerLetter"/>
      <w:start w:val="1"/>
    </w:lvl>
  </w:abstractNum>
  <w:abstractNum w:abstractNumId="277">
    <w:nsid w:val="1A54D7BC"/>
    <w:multiLevelType w:val="hybridMultilevel"/>
    <w:lvl w:ilvl="0">
      <w:lvlJc w:val="left"/>
      <w:lvlText w:val="(%1)"/>
      <w:numFmt w:val="lowerLetter"/>
      <w:start w:val="2"/>
    </w:lvl>
  </w:abstractNum>
  <w:abstractNum w:abstractNumId="278">
    <w:nsid w:val="42E57EF7"/>
    <w:multiLevelType w:val="hybridMultilevel"/>
    <w:lvl w:ilvl="0">
      <w:lvlJc w:val="left"/>
      <w:lvlText w:val="(%1)"/>
      <w:numFmt w:val="lowerLetter"/>
      <w:start w:val="1"/>
    </w:lvl>
  </w:abstractNum>
  <w:abstractNum w:abstractNumId="279">
    <w:nsid w:val="33537CED"/>
    <w:multiLevelType w:val="hybridMultilevel"/>
    <w:lvl w:ilvl="0">
      <w:lvlJc w:val="left"/>
      <w:lvlText w:val="(%1)"/>
      <w:numFmt w:val="lowerLetter"/>
      <w:start w:val="4"/>
    </w:lvl>
  </w:abstractNum>
  <w:abstractNum w:abstractNumId="280">
    <w:nsid w:val="27514ADE"/>
    <w:multiLevelType w:val="hybridMultilevel"/>
    <w:lvl w:ilvl="0">
      <w:lvlJc w:val="left"/>
      <w:lvlText w:val="(%1)"/>
      <w:numFmt w:val="lowerRoman"/>
      <w:start w:val="1"/>
    </w:lvl>
  </w:abstractNum>
  <w:abstractNum w:abstractNumId="281">
    <w:nsid w:val="57071613"/>
    <w:multiLevelType w:val="hybridMultilevel"/>
    <w:lvl w:ilvl="0">
      <w:lvlJc w:val="left"/>
      <w:lvlText w:val="(%1)"/>
      <w:numFmt w:val="lowerRoman"/>
      <w:start w:val="2"/>
    </w:lvl>
    <w:lvl w:ilvl="1">
      <w:lvlJc w:val="left"/>
      <w:lvlText w:val="***"/>
      <w:numFmt w:val="bullet"/>
      <w:start w:val="1"/>
    </w:lvl>
  </w:abstractNum>
  <w:abstractNum w:abstractNumId="282">
    <w:nsid w:val="5293BFEF"/>
    <w:multiLevelType w:val="hybridMultilevel"/>
    <w:lvl w:ilvl="0">
      <w:lvlJc w:val="left"/>
      <w:lvlText w:val="(%1)"/>
      <w:numFmt w:val="lowerLetter"/>
      <w:start w:val="1"/>
    </w:lvl>
  </w:abstractNum>
  <w:abstractNum w:abstractNumId="283">
    <w:nsid w:val="38BF53E5"/>
    <w:multiLevelType w:val="hybridMultilevel"/>
    <w:lvl w:ilvl="0">
      <w:lvlJc w:val="left"/>
      <w:lvlText w:val="(%1)"/>
      <w:numFmt w:val="lowerLetter"/>
      <w:start w:val="4"/>
    </w:lvl>
    <w:lvl w:ilvl="1">
      <w:lvlJc w:val="left"/>
      <w:lvlText w:val="***"/>
      <w:numFmt w:val="bullet"/>
      <w:start w:val="1"/>
    </w:lvl>
  </w:abstractNum>
  <w:abstractNum w:abstractNumId="284">
    <w:nsid w:val="226F5320"/>
    <w:multiLevelType w:val="hybridMultilevel"/>
    <w:lvl w:ilvl="0">
      <w:lvlJc w:val="left"/>
      <w:lvlText w:val="(%1)"/>
      <w:numFmt w:val="lowerLetter"/>
      <w:start w:val="1"/>
    </w:lvl>
  </w:abstractNum>
  <w:abstractNum w:abstractNumId="285">
    <w:nsid w:val="5A0201C7"/>
    <w:multiLevelType w:val="hybridMultilevel"/>
    <w:lvl w:ilvl="0">
      <w:lvlJc w:val="left"/>
      <w:lvlText w:val="[***]"/>
      <w:numFmt w:val="bullet"/>
      <w:start w:val="1"/>
    </w:lvl>
  </w:abstractNum>
  <w:abstractNum w:abstractNumId="286">
    <w:nsid w:val="2A9C34E2"/>
    <w:multiLevelType w:val="hybridMultilevel"/>
    <w:lvl w:ilvl="0">
      <w:lvlJc w:val="left"/>
      <w:lvlText w:val="(%1)"/>
      <w:numFmt w:val="lowerLetter"/>
      <w:start w:val="2"/>
    </w:lvl>
  </w:abstractNum>
  <w:abstractNum w:abstractNumId="287">
    <w:nsid w:val="1B7585AB"/>
    <w:multiLevelType w:val="hybridMultilevel"/>
    <w:lvl w:ilvl="0">
      <w:lvlJc w:val="left"/>
      <w:lvlText w:val="(%1)"/>
      <w:numFmt w:val="lowerLetter"/>
      <w:start w:val="1"/>
    </w:lvl>
  </w:abstractNum>
  <w:abstractNum w:abstractNumId="288">
    <w:nsid w:val="612DBDDD"/>
    <w:multiLevelType w:val="hybridMultilevel"/>
    <w:lvl w:ilvl="0">
      <w:lvlJc w:val="left"/>
      <w:lvlText w:val="%1."/>
      <w:numFmt w:val="decimal"/>
      <w:start w:val="1"/>
    </w:lvl>
  </w:abstractNum>
  <w:abstractNum w:abstractNumId="289">
    <w:nsid w:val="2109CDA4"/>
    <w:multiLevelType w:val="hybridMultilevel"/>
    <w:lvl w:ilvl="0">
      <w:lvlJc w:val="left"/>
      <w:lvlText w:val="(%1)"/>
      <w:numFmt w:val="lowerRoman"/>
      <w:start w:val="1"/>
    </w:lvl>
  </w:abstractNum>
  <w:abstractNum w:abstractNumId="290">
    <w:nsid w:val="577F5A4D"/>
    <w:multiLevelType w:val="hybridMultilevel"/>
    <w:lvl w:ilvl="0">
      <w:lvlJc w:val="left"/>
      <w:lvlText w:val="%1."/>
      <w:numFmt w:val="decimal"/>
      <w:start w:val="2"/>
    </w:lvl>
  </w:abstractNum>
  <w:abstractNum w:abstractNumId="291">
    <w:nsid w:val="2121A81"/>
    <w:multiLevelType w:val="hybridMultilevel"/>
    <w:lvl w:ilvl="0">
      <w:lvlJc w:val="left"/>
      <w:lvlText w:val="%1."/>
      <w:numFmt w:val="decimal"/>
      <w:start w:val="3"/>
    </w:lvl>
  </w:abstractNum>
  <w:abstractNum w:abstractNumId="292">
    <w:nsid w:val="6C2CFC88"/>
    <w:multiLevelType w:val="hybridMultilevel"/>
    <w:lvl w:ilvl="0">
      <w:lvlJc w:val="left"/>
      <w:lvlText w:val="%1."/>
      <w:numFmt w:val="decimal"/>
      <w:start w:val="4"/>
    </w:lvl>
  </w:abstractNum>
  <w:abstractNum w:abstractNumId="293">
    <w:nsid w:val="6D1BCF1C"/>
    <w:multiLevelType w:val="hybridMultilevel"/>
    <w:lvl w:ilvl="0">
      <w:lvlJc w:val="left"/>
      <w:lvlText w:val="(%1)"/>
      <w:numFmt w:val="lowerLetter"/>
      <w:start w:val="1"/>
    </w:lvl>
    <w:lvl w:ilvl="1">
      <w:lvlJc w:val="left"/>
      <w:lvlText w:val="***"/>
      <w:numFmt w:val="bullet"/>
      <w:start w:val="1"/>
    </w:lvl>
  </w:abstractNum>
  <w:abstractNum w:abstractNumId="294">
    <w:nsid w:val="4CE5CA53"/>
    <w:multiLevelType w:val="hybridMultilevel"/>
    <w:lvl w:ilvl="0">
      <w:lvlJc w:val="left"/>
      <w:lvlText w:val="(%1)"/>
      <w:numFmt w:val="lowerLetter"/>
      <w:start w:val="3"/>
    </w:lvl>
  </w:abstractNum>
  <w:abstractNum w:abstractNumId="295">
    <w:nsid w:val="29262D1A"/>
    <w:multiLevelType w:val="hybridMultilevel"/>
    <w:lvl w:ilvl="0">
      <w:lvlJc w:val="left"/>
      <w:lvlText w:val="%1."/>
      <w:numFmt w:val="decimal"/>
      <w:start w:val="5"/>
    </w:lvl>
  </w:abstractNum>
  <w:abstractNum w:abstractNumId="296">
    <w:nsid w:val="557FB7EE"/>
    <w:multiLevelType w:val="hybridMultilevel"/>
    <w:lvl w:ilvl="0">
      <w:lvlJc w:val="left"/>
      <w:lvlText w:val="%1."/>
      <w:numFmt w:val="decimal"/>
      <w:start w:val="6"/>
    </w:lvl>
  </w:abstractNum>
  <w:abstractNum w:abstractNumId="297">
    <w:nsid w:val="436F2BEB"/>
    <w:multiLevelType w:val="hybridMultilevel"/>
    <w:lvl w:ilvl="0">
      <w:lvlJc w:val="left"/>
      <w:lvlText w:val="%1."/>
      <w:numFmt w:val="decimal"/>
      <w:start w:val="7"/>
    </w:lvl>
  </w:abstractNum>
  <w:abstractNum w:abstractNumId="298">
    <w:nsid w:val="6C8B4466"/>
    <w:multiLevelType w:val="hybridMultilevel"/>
    <w:lvl w:ilvl="0">
      <w:lvlJc w:val="left"/>
      <w:lvlText w:val="(%1)"/>
      <w:numFmt w:val="lowerLetter"/>
      <w:start w:val="1"/>
    </w:lvl>
  </w:abstractNum>
  <w:abstractNum w:abstractNumId="299">
    <w:nsid w:val="2006E424"/>
    <w:multiLevelType w:val="hybridMultilevel"/>
    <w:lvl w:ilvl="0">
      <w:lvlJc w:val="left"/>
      <w:lvlText w:val="%1."/>
      <w:numFmt w:val="decimal"/>
      <w:start w:val="8"/>
    </w:lvl>
  </w:abstractNum>
  <w:abstractNum w:abstractNumId="300">
    <w:nsid w:val="20CC134C"/>
    <w:multiLevelType w:val="hybridMultilevel"/>
    <w:lvl w:ilvl="0">
      <w:lvlJc w:val="left"/>
      <w:lvlText w:val="(%1)"/>
      <w:numFmt w:val="lowerLetter"/>
      <w:start w:val="1"/>
    </w:lvl>
  </w:abstractNum>
  <w:abstractNum w:abstractNumId="301">
    <w:nsid w:val="95FC93B"/>
    <w:multiLevelType w:val="hybridMultilevel"/>
    <w:lvl w:ilvl="0">
      <w:lvlJc w:val="left"/>
      <w:lvlText w:val="%1."/>
      <w:numFmt w:val="decimal"/>
      <w:start w:val="9"/>
    </w:lvl>
  </w:abstractNum>
  <w:abstractNum w:abstractNumId="302">
    <w:nsid w:val="41D74679"/>
    <w:multiLevelType w:val="hybridMultilevel"/>
    <w:lvl w:ilvl="0">
      <w:lvlJc w:val="left"/>
      <w:lvlText w:val="%1."/>
      <w:numFmt w:val="decimal"/>
      <w:start w:val="10"/>
    </w:lvl>
  </w:abstractNum>
  <w:abstractNum w:abstractNumId="303">
    <w:nsid w:val="71E5621E"/>
    <w:multiLevelType w:val="hybridMultilevel"/>
    <w:lvl w:ilvl="0">
      <w:lvlJc w:val="left"/>
      <w:lvlText w:val="%1."/>
      <w:numFmt w:val="decimal"/>
      <w:start w:val="11"/>
    </w:lvl>
  </w:abstractNum>
  <w:abstractNum w:abstractNumId="304">
    <w:nsid w:val="4E42B6A8"/>
    <w:multiLevelType w:val="hybridMultilevel"/>
    <w:lvl w:ilvl="0">
      <w:lvlJc w:val="left"/>
      <w:lvlText w:val="[***]"/>
      <w:numFmt w:val="bullet"/>
      <w:start w:val="1"/>
    </w:lvl>
  </w:abstractNum>
  <w:abstractNum w:abstractNumId="305">
    <w:nsid w:val="43F8E1AC"/>
    <w:multiLevelType w:val="hybridMultilevel"/>
    <w:lvl w:ilvl="0">
      <w:lvlJc w:val="left"/>
      <w:lvlText w:val="(%1)"/>
      <w:numFmt w:val="lowerLetter"/>
      <w:start w:val="3"/>
    </w:lvl>
  </w:abstractNum>
  <w:abstractNum w:abstractNumId="306">
    <w:nsid w:val="69215DFB"/>
    <w:multiLevelType w:val="hybridMultilevel"/>
    <w:lvl w:ilvl="0">
      <w:lvlJc w:val="left"/>
      <w:lvlText w:val="%1."/>
      <w:numFmt w:val="decimal"/>
      <w:start w:val="1"/>
    </w:lvl>
  </w:abstractNum>
  <w:abstractNum w:abstractNumId="307">
    <w:nsid w:val="7ABF196A"/>
    <w:multiLevelType w:val="hybridMultilevel"/>
    <w:lvl w:ilvl="0">
      <w:lvlJc w:val="left"/>
      <w:lvlText w:val="%1."/>
      <w:numFmt w:val="decimal"/>
      <w:start w:val="2"/>
    </w:lvl>
  </w:abstractNum>
  <w:abstractNum w:abstractNumId="308">
    <w:nsid w:val="5E4DB968"/>
    <w:multiLevelType w:val="hybridMultilevel"/>
    <w:lvl w:ilvl="0">
      <w:lvlJc w:val="left"/>
      <w:lvlText w:val="%1."/>
      <w:numFmt w:val="decimal"/>
      <w:start w:val="3"/>
    </w:lvl>
  </w:abstractNum>
  <w:abstractNum w:abstractNumId="309">
    <w:nsid w:val="2C06DCF3"/>
    <w:multiLevelType w:val="hybridMultilevel"/>
    <w:lvl w:ilvl="0">
      <w:lvlJc w:val="left"/>
      <w:lvlText w:val="%1."/>
      <w:numFmt w:val="decimal"/>
      <w:start w:val="4"/>
    </w:lvl>
  </w:abstractNum>
  <w:abstractNum w:abstractNumId="310">
    <w:nsid w:val="2E129658"/>
    <w:multiLevelType w:val="hybridMultilevel"/>
    <w:lvl w:ilvl="0">
      <w:lvlJc w:val="left"/>
      <w:lvlText w:val="%1."/>
      <w:numFmt w:val="decimal"/>
      <w:start w:val="5"/>
    </w:lvl>
  </w:abstractNum>
  <w:abstractNum w:abstractNumId="311">
    <w:nsid w:val="59F0446"/>
    <w:multiLevelType w:val="hybridMultilevel"/>
    <w:lvl w:ilvl="0">
      <w:lvlJc w:val="left"/>
      <w:lvlText w:val="%1."/>
      <w:numFmt w:val="lowerRoman"/>
      <w:start w:val="1"/>
    </w:lvl>
  </w:abstractNum>
  <w:abstractNum w:abstractNumId="312">
    <w:nsid w:val="30DF306"/>
    <w:multiLevelType w:val="hybridMultilevel"/>
    <w:lvl w:ilvl="0">
      <w:lvlJc w:val="left"/>
      <w:lvlText w:val="1"/>
      <w:numFmt w:val="bullet"/>
      <w:start w:val="1"/>
    </w:lvl>
    <w:lvl w:ilvl="1">
      <w:lvlJc w:val="left"/>
      <w:lvlText w:val="***"/>
      <w:numFmt w:val="bullet"/>
      <w:start w:val="1"/>
    </w:lvl>
  </w:abstractNum>
  <w:abstractNum w:abstractNumId="313">
    <w:nsid w:val="A65647"/>
    <w:multiLevelType w:val="hybridMultilevel"/>
    <w:lvl w:ilvl="0">
      <w:lvlJc w:val="left"/>
      <w:lvlText w:val="%1."/>
      <w:numFmt w:val="decimal"/>
      <w:start w:val="6"/>
    </w:lvl>
  </w:abstractNum>
  <w:abstractNum w:abstractNumId="314">
    <w:nsid w:val="3E5E582B"/>
    <w:multiLevelType w:val="hybridMultilevel"/>
    <w:lvl w:ilvl="0">
      <w:lvlJc w:val="left"/>
      <w:lvlText w:val="(%1)"/>
      <w:numFmt w:val="lowerLetter"/>
      <w:start w:val="1"/>
    </w:lvl>
  </w:abstractNum>
  <w:abstractNum w:abstractNumId="315">
    <w:nsid w:val="257D4626"/>
    <w:multiLevelType w:val="hybridMultilevel"/>
    <w:lvl w:ilvl="0">
      <w:lvlJc w:val="left"/>
      <w:lvlText w:val="(%1)"/>
      <w:numFmt w:val="lowerLetter"/>
      <w:start w:val="1"/>
    </w:lvl>
  </w:abstractNum>
  <w:abstractNum w:abstractNumId="316">
    <w:nsid w:val="5AA8580E"/>
    <w:multiLevelType w:val="hybridMultilevel"/>
    <w:lvl w:ilvl="0">
      <w:lvlJc w:val="left"/>
      <w:lvlText w:val="(%1)"/>
      <w:numFmt w:val="lowerLetter"/>
      <w:start w:val="2"/>
    </w:lvl>
    <w:lvl w:ilvl="1">
      <w:lvlJc w:val="left"/>
      <w:lvlText w:val="%2."/>
      <w:numFmt w:val="lowerRoman"/>
      <w:start w:val="1"/>
    </w:lvl>
  </w:abstractNum>
  <w:abstractNum w:abstractNumId="317">
    <w:nsid w:val="68FA8D0D"/>
    <w:multiLevelType w:val="hybridMultilevel"/>
    <w:lvl w:ilvl="0">
      <w:lvlJc w:val="left"/>
      <w:lvlText w:val="%1."/>
      <w:numFmt w:val="decimal"/>
      <w:start w:val="7"/>
    </w:lvl>
  </w:abstractNum>
  <w:abstractNum w:abstractNumId="318">
    <w:nsid w:val="40F2CBD2"/>
    <w:multiLevelType w:val="hybridMultilevel"/>
    <w:lvl w:ilvl="0">
      <w:lvlJc w:val="left"/>
      <w:lvlText w:val="%1."/>
      <w:numFmt w:val="decimal"/>
      <w:start w:val="8"/>
    </w:lvl>
  </w:abstractNum>
  <w:abstractNum w:abstractNumId="319">
    <w:nsid w:val="3BD615EB"/>
    <w:multiLevelType w:val="hybridMultilevel"/>
    <w:lvl w:ilvl="0">
      <w:lvlJc w:val="left"/>
      <w:lvlText w:val="%1."/>
      <w:numFmt w:val="lowerRoman"/>
      <w:start w:val="1"/>
    </w:lvl>
  </w:abstractNum>
  <w:abstractNum w:abstractNumId="320">
    <w:nsid w:val="A045AB2"/>
    <w:multiLevelType w:val="hybridMultilevel"/>
    <w:lvl w:ilvl="0">
      <w:lvlJc w:val="left"/>
      <w:lvlText w:val="%1."/>
      <w:numFmt w:val="lowerRoman"/>
      <w:start w:val="1"/>
    </w:lvl>
  </w:abstractNum>
  <w:abstractNum w:abstractNumId="321">
    <w:nsid w:val="1872261F"/>
    <w:multiLevelType w:val="hybridMultilevel"/>
    <w:lvl w:ilvl="0">
      <w:lvlJc w:val="left"/>
      <w:lvlText w:val="%1."/>
      <w:numFmt w:val="decimal"/>
      <w:start w:val="9"/>
    </w:lvl>
  </w:abstractNum>
  <w:abstractNum w:abstractNumId="322">
    <w:nsid w:val="3DE8306C"/>
    <w:multiLevelType w:val="hybridMultilevel"/>
    <w:lvl w:ilvl="0">
      <w:lvlJc w:val="left"/>
      <w:lvlText w:val="%1."/>
      <w:numFmt w:val="decimal"/>
      <w:start w:val="10"/>
    </w:lvl>
  </w:abstractNum>
  <w:abstractNum w:abstractNumId="323">
    <w:nsid w:val="7631573A"/>
    <w:multiLevelType w:val="hybridMultilevel"/>
    <w:lvl w:ilvl="0">
      <w:lvlJc w:val="left"/>
      <w:lvlText w:val="%1."/>
      <w:numFmt w:val="decimal"/>
      <w:start w:val="11"/>
    </w:lvl>
  </w:abstractNum>
  <w:abstractNum w:abstractNumId="324">
    <w:nsid w:val="58DF53B"/>
    <w:multiLevelType w:val="hybridMultilevel"/>
    <w:lvl w:ilvl="0">
      <w:lvlJc w:val="left"/>
      <w:lvlText w:val="%1."/>
      <w:numFmt w:val="lowerRoman"/>
      <w:start w:val="1"/>
    </w:lvl>
  </w:abstractNum>
  <w:abstractNum w:abstractNumId="325">
    <w:nsid w:val="ACDFAC0"/>
    <w:multiLevelType w:val="hybridMultilevel"/>
    <w:lvl w:ilvl="0">
      <w:lvlJc w:val="left"/>
      <w:lvlText w:val="%1."/>
      <w:numFmt w:val="lowerRoman"/>
      <w:start w:val="1"/>
    </w:lvl>
  </w:abstractNum>
  <w:abstractNum w:abstractNumId="326">
    <w:nsid w:val="1F578454"/>
    <w:multiLevelType w:val="hybridMultilevel"/>
    <w:lvl w:ilvl="0">
      <w:lvlJc w:val="left"/>
      <w:lvlText w:val="%1."/>
      <w:numFmt w:val="decimal"/>
      <w:start w:val="12"/>
    </w:lvl>
  </w:abstractNum>
  <w:abstractNum w:abstractNumId="327">
    <w:nsid w:val="5B0DAD2A"/>
    <w:multiLevelType w:val="hybridMultilevel"/>
    <w:lvl w:ilvl="0">
      <w:lvlJc w:val="left"/>
      <w:lvlText w:val="%1."/>
      <w:numFmt w:val="lowerRoman"/>
      <w:start w:val="1"/>
    </w:lvl>
  </w:abstractNum>
  <w:abstractNum w:abstractNumId="328">
    <w:nsid w:val="4E3D26AB"/>
    <w:multiLevelType w:val="hybridMultilevel"/>
    <w:lvl w:ilvl="0">
      <w:lvlJc w:val="left"/>
      <w:lvlText w:val="%1."/>
      <w:numFmt w:val="decimal"/>
      <w:start w:val="13"/>
    </w:lvl>
  </w:abstractNum>
  <w:abstractNum w:abstractNumId="329">
    <w:nsid w:val="BE2C8BA"/>
    <w:multiLevelType w:val="hybridMultilevel"/>
    <w:lvl w:ilvl="0">
      <w:lvlJc w:val="left"/>
      <w:lvlText w:val="%1."/>
      <w:numFmt w:val="decimal"/>
      <w:start w:val="15"/>
    </w:lvl>
  </w:abstractNum>
  <w:abstractNum w:abstractNumId="330">
    <w:nsid w:val="7B14914E"/>
    <w:multiLevelType w:val="hybridMultilevel"/>
    <w:lvl w:ilvl="0">
      <w:lvlJc w:val="left"/>
      <w:lvlText w:val="%1."/>
      <w:numFmt w:val="decimal"/>
      <w:start w:val="16"/>
    </w:lvl>
  </w:abstractNum>
  <w:abstractNum w:abstractNumId="331">
    <w:nsid w:val="6F0939F8"/>
    <w:multiLevelType w:val="hybridMultilevel"/>
    <w:lvl w:ilvl="0">
      <w:lvlJc w:val="left"/>
      <w:lvlText w:val="%1."/>
      <w:numFmt w:val="decimal"/>
      <w:start w:val="1"/>
    </w:lvl>
  </w:abstractNum>
  <w:abstractNum w:abstractNumId="332">
    <w:nsid w:val="154291F6"/>
    <w:multiLevelType w:val="hybridMultilevel"/>
    <w:lvl w:ilvl="0">
      <w:lvlJc w:val="left"/>
      <w:lvlText w:val="(%1)"/>
      <w:numFmt w:val="decimal"/>
      <w:start w:val="1"/>
    </w:lvl>
  </w:abstractNum>
  <w:abstractNum w:abstractNumId="333">
    <w:nsid w:val="3CEBD7C7"/>
    <w:multiLevelType w:val="hybridMultilevel"/>
    <w:lvl w:ilvl="0">
      <w:lvlJc w:val="left"/>
      <w:lvlText w:val="%1."/>
      <w:numFmt w:val="decimal"/>
      <w:start w:val="2"/>
    </w:lvl>
  </w:abstractNum>
  <w:abstractNum w:abstractNumId="334">
    <w:nsid w:val="60EE9C16"/>
    <w:multiLevelType w:val="hybridMultilevel"/>
    <w:lvl w:ilvl="0">
      <w:lvlJc w:val="left"/>
      <w:lvlText w:val="%1."/>
      <w:numFmt w:val="decimal"/>
      <w:start w:val="3"/>
    </w:lvl>
  </w:abstractNum>
  <w:abstractNum w:abstractNumId="335">
    <w:nsid w:val="6385489E"/>
    <w:multiLevelType w:val="hybridMultilevel"/>
    <w:lvl w:ilvl="0">
      <w:lvlJc w:val="left"/>
      <w:lvlText w:val="%1."/>
      <w:numFmt w:val="decimal"/>
      <w:start w:val="4"/>
    </w:lvl>
  </w:abstractNum>
  <w:abstractNum w:abstractNumId="336">
    <w:nsid w:val="E4B973"/>
    <w:multiLevelType w:val="hybridMultilevel"/>
    <w:lvl w:ilvl="0">
      <w:lvlJc w:val="left"/>
      <w:lvlText w:val="(%1)"/>
      <w:numFmt w:val="lowerRoman"/>
      <w:start w:val="1"/>
    </w:lvl>
  </w:abstractNum>
  <w:abstractNum w:abstractNumId="337">
    <w:nsid w:val="4A0FFA11"/>
    <w:multiLevelType w:val="hybridMultilevel"/>
    <w:lvl w:ilvl="0">
      <w:lvlJc w:val="left"/>
      <w:lvlText w:val="(%1)"/>
      <w:numFmt w:val="lowerRoman"/>
      <w:start w:val="2"/>
    </w:lvl>
  </w:abstractNum>
  <w:abstractNum w:abstractNumId="338">
    <w:nsid w:val="5E446208"/>
    <w:multiLevelType w:val="hybridMultilevel"/>
    <w:lvl w:ilvl="0">
      <w:lvlJc w:val="left"/>
      <w:lvlText w:val="(%1)"/>
      <w:numFmt w:val="lowerLetter"/>
      <w:start w:val="1"/>
    </w:lvl>
    <w:lvl w:ilvl="1">
      <w:lvlJc w:val="left"/>
      <w:lvlText w:val="***"/>
      <w:numFmt w:val="bullet"/>
      <w:start w:val="1"/>
    </w:lvl>
  </w:abstractNum>
  <w:abstractNum w:abstractNumId="339">
    <w:nsid w:val="5F3272DB"/>
    <w:multiLevelType w:val="hybridMultilevel"/>
    <w:lvl w:ilvl="0">
      <w:lvlJc w:val="left"/>
      <w:lvlText w:val="(%1)"/>
      <w:numFmt w:val="lowerLetter"/>
      <w:start w:val="3"/>
    </w:lvl>
  </w:abstractNum>
  <w:abstractNum w:abstractNumId="340">
    <w:nsid w:val="7616D704"/>
    <w:multiLevelType w:val="hybridMultilevel"/>
    <w:lvl w:ilvl="0">
      <w:lvlJc w:val="left"/>
      <w:lvlText w:val="%1."/>
      <w:numFmt w:val="decimal"/>
      <w:start w:val="5"/>
    </w:lvl>
  </w:abstractNum>
  <w:abstractNum w:abstractNumId="341">
    <w:nsid w:val="C56F860"/>
    <w:multiLevelType w:val="hybridMultilevel"/>
    <w:lvl w:ilvl="0">
      <w:lvlJc w:val="left"/>
      <w:lvlText w:val="%1."/>
      <w:numFmt w:val="decimal"/>
      <w:start w:val="6"/>
    </w:lvl>
  </w:abstractNum>
  <w:abstractNum w:abstractNumId="342">
    <w:nsid w:val="64D17722"/>
    <w:multiLevelType w:val="hybridMultilevel"/>
    <w:lvl w:ilvl="0">
      <w:lvlJc w:val="left"/>
      <w:lvlText w:val="%1."/>
      <w:numFmt w:val="decimal"/>
      <w:start w:val="7"/>
    </w:lvl>
  </w:abstractNum>
  <w:abstractNum w:abstractNumId="343">
    <w:nsid w:val="7924CA0A"/>
    <w:multiLevelType w:val="hybridMultilevel"/>
    <w:lvl w:ilvl="0">
      <w:lvlJc w:val="left"/>
      <w:lvlText w:val="(%1)"/>
      <w:numFmt w:val="lowerLetter"/>
      <w:start w:val="1"/>
    </w:lvl>
  </w:abstractNum>
  <w:abstractNum w:abstractNumId="344">
    <w:nsid w:val="CFD4EA7"/>
    <w:multiLevelType w:val="hybridMultilevel"/>
    <w:lvl w:ilvl="0">
      <w:lvlJc w:val="left"/>
      <w:lvlText w:val="%1."/>
      <w:numFmt w:val="decimal"/>
      <w:start w:val="8"/>
    </w:lvl>
  </w:abstractNum>
  <w:abstractNum w:abstractNumId="345">
    <w:nsid w:val="232FCF4D"/>
    <w:multiLevelType w:val="hybridMultilevel"/>
    <w:lvl w:ilvl="0">
      <w:lvlJc w:val="left"/>
      <w:lvlText w:val="(%1)"/>
      <w:numFmt w:val="lowerLetter"/>
      <w:start w:val="1"/>
    </w:lvl>
    <w:lvl w:ilvl="1">
      <w:lvlJc w:val="left"/>
      <w:lvlText w:val="***"/>
      <w:numFmt w:val="bullet"/>
      <w:start w:val="1"/>
    </w:lvl>
  </w:abstractNum>
  <w:abstractNum w:abstractNumId="346">
    <w:nsid w:val="1EA21031"/>
    <w:multiLevelType w:val="hybridMultilevel"/>
    <w:lvl w:ilvl="0">
      <w:lvlJc w:val="left"/>
      <w:lvlText w:val="%1."/>
      <w:numFmt w:val="decimal"/>
      <w:start w:val="9"/>
    </w:lvl>
  </w:abstractNum>
  <w:abstractNum w:abstractNumId="347">
    <w:nsid w:val="67A5A6B5"/>
    <w:multiLevelType w:val="hybridMultilevel"/>
    <w:lvl w:ilvl="0">
      <w:lvlJc w:val="left"/>
      <w:lvlText w:val="1"/>
      <w:numFmt w:val="bullet"/>
      <w:start w:val="1"/>
    </w:lvl>
  </w:abstractNum>
  <w:abstractNum w:abstractNumId="348">
    <w:nsid w:val="C2A5C5B"/>
    <w:multiLevelType w:val="hybridMultilevel"/>
    <w:lvl w:ilvl="0">
      <w:lvlJc w:val="left"/>
      <w:lvlText w:val="%1."/>
      <w:numFmt w:val="decimal"/>
      <w:start w:val="10"/>
    </w:lvl>
  </w:abstractNum>
  <w:abstractNum w:abstractNumId="349">
    <w:nsid w:val="5F94DC03"/>
    <w:multiLevelType w:val="hybridMultilevel"/>
    <w:lvl w:ilvl="0">
      <w:lvlJc w:val="left"/>
      <w:lvlText w:val="%1."/>
      <w:numFmt w:val="decimal"/>
      <w:start w:val="11"/>
    </w:lvl>
  </w:abstractNum>
  <w:abstractNum w:abstractNumId="350">
    <w:nsid w:val="237BBCA0"/>
    <w:multiLevelType w:val="hybridMultilevel"/>
    <w:lvl w:ilvl="0">
      <w:lvlJc w:val="left"/>
      <w:lvlText w:val="[%1]"/>
      <w:numFmt w:val="upperLetter"/>
      <w:start w:val="24"/>
    </w:lvl>
    <w:lvl w:ilvl="1">
      <w:lvlJc w:val="left"/>
      <w:lvlText w:val="%2."/>
      <w:numFmt w:val="decimal"/>
      <w:start w:val="1"/>
    </w:lvl>
    <w:lvl w:ilvl="2">
      <w:lvlJc w:val="left"/>
      <w:lvlText w:val="(%3)"/>
      <w:numFmt w:val="lowerLetter"/>
      <w:start w:val="1"/>
    </w:lvl>
  </w:abstractNum>
  <w:abstractNum w:abstractNumId="351">
    <w:nsid w:val="162EB70D"/>
    <w:multiLevelType w:val="hybridMultilevel"/>
    <w:lvl w:ilvl="0">
      <w:lvlJc w:val="left"/>
      <w:lvlText w:val="(%1)"/>
      <w:numFmt w:val="lowerLetter"/>
      <w:start w:val="2"/>
    </w:lvl>
  </w:abstractNum>
  <w:abstractNum w:abstractNumId="352">
    <w:nsid w:val="78070222"/>
    <w:multiLevelType w:val="hybridMultilevel"/>
    <w:lvl w:ilvl="0">
      <w:lvlJc w:val="left"/>
      <w:lvlText w:val="(%1)"/>
      <w:numFmt w:val="lowerLetter"/>
      <w:start w:val="3"/>
    </w:lvl>
  </w:abstractNum>
  <w:abstractNum w:abstractNumId="353">
    <w:nsid w:val="6163ED0D"/>
    <w:multiLevelType w:val="hybridMultilevel"/>
    <w:lvl w:ilvl="0">
      <w:lvlJc w:val="left"/>
      <w:lvlText w:val="%1."/>
      <w:numFmt w:val="decimal"/>
      <w:start w:val="3"/>
    </w:lvl>
    <w:lvl w:ilvl="1">
      <w:lvlJc w:val="left"/>
      <w:lvlText w:val="(%2)"/>
      <w:numFmt w:val="lowerLetter"/>
      <w:start w:val="1"/>
    </w:lvl>
  </w:abstractNum>
  <w:abstractNum w:abstractNumId="354">
    <w:nsid w:val="C600E47"/>
    <w:multiLevelType w:val="hybridMultilevel"/>
    <w:lvl w:ilvl="0">
      <w:lvlJc w:val="left"/>
      <w:lvlText w:val="(%1)"/>
      <w:numFmt w:val="lowerLetter"/>
      <w:start w:val="1"/>
    </w:lvl>
  </w:abstractNum>
  <w:abstractNum w:abstractNumId="355">
    <w:nsid w:val="7D94F75D"/>
    <w:multiLevelType w:val="hybridMultilevel"/>
    <w:lvl w:ilvl="0">
      <w:lvlJc w:val="left"/>
      <w:lvlText w:val="(%1)"/>
      <w:numFmt w:val="lowerLetter"/>
      <w:start w:val="14"/>
    </w:lvl>
  </w:abstractNum>
  <w:abstractNum w:abstractNumId="356">
    <w:nsid w:val="6C31E7CD"/>
    <w:multiLevelType w:val="hybridMultilevel"/>
    <w:lvl w:ilvl="0">
      <w:lvlJc w:val="left"/>
      <w:lvlText w:val="(%1)"/>
      <w:numFmt w:val="lowerLetter"/>
      <w:start w:val="2"/>
    </w:lvl>
  </w:abstractNum>
  <w:abstractNum w:abstractNumId="357">
    <w:nsid w:val="2BB7929B"/>
    <w:multiLevelType w:val="hybridMultilevel"/>
    <w:lvl w:ilvl="0">
      <w:lvlJc w:val="left"/>
      <w:lvlText w:val="%1."/>
      <w:numFmt w:val="decimal"/>
      <w:start w:val="6"/>
    </w:lvl>
  </w:abstractNum>
  <w:abstractNum w:abstractNumId="358">
    <w:nsid w:val="58A2A487"/>
    <w:multiLevelType w:val="hybridMultilevel"/>
    <w:lvl w:ilvl="0">
      <w:lvlJc w:val="left"/>
      <w:lvlText w:val="%1."/>
      <w:numFmt w:val="decimal"/>
      <w:start w:val="7"/>
    </w:lvl>
    <w:lvl w:ilvl="1">
      <w:lvlJc w:val="left"/>
      <w:lvlText w:val="(%2)"/>
      <w:numFmt w:val="lowerLetter"/>
      <w:start w:val="1"/>
    </w:lvl>
  </w:abstractNum>
  <w:abstractNum w:abstractNumId="359">
    <w:nsid w:val="3A6F0E7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360">
    <w:nsid w:val="379A5B56"/>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361">
    <w:nsid w:val="53B735D5"/>
    <w:multiLevelType w:val="hybridMultilevel"/>
    <w:lvl w:ilvl="0">
      <w:lvlJc w:val="left"/>
      <w:lvlText w:val="(%1)"/>
      <w:numFmt w:val="upperLetter"/>
      <w:start w:val="2"/>
    </w:lvl>
    <w:lvl w:ilvl="1">
      <w:lvlJc w:val="left"/>
      <w:lvlText w:val="%2."/>
      <w:numFmt w:val="decimal"/>
      <w:start w:val="9"/>
    </w:lvl>
    <w:lvl w:ilvl="2">
      <w:lvlJc w:val="left"/>
      <w:lvlText w:val="%3"/>
      <w:numFmt w:val="lowerLetter"/>
      <w:start w:val="1"/>
    </w:lvl>
  </w:abstractNum>
  <w:abstractNum w:abstractNumId="362">
    <w:nsid w:val="29784870"/>
    <w:multiLevelType w:val="hybridMultilevel"/>
    <w:lvl w:ilvl="0">
      <w:lvlJc w:val="left"/>
      <w:lvlText w:val="%1"/>
      <w:numFmt w:val="lowerRoman"/>
      <w:start w:val="1"/>
    </w:lvl>
    <w:lvl w:ilvl="1">
      <w:lvlJc w:val="left"/>
      <w:lvlText w:val="%2."/>
      <w:numFmt w:val="decimal"/>
      <w:start w:val="10"/>
    </w:lvl>
    <w:lvl w:ilvl="2">
      <w:lvlJc w:val="left"/>
      <w:lvlText w:val="(%3)"/>
      <w:numFmt w:val="lowerLetter"/>
      <w:start w:val="1"/>
    </w:lvl>
  </w:abstractNum>
  <w:abstractNum w:abstractNumId="363">
    <w:nsid w:val="4CDCED4C"/>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1"/>
    </w:lvl>
  </w:abstractNum>
  <w:abstractNum w:abstractNumId="364">
    <w:nsid w:val="10A30D9C"/>
    <w:multiLevelType w:val="hybridMultilevel"/>
    <w:lvl w:ilvl="0">
      <w:lvlJc w:val="left"/>
      <w:lvlText w:val="(%1)"/>
      <w:numFmt w:val="lowerRoman"/>
      <w:start w:val="5"/>
    </w:lvl>
    <w:lvl w:ilvl="1">
      <w:lvlJc w:val="left"/>
      <w:lvlText w:val="%2"/>
      <w:numFmt w:val="decimal"/>
      <w:start w:val="1"/>
    </w:lvl>
    <w:lvl w:ilvl="2">
      <w:lvlJc w:val="left"/>
      <w:lvlText w:val="%3"/>
      <w:numFmt w:val="lowerLetter"/>
      <w:start w:val="1"/>
    </w:lvl>
  </w:abstractNum>
  <w:abstractNum w:abstractNumId="365">
    <w:nsid w:val="A66E486"/>
    <w:multiLevelType w:val="hybridMultilevel"/>
    <w:lvl w:ilvl="0">
      <w:lvlJc w:val="left"/>
      <w:lvlText w:val="(%1)"/>
      <w:numFmt w:val="lowerRoman"/>
      <w:start w:val="8"/>
    </w:lvl>
    <w:lvl w:ilvl="1">
      <w:lvlJc w:val="left"/>
      <w:lvlText w:val="%2."/>
      <w:numFmt w:val="decimal"/>
      <w:start w:val="11"/>
    </w:lvl>
  </w:abstractNum>
  <w:abstractNum w:abstractNumId="366">
    <w:nsid w:val="306235EA"/>
    <w:multiLevelType w:val="hybridMultilevel"/>
    <w:lvl w:ilvl="0">
      <w:lvlJc w:val="left"/>
      <w:lvlText w:val="%1."/>
      <w:numFmt w:val="decimal"/>
      <w:start w:val="12"/>
    </w:lvl>
  </w:abstractNum>
  <w:abstractNum w:abstractNumId="367">
    <w:nsid w:val="1187C70F"/>
    <w:multiLevelType w:val="hybridMultilevel"/>
    <w:lvl w:ilvl="0">
      <w:lvlJc w:val="left"/>
      <w:lvlText w:val="%1."/>
      <w:numFmt w:val="decimal"/>
      <w:start w:val="13"/>
    </w:lvl>
  </w:abstractNum>
  <w:abstractNum w:abstractNumId="368">
    <w:nsid w:val="5476DE98"/>
    <w:multiLevelType w:val="hybridMultilevel"/>
    <w:lvl w:ilvl="0">
      <w:lvlJc w:val="left"/>
      <w:lvlText w:val="%1."/>
      <w:numFmt w:val="decimal"/>
      <w:start w:val="16"/>
    </w:lvl>
  </w:abstractNum>
  <w:abstractNum w:abstractNumId="369">
    <w:nsid w:val="EA697F2"/>
    <w:multiLevelType w:val="hybridMultilevel"/>
    <w:lvl w:ilvl="0">
      <w:lvlJc w:val="left"/>
      <w:lvlText w:val="%1."/>
      <w:numFmt w:val="decimal"/>
      <w:start w:val="18"/>
    </w:lvl>
  </w:abstractNum>
  <w:abstractNum w:abstractNumId="370">
    <w:nsid w:val="70BA39EB"/>
    <w:multiLevelType w:val="hybridMultilevel"/>
    <w:lvl w:ilvl="0">
      <w:lvlJc w:val="left"/>
      <w:lvlText w:val="%1."/>
      <w:numFmt w:val="decimal"/>
      <w:start w:val="19"/>
    </w:lvl>
    <w:lvl w:ilvl="1">
      <w:lvlJc w:val="left"/>
      <w:lvlText w:val="(%2)"/>
      <w:numFmt w:val="lowerLetter"/>
      <w:start w:val="1"/>
    </w:lvl>
  </w:abstractNum>
  <w:abstractNum w:abstractNumId="371">
    <w:nsid w:val="4A8DB59C"/>
    <w:multiLevelType w:val="hybridMultilevel"/>
    <w:lvl w:ilvl="0">
      <w:lvlJc w:val="left"/>
      <w:lvlText w:val="(%1)"/>
      <w:numFmt w:val="lowerLetter"/>
      <w:start w:val="4"/>
    </w:lvl>
  </w:abstractNum>
  <w:abstractNum w:abstractNumId="372">
    <w:nsid w:val="1AFD9053"/>
    <w:multiLevelType w:val="hybridMultilevel"/>
    <w:lvl w:ilvl="0">
      <w:lvlJc w:val="left"/>
      <w:lvlText w:val="%1."/>
      <w:numFmt w:val="decimal"/>
      <w:start w:val="21"/>
    </w:lvl>
    <w:lvl w:ilvl="1">
      <w:lvlJc w:val="left"/>
      <w:lvlText w:val="(%2)"/>
      <w:numFmt w:val="lowerLetter"/>
      <w:start w:val="1"/>
    </w:lvl>
  </w:abstractNum>
  <w:abstractNum w:abstractNumId="373">
    <w:nsid w:val="558BB10D"/>
    <w:multiLevelType w:val="hybridMultilevel"/>
    <w:lvl w:ilvl="0">
      <w:lvlJc w:val="left"/>
      <w:lvlText w:val="%1"/>
      <w:numFmt w:val="lowerRoman"/>
      <w:start w:val="1"/>
    </w:lvl>
    <w:lvl w:ilvl="1">
      <w:lvlJc w:val="left"/>
      <w:lvlText w:val="(%2)"/>
      <w:numFmt w:val="lowerLetter"/>
      <w:start w:val="3"/>
    </w:lvl>
  </w:abstractNum>
  <w:abstractNum w:abstractNumId="374">
    <w:nsid w:val="43B27FA7"/>
    <w:multiLevelType w:val="hybridMultilevel"/>
    <w:lvl w:ilvl="0">
      <w:lvlJc w:val="left"/>
      <w:lvlText w:val="(%1)"/>
      <w:numFmt w:val="lowerRoman"/>
      <w:start w:val="1"/>
    </w:lvl>
    <w:lvl w:ilvl="1">
      <w:lvlJc w:val="left"/>
      <w:lvlText w:val="%2"/>
      <w:numFmt w:val="lowerLetter"/>
      <w:start w:val="1"/>
    </w:lvl>
  </w:abstractNum>
  <w:abstractNum w:abstractNumId="375">
    <w:nsid w:val="27FADEFA"/>
    <w:multiLevelType w:val="hybridMultilevel"/>
    <w:lvl w:ilvl="0">
      <w:lvlJc w:val="left"/>
      <w:lvlText w:val="(%1)"/>
      <w:numFmt w:val="lowerRoman"/>
      <w:start w:val="5"/>
    </w:lvl>
    <w:lvl w:ilvl="1">
      <w:lvlJc w:val="left"/>
      <w:lvlText w:val="(%2)"/>
      <w:numFmt w:val="upperLetter"/>
      <w:start w:val="1"/>
    </w:lvl>
  </w:abstractNum>
  <w:abstractNum w:abstractNumId="376">
    <w:nsid w:val="78BB805A"/>
    <w:multiLevelType w:val="hybridMultilevel"/>
    <w:lvl w:ilvl="0">
      <w:lvlJc w:val="left"/>
      <w:lvlText w:val="(%1)"/>
      <w:numFmt w:val="lowerRoman"/>
      <w:start w:val="6"/>
    </w:lvl>
  </w:abstractNum>
  <w:abstractNum w:abstractNumId="377">
    <w:nsid w:val="62548FD8"/>
    <w:multiLevelType w:val="hybridMultilevel"/>
    <w:lvl w:ilvl="0">
      <w:lvlJc w:val="left"/>
      <w:lvlText w:val="%1"/>
      <w:numFmt w:val="decimal"/>
      <w:start w:val="1"/>
    </w:lvl>
    <w:lvl w:ilvl="1">
      <w:lvlJc w:val="left"/>
      <w:lvlText w:val="(%2)"/>
      <w:numFmt w:val="lowerRoman"/>
      <w:start w:val="11"/>
    </w:lvl>
    <w:lvl w:ilvl="2">
      <w:lvlJc w:val="left"/>
      <w:lvlText w:val="%3"/>
      <w:numFmt w:val="lowerLetter"/>
      <w:start w:val="1"/>
    </w:lvl>
  </w:abstractNum>
  <w:abstractNum w:abstractNumId="378">
    <w:nsid w:val="FA085B0"/>
    <w:multiLevelType w:val="hybridMultilevel"/>
    <w:lvl w:ilvl="0">
      <w:lvlJc w:val="left"/>
      <w:lvlText w:val="%1."/>
      <w:numFmt w:val="decimal"/>
      <w:start w:val="22"/>
    </w:lvl>
    <w:lvl w:ilvl="1">
      <w:lvlJc w:val="left"/>
      <w:lvlText w:val="%2"/>
      <w:numFmt w:val="lowerRoman"/>
      <w:start w:val="1"/>
    </w:lvl>
    <w:lvl w:ilvl="2">
      <w:lvlJc w:val="left"/>
      <w:lvlText w:val="(%3)"/>
      <w:numFmt w:val="lowerLetter"/>
      <w:start w:val="1"/>
    </w:lvl>
  </w:abstractNum>
  <w:abstractNum w:abstractNumId="379">
    <w:nsid w:val="4E5DCB5"/>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
    </w:lvl>
  </w:abstractNum>
  <w:abstractNum w:abstractNumId="380">
    <w:nsid w:val="41E96BDB"/>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381">
    <w:nsid w:val="331C4250"/>
    <w:multiLevelType w:val="hybridMultilevel"/>
    <w:lvl w:ilvl="0">
      <w:lvlJc w:val="left"/>
      <w:lvlText w:val="(%1)"/>
      <w:numFmt w:val="upperLetter"/>
      <w:start w:val="3"/>
    </w:lvl>
    <w:lvl w:ilvl="1">
      <w:lvlJc w:val="left"/>
      <w:lvlText w:val="%2"/>
      <w:numFmt w:val="lowerRoman"/>
      <w:start w:val="1"/>
    </w:lvl>
    <w:lvl w:ilvl="2">
      <w:lvlJc w:val="left"/>
      <w:lvlText w:val="%3"/>
      <w:numFmt w:val="lowerLetter"/>
      <w:start w:val="1"/>
    </w:lvl>
  </w:abstractNum>
  <w:abstractNum w:abstractNumId="382">
    <w:nsid w:val="1B1493C2"/>
    <w:multiLevelType w:val="hybridMultilevel"/>
    <w:lvl w:ilvl="0">
      <w:lvlJc w:val="left"/>
      <w:lvlText w:val="(%1)"/>
      <w:numFmt w:val="lowerRoman"/>
      <w:start w:val="1"/>
    </w:lvl>
    <w:lvl w:ilvl="1">
      <w:lvlJc w:val="left"/>
      <w:lvlText w:val="(%2)"/>
      <w:numFmt w:val="lowerLetter"/>
      <w:start w:val="4"/>
    </w:lvl>
  </w:abstractNum>
  <w:abstractNum w:abstractNumId="383">
    <w:nsid w:val="39F06DFD"/>
    <w:multiLevelType w:val="hybridMultilevel"/>
    <w:lvl w:ilvl="0">
      <w:lvlJc w:val="left"/>
      <w:lvlText w:val="%1."/>
      <w:numFmt w:val="decimal"/>
      <w:start w:val="23"/>
    </w:lvl>
  </w:abstractNum>
  <w:abstractNum w:abstractNumId="384">
    <w:nsid w:val="14802F5D"/>
    <w:multiLevelType w:val="hybridMultilevel"/>
    <w:lvl w:ilvl="0">
      <w:lvlJc w:val="left"/>
      <w:lvlText w:val="%1."/>
      <w:numFmt w:val="decimal"/>
      <w:start w:val="29"/>
    </w:lvl>
    <w:lvl w:ilvl="1">
      <w:lvlJc w:val="left"/>
      <w:lvlText w:val="(%2)"/>
      <w:numFmt w:val="lowerLetter"/>
      <w:start w:val="1"/>
    </w:lvl>
  </w:abstractNum>
  <w:abstractNum w:abstractNumId="385">
    <w:nsid w:val="2774A209"/>
    <w:multiLevelType w:val="hybridMultilevel"/>
    <w:lvl w:ilvl="0">
      <w:lvlJc w:val="left"/>
      <w:lvlText w:val="(%1)"/>
      <w:numFmt w:val="lowerLetter"/>
      <w:start w:val="9"/>
    </w:lvl>
    <w:lvl w:ilvl="1">
      <w:lvlJc w:val="left"/>
      <w:lvlText w:val="(%2)"/>
      <w:numFmt w:val="lowerLetter"/>
      <w:start w:val="3"/>
    </w:lvl>
  </w:abstractNum>
  <w:abstractNum w:abstractNumId="386">
    <w:nsid w:val="3785655A"/>
    <w:multiLevelType w:val="hybridMultilevel"/>
    <w:lvl w:ilvl="0">
      <w:lvlJc w:val="left"/>
      <w:lvlText w:val="%1"/>
      <w:numFmt w:val="lowerRoman"/>
      <w:start w:val="1"/>
    </w:lvl>
    <w:lvl w:ilvl="1">
      <w:lvlJc w:val="left"/>
      <w:lvlText w:val="(%2)"/>
      <w:numFmt w:val="lowerLetter"/>
      <w:start w:val="5"/>
    </w:lvl>
  </w:abstractNum>
  <w:abstractNum w:abstractNumId="387">
    <w:nsid w:val="B2172A"/>
    <w:multiLevelType w:val="hybridMultilevel"/>
    <w:lvl w:ilvl="0">
      <w:lvlJc w:val="left"/>
      <w:lvlText w:val="(%1)"/>
      <w:numFmt w:val="lowerRoman"/>
      <w:start w:val="1"/>
    </w:lvl>
    <w:lvl w:ilvl="1">
      <w:lvlJc w:val="left"/>
      <w:lvlText w:val="%2"/>
      <w:numFmt w:val="lowerLetter"/>
      <w:start w:val="1"/>
    </w:lvl>
  </w:abstractNum>
  <w:abstractNum w:abstractNumId="388">
    <w:nsid w:val="532C34A5"/>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389">
    <w:nsid w:val="102809E2"/>
    <w:multiLevelType w:val="hybridMultilevel"/>
    <w:lvl w:ilvl="0">
      <w:lvlJc w:val="left"/>
      <w:lvlText w:val="%1."/>
      <w:numFmt w:val="decimal"/>
      <w:start w:val="31"/>
    </w:lvl>
    <w:lvl w:ilvl="1">
      <w:lvlJc w:val="left"/>
      <w:lvlText w:val="%2"/>
      <w:numFmt w:val="lowerRoman"/>
      <w:start w:val="1"/>
    </w:lvl>
    <w:lvl w:ilvl="2">
      <w:lvlJc w:val="left"/>
      <w:lvlText w:val="%3"/>
      <w:numFmt w:val="upperLetter"/>
      <w:start w:val="1"/>
    </w:lvl>
  </w:abstractNum>
  <w:abstractNum w:abstractNumId="390">
    <w:nsid w:val="3B2125A3"/>
    <w:multiLevelType w:val="hybridMultilevel"/>
    <w:lvl w:ilvl="0">
      <w:lvlJc w:val="left"/>
      <w:lvlText w:val="%1."/>
      <w:numFmt w:val="decimal"/>
      <w:start w:val="32"/>
    </w:lvl>
  </w:abstractNum>
  <w:abstractNum w:abstractNumId="391">
    <w:nsid w:val="AC68FFB"/>
    <w:multiLevelType w:val="hybridMultilevel"/>
    <w:lvl w:ilvl="0">
      <w:lvlJc w:val="left"/>
      <w:lvlText w:val="%1."/>
      <w:numFmt w:val="decimal"/>
      <w:start w:val="36"/>
    </w:lvl>
    <w:lvl w:ilvl="1">
      <w:lvlJc w:val="left"/>
      <w:lvlText w:val="(%2)"/>
      <w:numFmt w:val="lowerLetter"/>
      <w:start w:val="1"/>
    </w:lvl>
  </w:abstractNum>
  <w:abstractNum w:abstractNumId="392">
    <w:nsid w:val="63DF3FB7"/>
    <w:multiLevelType w:val="hybridMultilevel"/>
    <w:lvl w:ilvl="0">
      <w:lvlJc w:val="left"/>
      <w:lvlText w:val="%1"/>
      <w:numFmt w:val="lowerLetter"/>
      <w:start w:val="1"/>
    </w:lvl>
    <w:lvl w:ilvl="1">
      <w:lvlJc w:val="left"/>
      <w:lvlText w:val="(%2)"/>
      <w:numFmt w:val="lowerLetter"/>
      <w:start w:val="2"/>
    </w:lvl>
  </w:abstractNum>
  <w:abstractNum w:abstractNumId="393">
    <w:nsid w:val="64996E13"/>
    <w:multiLevelType w:val="hybridMultilevel"/>
    <w:lvl w:ilvl="0">
      <w:lvlJc w:val="left"/>
      <w:lvlText w:val="(%1)"/>
      <w:numFmt w:val="lowerLetter"/>
      <w:start w:val="35"/>
    </w:lvl>
    <w:lvl w:ilvl="1">
      <w:lvlJc w:val="left"/>
      <w:lvlText w:val="(%2)"/>
      <w:numFmt w:val="lowerLetter"/>
      <w:start w:val="4"/>
    </w:lvl>
  </w:abstractNum>
  <w:abstractNum w:abstractNumId="394">
    <w:nsid w:val="57A37D47"/>
    <w:multiLevelType w:val="hybridMultilevel"/>
    <w:lvl w:ilvl="0">
      <w:lvlJc w:val="left"/>
      <w:lvlText w:val="(%1)"/>
      <w:numFmt w:val="lowerLetter"/>
      <w:start w:val="11"/>
    </w:lvl>
  </w:abstractNum>
  <w:abstractNum w:abstractNumId="395">
    <w:nsid w:val="74824D54"/>
    <w:multiLevelType w:val="hybridMultilevel"/>
    <w:lvl w:ilvl="0">
      <w:lvlJc w:val="left"/>
      <w:lvlText w:val="%1."/>
      <w:numFmt w:val="decimal"/>
      <w:start w:val="1"/>
    </w:lvl>
  </w:abstractNum>
  <w:abstractNum w:abstractNumId="396">
    <w:nsid w:val="6F00529A"/>
    <w:multiLevelType w:val="hybridMultilevel"/>
    <w:lvl w:ilvl="0">
      <w:lvlJc w:val="left"/>
      <w:lvlText w:val="%1"/>
      <w:numFmt w:val="decimal"/>
      <w:start w:val="1"/>
    </w:lvl>
    <w:lvl w:ilvl="1">
      <w:lvlJc w:val="left"/>
      <w:lvlText w:val="(%2)"/>
      <w:numFmt w:val="lowerLetter"/>
      <w:start w:val="2"/>
    </w:lvl>
  </w:abstractNum>
  <w:abstractNum w:abstractNumId="397">
    <w:nsid w:val="805B331"/>
    <w:multiLevelType w:val="hybridMultilevel"/>
    <w:lvl w:ilvl="0">
      <w:lvlJc w:val="left"/>
      <w:lvlText w:val="%1."/>
      <w:numFmt w:val="decimal"/>
      <w:start w:val="2"/>
    </w:lvl>
    <w:lvl w:ilvl="1">
      <w:lvlJc w:val="left"/>
      <w:lvlText w:val="(%2)"/>
      <w:numFmt w:val="lowerLetter"/>
      <w:start w:val="1"/>
    </w:lvl>
  </w:abstractNum>
  <w:abstractNum w:abstractNumId="398">
    <w:nsid w:val="60A146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99">
    <w:nsid w:val="43773132"/>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400">
    <w:nsid w:val="16AC4B2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401">
    <w:nsid w:val="76C44E4E"/>
    <w:multiLevelType w:val="hybridMultilevel"/>
    <w:lvl w:ilvl="0">
      <w:lvlJc w:val="left"/>
      <w:lvlText w:val="(%1)"/>
      <w:numFmt w:val="lowerRoman"/>
      <w:start w:val="1"/>
    </w:lvl>
    <w:lvl w:ilvl="1">
      <w:lvlJc w:val="left"/>
      <w:lvlText w:val="%2"/>
      <w:numFmt w:val="lowerLetter"/>
      <w:start w:val="1"/>
    </w:lvl>
  </w:abstractNum>
  <w:abstractNum w:abstractNumId="402">
    <w:nsid w:val="E04E6CE"/>
    <w:multiLevelType w:val="hybridMultilevel"/>
    <w:lvl w:ilvl="0">
      <w:lvlJc w:val="left"/>
      <w:lvlText w:val="(%1)"/>
      <w:numFmt w:val="lowerRoman"/>
      <w:start w:val="4"/>
    </w:lvl>
    <w:lvl w:ilvl="1">
      <w:lvlJc w:val="left"/>
      <w:lvlText w:val="(%2)"/>
      <w:numFmt w:val="lowerLetter"/>
      <w:start w:val="4"/>
    </w:lvl>
  </w:abstractNum>
  <w:abstractNum w:abstractNumId="403">
    <w:nsid w:val="31A9DB76"/>
    <w:multiLevelType w:val="hybridMultilevel"/>
    <w:lvl w:ilvl="0">
      <w:lvlJc w:val="left"/>
      <w:lvlText w:val="%1"/>
      <w:numFmt w:val="lowerRoman"/>
      <w:start w:val="1"/>
    </w:lvl>
    <w:lvl w:ilvl="1">
      <w:lvlJc w:val="left"/>
      <w:lvlText w:val="(%2)"/>
      <w:numFmt w:val="lowerLetter"/>
      <w:start w:val="6"/>
    </w:lvl>
  </w:abstractNum>
  <w:abstractNum w:abstractNumId="404">
    <w:nsid w:val="4C4FFF5B"/>
    <w:multiLevelType w:val="hybridMultilevel"/>
    <w:lvl w:ilvl="0">
      <w:lvlJc w:val="left"/>
      <w:lvlText w:val="(%1)"/>
      <w:numFmt w:val="lowerRoman"/>
      <w:start w:val="1"/>
    </w:lvl>
    <w:lvl w:ilvl="1">
      <w:lvlJc w:val="left"/>
      <w:lvlText w:val="%2"/>
      <w:numFmt w:val="lowerLetter"/>
      <w:start w:val="1"/>
    </w:lvl>
  </w:abstractNum>
  <w:abstractNum w:abstractNumId="405">
    <w:nsid w:val="51B76675"/>
    <w:multiLevelType w:val="hybridMultilevel"/>
    <w:lvl w:ilvl="0">
      <w:lvlJc w:val="left"/>
      <w:lvlText w:val="(%1)"/>
      <w:numFmt w:val="lowerRoman"/>
      <w:start w:val="4"/>
    </w:lvl>
  </w:abstractNum>
  <w:abstractNum w:abstractNumId="406">
    <w:nsid w:val="59A4BA71"/>
    <w:multiLevelType w:val="hybridMultilevel"/>
    <w:lvl w:ilvl="0">
      <w:lvlJc w:val="left"/>
      <w:lvlText w:val="%1."/>
      <w:numFmt w:val="decimal"/>
      <w:start w:val="4"/>
    </w:lvl>
    <w:lvl w:ilvl="1">
      <w:lvlJc w:val="left"/>
      <w:lvlText w:val="(%2)"/>
      <w:numFmt w:val="lowerLetter"/>
      <w:start w:val="1"/>
    </w:lvl>
  </w:abstractNum>
  <w:abstractNum w:abstractNumId="407">
    <w:nsid w:val="450B7FB6"/>
    <w:multiLevelType w:val="hybridMultilevel"/>
    <w:lvl w:ilvl="0">
      <w:lvlJc w:val="left"/>
      <w:lvlText w:val="%1."/>
      <w:numFmt w:val="decimal"/>
      <w:start w:val="5"/>
    </w:lvl>
    <w:lvl w:ilvl="1">
      <w:lvlJc w:val="left"/>
      <w:lvlText w:val="(%2)"/>
      <w:numFmt w:val="lowerLetter"/>
      <w:start w:val="1"/>
    </w:lvl>
  </w:abstractNum>
  <w:abstractNum w:abstractNumId="408">
    <w:nsid w:val="340BF64D"/>
    <w:multiLevelType w:val="hybridMultilevel"/>
    <w:lvl w:ilvl="0">
      <w:lvlJc w:val="left"/>
      <w:lvlText w:val="(%1)"/>
      <w:numFmt w:val="lowerLetter"/>
      <w:start w:val="3"/>
    </w:lvl>
  </w:abstractNum>
  <w:abstractNum w:abstractNumId="409">
    <w:nsid w:val="69454021"/>
    <w:multiLevelType w:val="hybridMultilevel"/>
    <w:lvl w:ilvl="0">
      <w:lvlJc w:val="left"/>
      <w:lvlText w:val="%1."/>
      <w:numFmt w:val="decimal"/>
      <w:start w:val="6"/>
    </w:lvl>
    <w:lvl w:ilvl="1">
      <w:lvlJc w:val="left"/>
      <w:lvlText w:val="(%2)"/>
      <w:numFmt w:val="lowerLetter"/>
      <w:start w:val="1"/>
    </w:lvl>
  </w:abstractNum>
  <w:abstractNum w:abstractNumId="410">
    <w:nsid w:val="49F15C6B"/>
    <w:multiLevelType w:val="hybridMultilevel"/>
    <w:lvl w:ilvl="0">
      <w:lvlJc w:val="left"/>
      <w:lvlText w:val="%1."/>
      <w:numFmt w:val="decimal"/>
      <w:start w:val="1"/>
    </w:lvl>
  </w:abstractNum>
  <w:abstractNum w:abstractNumId="411">
    <w:nsid w:val="75F56228"/>
    <w:multiLevelType w:val="hybridMultilevel"/>
    <w:lvl w:ilvl="0">
      <w:lvlJc w:val="left"/>
      <w:lvlText w:val="%1."/>
      <w:numFmt w:val="decimal"/>
      <w:start w:val="13"/>
    </w:lvl>
  </w:abstractNum>
  <w:abstractNum w:abstractNumId="412">
    <w:nsid w:val="1C618271"/>
    <w:multiLevelType w:val="hybridMultilevel"/>
    <w:lvl w:ilvl="0">
      <w:lvlJc w:val="left"/>
      <w:lvlText w:val="%1."/>
      <w:numFmt w:val="decimal"/>
      <w:start w:val="1"/>
    </w:lvl>
  </w:abstractNum>
  <w:abstractNum w:abstractNumId="413">
    <w:nsid w:val="6505F02E"/>
    <w:multiLevelType w:val="hybridMultilevel"/>
    <w:lvl w:ilvl="0">
      <w:lvlJc w:val="left"/>
      <w:lvlText w:val="%1."/>
      <w:numFmt w:val="decimal"/>
      <w:start w:val="2"/>
    </w:lvl>
  </w:abstractNum>
  <w:abstractNum w:abstractNumId="414">
    <w:nsid w:val="2FE5D025"/>
    <w:multiLevelType w:val="hybridMultilevel"/>
    <w:lvl w:ilvl="0">
      <w:lvlJc w:val="left"/>
      <w:lvlText w:val="%1"/>
      <w:numFmt w:val="decimal"/>
      <w:start w:val="1"/>
    </w:lvl>
    <w:lvl w:ilvl="1">
      <w:lvlJc w:val="left"/>
      <w:lvlText w:val="(%2)"/>
      <w:numFmt w:val="lowerLetter"/>
      <w:start w:val="1"/>
    </w:lvl>
  </w:abstractNum>
  <w:abstractNum w:abstractNumId="415">
    <w:nsid w:val="30E1B1CF"/>
    <w:multiLevelType w:val="hybridMultilevel"/>
    <w:lvl w:ilvl="0">
      <w:lvlJc w:val="left"/>
      <w:lvlText w:val="(%1)"/>
      <w:numFmt w:val="decimal"/>
      <w:start w:val="10"/>
    </w:lvl>
    <w:lvl w:ilvl="1">
      <w:lvlJc w:val="left"/>
      <w:lvlText w:val="%2"/>
      <w:numFmt w:val="lowerLetter"/>
      <w:start w:val="1"/>
    </w:lvl>
  </w:abstractNum>
  <w:abstractNum w:abstractNumId="416">
    <w:nsid w:val="C7A9237"/>
    <w:multiLevelType w:val="hybridMultilevel"/>
    <w:lvl w:ilvl="0">
      <w:lvlJc w:val="left"/>
      <w:lvlText w:val="(%1)"/>
      <w:numFmt w:val="lowerLetter"/>
      <w:start w:val="5"/>
    </w:lvl>
  </w:abstractNum>
  <w:abstractNum w:abstractNumId="417">
    <w:nsid w:val="676B3580"/>
    <w:multiLevelType w:val="hybridMultilevel"/>
    <w:lvl w:ilvl="0">
      <w:lvlJc w:val="left"/>
      <w:lvlText w:val="(%1)"/>
      <w:numFmt w:val="lowerLetter"/>
      <w:start w:val="1"/>
    </w:lvl>
  </w:abstractNum>
  <w:abstractNum w:abstractNumId="418">
    <w:nsid w:val="3193C8F9"/>
    <w:multiLevelType w:val="hybridMultilevel"/>
    <w:lvl w:ilvl="0">
      <w:lvlJc w:val="left"/>
      <w:lvlText w:val="(%1)"/>
      <w:numFmt w:val="lowerLetter"/>
      <w:start w:val="1"/>
    </w:lvl>
  </w:abstractNum>
  <w:abstractNum w:abstractNumId="419">
    <w:nsid w:val="5FA6C6DC"/>
    <w:multiLevelType w:val="hybridMultilevel"/>
    <w:lvl w:ilvl="0">
      <w:lvlJc w:val="left"/>
      <w:lvlText w:val="(%1)"/>
      <w:numFmt w:val="lowerLetter"/>
      <w:start w:val="1"/>
    </w:lvl>
  </w:abstractNum>
  <w:abstractNum w:abstractNumId="420">
    <w:nsid w:val="77933F62"/>
    <w:multiLevelType w:val="hybridMultilevel"/>
    <w:lvl w:ilvl="0">
      <w:lvlJc w:val="left"/>
      <w:lvlText w:val="%1."/>
      <w:numFmt w:val="decimal"/>
      <w:start w:val="3"/>
    </w:lvl>
  </w:abstractNum>
  <w:abstractNum w:abstractNumId="421">
    <w:nsid w:val="6CB4EE9C"/>
    <w:multiLevelType w:val="hybridMultilevel"/>
    <w:lvl w:ilvl="0">
      <w:lvlJc w:val="left"/>
      <w:lvlText w:val="(%1)"/>
      <w:numFmt w:val="lowerLetter"/>
      <w:start w:val="1"/>
    </w:lvl>
  </w:abstractNum>
  <w:abstractNum w:abstractNumId="422">
    <w:nsid w:val="6A6D56D7"/>
    <w:multiLevelType w:val="hybridMultilevel"/>
    <w:lvl w:ilvl="0">
      <w:lvlJc w:val="left"/>
      <w:lvlText w:val="(%1)"/>
      <w:numFmt w:val="lowerLetter"/>
      <w:start w:val="1"/>
    </w:lvl>
  </w:abstractNum>
  <w:abstractNum w:abstractNumId="423">
    <w:nsid w:val="5B727F19"/>
    <w:multiLevelType w:val="hybridMultilevel"/>
    <w:lvl w:ilvl="0">
      <w:lvlJc w:val="left"/>
      <w:lvlText w:val="%1."/>
      <w:numFmt w:val="decimal"/>
      <w:start w:val="4"/>
    </w:lvl>
  </w:abstractNum>
  <w:abstractNum w:abstractNumId="424">
    <w:nsid w:val="514E5CB0"/>
    <w:multiLevelType w:val="hybridMultilevel"/>
    <w:lvl w:ilvl="0">
      <w:lvlJc w:val="left"/>
      <w:lvlText w:val="%1."/>
      <w:numFmt w:val="decimal"/>
      <w:start w:val="5"/>
    </w:lvl>
  </w:abstractNum>
  <w:abstractNum w:abstractNumId="425">
    <w:nsid w:val="4210D41E"/>
    <w:multiLevelType w:val="hybridMultilevel"/>
    <w:lvl w:ilvl="0">
      <w:lvlJc w:val="left"/>
      <w:lvlText w:val="(%1)"/>
      <w:numFmt w:val="lowerRoman"/>
      <w:start w:val="3"/>
    </w:lvl>
  </w:abstractNum>
  <w:abstractNum w:abstractNumId="426">
    <w:nsid w:val="4FF4CC6D"/>
    <w:multiLevelType w:val="hybridMultilevel"/>
    <w:lvl w:ilvl="0">
      <w:lvlJc w:val="left"/>
      <w:lvlText w:val="%1."/>
      <w:numFmt w:val="decimal"/>
      <w:start w:val="6"/>
    </w:lvl>
  </w:abstractNum>
  <w:abstractNum w:abstractNumId="427">
    <w:nsid w:val="404EAF4A"/>
    <w:multiLevelType w:val="hybridMultilevel"/>
    <w:lvl w:ilvl="0">
      <w:lvlJc w:val="left"/>
      <w:lvlText w:val="(%1)"/>
      <w:numFmt w:val="lowerLetter"/>
      <w:start w:val="1"/>
    </w:lvl>
  </w:abstractNum>
  <w:abstractNum w:abstractNumId="428">
    <w:nsid w:val="4A16874F"/>
    <w:multiLevelType w:val="hybridMultilevel"/>
    <w:lvl w:ilvl="0">
      <w:lvlJc w:val="left"/>
      <w:lvlText w:val="(%1)"/>
      <w:numFmt w:val="lowerLetter"/>
      <w:start w:val="2"/>
    </w:lvl>
  </w:abstractNum>
  <w:abstractNum w:abstractNumId="429">
    <w:nsid w:val="55FEE0D1"/>
    <w:multiLevelType w:val="hybridMultilevel"/>
    <w:lvl w:ilvl="0">
      <w:lvlJc w:val="left"/>
      <w:lvlText w:val="(%1)"/>
      <w:numFmt w:val="lowerLetter"/>
      <w:start w:val="1"/>
    </w:lvl>
  </w:abstractNum>
  <w:abstractNum w:abstractNumId="430">
    <w:nsid w:val="3C5E07C"/>
    <w:multiLevelType w:val="hybridMultilevel"/>
    <w:lvl w:ilvl="0">
      <w:lvlJc w:val="left"/>
      <w:lvlText w:val="(%1)"/>
      <w:numFmt w:val="lowerLetter"/>
      <w:start w:val="1"/>
    </w:lvl>
  </w:abstractNum>
  <w:abstractNum w:abstractNumId="431">
    <w:nsid w:val="60C2D273"/>
    <w:multiLevelType w:val="hybridMultilevel"/>
    <w:lvl w:ilvl="0">
      <w:lvlJc w:val="left"/>
      <w:lvlText w:val="(%1)"/>
      <w:numFmt w:val="lowerLetter"/>
      <w:start w:val="1"/>
    </w:lvl>
  </w:abstractNum>
  <w:abstractNum w:abstractNumId="432">
    <w:nsid w:val="4CC32F1F"/>
    <w:multiLevelType w:val="hybridMultilevel"/>
    <w:lvl w:ilvl="0">
      <w:lvlJc w:val="left"/>
      <w:lvlText w:val="(%1)"/>
      <w:numFmt w:val="lowerLetter"/>
      <w:start w:val="1"/>
    </w:lvl>
  </w:abstractNum>
  <w:abstractNum w:abstractNumId="433">
    <w:nsid w:val="11CAC74A"/>
    <w:multiLevelType w:val="hybridMultilevel"/>
    <w:lvl w:ilvl="0">
      <w:lvlJc w:val="left"/>
      <w:lvlText w:val="(%1)"/>
      <w:numFmt w:val="lowerLetter"/>
      <w:start w:val="2"/>
    </w:lvl>
  </w:abstractNum>
  <w:abstractNum w:abstractNumId="434">
    <w:nsid w:val="126CADE9"/>
    <w:multiLevelType w:val="hybridMultilevel"/>
    <w:lvl w:ilvl="0">
      <w:lvlJc w:val="left"/>
      <w:lvlText w:val="%1."/>
      <w:numFmt w:val="decimal"/>
      <w:start w:val="7"/>
    </w:lvl>
  </w:abstractNum>
  <w:abstractNum w:abstractNumId="435">
    <w:nsid w:val="19132E7B"/>
    <w:multiLevelType w:val="hybridMultilevel"/>
    <w:lvl w:ilvl="0">
      <w:lvlJc w:val="left"/>
      <w:lvlText w:val="(%1)"/>
      <w:numFmt w:val="lowerLetter"/>
      <w:start w:val="3"/>
    </w:lvl>
  </w:abstractNum>
  <w:abstractNum w:abstractNumId="436">
    <w:nsid w:val="63822DC0"/>
    <w:multiLevelType w:val="hybridMultilevel"/>
    <w:lvl w:ilvl="0">
      <w:lvlJc w:val="left"/>
      <w:lvlText w:val="(%1)"/>
      <w:numFmt w:val="lowerLetter"/>
      <w:start w:val="3"/>
    </w:lvl>
  </w:abstractNum>
  <w:abstractNum w:abstractNumId="437">
    <w:nsid w:val="6C11685A"/>
    <w:multiLevelType w:val="hybridMultilevel"/>
    <w:lvl w:ilvl="0">
      <w:lvlJc w:val="left"/>
      <w:lvlText w:val="(%1)"/>
      <w:numFmt w:val="lowerLetter"/>
      <w:start w:val="2"/>
    </w:lvl>
  </w:abstractNum>
  <w:abstractNum w:abstractNumId="438">
    <w:nsid w:val="5E1EAE31"/>
    <w:multiLevelType w:val="hybridMultilevel"/>
    <w:lvl w:ilvl="0">
      <w:lvlJc w:val="left"/>
      <w:lvlText w:val="(%1)"/>
      <w:numFmt w:val="lowerLetter"/>
      <w:start w:val="1"/>
    </w:lvl>
  </w:abstractNum>
  <w:abstractNum w:abstractNumId="439">
    <w:nsid w:val="178E240D"/>
    <w:multiLevelType w:val="hybridMultilevel"/>
    <w:lvl w:ilvl="0">
      <w:lvlJc w:val="left"/>
      <w:lvlText w:val="%1."/>
      <w:numFmt w:val="decimal"/>
      <w:start w:val="8"/>
    </w:lvl>
  </w:abstractNum>
  <w:abstractNum w:abstractNumId="440">
    <w:nsid w:val="5556A87B"/>
    <w:multiLevelType w:val="hybridMultilevel"/>
    <w:lvl w:ilvl="0">
      <w:lvlJc w:val="left"/>
      <w:lvlText w:val="(%1)"/>
      <w:numFmt w:val="lowerLetter"/>
      <w:start w:val="1"/>
    </w:lvl>
  </w:abstractNum>
  <w:abstractNum w:abstractNumId="441">
    <w:nsid w:val="28100A9C"/>
    <w:multiLevelType w:val="hybridMultilevel"/>
    <w:lvl w:ilvl="0">
      <w:lvlJc w:val="left"/>
      <w:lvlText w:val="(%1)"/>
      <w:numFmt w:val="lowerLetter"/>
      <w:start w:val="1"/>
    </w:lvl>
  </w:abstractNum>
  <w:abstractNum w:abstractNumId="442">
    <w:nsid w:val="D838636"/>
    <w:multiLevelType w:val="hybridMultilevel"/>
    <w:lvl w:ilvl="0">
      <w:lvlJc w:val="left"/>
      <w:lvlText w:val="%1."/>
      <w:numFmt w:val="decimal"/>
      <w:start w:val="9"/>
    </w:lvl>
  </w:abstractNum>
  <w:abstractNum w:abstractNumId="443">
    <w:nsid w:val="71B82AED"/>
    <w:multiLevelType w:val="hybridMultilevel"/>
    <w:lvl w:ilvl="0">
      <w:lvlJc w:val="left"/>
      <w:lvlText w:val="(%1)"/>
      <w:numFmt w:val="lowerLetter"/>
      <w:start w:val="1"/>
    </w:lvl>
  </w:abstractNum>
  <w:abstractNum w:abstractNumId="444">
    <w:nsid w:val="D15FACA"/>
    <w:multiLevelType w:val="hybridMultilevel"/>
    <w:lvl w:ilvl="0">
      <w:lvlJc w:val="left"/>
      <w:lvlText w:val="(%1)"/>
      <w:numFmt w:val="lowerLetter"/>
      <w:start w:val="4"/>
    </w:lvl>
  </w:abstractNum>
  <w:abstractNum w:abstractNumId="445">
    <w:nsid w:val="3D69565B"/>
    <w:multiLevelType w:val="hybridMultilevel"/>
    <w:lvl w:ilvl="0">
      <w:lvlJc w:val="left"/>
      <w:lvlText w:val="%1."/>
      <w:numFmt w:val="decimal"/>
      <w:start w:val="10"/>
    </w:lvl>
  </w:abstractNum>
  <w:abstractNum w:abstractNumId="446">
    <w:nsid w:val="2299DCBC"/>
    <w:multiLevelType w:val="hybridMultilevel"/>
    <w:lvl w:ilvl="0">
      <w:lvlJc w:val="left"/>
      <w:lvlText w:val="%1."/>
      <w:numFmt w:val="decimal"/>
      <w:start w:val="11"/>
    </w:lvl>
  </w:abstractNum>
  <w:abstractNum w:abstractNumId="447">
    <w:nsid w:val="19908D02"/>
    <w:multiLevelType w:val="hybridMultilevel"/>
    <w:lvl w:ilvl="0">
      <w:lvlJc w:val="left"/>
      <w:lvlText w:val="%1."/>
      <w:numFmt w:val="decimal"/>
      <w:start w:val="12"/>
    </w:lvl>
  </w:abstractNum>
  <w:abstractNum w:abstractNumId="448">
    <w:nsid w:val="24D48BDB"/>
    <w:multiLevelType w:val="hybridMultilevel"/>
    <w:lvl w:ilvl="0">
      <w:lvlJc w:val="left"/>
      <w:lvlText w:val="%1."/>
      <w:numFmt w:val="decimal"/>
      <w:start w:val="13"/>
    </w:lvl>
  </w:abstractNum>
  <w:abstractNum w:abstractNumId="449">
    <w:nsid w:val="542DA5B5"/>
    <w:multiLevelType w:val="hybridMultilevel"/>
    <w:lvl w:ilvl="0">
      <w:lvlJc w:val="left"/>
      <w:lvlText w:val="(%1)"/>
      <w:numFmt w:val="lowerLetter"/>
      <w:start w:val="1"/>
    </w:lvl>
  </w:abstractNum>
  <w:abstractNum w:abstractNumId="450">
    <w:nsid w:val="793753DE"/>
    <w:multiLevelType w:val="hybridMultilevel"/>
    <w:lvl w:ilvl="0">
      <w:lvlJc w:val="left"/>
      <w:lvlText w:val="(%1)"/>
      <w:numFmt w:val="lowerLetter"/>
      <w:start w:val="3"/>
    </w:lvl>
  </w:abstractNum>
  <w:abstractNum w:abstractNumId="451">
    <w:nsid w:val="1C67CB3D"/>
    <w:multiLevelType w:val="hybridMultilevel"/>
    <w:lvl w:ilvl="0">
      <w:lvlJc w:val="left"/>
      <w:lvlText w:val="(%1)"/>
      <w:numFmt w:val="lowerLetter"/>
      <w:start w:val="2"/>
    </w:lvl>
  </w:abstractNum>
  <w:abstractNum w:abstractNumId="452">
    <w:nsid w:val="40E29452"/>
    <w:multiLevelType w:val="hybridMultilevel"/>
    <w:lvl w:ilvl="0">
      <w:lvlJc w:val="left"/>
      <w:lvlText w:val="(%1)"/>
      <w:numFmt w:val="lowerLetter"/>
      <w:start w:val="1"/>
    </w:lvl>
  </w:abstractNum>
  <w:abstractNum w:abstractNumId="453">
    <w:nsid w:val="63A4AAB6"/>
    <w:multiLevelType w:val="hybridMultilevel"/>
    <w:lvl w:ilvl="0">
      <w:lvlJc w:val="left"/>
      <w:lvlText w:val="%1"/>
      <w:numFmt w:val="decimal"/>
      <w:start w:val="1"/>
    </w:lvl>
    <w:lvl w:ilvl="1">
      <w:lvlJc w:val="left"/>
      <w:lvlText w:val="(%2)"/>
      <w:numFmt w:val="lowerLetter"/>
      <w:start w:val="1"/>
    </w:lvl>
  </w:abstractNum>
  <w:abstractNum w:abstractNumId="454">
    <w:nsid w:val="77DA4A57"/>
    <w:multiLevelType w:val="hybridMultilevel"/>
    <w:lvl w:ilvl="0">
      <w:lvlJc w:val="left"/>
      <w:lvlText w:val="(%1)"/>
      <w:numFmt w:val="decimal"/>
      <w:start w:val="12"/>
    </w:lvl>
    <w:lvl w:ilvl="1">
      <w:lvlJc w:val="left"/>
      <w:lvlText w:val="(%2)"/>
      <w:numFmt w:val="lowerLetter"/>
      <w:start w:val="4"/>
    </w:lvl>
  </w:abstractNum>
  <w:abstractNum w:abstractNumId="455">
    <w:nsid w:val="1230F102"/>
    <w:multiLevelType w:val="hybridMultilevel"/>
    <w:lvl w:ilvl="0">
      <w:lvlJc w:val="left"/>
      <w:lvlText w:val="(%1)"/>
      <w:numFmt w:val="lowerLetter"/>
      <w:start w:val="7"/>
    </w:lvl>
  </w:abstractNum>
  <w:abstractNum w:abstractNumId="456">
    <w:nsid w:val="25B57ED4"/>
    <w:multiLevelType w:val="hybridMultilevel"/>
    <w:lvl w:ilvl="0">
      <w:lvlJc w:val="left"/>
      <w:lvlText w:val="(%1)"/>
      <w:numFmt w:val="lowerLetter"/>
      <w:start w:val="1"/>
    </w:lvl>
  </w:abstractNum>
  <w:abstractNum w:abstractNumId="457">
    <w:nsid w:val="47CF16C4"/>
    <w:multiLevelType w:val="hybridMultilevel"/>
    <w:lvl w:ilvl="0">
      <w:lvlJc w:val="left"/>
      <w:lvlText w:val="(%1)"/>
      <w:numFmt w:val="lowerLetter"/>
      <w:start w:val="1"/>
    </w:lvl>
  </w:abstractNum>
  <w:abstractNum w:abstractNumId="458">
    <w:nsid w:val="527FA04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jpeg"/><Relationship Id="rId622" Type="http://schemas.openxmlformats.org/officeDocument/2006/relationships/image" Target="media/image615.png"/><Relationship Id="rId623" Type="http://schemas.openxmlformats.org/officeDocument/2006/relationships/image" Target="media/image616.jpeg"/><Relationship Id="rId624" Type="http://schemas.openxmlformats.org/officeDocument/2006/relationships/image" Target="media/image617.png"/><Relationship Id="rId625" Type="http://schemas.openxmlformats.org/officeDocument/2006/relationships/image" Target="media/image618.jpeg"/><Relationship Id="rId626" Type="http://schemas.openxmlformats.org/officeDocument/2006/relationships/image" Target="media/image619.png"/><Relationship Id="rId627" Type="http://schemas.openxmlformats.org/officeDocument/2006/relationships/image" Target="media/image620.jpeg"/><Relationship Id="rId628" Type="http://schemas.openxmlformats.org/officeDocument/2006/relationships/image" Target="media/image621.png"/><Relationship Id="rId629" Type="http://schemas.openxmlformats.org/officeDocument/2006/relationships/image" Target="media/image622.jpeg"/><Relationship Id="rId630" Type="http://schemas.openxmlformats.org/officeDocument/2006/relationships/image" Target="media/image623.png"/><Relationship Id="rId631" Type="http://schemas.openxmlformats.org/officeDocument/2006/relationships/image" Target="media/image624.jpeg"/><Relationship Id="rId632" Type="http://schemas.openxmlformats.org/officeDocument/2006/relationships/image" Target="media/image625.png"/><Relationship Id="rId633" Type="http://schemas.openxmlformats.org/officeDocument/2006/relationships/image" Target="media/image626.jpeg"/><Relationship Id="rId634" Type="http://schemas.openxmlformats.org/officeDocument/2006/relationships/image" Target="media/image627.png"/><Relationship Id="rId635" Type="http://schemas.openxmlformats.org/officeDocument/2006/relationships/image" Target="media/image628.jpeg"/><Relationship Id="rId636" Type="http://schemas.openxmlformats.org/officeDocument/2006/relationships/image" Target="media/image629.png"/><Relationship Id="rId637" Type="http://schemas.openxmlformats.org/officeDocument/2006/relationships/image" Target="media/image630.jpeg"/><Relationship Id="rId638" Type="http://schemas.openxmlformats.org/officeDocument/2006/relationships/image" Target="media/image631.png"/><Relationship Id="rId639" Type="http://schemas.openxmlformats.org/officeDocument/2006/relationships/image" Target="media/image632.jpeg"/><Relationship Id="rId640" Type="http://schemas.openxmlformats.org/officeDocument/2006/relationships/image" Target="media/image633.png"/><Relationship Id="rId641" Type="http://schemas.openxmlformats.org/officeDocument/2006/relationships/image" Target="media/image634.jpeg"/><Relationship Id="rId642" Type="http://schemas.openxmlformats.org/officeDocument/2006/relationships/image" Target="media/image635.png"/><Relationship Id="rId643" Type="http://schemas.openxmlformats.org/officeDocument/2006/relationships/image" Target="media/image636.jpeg"/><Relationship Id="rId644" Type="http://schemas.openxmlformats.org/officeDocument/2006/relationships/image" Target="media/image637.png"/><Relationship Id="rId645" Type="http://schemas.openxmlformats.org/officeDocument/2006/relationships/image" Target="media/image638.jpeg"/><Relationship Id="rId646" Type="http://schemas.openxmlformats.org/officeDocument/2006/relationships/image" Target="media/image639.png"/><Relationship Id="rId647" Type="http://schemas.openxmlformats.org/officeDocument/2006/relationships/image" Target="media/image640.jpeg"/><Relationship Id="rId648" Type="http://schemas.openxmlformats.org/officeDocument/2006/relationships/image" Target="media/image641.png"/><Relationship Id="rId649" Type="http://schemas.openxmlformats.org/officeDocument/2006/relationships/image" Target="media/image642.jpeg"/><Relationship Id="rId650" Type="http://schemas.openxmlformats.org/officeDocument/2006/relationships/image" Target="media/image643.png"/><Relationship Id="rId651" Type="http://schemas.openxmlformats.org/officeDocument/2006/relationships/image" Target="media/image644.jpe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jpeg"/><Relationship Id="rId656" Type="http://schemas.openxmlformats.org/officeDocument/2006/relationships/image" Target="media/image649.png"/><Relationship Id="rId657" Type="http://schemas.openxmlformats.org/officeDocument/2006/relationships/image" Target="media/image650.jpeg"/><Relationship Id="rId658" Type="http://schemas.openxmlformats.org/officeDocument/2006/relationships/image" Target="media/image651.png"/><Relationship Id="rId659" Type="http://schemas.openxmlformats.org/officeDocument/2006/relationships/image" Target="media/image652.jpeg"/><Relationship Id="rId660" Type="http://schemas.openxmlformats.org/officeDocument/2006/relationships/image" Target="media/image653.png"/><Relationship Id="rId661" Type="http://schemas.openxmlformats.org/officeDocument/2006/relationships/image" Target="media/image654.jpeg"/><Relationship Id="rId662" Type="http://schemas.openxmlformats.org/officeDocument/2006/relationships/image" Target="media/image655.png"/><Relationship Id="rId663" Type="http://schemas.openxmlformats.org/officeDocument/2006/relationships/image" Target="media/image656.jpeg"/><Relationship Id="rId664" Type="http://schemas.openxmlformats.org/officeDocument/2006/relationships/image" Target="media/image657.png"/><Relationship Id="rId665" Type="http://schemas.openxmlformats.org/officeDocument/2006/relationships/image" Target="media/image658.jpeg"/><Relationship Id="rId666" Type="http://schemas.openxmlformats.org/officeDocument/2006/relationships/image" Target="media/image659.png"/><Relationship Id="rId667" Type="http://schemas.openxmlformats.org/officeDocument/2006/relationships/image" Target="media/image660.jpeg"/><Relationship Id="rId668" Type="http://schemas.openxmlformats.org/officeDocument/2006/relationships/image" Target="media/image661.png"/><Relationship Id="rId669" Type="http://schemas.openxmlformats.org/officeDocument/2006/relationships/image" Target="media/image662.jpeg"/><Relationship Id="rId670" Type="http://schemas.openxmlformats.org/officeDocument/2006/relationships/image" Target="media/image663.png"/><Relationship Id="rId671" Type="http://schemas.openxmlformats.org/officeDocument/2006/relationships/image" Target="media/image664.jpe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jpeg"/><Relationship Id="rId675" Type="http://schemas.openxmlformats.org/officeDocument/2006/relationships/image" Target="media/image668.png"/><Relationship Id="rId676" Type="http://schemas.openxmlformats.org/officeDocument/2006/relationships/image" Target="media/image669.jpeg"/><Relationship Id="rId677" Type="http://schemas.openxmlformats.org/officeDocument/2006/relationships/image" Target="media/image670.png"/><Relationship Id="rId678" Type="http://schemas.openxmlformats.org/officeDocument/2006/relationships/image" Target="media/image671.jpeg"/><Relationship Id="rId679" Type="http://schemas.openxmlformats.org/officeDocument/2006/relationships/image" Target="media/image672.png"/><Relationship Id="rId680" Type="http://schemas.openxmlformats.org/officeDocument/2006/relationships/image" Target="media/image673.jpeg"/><Relationship Id="rId681" Type="http://schemas.openxmlformats.org/officeDocument/2006/relationships/image" Target="media/image674.png"/><Relationship Id="rId682" Type="http://schemas.openxmlformats.org/officeDocument/2006/relationships/image" Target="media/image675.jpe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jpe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jpeg"/><Relationship Id="rId691" Type="http://schemas.openxmlformats.org/officeDocument/2006/relationships/image" Target="media/image684.png"/><Relationship Id="rId692" Type="http://schemas.openxmlformats.org/officeDocument/2006/relationships/image" Target="media/image685.jpeg"/><Relationship Id="rId693" Type="http://schemas.openxmlformats.org/officeDocument/2006/relationships/image" Target="media/image686.png"/><Relationship Id="rId694" Type="http://schemas.openxmlformats.org/officeDocument/2006/relationships/image" Target="media/image687.jpeg"/><Relationship Id="rId695" Type="http://schemas.openxmlformats.org/officeDocument/2006/relationships/image" Target="media/image688.png"/><Relationship Id="rId696" Type="http://schemas.openxmlformats.org/officeDocument/2006/relationships/image" Target="media/image689.jpeg"/><Relationship Id="rId697" Type="http://schemas.openxmlformats.org/officeDocument/2006/relationships/image" Target="media/image690.png"/><Relationship Id="rId698" Type="http://schemas.openxmlformats.org/officeDocument/2006/relationships/image" Target="media/image691.jpeg"/><Relationship Id="rId699" Type="http://schemas.openxmlformats.org/officeDocument/2006/relationships/image" Target="media/image692.png"/><Relationship Id="rId700" Type="http://schemas.openxmlformats.org/officeDocument/2006/relationships/image" Target="media/image693.jpeg"/><Relationship Id="rId701" Type="http://schemas.openxmlformats.org/officeDocument/2006/relationships/image" Target="media/image694.png"/><Relationship Id="rId702" Type="http://schemas.openxmlformats.org/officeDocument/2006/relationships/image" Target="media/image695.jpeg"/><Relationship Id="rId703" Type="http://schemas.openxmlformats.org/officeDocument/2006/relationships/image" Target="media/image696.png"/><Relationship Id="rId704" Type="http://schemas.openxmlformats.org/officeDocument/2006/relationships/image" Target="media/image697.jpeg"/><Relationship Id="rId705" Type="http://schemas.openxmlformats.org/officeDocument/2006/relationships/image" Target="media/image698.png"/><Relationship Id="rId706" Type="http://schemas.openxmlformats.org/officeDocument/2006/relationships/image" Target="media/image699.jpeg"/><Relationship Id="rId707" Type="http://schemas.openxmlformats.org/officeDocument/2006/relationships/image" Target="media/image700.png"/><Relationship Id="rId708" Type="http://schemas.openxmlformats.org/officeDocument/2006/relationships/image" Target="media/image701.jpeg"/><Relationship Id="rId709" Type="http://schemas.openxmlformats.org/officeDocument/2006/relationships/image" Target="media/image702.png"/><Relationship Id="rId710" Type="http://schemas.openxmlformats.org/officeDocument/2006/relationships/image" Target="media/image703.jpe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jpeg"/><Relationship Id="rId723" Type="http://schemas.openxmlformats.org/officeDocument/2006/relationships/image" Target="media/image716.png"/><Relationship Id="rId724" Type="http://schemas.openxmlformats.org/officeDocument/2006/relationships/image" Target="media/image717.jpeg"/><Relationship Id="rId725" Type="http://schemas.openxmlformats.org/officeDocument/2006/relationships/image" Target="media/image718.png"/><Relationship Id="rId726" Type="http://schemas.openxmlformats.org/officeDocument/2006/relationships/image" Target="media/image719.jpeg"/><Relationship Id="rId727" Type="http://schemas.openxmlformats.org/officeDocument/2006/relationships/image" Target="media/image720.png"/><Relationship Id="rId728" Type="http://schemas.openxmlformats.org/officeDocument/2006/relationships/image" Target="media/image721.jpeg"/><Relationship Id="rId729" Type="http://schemas.openxmlformats.org/officeDocument/2006/relationships/image" Target="media/image722.png"/><Relationship Id="rId730" Type="http://schemas.openxmlformats.org/officeDocument/2006/relationships/image" Target="media/image723.jpe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2019-12-08T15:22:29Z</dcterms:created>
  <dcterms:modified xsi:type="dcterms:W3CDTF">2019-12-08T15:22:29Z</dcterms:modified>
</cp:coreProperties>
</file>