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80" w:right="1580" w:hanging="3872"/>
        <w:spacing w:after="0" w:line="360" w:lineRule="auto"/>
        <w:tabs>
          <w:tab w:leader="none" w:pos="50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720" w:type="dxa"/>
            <w:vAlign w:val="bottom"/>
            <w:tcBorders>
              <w:bottom w:val="single" w:sz="8" w:color="auto"/>
            </w:tcBorders>
          </w:tcPr>
          <w:p>
            <w:pPr>
              <w:spacing w:after="0"/>
              <w:rPr>
                <w:sz w:val="17"/>
                <w:szCs w:val="17"/>
                <w:color w:val="auto"/>
              </w:rPr>
            </w:pPr>
          </w:p>
        </w:tc>
      </w:tr>
      <w:tr>
        <w:trPr>
          <w:trHeight w:val="318"/>
        </w:trPr>
        <w:tc>
          <w:tcPr>
            <w:tcW w:w="4040" w:type="dxa"/>
            <w:vAlign w:val="bottom"/>
            <w:gridSpan w:val="4"/>
          </w:tcPr>
          <w:p>
            <w:pPr>
              <w:ind w:left="600"/>
              <w:spacing w:after="0"/>
              <w:rPr>
                <w:sz w:val="20"/>
                <w:szCs w:val="20"/>
                <w:color w:val="auto"/>
              </w:rPr>
            </w:pPr>
            <w:r>
              <w:rPr>
                <w:rFonts w:ascii="Arial" w:cs="Arial" w:eastAsia="Arial" w:hAnsi="Arial"/>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81-0710585</w:t>
            </w:r>
          </w:p>
        </w:tc>
      </w:tr>
      <w:tr>
        <w:trPr>
          <w:trHeight w:val="148"/>
        </w:trPr>
        <w:tc>
          <w:tcPr>
            <w:tcW w:w="4340" w:type="dxa"/>
            <w:vAlign w:val="bottom"/>
          </w:tcPr>
          <w:p>
            <w:pPr>
              <w:jc w:val="center"/>
              <w:ind w:right="189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98"/>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One Kendall Square</w:t>
            </w:r>
          </w:p>
        </w:tc>
        <w:tc>
          <w:tcPr>
            <w:tcW w:w="3080" w:type="dxa"/>
            <w:vAlign w:val="bottom"/>
          </w:tcPr>
          <w:p>
            <w:pPr>
              <w:spacing w:after="0"/>
              <w:rPr>
                <w:sz w:val="22"/>
                <w:szCs w:val="22"/>
                <w:color w:val="auto"/>
              </w:rPr>
            </w:pPr>
          </w:p>
        </w:tc>
      </w:tr>
      <w:tr>
        <w:trPr>
          <w:trHeight w:val="216"/>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89"/>
              </w:rPr>
              <w:t>Building 300, Suite 201</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212"/>
        </w:trPr>
        <w:tc>
          <w:tcPr>
            <w:tcW w:w="4340" w:type="dxa"/>
            <w:vAlign w:val="bottom"/>
          </w:tcPr>
          <w:p>
            <w:pPr>
              <w:jc w:val="center"/>
              <w:ind w:right="1878"/>
              <w:spacing w:after="0"/>
              <w:rPr>
                <w:sz w:val="20"/>
                <w:szCs w:val="20"/>
                <w:color w:val="auto"/>
              </w:rPr>
            </w:pPr>
            <w:r>
              <w:rPr>
                <w:rFonts w:ascii="Arial" w:cs="Arial" w:eastAsia="Arial" w:hAnsi="Arial"/>
                <w:sz w:val="18"/>
                <w:szCs w:val="18"/>
                <w:b w:val="1"/>
                <w:bCs w:val="1"/>
                <w:color w:val="auto"/>
                <w:w w:val="95"/>
              </w:rPr>
              <w:t>Cambridge, MA</w:t>
            </w:r>
          </w:p>
        </w:tc>
        <w:tc>
          <w:tcPr>
            <w:tcW w:w="3080" w:type="dxa"/>
            <w:vAlign w:val="bottom"/>
          </w:tcPr>
          <w:p>
            <w:pPr>
              <w:spacing w:after="0"/>
              <w:rPr>
                <w:sz w:val="18"/>
                <w:szCs w:val="18"/>
                <w:color w:val="auto"/>
              </w:rPr>
            </w:pPr>
          </w:p>
        </w:tc>
      </w:tr>
      <w:tr>
        <w:trPr>
          <w:trHeight w:val="186"/>
        </w:trPr>
        <w:tc>
          <w:tcPr>
            <w:tcW w:w="4340" w:type="dxa"/>
            <w:vAlign w:val="bottom"/>
          </w:tcPr>
          <w:p>
            <w:pPr>
              <w:jc w:val="center"/>
              <w:ind w:right="18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vMerge w:val="restart"/>
          </w:tcPr>
          <w:p>
            <w:pPr>
              <w:spacing w:after="0"/>
              <w:rPr>
                <w:sz w:val="14"/>
                <w:szCs w:val="14"/>
                <w:color w:val="auto"/>
              </w:rPr>
            </w:pPr>
          </w:p>
        </w:tc>
        <w:tc>
          <w:tcPr>
            <w:tcW w:w="3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50"/>
        </w:trPr>
        <w:tc>
          <w:tcPr>
            <w:tcW w:w="4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AVRO</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w w:val="97"/>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80" w:type="dxa"/>
            <w:vAlign w:val="bottom"/>
          </w:tcPr>
          <w:p>
            <w:pPr>
              <w:ind w:left="3260"/>
              <w:spacing w:after="0"/>
              <w:rPr>
                <w:sz w:val="20"/>
                <w:szCs w:val="20"/>
                <w:color w:val="auto"/>
              </w:rPr>
            </w:pPr>
            <w:r>
              <w:rPr>
                <w:rFonts w:ascii="Arial" w:cs="Arial" w:eastAsia="Arial" w:hAnsi="Arial"/>
                <w:sz w:val="18"/>
                <w:szCs w:val="18"/>
                <w:color w:val="auto"/>
                <w:w w:val="98"/>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7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30, 2021, the registrant had 43,623,066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FINANCIAL INFORMATION</w:t>
        </w:r>
      </w:hyperlink>
    </w:p>
    <w:p>
      <w:pPr>
        <w:spacing w:after="0" w:line="27"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Balance Sheets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Statements of Operations and Comprehensive Loss</w:t>
        </w:r>
      </w:hyperlink>
    </w:p>
    <w:p>
      <w:pPr>
        <w:spacing w:after="0" w:line="33"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Statements o</w:t>
        </w:r>
        <w:r>
          <w:rPr>
            <w:rFonts w:ascii="Arial" w:cs="Arial" w:eastAsia="Arial" w:hAnsi="Arial"/>
            <w:sz w:val="21"/>
            <w:szCs w:val="21"/>
            <w:u w:val="single" w:color="auto"/>
            <w:color w:val="0000EE"/>
          </w:rPr>
          <w:t>f</w:t>
        </w:r>
        <w:r>
          <w:rPr>
            <w:rFonts w:ascii="Arial" w:cs="Arial" w:eastAsia="Arial" w:hAnsi="Arial"/>
            <w:sz w:val="18"/>
            <w:szCs w:val="18"/>
            <w:u w:val="single" w:color="auto"/>
            <w:color w:val="0000EE"/>
          </w:rPr>
          <w:t xml:space="preserve"> Stockholders’ Equity</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Statements of Cash Flows</w:t>
        </w:r>
      </w:hyperlink>
    </w:p>
    <w:p>
      <w:pPr>
        <w:spacing w:after="0" w:line="13"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Financial Statements</w:t>
        </w:r>
      </w:hyperlink>
    </w:p>
    <w:p>
      <w:pPr>
        <w:spacing w:after="0" w:line="23" w:lineRule="exact"/>
        <w:rPr>
          <w:sz w:val="20"/>
          <w:szCs w:val="20"/>
          <w:color w:val="auto"/>
        </w:rPr>
      </w:pPr>
    </w:p>
    <w:p>
      <w:pPr>
        <w:ind w:right="2000"/>
        <w:spacing w:after="0" w:line="266" w:lineRule="auto"/>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1">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Controls and Procedures</w:t>
        </w:r>
      </w:hyperlink>
    </w:p>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Unregistered Sales of Equity Securities and Use of Proceeds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Defaults Upon Senior Securities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Mine Safety Disclosures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Other Information</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Exhibits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Signatures</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3" w:lineRule="exact"/>
        <w:rPr>
          <w:rFonts w:ascii="Arial" w:cs="Arial" w:eastAsia="Arial" w:hAnsi="Arial"/>
          <w:sz w:val="18"/>
          <w:szCs w:val="18"/>
          <w:u w:val="single" w:color="auto"/>
          <w:color w:val="0000EE"/>
        </w:rPr>
      </w:pPr>
    </w:p>
    <w:p>
      <w:pPr>
        <w:jc w:val="center"/>
        <w:ind w:right="360"/>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-1010285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-106045</wp:posOffset>
            </wp:positionH>
            <wp:positionV relativeFrom="paragraph">
              <wp:posOffset>6350</wp:posOffset>
            </wp:positionV>
            <wp:extent cx="351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w:t>
      </w:r>
    </w:p>
    <w:p>
      <w:pPr>
        <w:spacing w:after="0" w:line="3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17</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26</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27</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27</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27</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71</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71</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71</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71</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72</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74</w:t>
      </w:r>
    </w:p>
    <w:p>
      <w:pPr>
        <w:sectPr>
          <w:pgSz w:w="11900" w:h="16838" w:orient="portrait"/>
          <w:cols w:equalWidth="0" w:num="3">
            <w:col w:w="760" w:space="720"/>
            <w:col w:w="8460" w:space="720"/>
            <w:col w:w="380"/>
          </w:cols>
          <w:pgMar w:left="420" w:top="337"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76" w:lineRule="exact"/>
        <w:rPr>
          <w:sz w:val="20"/>
          <w:szCs w:val="20"/>
          <w:color w:val="auto"/>
        </w:rPr>
      </w:pPr>
    </w:p>
    <w:p>
      <w:pPr>
        <w:ind w:left="880" w:right="6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75" w:lineRule="exact"/>
        <w:rPr>
          <w:rFonts w:ascii="Arial" w:cs="Arial" w:eastAsia="Arial" w:hAnsi="Arial"/>
          <w:sz w:val="18"/>
          <w:szCs w:val="18"/>
          <w:color w:val="auto"/>
        </w:rPr>
      </w:pPr>
    </w:p>
    <w:p>
      <w:pPr>
        <w:ind w:left="880" w:right="460" w:hanging="373"/>
        <w:spacing w:after="0" w:line="308"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51" w:lineRule="exact"/>
        <w:rPr>
          <w:rFonts w:ascii="Arial" w:cs="Arial" w:eastAsia="Arial" w:hAnsi="Arial"/>
          <w:sz w:val="17"/>
          <w:szCs w:val="17"/>
          <w:color w:val="auto"/>
        </w:rPr>
      </w:pPr>
    </w:p>
    <w:p>
      <w:pPr>
        <w:ind w:left="880" w:right="1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880" w:right="14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preclinical studies or early clinical trials may not be indicative of results obtained in later trials.</w:t>
      </w:r>
    </w:p>
    <w:p>
      <w:pPr>
        <w:spacing w:after="0" w:line="157"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fail to demonstrate safety and efficacy to the satisfaction of applicable regulatory authorities.</w:t>
      </w:r>
    </w:p>
    <w:p>
      <w:pPr>
        <w:spacing w:after="0" w:line="75" w:lineRule="exact"/>
        <w:rPr>
          <w:rFonts w:ascii="Arial" w:cs="Arial" w:eastAsia="Arial" w:hAnsi="Arial"/>
          <w:sz w:val="18"/>
          <w:szCs w:val="18"/>
          <w:color w:val="auto"/>
        </w:rPr>
      </w:pPr>
    </w:p>
    <w:p>
      <w:pPr>
        <w:ind w:left="880" w:right="7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complete the necessary preclinical and clinical studies, we cannot predict when or if we will obtain regulatory approval to commercialize a product candidate and the approval may be for a narrower indication than anticipated.</w:t>
      </w:r>
    </w:p>
    <w:p>
      <w:pPr>
        <w:spacing w:after="0" w:line="75"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approach for AVR-RD-01 for the treatment of Fabry disease recently changed, and there can be no assurance that any new regulatory pathway we propose to regulatory agencies will be accepted.</w:t>
      </w:r>
    </w:p>
    <w:p>
      <w:pPr>
        <w:spacing w:after="0" w:line="75"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Only certain of our clinical trials, including the Phase 2 clinical trial of AVR-RD-01 for Fabry disease and the Phase 1/2 clinical trial of AVR-RD-02 for Gaucher disease type 1, utilize our commercial-scale plato</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75" w:lineRule="exact"/>
        <w:rPr>
          <w:rFonts w:ascii="Arial" w:cs="Arial" w:eastAsia="Arial" w:hAnsi="Arial"/>
          <w:sz w:val="18"/>
          <w:szCs w:val="18"/>
          <w:color w:val="auto"/>
        </w:rPr>
      </w:pPr>
    </w:p>
    <w:p>
      <w:pPr>
        <w:ind w:left="880" w:right="40" w:hanging="373"/>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70" w:lineRule="exact"/>
        <w:rPr>
          <w:rFonts w:ascii="Arial" w:cs="Arial" w:eastAsia="Arial" w:hAnsi="Arial"/>
          <w:sz w:val="17"/>
          <w:szCs w:val="17"/>
          <w:color w:val="auto"/>
        </w:rPr>
      </w:pPr>
    </w:p>
    <w:p>
      <w:pPr>
        <w:ind w:left="880" w:right="7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a limited number of suppliers for some of our components and materials used in our product candidates.</w:t>
      </w:r>
    </w:p>
    <w:p>
      <w:pPr>
        <w:spacing w:after="0" w:line="15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57" w:lineRule="exact"/>
        <w:rPr>
          <w:rFonts w:ascii="Arial" w:cs="Arial" w:eastAsia="Arial" w:hAnsi="Arial"/>
          <w:sz w:val="18"/>
          <w:szCs w:val="18"/>
          <w:color w:val="auto"/>
        </w:rPr>
      </w:pPr>
    </w:p>
    <w:p>
      <w:pPr>
        <w:ind w:left="880" w:right="280" w:hanging="373"/>
        <w:spacing w:after="0" w:line="25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AVR-RD-02 for our Gaucher type 1 program and AVR-RD-05 for our Hunter program, but do not own any patents or patent applications covering these product candidates.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 w:name="page4"/>
    <w:bookmarkEnd w:id="3"/>
    <w:p>
      <w:pPr>
        <w:ind w:left="880" w:hanging="373"/>
        <w:spacing w:after="0" w:line="263"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84"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Note Regarding Forward-looking Statements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are made pursuant to the safe harbor provisions of Section 27A of the Securities Act of 1933, as amended (the “Securities Act”), and Section 21E of the Securities Exchange Act of 1934, as amended (the “Exchange Act”). These statements may be identified by such forward-looking terminology as “aims,” “anticipates,” “believes,” “continue,” “could,” “designed to,” “estimates,” “expects,” “intends,” “may,” “plans,” “potential,” “predicts,” “strives,” “should,”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3" w:lineRule="exact"/>
        <w:rPr>
          <w:sz w:val="20"/>
          <w:szCs w:val="20"/>
          <w:color w:val="auto"/>
        </w:rPr>
      </w:pPr>
    </w:p>
    <w:p>
      <w:pPr>
        <w:jc w:val="both"/>
        <w:ind w:left="880" w:right="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75" w:lineRule="exact"/>
        <w:rPr>
          <w:rFonts w:ascii="Arial" w:cs="Arial" w:eastAsia="Arial" w:hAnsi="Arial"/>
          <w:sz w:val="18"/>
          <w:szCs w:val="18"/>
          <w:color w:val="auto"/>
        </w:rPr>
      </w:pPr>
    </w:p>
    <w:p>
      <w:pPr>
        <w:ind w:left="880" w:right="2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880" w:right="380" w:hanging="373"/>
        <w:spacing w:after="0" w:line="342"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anticipated regulatory pathway for our product candidates and planned interactions with regulatory agencies;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 platform;</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scalability and commercial viability of our manufacturing methods and processes, including our move to a closed, automated system;</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44"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other lentiviral-based gene therapy companies;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avoid any findings of material weaknesses or significant deficiencies in the future;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44"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or JOBS Act;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93"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Trademarks</w:t>
      </w:r>
    </w:p>
    <w:p>
      <w:pPr>
        <w:spacing w:after="0" w:line="13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All brand names or trademarks appearing in this report are the property of their respective holders. Unless the context requires otherwise, references in this report to the “Company,” “we,” “us,” and “our” refer to AVROBIO, Inc.</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226,438</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238,095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2,029</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tcPr>
          <w:p>
            <w:pPr>
              <w:ind w:left="260"/>
              <w:spacing w:after="0"/>
              <w:rPr>
                <w:sz w:val="20"/>
                <w:szCs w:val="20"/>
                <w:color w:val="auto"/>
              </w:rPr>
            </w:pPr>
            <w:r>
              <w:rPr>
                <w:rFonts w:ascii="Arial" w:cs="Arial" w:eastAsia="Arial" w:hAnsi="Arial"/>
                <w:sz w:val="18"/>
                <w:szCs w:val="18"/>
                <w:color w:val="auto"/>
              </w:rPr>
              <w:t>Preferred stock, $0.0001 par value; 10,000 shares authorized; no shares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380"/>
              <w:spacing w:after="0"/>
              <w:rPr>
                <w:sz w:val="20"/>
                <w:szCs w:val="20"/>
                <w:color w:val="auto"/>
              </w:rPr>
            </w:pPr>
            <w:r>
              <w:rPr>
                <w:rFonts w:ascii="Arial" w:cs="Arial" w:eastAsia="Arial" w:hAnsi="Arial"/>
                <w:sz w:val="18"/>
                <w:szCs w:val="18"/>
                <w:color w:val="auto"/>
              </w:rPr>
              <w:t>issued or outstanding</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Common stock, $0.0001 par value; 150,000 shares authorized; 43,623 and 41,569 shares issued and</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as of June 30, 2021 and December 31, 2020, respectively</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543,690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518,756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(322,702)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(264,416)</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220,992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238,095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9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22,544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20,866</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41,024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(58,259)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(31,387)</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(58,286)</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(31,387)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(58,286)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(54,801)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4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1"/>
              </w:rPr>
              <w:t>Weighted-average number of common shares outstanding — basic</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and diluted</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36"/>
              <w:spacing w:after="0"/>
              <w:rPr>
                <w:sz w:val="20"/>
                <w:szCs w:val="20"/>
                <w:color w:val="auto"/>
              </w:rPr>
            </w:pPr>
            <w:r>
              <w:rPr>
                <w:rFonts w:ascii="Arial" w:cs="Arial" w:eastAsia="Arial" w:hAnsi="Arial"/>
                <w:sz w:val="14"/>
                <w:szCs w:val="14"/>
                <w:b w:val="1"/>
                <w:bCs w:val="1"/>
                <w:color w:val="auto"/>
                <w:w w:val="93"/>
              </w:rPr>
              <w:t>Three Months Ended June 30, 2020</w:t>
            </w: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4"/>
        </w:trPr>
        <w:tc>
          <w:tcPr>
            <w:tcW w:w="3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57"/>
              <w:spacing w:after="0" w:line="12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0"/>
                <w:szCs w:val="10"/>
                <w:color w:val="auto"/>
              </w:rPr>
            </w:pP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237"/>
        </w:trPr>
        <w:tc>
          <w:tcPr>
            <w:tcW w:w="300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0"/>
              </w:rPr>
              <w:t>Paid-in Capital</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Equity</w:t>
            </w:r>
          </w:p>
        </w:tc>
      </w:tr>
      <w:tr>
        <w:trPr>
          <w:trHeight w:val="148"/>
        </w:trPr>
        <w:tc>
          <w:tcPr>
            <w:tcW w:w="39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Balance as of March 31, 2020</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36,011</w:t>
            </w:r>
          </w:p>
        </w:tc>
        <w:tc>
          <w:tcPr>
            <w:tcW w:w="1360" w:type="dxa"/>
            <w:vAlign w:val="bottom"/>
            <w:gridSpan w:val="2"/>
            <w:shd w:val="clear" w:color="auto" w:fill="CFF0FC"/>
          </w:tcPr>
          <w:p>
            <w:pPr>
              <w:jc w:val="right"/>
              <w:ind w:right="982"/>
              <w:spacing w:after="0"/>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427,198</w:t>
            </w:r>
          </w:p>
        </w:tc>
        <w:tc>
          <w:tcPr>
            <w:tcW w:w="500" w:type="dxa"/>
            <w:vAlign w:val="bottom"/>
            <w:gridSpan w:val="2"/>
            <w:shd w:val="clear" w:color="auto" w:fill="CFF0FC"/>
          </w:tcPr>
          <w:p>
            <w:pPr>
              <w:jc w:val="right"/>
              <w:ind w:right="108"/>
              <w:spacing w:after="0"/>
              <w:rPr>
                <w:sz w:val="20"/>
                <w:szCs w:val="20"/>
                <w:color w:val="auto"/>
              </w:rPr>
            </w:pPr>
            <w:r>
              <w:rPr>
                <w:rFonts w:ascii="Arial" w:cs="Arial" w:eastAsia="Arial" w:hAnsi="Arial"/>
                <w:sz w:val="13"/>
                <w:szCs w:val="13"/>
                <w:b w:val="1"/>
                <w:bCs w:val="1"/>
                <w:color w:val="auto"/>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b w:val="1"/>
                <w:bCs w:val="1"/>
                <w:color w:val="auto"/>
              </w:rPr>
              <w:t>(170,677)</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256,525</w:t>
            </w:r>
          </w:p>
        </w:tc>
        <w:tc>
          <w:tcPr>
            <w:tcW w:w="120" w:type="dxa"/>
            <w:vAlign w:val="bottom"/>
            <w:shd w:val="clear" w:color="auto" w:fill="CFF0FC"/>
          </w:tcPr>
          <w:p>
            <w:pPr>
              <w:spacing w:after="0"/>
              <w:rPr>
                <w:sz w:val="12"/>
                <w:szCs w:val="12"/>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3,899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3,899</w:t>
            </w:r>
          </w:p>
        </w:tc>
        <w:tc>
          <w:tcPr>
            <w:tcW w:w="120" w:type="dxa"/>
            <w:vAlign w:val="bottom"/>
          </w:tcPr>
          <w:p>
            <w:pPr>
              <w:spacing w:after="0"/>
              <w:rPr>
                <w:sz w:val="12"/>
                <w:szCs w:val="12"/>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440" w:type="dxa"/>
            <w:vAlign w:val="bottom"/>
          </w:tcPr>
          <w:p>
            <w:pPr>
              <w:jc w:val="right"/>
              <w:spacing w:after="0"/>
              <w:rPr>
                <w:sz w:val="20"/>
                <w:szCs w:val="20"/>
                <w:color w:val="auto"/>
              </w:rPr>
            </w:pPr>
            <w:r>
              <w:rPr>
                <w:rFonts w:ascii="Arial" w:cs="Arial" w:eastAsia="Arial" w:hAnsi="Arial"/>
                <w:sz w:val="13"/>
                <w:szCs w:val="13"/>
                <w:color w:val="auto"/>
              </w:rPr>
              <w:t>10</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ATM facility, net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of offering costs of $67</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8,130</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8,130</w:t>
            </w:r>
          </w:p>
        </w:tc>
        <w:tc>
          <w:tcPr>
            <w:tcW w:w="120" w:type="dxa"/>
            <w:vAlign w:val="bottom"/>
            <w:shd w:val="clear" w:color="auto" w:fill="CFF0FC"/>
          </w:tcPr>
          <w:p>
            <w:pPr>
              <w:spacing w:after="0"/>
              <w:rPr>
                <w:sz w:val="12"/>
                <w:szCs w:val="12"/>
                <w:color w:val="auto"/>
              </w:rPr>
            </w:pPr>
          </w:p>
        </w:tc>
      </w:tr>
      <w:tr>
        <w:trPr>
          <w:trHeight w:val="134"/>
        </w:trPr>
        <w:tc>
          <w:tcPr>
            <w:tcW w:w="3960" w:type="dxa"/>
            <w:vAlign w:val="bottom"/>
            <w:gridSpan w:val="2"/>
          </w:tcPr>
          <w:p>
            <w:pPr>
              <w:ind w:left="260"/>
              <w:spacing w:after="0" w:line="134" w:lineRule="exact"/>
              <w:rPr>
                <w:sz w:val="20"/>
                <w:szCs w:val="20"/>
                <w:color w:val="auto"/>
              </w:rPr>
            </w:pPr>
            <w:r>
              <w:rPr>
                <w:rFonts w:ascii="Arial" w:cs="Arial" w:eastAsia="Arial" w:hAnsi="Arial"/>
                <w:sz w:val="13"/>
                <w:szCs w:val="13"/>
                <w:color w:val="auto"/>
              </w:rPr>
              <w:t>Issuance of common stock under the 2018</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employee stock purchase plan</w:t>
            </w: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(28,828)</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(28,828)</w:t>
            </w: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as of June 30, 2020</w:t>
            </w:r>
          </w:p>
        </w:tc>
        <w:tc>
          <w:tcPr>
            <w:tcW w:w="9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36,432</w:t>
            </w:r>
          </w:p>
        </w:tc>
        <w:tc>
          <w:tcPr>
            <w:tcW w:w="2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982"/>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439,288</w:t>
            </w:r>
          </w:p>
        </w:tc>
        <w:tc>
          <w:tcPr>
            <w:tcW w:w="2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(199,505)</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239,787</w:t>
            </w:r>
          </w:p>
        </w:tc>
        <w:tc>
          <w:tcPr>
            <w:tcW w:w="12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56"/>
              <w:spacing w:after="0"/>
              <w:rPr>
                <w:sz w:val="20"/>
                <w:szCs w:val="20"/>
                <w:color w:val="auto"/>
              </w:rPr>
            </w:pPr>
            <w:r>
              <w:rPr>
                <w:rFonts w:ascii="Arial" w:cs="Arial" w:eastAsia="Arial" w:hAnsi="Arial"/>
                <w:sz w:val="14"/>
                <w:szCs w:val="14"/>
                <w:b w:val="1"/>
                <w:bCs w:val="1"/>
                <w:color w:val="auto"/>
                <w:w w:val="93"/>
              </w:rPr>
              <w:t>Six Months Ended June 30, 2020</w:t>
            </w:r>
          </w:p>
        </w:tc>
        <w:tc>
          <w:tcPr>
            <w:tcW w:w="1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4"/>
        </w:trPr>
        <w:tc>
          <w:tcPr>
            <w:tcW w:w="3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57"/>
              <w:spacing w:after="0" w:line="12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0"/>
                <w:szCs w:val="10"/>
                <w:color w:val="auto"/>
              </w:rPr>
            </w:pP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237"/>
        </w:trPr>
        <w:tc>
          <w:tcPr>
            <w:tcW w:w="300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22"/>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0"/>
              </w:rPr>
              <w:t>Paid-in Capital</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Equity</w:t>
            </w:r>
          </w:p>
        </w:tc>
      </w:tr>
      <w:tr>
        <w:trPr>
          <w:trHeight w:val="148"/>
        </w:trPr>
        <w:tc>
          <w:tcPr>
            <w:tcW w:w="39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2019</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31,643</w:t>
            </w:r>
          </w:p>
        </w:tc>
        <w:tc>
          <w:tcPr>
            <w:tcW w:w="1360" w:type="dxa"/>
            <w:vAlign w:val="bottom"/>
            <w:gridSpan w:val="2"/>
            <w:shd w:val="clear" w:color="auto" w:fill="CFF0FC"/>
          </w:tcPr>
          <w:p>
            <w:pPr>
              <w:jc w:val="right"/>
              <w:ind w:right="982"/>
              <w:spacing w:after="0"/>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330,714</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3"/>
                <w:szCs w:val="13"/>
                <w:b w:val="1"/>
                <w:bCs w:val="1"/>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b w:val="1"/>
                <w:bCs w:val="1"/>
                <w:color w:val="auto"/>
              </w:rPr>
              <w:t>(144,704)</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186,013</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6,721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6,721</w:t>
            </w:r>
          </w:p>
        </w:tc>
        <w:tc>
          <w:tcPr>
            <w:tcW w:w="120" w:type="dxa"/>
            <w:vAlign w:val="bottom"/>
          </w:tcPr>
          <w:p>
            <w:pPr>
              <w:spacing w:after="0"/>
              <w:rPr>
                <w:sz w:val="12"/>
                <w:szCs w:val="12"/>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440" w:type="dxa"/>
            <w:vAlign w:val="bottom"/>
          </w:tcPr>
          <w:p>
            <w:pPr>
              <w:jc w:val="right"/>
              <w:spacing w:after="0"/>
              <w:rPr>
                <w:sz w:val="20"/>
                <w:szCs w:val="20"/>
                <w:color w:val="auto"/>
              </w:rPr>
            </w:pPr>
            <w:r>
              <w:rPr>
                <w:rFonts w:ascii="Arial" w:cs="Arial" w:eastAsia="Arial" w:hAnsi="Arial"/>
                <w:sz w:val="13"/>
                <w:szCs w:val="13"/>
                <w:color w:val="auto"/>
              </w:rPr>
              <w:t>21</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upon public offering,</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net of offering costs of $419</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93,627</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93,628</w:t>
            </w:r>
          </w:p>
        </w:tc>
        <w:tc>
          <w:tcPr>
            <w:tcW w:w="120" w:type="dxa"/>
            <w:vAlign w:val="bottom"/>
            <w:shd w:val="clear" w:color="auto" w:fill="CFF0FC"/>
          </w:tcPr>
          <w:p>
            <w:pPr>
              <w:spacing w:after="0"/>
              <w:rPr>
                <w:sz w:val="12"/>
                <w:szCs w:val="12"/>
                <w:color w:val="auto"/>
              </w:rPr>
            </w:pPr>
          </w:p>
        </w:tc>
      </w:tr>
      <w:tr>
        <w:trPr>
          <w:trHeight w:val="134"/>
        </w:trPr>
        <w:tc>
          <w:tcPr>
            <w:tcW w:w="3960" w:type="dxa"/>
            <w:vAlign w:val="bottom"/>
            <w:gridSpan w:val="2"/>
          </w:tcPr>
          <w:p>
            <w:pPr>
              <w:ind w:left="260"/>
              <w:spacing w:after="0" w:line="134" w:lineRule="exact"/>
              <w:rPr>
                <w:sz w:val="20"/>
                <w:szCs w:val="20"/>
                <w:color w:val="auto"/>
              </w:rPr>
            </w:pPr>
            <w:r>
              <w:rPr>
                <w:rFonts w:ascii="Arial" w:cs="Arial" w:eastAsia="Arial" w:hAnsi="Arial"/>
                <w:sz w:val="13"/>
                <w:szCs w:val="13"/>
                <w:color w:val="auto"/>
              </w:rPr>
              <w:t>Issuance of common stock under ATM facility, net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of offering costs of $67</w:t>
            </w:r>
          </w:p>
        </w:tc>
        <w:tc>
          <w:tcPr>
            <w:tcW w:w="440" w:type="dxa"/>
            <w:vAlign w:val="bottom"/>
          </w:tcPr>
          <w:p>
            <w:pPr>
              <w:jc w:val="right"/>
              <w:spacing w:after="0"/>
              <w:rPr>
                <w:sz w:val="20"/>
                <w:szCs w:val="20"/>
                <w:color w:val="auto"/>
              </w:rPr>
            </w:pPr>
            <w:r>
              <w:rPr>
                <w:rFonts w:ascii="Arial" w:cs="Arial" w:eastAsia="Arial" w:hAnsi="Arial"/>
                <w:sz w:val="13"/>
                <w:szCs w:val="13"/>
                <w:color w:val="auto"/>
              </w:rPr>
              <w:t>384</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8,130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8,130</w:t>
            </w:r>
          </w:p>
        </w:tc>
        <w:tc>
          <w:tcPr>
            <w:tcW w:w="120" w:type="dxa"/>
            <w:vAlign w:val="bottom"/>
          </w:tcPr>
          <w:p>
            <w:pPr>
              <w:spacing w:after="0"/>
              <w:rPr>
                <w:sz w:val="12"/>
                <w:szCs w:val="12"/>
                <w:color w:val="auto"/>
              </w:rPr>
            </w:pP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the 2018</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(54,801)</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(54,801)</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June 30, 2020</w:t>
            </w:r>
          </w:p>
        </w:tc>
        <w:tc>
          <w:tcPr>
            <w:tcW w:w="96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36,432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ind w:right="982"/>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439,288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(199,505)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239,787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36"/>
              <w:spacing w:after="0"/>
              <w:rPr>
                <w:sz w:val="20"/>
                <w:szCs w:val="20"/>
                <w:color w:val="auto"/>
              </w:rPr>
            </w:pPr>
            <w:r>
              <w:rPr>
                <w:rFonts w:ascii="Arial" w:cs="Arial" w:eastAsia="Arial" w:hAnsi="Arial"/>
                <w:sz w:val="14"/>
                <w:szCs w:val="14"/>
                <w:b w:val="1"/>
                <w:bCs w:val="1"/>
                <w:color w:val="auto"/>
                <w:w w:val="93"/>
              </w:rPr>
              <w:t>Three Months Ended June 30, 2021</w:t>
            </w: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4"/>
        </w:trPr>
        <w:tc>
          <w:tcPr>
            <w:tcW w:w="3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57"/>
              <w:spacing w:after="0" w:line="12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0"/>
                <w:szCs w:val="10"/>
                <w:color w:val="auto"/>
              </w:rPr>
            </w:pP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37"/>
        </w:trPr>
        <w:tc>
          <w:tcPr>
            <w:tcW w:w="3000" w:type="dxa"/>
            <w:vAlign w:val="bottom"/>
          </w:tcPr>
          <w:p>
            <w:pPr>
              <w:spacing w:after="0"/>
              <w:rPr>
                <w:sz w:val="11"/>
                <w:szCs w:val="11"/>
                <w:color w:val="auto"/>
              </w:rPr>
            </w:pPr>
          </w:p>
        </w:tc>
        <w:tc>
          <w:tcPr>
            <w:tcW w:w="960" w:type="dxa"/>
            <w:vAlign w:val="bottom"/>
          </w:tcPr>
          <w:p>
            <w:pPr>
              <w:ind w:left="500"/>
              <w:spacing w:after="0" w:line="138" w:lineRule="exact"/>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122"/>
              <w:spacing w:after="0" w:line="138"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137"/>
              <w:spacing w:after="0" w:line="138" w:lineRule="exact"/>
              <w:rPr>
                <w:sz w:val="20"/>
                <w:szCs w:val="20"/>
                <w:color w:val="auto"/>
              </w:rPr>
            </w:pPr>
            <w:r>
              <w:rPr>
                <w:rFonts w:ascii="Arial" w:cs="Arial" w:eastAsia="Arial" w:hAnsi="Arial"/>
                <w:sz w:val="13"/>
                <w:szCs w:val="13"/>
                <w:b w:val="1"/>
                <w:bCs w:val="1"/>
                <w:color w:val="auto"/>
                <w:w w:val="90"/>
              </w:rPr>
              <w:t>Paid-in Capital</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right"/>
              <w:ind w:right="800"/>
              <w:spacing w:after="0" w:line="138"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1"/>
                <w:szCs w:val="11"/>
                <w:color w:val="auto"/>
              </w:rPr>
            </w:pPr>
          </w:p>
        </w:tc>
        <w:tc>
          <w:tcPr>
            <w:tcW w:w="134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0"/>
              </w:rPr>
              <w:t>Equity</w:t>
            </w:r>
          </w:p>
        </w:tc>
      </w:tr>
      <w:tr>
        <w:trPr>
          <w:trHeight w:val="153"/>
        </w:trPr>
        <w:tc>
          <w:tcPr>
            <w:tcW w:w="3960" w:type="dxa"/>
            <w:vAlign w:val="bottom"/>
            <w:gridSpan w:val="2"/>
          </w:tcPr>
          <w:p>
            <w:pPr>
              <w:spacing w:after="0"/>
              <w:rPr>
                <w:sz w:val="20"/>
                <w:szCs w:val="20"/>
                <w:color w:val="auto"/>
              </w:rPr>
            </w:pPr>
            <w:r>
              <w:rPr>
                <w:rFonts w:ascii="Arial" w:cs="Arial" w:eastAsia="Arial" w:hAnsi="Arial"/>
                <w:sz w:val="13"/>
                <w:szCs w:val="13"/>
                <w:b w:val="1"/>
                <w:bCs w:val="1"/>
                <w:color w:val="auto"/>
              </w:rPr>
              <w:t>Balance as of March 31, 2021</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41,766</w:t>
            </w:r>
          </w:p>
        </w:tc>
        <w:tc>
          <w:tcPr>
            <w:tcW w:w="1360" w:type="dxa"/>
            <w:vAlign w:val="bottom"/>
            <w:gridSpan w:val="2"/>
          </w:tcPr>
          <w:p>
            <w:pPr>
              <w:jc w:val="right"/>
              <w:ind w:right="982"/>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w:t>
            </w:r>
          </w:p>
        </w:tc>
        <w:tc>
          <w:tcPr>
            <w:tcW w:w="46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524,241</w:t>
            </w:r>
          </w:p>
        </w:tc>
        <w:tc>
          <w:tcPr>
            <w:tcW w:w="50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(291,315)</w:t>
            </w: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232,930</w:t>
            </w:r>
          </w:p>
        </w:tc>
        <w:tc>
          <w:tcPr>
            <w:tcW w:w="120" w:type="dxa"/>
            <w:vAlign w:val="bottom"/>
          </w:tcPr>
          <w:p>
            <w:pPr>
              <w:spacing w:after="0"/>
              <w:rPr>
                <w:sz w:val="13"/>
                <w:szCs w:val="13"/>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4,691</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4,691</w:t>
            </w:r>
          </w:p>
        </w:tc>
        <w:tc>
          <w:tcPr>
            <w:tcW w:w="120" w:type="dxa"/>
            <w:vAlign w:val="bottom"/>
            <w:shd w:val="clear" w:color="auto" w:fill="CFF0FC"/>
          </w:tcPr>
          <w:p>
            <w:pPr>
              <w:spacing w:after="0"/>
              <w:rPr>
                <w:sz w:val="12"/>
                <w:szCs w:val="12"/>
                <w:color w:val="auto"/>
              </w:rPr>
            </w:pPr>
          </w:p>
        </w:tc>
      </w:tr>
      <w:tr>
        <w:trPr>
          <w:trHeight w:val="134"/>
        </w:trPr>
        <w:tc>
          <w:tcPr>
            <w:tcW w:w="3960" w:type="dxa"/>
            <w:vAlign w:val="bottom"/>
            <w:gridSpan w:val="2"/>
          </w:tcPr>
          <w:p>
            <w:pPr>
              <w:ind w:left="260"/>
              <w:spacing w:after="0" w:line="134" w:lineRule="exact"/>
              <w:rPr>
                <w:sz w:val="20"/>
                <w:szCs w:val="20"/>
                <w:color w:val="auto"/>
              </w:rPr>
            </w:pPr>
            <w:r>
              <w:rPr>
                <w:rFonts w:ascii="Arial" w:cs="Arial" w:eastAsia="Arial" w:hAnsi="Arial"/>
                <w:sz w:val="13"/>
                <w:szCs w:val="13"/>
                <w:color w:val="auto"/>
              </w:rPr>
              <w:t>Issuance of common stock under ATM facility, net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of offering costs of $67</w:t>
            </w:r>
          </w:p>
        </w:tc>
        <w:tc>
          <w:tcPr>
            <w:tcW w:w="440" w:type="dxa"/>
            <w:vAlign w:val="bottom"/>
          </w:tcPr>
          <w:p>
            <w:pPr>
              <w:jc w:val="right"/>
              <w:spacing w:after="0"/>
              <w:rPr>
                <w:sz w:val="20"/>
                <w:szCs w:val="20"/>
                <w:color w:val="auto"/>
              </w:rPr>
            </w:pPr>
            <w:r>
              <w:rPr>
                <w:rFonts w:ascii="Arial" w:cs="Arial" w:eastAsia="Arial" w:hAnsi="Arial"/>
                <w:sz w:val="13"/>
                <w:szCs w:val="13"/>
                <w:color w:val="auto"/>
              </w:rPr>
              <w:t>1,829</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14,550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14,550</w:t>
            </w:r>
          </w:p>
        </w:tc>
        <w:tc>
          <w:tcPr>
            <w:tcW w:w="120" w:type="dxa"/>
            <w:vAlign w:val="bottom"/>
          </w:tcPr>
          <w:p>
            <w:pPr>
              <w:spacing w:after="0"/>
              <w:rPr>
                <w:sz w:val="12"/>
                <w:szCs w:val="12"/>
                <w:color w:val="auto"/>
              </w:rPr>
            </w:pP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the 2018</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3"/>
                <w:szCs w:val="13"/>
                <w:color w:val="auto"/>
              </w:rPr>
              <w:t>(31,387)</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(31,387)</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June 30, 2021</w:t>
            </w:r>
          </w:p>
        </w:tc>
        <w:tc>
          <w:tcPr>
            <w:tcW w:w="96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43,623</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ind w:right="982"/>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543,690</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0"/>
                <w:szCs w:val="10"/>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(322,702)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220,992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56"/>
              <w:spacing w:after="0"/>
              <w:rPr>
                <w:sz w:val="20"/>
                <w:szCs w:val="20"/>
                <w:color w:val="auto"/>
              </w:rPr>
            </w:pPr>
            <w:r>
              <w:rPr>
                <w:rFonts w:ascii="Arial" w:cs="Arial" w:eastAsia="Arial" w:hAnsi="Arial"/>
                <w:sz w:val="14"/>
                <w:szCs w:val="14"/>
                <w:b w:val="1"/>
                <w:bCs w:val="1"/>
                <w:color w:val="auto"/>
                <w:w w:val="93"/>
              </w:rPr>
              <w:t>Six Months Ended June 30, 2021</w:t>
            </w:r>
          </w:p>
        </w:tc>
        <w:tc>
          <w:tcPr>
            <w:tcW w:w="1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4"/>
        </w:trPr>
        <w:tc>
          <w:tcPr>
            <w:tcW w:w="3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57"/>
              <w:spacing w:after="0" w:line="12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0"/>
                <w:szCs w:val="10"/>
                <w:color w:val="auto"/>
              </w:rPr>
            </w:pP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37"/>
        </w:trPr>
        <w:tc>
          <w:tcPr>
            <w:tcW w:w="3000" w:type="dxa"/>
            <w:vAlign w:val="bottom"/>
          </w:tcPr>
          <w:p>
            <w:pPr>
              <w:spacing w:after="0"/>
              <w:rPr>
                <w:sz w:val="11"/>
                <w:szCs w:val="11"/>
                <w:color w:val="auto"/>
              </w:rPr>
            </w:pPr>
          </w:p>
        </w:tc>
        <w:tc>
          <w:tcPr>
            <w:tcW w:w="960" w:type="dxa"/>
            <w:vAlign w:val="bottom"/>
          </w:tcPr>
          <w:p>
            <w:pPr>
              <w:ind w:left="500"/>
              <w:spacing w:after="0" w:line="138" w:lineRule="exact"/>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122"/>
              <w:spacing w:after="0" w:line="138"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137"/>
              <w:spacing w:after="0" w:line="138" w:lineRule="exact"/>
              <w:rPr>
                <w:sz w:val="20"/>
                <w:szCs w:val="20"/>
                <w:color w:val="auto"/>
              </w:rPr>
            </w:pPr>
            <w:r>
              <w:rPr>
                <w:rFonts w:ascii="Arial" w:cs="Arial" w:eastAsia="Arial" w:hAnsi="Arial"/>
                <w:sz w:val="13"/>
                <w:szCs w:val="13"/>
                <w:b w:val="1"/>
                <w:bCs w:val="1"/>
                <w:color w:val="auto"/>
                <w:w w:val="90"/>
              </w:rPr>
              <w:t>Paid-in Capital</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right"/>
              <w:ind w:right="800"/>
              <w:spacing w:after="0" w:line="138"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1"/>
                <w:szCs w:val="11"/>
                <w:color w:val="auto"/>
              </w:rPr>
            </w:pPr>
          </w:p>
        </w:tc>
        <w:tc>
          <w:tcPr>
            <w:tcW w:w="134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0"/>
              </w:rPr>
              <w:t>Equity</w:t>
            </w:r>
          </w:p>
        </w:tc>
      </w:tr>
      <w:tr>
        <w:trPr>
          <w:trHeight w:val="153"/>
        </w:trPr>
        <w:tc>
          <w:tcPr>
            <w:tcW w:w="3960" w:type="dxa"/>
            <w:vAlign w:val="bottom"/>
            <w:gridSpan w:val="2"/>
          </w:tcPr>
          <w:p>
            <w:pPr>
              <w:spacing w:after="0"/>
              <w:rPr>
                <w:sz w:val="20"/>
                <w:szCs w:val="20"/>
                <w:color w:val="auto"/>
              </w:rPr>
            </w:pPr>
            <w:r>
              <w:rPr>
                <w:rFonts w:ascii="Arial" w:cs="Arial" w:eastAsia="Arial" w:hAnsi="Arial"/>
                <w:sz w:val="13"/>
                <w:szCs w:val="13"/>
                <w:b w:val="1"/>
                <w:bCs w:val="1"/>
                <w:color w:val="auto"/>
              </w:rPr>
              <w:t>Balance as of December 31, 2020</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41,569</w:t>
            </w:r>
          </w:p>
        </w:tc>
        <w:tc>
          <w:tcPr>
            <w:tcW w:w="1360" w:type="dxa"/>
            <w:vAlign w:val="bottom"/>
            <w:gridSpan w:val="2"/>
          </w:tcPr>
          <w:p>
            <w:pPr>
              <w:jc w:val="right"/>
              <w:ind w:right="982"/>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4</w:t>
            </w:r>
          </w:p>
        </w:tc>
        <w:tc>
          <w:tcPr>
            <w:tcW w:w="46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518,756</w:t>
            </w:r>
          </w:p>
        </w:tc>
        <w:tc>
          <w:tcPr>
            <w:tcW w:w="48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(264,416)</w:t>
            </w: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254,344</w:t>
            </w:r>
          </w:p>
        </w:tc>
        <w:tc>
          <w:tcPr>
            <w:tcW w:w="120" w:type="dxa"/>
            <w:vAlign w:val="bottom"/>
          </w:tcPr>
          <w:p>
            <w:pPr>
              <w:spacing w:after="0"/>
              <w:rPr>
                <w:sz w:val="13"/>
                <w:szCs w:val="13"/>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9,326</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9,326</w:t>
            </w:r>
          </w:p>
        </w:tc>
        <w:tc>
          <w:tcPr>
            <w:tcW w:w="120" w:type="dxa"/>
            <w:vAlign w:val="bottom"/>
            <w:shd w:val="clear" w:color="auto" w:fill="CFF0FC"/>
          </w:tcPr>
          <w:p>
            <w:pPr>
              <w:spacing w:after="0"/>
              <w:rPr>
                <w:sz w:val="12"/>
                <w:szCs w:val="12"/>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Exercise of stock options</w:t>
            </w:r>
          </w:p>
        </w:tc>
        <w:tc>
          <w:tcPr>
            <w:tcW w:w="440" w:type="dxa"/>
            <w:vAlign w:val="bottom"/>
          </w:tcPr>
          <w:p>
            <w:pPr>
              <w:jc w:val="right"/>
              <w:spacing w:after="0"/>
              <w:rPr>
                <w:sz w:val="20"/>
                <w:szCs w:val="20"/>
                <w:color w:val="auto"/>
              </w:rPr>
            </w:pPr>
            <w:r>
              <w:rPr>
                <w:rFonts w:ascii="Arial" w:cs="Arial" w:eastAsia="Arial" w:hAnsi="Arial"/>
                <w:sz w:val="13"/>
                <w:szCs w:val="13"/>
                <w:color w:val="auto"/>
              </w:rPr>
              <w:t>197</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850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850</w:t>
            </w:r>
          </w:p>
        </w:tc>
        <w:tc>
          <w:tcPr>
            <w:tcW w:w="120" w:type="dxa"/>
            <w:vAlign w:val="bottom"/>
          </w:tcPr>
          <w:p>
            <w:pPr>
              <w:spacing w:after="0"/>
              <w:rPr>
                <w:sz w:val="12"/>
                <w:szCs w:val="12"/>
                <w:color w:val="auto"/>
              </w:rPr>
            </w:pP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ATM facility, net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of offering costs of $67</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1,829</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14,550</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14,550</w:t>
            </w:r>
          </w:p>
        </w:tc>
        <w:tc>
          <w:tcPr>
            <w:tcW w:w="120" w:type="dxa"/>
            <w:vAlign w:val="bottom"/>
            <w:shd w:val="clear" w:color="auto" w:fill="CFF0FC"/>
          </w:tcPr>
          <w:p>
            <w:pPr>
              <w:spacing w:after="0"/>
              <w:rPr>
                <w:sz w:val="12"/>
                <w:szCs w:val="12"/>
                <w:color w:val="auto"/>
              </w:rPr>
            </w:pPr>
          </w:p>
        </w:tc>
      </w:tr>
      <w:tr>
        <w:trPr>
          <w:trHeight w:val="134"/>
        </w:trPr>
        <w:tc>
          <w:tcPr>
            <w:tcW w:w="3960" w:type="dxa"/>
            <w:vAlign w:val="bottom"/>
            <w:gridSpan w:val="2"/>
          </w:tcPr>
          <w:p>
            <w:pPr>
              <w:ind w:left="260"/>
              <w:spacing w:after="0" w:line="134" w:lineRule="exact"/>
              <w:rPr>
                <w:sz w:val="20"/>
                <w:szCs w:val="20"/>
                <w:color w:val="auto"/>
              </w:rPr>
            </w:pPr>
            <w:r>
              <w:rPr>
                <w:rFonts w:ascii="Arial" w:cs="Arial" w:eastAsia="Arial" w:hAnsi="Arial"/>
                <w:sz w:val="13"/>
                <w:szCs w:val="13"/>
                <w:color w:val="auto"/>
              </w:rPr>
              <w:t>Issuance of common stock under the 2018</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employee stock purchase plan</w:t>
            </w:r>
          </w:p>
        </w:tc>
        <w:tc>
          <w:tcPr>
            <w:tcW w:w="440" w:type="dxa"/>
            <w:vAlign w:val="bottom"/>
          </w:tcPr>
          <w:p>
            <w:pPr>
              <w:jc w:val="right"/>
              <w:spacing w:after="0"/>
              <w:rPr>
                <w:sz w:val="20"/>
                <w:szCs w:val="20"/>
                <w:color w:val="auto"/>
              </w:rPr>
            </w:pPr>
            <w:r>
              <w:rPr>
                <w:rFonts w:ascii="Arial" w:cs="Arial" w:eastAsia="Arial" w:hAnsi="Arial"/>
                <w:sz w:val="13"/>
                <w:szCs w:val="13"/>
                <w:color w:val="auto"/>
              </w:rPr>
              <w:t>28</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208</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12"/>
                <w:szCs w:val="12"/>
                <w:color w:val="auto"/>
              </w:rPr>
            </w:pPr>
          </w:p>
        </w:tc>
      </w:tr>
      <w:tr>
        <w:trPr>
          <w:trHeight w:val="148"/>
        </w:trPr>
        <w:tc>
          <w:tcPr>
            <w:tcW w:w="39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(58,286)</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(58,286)</w:t>
            </w: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as of June 30, 2021</w:t>
            </w:r>
          </w:p>
        </w:tc>
        <w:tc>
          <w:tcPr>
            <w:tcW w:w="9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43,623</w:t>
            </w:r>
          </w:p>
        </w:tc>
        <w:tc>
          <w:tcPr>
            <w:tcW w:w="2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982"/>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543,690</w:t>
            </w:r>
          </w:p>
        </w:tc>
        <w:tc>
          <w:tcPr>
            <w:tcW w:w="2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(322,702)</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220,992</w:t>
            </w:r>
          </w:p>
        </w:tc>
        <w:tc>
          <w:tcPr>
            <w:tcW w:w="12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(58,286)</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(54,801)</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9,326</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Deferred rent expense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(653)</w:t>
            </w: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3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(47,304)</w:t>
            </w:r>
          </w:p>
        </w:tc>
        <w:tc>
          <w:tcPr>
            <w:tcW w:w="3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(1,344)</w:t>
            </w: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3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8"/>
                <w:szCs w:val="18"/>
                <w:color w:val="auto"/>
              </w:rPr>
              <w:t>Proceeds from issuance of common shares upon completion of public offering,</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net of offering costs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shares under ATM facility, net of offering costs paid</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14,550</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7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ESPP shares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15,404</w:t>
            </w:r>
          </w:p>
        </w:tc>
        <w:tc>
          <w:tcPr>
            <w:tcW w:w="30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(33,244)</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260,174</w:t>
            </w:r>
          </w:p>
        </w:tc>
        <w:tc>
          <w:tcPr>
            <w:tcW w:w="3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226,930</w:t>
            </w:r>
          </w:p>
        </w:tc>
        <w:tc>
          <w:tcPr>
            <w:tcW w:w="3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4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160" w:type="dxa"/>
            <w:vAlign w:val="bottom"/>
          </w:tcPr>
          <w:p>
            <w:pPr>
              <w:spacing w:after="0"/>
              <w:rPr>
                <w:sz w:val="20"/>
                <w:szCs w:val="20"/>
                <w:color w:val="auto"/>
              </w:rPr>
            </w:pPr>
            <w:r>
              <w:rPr>
                <w:rFonts w:ascii="Arial" w:cs="Arial" w:eastAsia="Arial" w:hAnsi="Arial"/>
                <w:sz w:val="18"/>
                <w:szCs w:val="18"/>
                <w:b w:val="1"/>
                <w:bCs w:val="1"/>
                <w:color w:val="auto"/>
                <w:w w:val="91"/>
              </w:rPr>
              <w:t>Reconciliation of cash, cash equivalents and restricted cash reported within the condensed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24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226,438</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3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226,930</w:t>
            </w:r>
          </w:p>
        </w:tc>
        <w:tc>
          <w:tcPr>
            <w:tcW w:w="3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 xml:space="preserve">AVROBIO, Inc. (the “Company” or “AVROBIO”) is a clinical-stage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 treatment regimen.</w:t>
      </w:r>
    </w:p>
    <w:p>
      <w:pPr>
        <w:spacing w:after="0" w:line="170" w:lineRule="exact"/>
        <w:rPr>
          <w:sz w:val="20"/>
          <w:szCs w:val="20"/>
          <w:color w:val="auto"/>
        </w:rPr>
      </w:pPr>
    </w:p>
    <w:p>
      <w:pPr>
        <w:ind w:right="160" w:firstLine="510"/>
        <w:spacing w:after="0" w:line="297" w:lineRule="auto"/>
        <w:rPr>
          <w:sz w:val="20"/>
          <w:szCs w:val="20"/>
          <w:color w:val="auto"/>
        </w:rPr>
      </w:pPr>
      <w:r>
        <w:rPr>
          <w:rFonts w:ascii="Arial" w:cs="Arial" w:eastAsia="Arial" w:hAnsi="Arial"/>
          <w:sz w:val="16"/>
          <w:szCs w:val="16"/>
          <w:color w:val="auto"/>
        </w:rPr>
        <w:t>The Company is subject to risks and uncertainties common to clinical-stage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88" w:lineRule="exact"/>
        <w:rPr>
          <w:sz w:val="20"/>
          <w:szCs w:val="20"/>
          <w:color w:val="auto"/>
        </w:rPr>
      </w:pPr>
    </w:p>
    <w:p>
      <w:pPr>
        <w:ind w:right="80" w:firstLine="510"/>
        <w:spacing w:after="0" w:line="274" w:lineRule="auto"/>
        <w:rPr>
          <w:sz w:val="20"/>
          <w:szCs w:val="20"/>
          <w:color w:val="auto"/>
        </w:rPr>
      </w:pPr>
      <w:r>
        <w:rPr>
          <w:rFonts w:ascii="Arial" w:cs="Arial" w:eastAsia="Arial" w:hAnsi="Arial"/>
          <w:sz w:val="17"/>
          <w:szCs w:val="17"/>
          <w:color w:val="auto"/>
        </w:rPr>
        <w:t>The Company has incurred recurring losses since its inception, including net losses of $58,286 and $54,801 for the six months ended June 30, 2021 and 2020, respectively. In addition, as of June 30, 2021, the Company had an accumulated deficit of $322,702. The Company has primarily funded these losses through the proceeds from sales of common and preferred stock. Although the Company has incurred recurring losses and expects to continue to incur losses for the foreseeable future, the Company expects that its existing cash and cash equivalents on hand as of June 30, 2021 of $226,438 will be sufficient to fund current planned operations and capital expenditure requirements for at least the next twelve months from the filing date of this Quarterly Report on Form 10-Q with the Securities and Exchange Commission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71"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The unaudited condensed consolidated financial statements have been prepared on the same basis as the audited annual consolidated financial statements as of and for the year ended December 31, 2020, and, in the opinion of management, reflect all adjustments, consisting of normal recurring adjustments, necessary for the fair presentation of the Company’s financial position as of June 30, 2021, and the results of its operations for the three and six months ended June 30, 2021 and 2020, its statements of stockholders’ equity for the three and six months ended June 30, 2021 and 2020 and its statement of cash flows for the six months ended June 30, 2021 and 2020.</w:t>
      </w:r>
    </w:p>
    <w:p>
      <w:pPr>
        <w:spacing w:after="0" w:line="1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results for the three and six months ended June 30, 2021 are not necessarily indicative of the results to be expected for the year ending December 31, 2021, any other interim periods, or any future year or period. These interim financial statements should be read in conjunction with the audited financial statements as of and for the year ended December 31, 2020, and the notes thereto, which are included in the Company’s Annual Report on Form 10-K for the year ended December 31, 2020, filed with the SEC on March 18, 2021.</w:t>
      </w:r>
    </w:p>
    <w:p>
      <w:pPr>
        <w:spacing w:after="0" w:line="187"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The unaudited condensed consolidated financial statements reflect the application of certain significant accounting policies as described below and elsewhere in these notes to the unaudited condensed consolidated financial statements. As of June 30, 2021, there have been no changes to the Company’s significant accounting policies as described in the Company’s Annual Report on Form 10-K for the fiscal year ended December 31, 2020.</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 w:name="page13"/>
    <w:bookmarkEnd w:id="12"/>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16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Significant estimates relied upon in preparing the unaudited condensed consolidated financial statements include the determination of the fair value of share-based awards issued and the estimation of accrued research and development expenses.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6"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 xml:space="preserve">Prior to the adoption of Accounting Standards Update (“ASU”) No.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the measurement date for non-employee awards was generally the date the services are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16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Given the absence of an active market for the Company’s common stock prior to its initial public offering (“IPO”),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 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likelihood of achieving a liquidity event for the common stock underlying the stock-based awards, such as an IPO or sale of the Company, given prevailing market conditions.</w:t>
      </w:r>
    </w:p>
    <w:p>
      <w:pPr>
        <w:spacing w:after="0" w:line="21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2020, the Company determined the volatility for awards granted up through December 31, 2020 based on an analysis of reported data for a group of guideline companies that issued options with substantially similar terms. Beginning with options granted in 2021, the Company estimates its expected stock volatility using a weighted-average calculation based on the historical volatility of the Company and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580" w:firstLine="510"/>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(Topic 842) Leases,</w:t>
      </w:r>
      <w:r>
        <w:rPr>
          <w:rFonts w:ascii="Arial" w:cs="Arial" w:eastAsia="Arial" w:hAnsi="Arial"/>
          <w:sz w:val="16"/>
          <w:szCs w:val="16"/>
          <w:color w:val="auto"/>
        </w:rPr>
        <w:t xml:space="preserve"> or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entities, ASU 2016-02 is effective for fiscal years beginning after December 15, 2018. As a result of the Company having elected the extended transition period for complying with new or revised accounting standards pursuant to Section 107(b) of the JOBS Act, ASU 2016-02 is effective for the Company for the year ended December 31, 2022, and all interim periods thereafter. Early adoption is permitted. The Company is currently evaluating the impact that the adoption of ASU 2016-02 will have on its consolidated financial statements. Based on this evaluation the Company currently expects that its operating lease commitments will be subject to the new standard and recognized as right-of-use assets and operating lease liabilities upon adoption of this standard, which will increase the Company’s total assets and total liabilities.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or ASU 2016-13. ASU 2016-13 requires that credit losses be reported as an allowance using an expected losses model,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is currently evaluating the effects the adoption of ASU 2016-13 may have on its financial statements.</w:t>
      </w:r>
    </w:p>
    <w:p>
      <w:pPr>
        <w:spacing w:after="0" w:line="19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November 2019, the FASB issued ASU 2019-11,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or ASU 2019-11. ASU 2019-11 is an accounting pronouncement that amends ASU 2016-13, “</w:t>
      </w:r>
      <w:r>
        <w:rPr>
          <w:rFonts w:ascii="Arial" w:cs="Arial" w:eastAsia="Arial" w:hAnsi="Arial"/>
          <w:sz w:val="16"/>
          <w:szCs w:val="16"/>
          <w:i w:val="1"/>
          <w:iCs w:val="1"/>
          <w:color w:val="auto"/>
        </w:rPr>
        <w:t>Financial Instruments – 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The amendments update guidance on reporting credit losses for financial assets. These amendments affect loans,</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2022, and interim periods within those fiscal years. The Company is currently evaluating ASU 2016-13 and ASU 2019-11 and their impact on its consolidated financial statements and financial statement disclosures.</w:t>
      </w:r>
    </w:p>
    <w:p>
      <w:pPr>
        <w:spacing w:after="0" w:line="16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non-EGCs for fiscal years beginning after December 15, 2020 and interim periods within those fiscal years and will be effective for the Company for fiscal years beginning after December 15, 2021 and interim periods beginning after December 15, 2022, assuming the Company remains an EGC. Early adoption is permitted. The Company is currently evaluating the effects the adoption of ASU 2019-12 may have on its financial statements.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The University of Manchester</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spacing w:after="0" w:line="1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As part of the agreement, the Company is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The next anticipated payment milestones under the MPSII License Agreement include $2,000, which would become due following the date of regulatory approval of the clinical trial application for the investigator-sponsored Phase 1/2 clinical trial sponsored by UoM, and $4,000, upon the dosing of the first patient in the investigator-sponsored Phase 1/2 clinical trial sponsored by UoM.</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440" w:firstLine="510"/>
        <w:spacing w:after="0" w:line="269" w:lineRule="auto"/>
        <w:rPr>
          <w:sz w:val="20"/>
          <w:szCs w:val="20"/>
          <w:color w:val="auto"/>
        </w:rPr>
      </w:pPr>
      <w:r>
        <w:rPr>
          <w:rFonts w:ascii="Arial" w:cs="Arial" w:eastAsia="Arial" w:hAnsi="Arial"/>
          <w:sz w:val="18"/>
          <w:szCs w:val="18"/>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expected to equal approximately £9,275 in the aggregate.</w:t>
      </w:r>
    </w:p>
    <w:p>
      <w:pPr>
        <w:spacing w:after="0" w:line="17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For the three months ended June 30, 2021 and 2020, the Company incurred $825 and $0, respectively, related to the CRFA. For the six months ended June 30, 2021 and 2020, the Company incurred $825 and $0, respectively, related to the CRFA.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University Health Network (“UHN”)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For the three months ended June 30, 2021 and 2020, the Company recorded research and development expense related to this agreement with UHN of $24 and $147, respectively, which consists of reimbursable funded study trial costs. For the six months ended June 30, 2021 and 2020, the Company recorded research and development expense related to this agreement with UHN of $68 and $147, respectively, which consists of reimbursable funded study trial costs. No milestone or maintenance fees were incurred related to this agreement in the three or six months ended June 30, 2021 and 2020.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certain patent rights for the commercial development, manufacture, distribution and use of any products or processes resulting from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patent rights related to Interleukin 12. Upon execution of this agreement, the Company paid an upfront license fee of CAD $264. In addition, as part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initial consideration for the license, the Company issued to UHN 1,161,665 shares of the Company’s common stock and agreed to pay UHN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upon the closing of an IPO if certain criteria are met. The fair value of the shares issued to UHN of $480 and the upfront fee was expensed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execution of the agreement. Upon the closing of the IPO in 2018, as the criteria were met, the Company paid UHN $2,000. The Company is also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pay UHN future annual license maintenance fees of CAD $50 on each anniversary of the effective date of the license agreement prior to expiration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and potential future milestone payments of up to CAD $19,275 upon the achievement of specified clinical and regulatory milestones.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also agreed to pay UHN royalties of a low single-digit percentage of net sales of licensed products sold by the Company. If the Company grants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sublicense rights under the license agreement, the Company has agreed to pay UHN a low double-digit royalty percentage of any sublicense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received by the Company.</w:t>
      </w:r>
    </w:p>
    <w:p>
      <w:pPr>
        <w:spacing w:after="0" w:line="21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6"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For the three months ended June 30, 2021 and 2020, the the Company did not record research and development expense related to this agreement with UHN. For the six months ended June 30, 2021 and 2020, the Company recorded research and development expense related to this agreement with UHN of $39 and $38, respectively, which consists of license maintenance fees. No milestone fees were incurred related to this agreement in the three and six months ended June 30, 2021 and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recognized no expenses related to the license for the three and six months ended June 30, 2021 and 2020.</w:t>
      </w:r>
    </w:p>
    <w:p>
      <w:pPr>
        <w:spacing w:after="0" w:line="22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recognized no expenses related to this agreement for the three and six months ended June 30, 2021 and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recognized no expenses related to this agreement for the three and six months ended June 30, 2021 and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June 30, 2021 and December 31, 2020:</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9"/>
          </w:tcPr>
          <w:p>
            <w:pPr>
              <w:jc w:val="right"/>
              <w:ind w:right="167"/>
              <w:spacing w:after="0"/>
              <w:rPr>
                <w:sz w:val="20"/>
                <w:szCs w:val="20"/>
                <w:color w:val="auto"/>
              </w:rPr>
            </w:pPr>
            <w:r>
              <w:rPr>
                <w:rFonts w:ascii="Arial" w:cs="Arial" w:eastAsia="Arial" w:hAnsi="Arial"/>
                <w:sz w:val="14"/>
                <w:szCs w:val="14"/>
                <w:b w:val="1"/>
                <w:bCs w:val="1"/>
                <w:color w:val="auto"/>
              </w:rPr>
              <w:t>Fair Value Measurements as of June 30, 2021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76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Cash equivalents — 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225,191</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225,191</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225,191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225,191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jc w:val="right"/>
              <w:ind w:right="7"/>
              <w:spacing w:after="0"/>
              <w:rPr>
                <w:sz w:val="20"/>
                <w:szCs w:val="20"/>
                <w:color w:val="auto"/>
              </w:rPr>
            </w:pPr>
            <w:r>
              <w:rPr>
                <w:rFonts w:ascii="Arial" w:cs="Arial" w:eastAsia="Arial" w:hAnsi="Arial"/>
                <w:sz w:val="14"/>
                <w:szCs w:val="14"/>
                <w:b w:val="1"/>
                <w:bCs w:val="1"/>
                <w:color w:val="auto"/>
              </w:rPr>
              <w:t>Fair Value Measurements as of December 31, 2020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76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Cash equivalents — money market funds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44,416</w:t>
            </w:r>
          </w:p>
        </w:tc>
        <w:tc>
          <w:tcPr>
            <w:tcW w:w="100" w:type="dxa"/>
            <w:vAlign w:val="bottom"/>
            <w:tcBorders>
              <w:bottom w:val="single" w:sz="8" w:color="CFF0FC"/>
            </w:tcBorders>
          </w:tcPr>
          <w:p>
            <w:pPr>
              <w:spacing w:after="0"/>
              <w:rPr>
                <w:sz w:val="19"/>
                <w:szCs w:val="19"/>
                <w:color w:val="auto"/>
              </w:rPr>
            </w:pPr>
          </w:p>
        </w:tc>
      </w:tr>
      <w:tr>
        <w:trPr>
          <w:trHeight w:val="331"/>
        </w:trPr>
        <w:tc>
          <w:tcPr>
            <w:tcW w:w="5240" w:type="dxa"/>
            <w:vAlign w:val="bottom"/>
            <w:shd w:val="clear" w:color="auto" w:fill="CFF0FC"/>
          </w:tcPr>
          <w:p>
            <w:pPr>
              <w:spacing w:after="0"/>
              <w:rPr>
                <w:sz w:val="24"/>
                <w:szCs w:val="24"/>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44,416</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44,416</w:t>
            </w:r>
          </w:p>
        </w:tc>
        <w:tc>
          <w:tcPr>
            <w:tcW w:w="100" w:type="dxa"/>
            <w:vAlign w:val="bottom"/>
            <w:shd w:val="clear" w:color="auto" w:fill="CFF0FC"/>
          </w:tcPr>
          <w:p>
            <w:pPr>
              <w:spacing w:after="0"/>
              <w:rPr>
                <w:sz w:val="24"/>
                <w:szCs w:val="24"/>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cash equivalents was determined through quoted prices by third-party pricing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2021, there were no transfers between levels.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700" w:type="dxa"/>
            <w:vAlign w:val="bottom"/>
            <w:tcBorders>
              <w:bottom w:val="single" w:sz="8" w:color="CFF0FC"/>
            </w:tcBorders>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incentive refund</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2"/>
          </w:tcPr>
          <w:p>
            <w:pPr>
              <w:spacing w:after="0"/>
              <w:rPr>
                <w:sz w:val="20"/>
                <w:szCs w:val="20"/>
                <w:color w:val="auto"/>
              </w:rPr>
            </w:pPr>
            <w:r>
              <w:rPr>
                <w:rFonts w:ascii="Arial" w:cs="Arial" w:eastAsia="Arial" w:hAnsi="Arial"/>
                <w:sz w:val="18"/>
                <w:szCs w:val="18"/>
                <w:color w:val="auto"/>
              </w:rPr>
              <w:t>Prepaid research and development expenses</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3,492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2"/>
          </w:tcPr>
          <w:p>
            <w:pPr>
              <w:spacing w:after="0"/>
              <w:rPr>
                <w:sz w:val="20"/>
                <w:szCs w:val="20"/>
                <w:color w:val="auto"/>
              </w:rPr>
            </w:pPr>
            <w:r>
              <w:rPr>
                <w:rFonts w:ascii="Arial" w:cs="Arial" w:eastAsia="Arial" w:hAnsi="Arial"/>
                <w:sz w:val="18"/>
                <w:szCs w:val="18"/>
                <w:color w:val="auto"/>
              </w:rPr>
              <w:t>Prepaid compensation benefits</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consisted of the following:</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3,965</w:t>
            </w:r>
          </w:p>
        </w:tc>
        <w:tc>
          <w:tcPr>
            <w:tcW w:w="8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(3,011)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(2,421)</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3,990</w:t>
            </w: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Depreciation and amortization expense was $299 and $301, respectively, for the three months ended June 30, 2021 and 2020. Depreciation and amortization expense was $589 and $584, respectively, for the six months ended June 30, 2021 and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of June 30, 2021 and December 31, 2020, the Company had restricted cash of $492, which consists of cash used to secure letters of credit for the benefit of the landlord in connection with the Company’s lease agreements. The cash will be restricted until the termination or modification of the lease arrangement.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46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Compensation and benefit costs</w:t>
            </w:r>
          </w:p>
        </w:tc>
        <w:tc>
          <w:tcPr>
            <w:tcW w:w="36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3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6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FF0FC"/>
          </w:tcPr>
          <w:p>
            <w:pPr>
              <w:spacing w:after="0"/>
              <w:rPr>
                <w:sz w:val="20"/>
                <w:szCs w:val="20"/>
                <w:color w:val="auto"/>
              </w:rPr>
            </w:pPr>
          </w:p>
        </w:tc>
        <w:tc>
          <w:tcPr>
            <w:tcW w:w="4680" w:type="dxa"/>
            <w:vAlign w:val="bottom"/>
            <w:gridSpan w:val="2"/>
            <w:shd w:val="clear" w:color="auto" w:fill="CFF0FC"/>
          </w:tcPr>
          <w:p>
            <w:pPr>
              <w:jc w:val="right"/>
              <w:ind w:right="8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14,665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3640" w:type="dxa"/>
            <w:vAlign w:val="bottom"/>
            <w:tcBorders>
              <w:top w:val="single" w:sz="8" w:color="CFF0FC"/>
              <w:bottom w:val="single" w:sz="8" w:color="CFF0FC"/>
            </w:tcBorders>
            <w:vMerge w:val="restart"/>
          </w:tcPr>
          <w:p>
            <w:pPr>
              <w:jc w:val="right"/>
              <w:ind w:right="1916"/>
              <w:spacing w:after="0"/>
              <w:rPr>
                <w:sz w:val="20"/>
                <w:szCs w:val="20"/>
                <w:color w:val="auto"/>
              </w:rPr>
            </w:pPr>
            <w:r>
              <w:rPr>
                <w:rFonts w:ascii="Arial" w:cs="Arial" w:eastAsia="Arial" w:hAnsi="Arial"/>
                <w:sz w:val="18"/>
                <w:szCs w:val="18"/>
                <w:color w:val="auto"/>
              </w:rPr>
              <w:t>13</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8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six months ended June 30, 2021 and 2020 and to the best of the Company’s knowledge, no material legal proceedings are currently pending or threatened.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 xml:space="preserve">The Company is also party to various agreements, principally relating to licensed technology, that require future payments relating to milestones not met at June 30, 2021 and December 31, 2020, or royalties on future sales. No milestone or royalty payments under these agreements are expected to be payable in the immediate future, except as disclosed in Note 3 </w:t>
      </w:r>
      <w:r>
        <w:rPr>
          <w:rFonts w:ascii="Arial" w:cs="Arial" w:eastAsia="Arial" w:hAnsi="Arial"/>
          <w:sz w:val="18"/>
          <w:szCs w:val="18"/>
          <w:i w:val="1"/>
          <w:iCs w:val="1"/>
          <w:color w:val="auto"/>
        </w:rPr>
        <w:t>“License Agreements.”</w:t>
      </w:r>
    </w:p>
    <w:p>
      <w:pPr>
        <w:spacing w:after="0" w:line="184"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June 30, 2021.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ommon Stock</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As of June 30, 2021 and December 31, 2020, the authorized capital stock of the Company included 150,000,000 shares of common stock, $0.0001 par value and 10,000,000 shares of undesignated preferred stock. As of June 30, 2021 and December 31, 2020, no undesignated preferred stock was outstanding.</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no cash dividends have been declared or paid.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and December 31, 2020, the Company has reserved the following shares of common stock for future issuance: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3200" w:type="dxa"/>
            <w:vAlign w:val="bottom"/>
            <w:tcBorders>
              <w:bottom w:val="single" w:sz="8" w:color="CFF0FC"/>
            </w:tcBorders>
          </w:tcPr>
          <w:p>
            <w:pPr>
              <w:spacing w:after="0"/>
              <w:rPr>
                <w:sz w:val="14"/>
                <w:szCs w:val="14"/>
                <w:color w:val="auto"/>
              </w:rPr>
            </w:pPr>
          </w:p>
        </w:tc>
        <w:tc>
          <w:tcPr>
            <w:tcW w:w="35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8,412,822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5,559,545</w:t>
            </w:r>
          </w:p>
        </w:tc>
        <w:tc>
          <w:tcPr>
            <w:tcW w:w="8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772,511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issuance under the 2018</w:t>
            </w:r>
          </w:p>
        </w:tc>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and Grant Plan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1,863,992</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3,877,478</w:t>
            </w:r>
          </w:p>
        </w:tc>
        <w:tc>
          <w:tcPr>
            <w:tcW w:w="8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88"/>
              </w:rPr>
              <w:t>Shares reserved for issuance under the 2018</w:t>
            </w:r>
          </w:p>
        </w:tc>
        <w:tc>
          <w:tcPr>
            <w:tcW w:w="35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100" w:type="dxa"/>
            <w:vAlign w:val="bottom"/>
          </w:tcPr>
          <w:p>
            <w:pPr>
              <w:jc w:val="right"/>
              <w:spacing w:after="0"/>
              <w:rPr>
                <w:sz w:val="20"/>
                <w:szCs w:val="20"/>
                <w:color w:val="auto"/>
              </w:rPr>
            </w:pPr>
            <w:r>
              <w:rPr>
                <w:rFonts w:ascii="Arial" w:cs="Arial" w:eastAsia="Arial" w:hAnsi="Arial"/>
                <w:sz w:val="18"/>
                <w:szCs w:val="18"/>
                <w:color w:val="auto"/>
              </w:rPr>
              <w:t>1,151,010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762,900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issuance under the 2019</w:t>
            </w:r>
          </w:p>
        </w:tc>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Inducement Plan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352,549</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365,050</w:t>
            </w:r>
          </w:p>
        </w:tc>
        <w:tc>
          <w:tcPr>
            <w:tcW w:w="8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8"/>
              </w:rPr>
              <w:t>Shares reserved for issuance under the 2020</w:t>
            </w:r>
          </w:p>
        </w:tc>
        <w:tc>
          <w:tcPr>
            <w:tcW w:w="35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Inducement Plan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1,567,000</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1,700,000</w:t>
            </w:r>
          </w:p>
        </w:tc>
        <w:tc>
          <w:tcPr>
            <w:tcW w:w="80" w:type="dxa"/>
            <w:vAlign w:val="bottom"/>
            <w:tcBorders>
              <w:bottom w:val="single" w:sz="8" w:color="CFF0FC"/>
            </w:tcBorders>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6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14,119,884</w:t>
            </w: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12,266,171</w:t>
            </w:r>
          </w:p>
        </w:tc>
        <w:tc>
          <w:tcPr>
            <w:tcW w:w="80" w:type="dxa"/>
            <w:vAlign w:val="bottom"/>
            <w:tcBorders>
              <w:bottom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520" w:type="dxa"/>
            <w:vAlign w:val="bottom"/>
            <w:vMerge w:val="restart"/>
          </w:tcPr>
          <w:p>
            <w:pPr>
              <w:ind w:left="1300"/>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of directors were as follows, presented on a weighted-average basis:</w:t>
      </w:r>
    </w:p>
    <w:p>
      <w:pPr>
        <w:spacing w:after="0" w:line="364"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Borders>
              <w:bottom w:val="single" w:sz="8" w:color="CFF0FC"/>
            </w:tcBorders>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2"/>
          </w:tcPr>
          <w:p>
            <w:pPr>
              <w:jc w:val="right"/>
              <w:ind w:right="56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9"/>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81.25%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75.72%</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9520" w:type="dxa"/>
            <w:vAlign w:val="bottom"/>
            <w:gridSpan w:val="11"/>
          </w:tcPr>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six months ended June 30, 2021: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vMerge w:val="restart"/>
          </w:tcPr>
          <w:p>
            <w:pPr>
              <w:jc w:val="center"/>
              <w:ind w:right="8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Term</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ind w:right="8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5,559,545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13,511</w:t>
            </w: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3,743,232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13.52</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(196,872)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(693,083)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17.28</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8,412,822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14.40</w:t>
            </w:r>
          </w:p>
        </w:tc>
        <w:tc>
          <w:tcPr>
            <w:tcW w:w="1240" w:type="dxa"/>
            <w:vAlign w:val="bottom"/>
            <w:tcBorders>
              <w:top w:val="single" w:sz="8" w:color="CFF0FC"/>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as of June 30, 2021</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13.36</w:t>
            </w:r>
          </w:p>
        </w:tc>
        <w:tc>
          <w:tcPr>
            <w:tcW w:w="12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2,622,442</w:t>
            </w: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aggregate intrinsic value of options exercised during the six months ended June 30, 2021 and 2020 was $1,729 and $546, respectively.</w:t>
      </w:r>
    </w:p>
    <w:p>
      <w:pPr>
        <w:spacing w:after="0" w:line="23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six months ended June 30, 2021 and 2020 was $9.31 and $13.16,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units for the six months ended June 30, 2021:</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771,600</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June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772,511</w:t>
            </w:r>
          </w:p>
        </w:tc>
        <w:tc>
          <w:tcPr>
            <w:tcW w:w="140" w:type="dxa"/>
            <w:vAlign w:val="bottom"/>
            <w:tcBorders>
              <w:top w:val="single" w:sz="8" w:color="CFF0FC"/>
              <w:bottom w:val="single" w:sz="8" w:color="CFF0FC"/>
            </w:tcBorders>
            <w:shd w:val="clear" w:color="auto" w:fill="CFF0FC"/>
          </w:tcPr>
          <w:p>
            <w:pPr>
              <w:spacing w:after="0"/>
              <w:rPr>
                <w:sz w:val="22"/>
                <w:szCs w:val="22"/>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80" w:type="dxa"/>
            <w:vAlign w:val="bottom"/>
            <w:tcBorders>
              <w:top w:val="single" w:sz="8" w:color="CFF0FC"/>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 total fair value of restricted stock units vested during the six months ended June 30, 2021 and 2020 was $4 thousand and $21 thousand,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4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36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1,909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w:t>
            </w:r>
          </w:p>
        </w:tc>
        <w:tc>
          <w:tcPr>
            <w:tcW w:w="120" w:type="dxa"/>
            <w:vAlign w:val="bottom"/>
            <w:shd w:val="clear" w:color="auto" w:fill="CFF0FC"/>
          </w:tcPr>
          <w:p>
            <w:pPr>
              <w:spacing w:after="0"/>
              <w:rPr>
                <w:sz w:val="19"/>
                <w:szCs w:val="19"/>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2,782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12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4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4,691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As of June 30, 2021, total unrecognized compensation cost related to the unvested stock-based awards was $62,167, which is expected to be recognized over a weighted-average period of 3.13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121"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is the same.</w:t>
      </w:r>
    </w:p>
    <w:p>
      <w:pPr>
        <w:spacing w:after="0" w:line="16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for the periods indicated:</w:t>
      </w:r>
    </w:p>
    <w:p>
      <w:pPr>
        <w:spacing w:after="0" w:line="25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6350</wp:posOffset>
            </wp:positionV>
            <wp:extent cx="21513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 w:lineRule="exact"/>
        <w:rPr>
          <w:sz w:val="20"/>
          <w:szCs w:val="20"/>
          <w:color w:val="auto"/>
        </w:rPr>
      </w:pPr>
    </w:p>
    <w:p>
      <w:pPr>
        <w:ind w:left="8360"/>
        <w:spacing w:after="0"/>
        <w:tabs>
          <w:tab w:leader="none" w:pos="101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8,412,822</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5,586,794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772,511</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11,570</w:t>
            </w:r>
          </w:p>
        </w:tc>
        <w:tc>
          <w:tcPr>
            <w:tcW w:w="120" w:type="dxa"/>
            <w:vAlign w:val="bottom"/>
          </w:tcPr>
          <w:p>
            <w:pPr>
              <w:spacing w:after="0"/>
              <w:rPr>
                <w:sz w:val="20"/>
                <w:szCs w:val="20"/>
                <w:color w:val="auto"/>
              </w:rPr>
            </w:pPr>
          </w:p>
        </w:tc>
      </w:tr>
    </w:tbl>
    <w:p>
      <w:pPr>
        <w:spacing w:after="0" w:line="305"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4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22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For the three months ended June 30, 2021 and 2020, the Company recognized $24 and $147, respectively, of research and development expense related to the license agreements with UHN. For the six months ended June 30, 2021 and 2020, the Company recognized $107 and $185, respectively, of research and development expense related to the license agreements with UHN. Refer to Note 3 “</w:t>
      </w:r>
      <w:r>
        <w:rPr>
          <w:rFonts w:ascii="Arial" w:cs="Arial" w:eastAsia="Arial" w:hAnsi="Arial"/>
          <w:sz w:val="18"/>
          <w:szCs w:val="18"/>
          <w:i w:val="1"/>
          <w:iCs w:val="1"/>
          <w:color w:val="auto"/>
        </w:rPr>
        <w:t>License Agreements</w:t>
      </w:r>
      <w:r>
        <w:rPr>
          <w:rFonts w:ascii="Arial" w:cs="Arial" w:eastAsia="Arial" w:hAnsi="Arial"/>
          <w:sz w:val="18"/>
          <w:szCs w:val="18"/>
          <w:color w:val="auto"/>
        </w:rPr>
        <w:t>” for additional information regarding the UHN license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For the three months ended June 30, 2021 and 2020, the Company recorded expenses of $409 and $365, respectively, related to a sublease to rent lab space, provided by an entity affiliated with a member of the Company’s board of directors. For the six months ended June 30, 2021 and 2020, the Company recorded expenses of $1,050 and $725, respectively, related to a sublease to rent lab space, provided by an entity affiliated with a member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2020 included in our Annual Report on Form 10-K for the year ended December 31, 2020.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2020, as supplemented by our subsequent filings with the SEC.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$4.8 billion in worldwide net sales in 2020.</w:t>
      </w:r>
    </w:p>
    <w:p>
      <w:pPr>
        <w:spacing w:after="0" w:line="178"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initial pipeline is comprised of six lentiviral-based gene therapy programs: AVR-RD-01 for the treatment of Fabry disease; AVR-RD-04 for the treatment of cystinosis; AVR-RD-02 for the treatment of Gaucher disease type 1; AVR-RD-06 for the treatment of Gaucher disease type 3; AVR-RD-05 for the treatment of Hunter syndrome; and AVR-RD-03 for the treatment of Pompe disease. AVR-RD-01 is currently being evaluated for the treatment of Fabry disease in an investigator-sponsored Phase 1 clinical trial and a Company-sponsored Phase 2 clinical trial. Five patients have been dosed in the investigator-sponsored Phase 1 clinical trial of AVR-RD-01, and enrollment is complete. Nine patients have been dosed in our Company-sponsored Phase 2 clinical trial of AVR-RD-01, which we refer to as the FAB-GT clinical trial, and we are actively recruiting additional potential patients for our currently active sites. We plan to amend the FAB-GT clinical trial protocol in August 2021 to include female participants, eliminate the antibody-status exclusion and collect additional CNS and cardiovascular data. Additionally, we plan to engage the Food and Drug Administration, or FDA, to obtain feedback on a revised regulatory approach for AVR-RD-01, with the goal of initiating a registration trial in mid-2022. AVR-RD-04 is currently being studied for the treatment of cystinosis by our collaborators at the University of California, San Diego, or UCSD, in a Phase 1/2 investigator-sponsored clinical trial, and three patients have been dosed. Subject to regulatory clearance we are planning to initiate a Company-sponsored clinical trial of AVR-RD-04, which we believe could potentially serve as a registration trial, in the second half of 2022. One patient has been dosed in our Company-sponsored Phase 1/2 clinical trial of AVR-RD-02 for the treatment of Gaucher disease type 1, which we refer to as the Guard1 clinical trial, and we are actively recruiting additional potential patients for our currently active sites. AVR-RD-06 is our preclinical program for the treatment of Gaucher disease type 3, for which we are planning to initiate a potential registration trial in the second half of 2022, subject to regulatory clearance. AVR-RD-05 is being studied for the treatment of Hunter syndrome by our collaborators at The University of Manchester, and a Phase 1/2 investigator-sponsored clinical trial is expected to commence in the second half of 2022. Our AVR-RD-03 program for Pompe disease is currently in preclinical development, with IND-enabling proof-of-concept preclinical studies completed, toxicology studies expected to be completed in 2021 and a Company-sponsored clinical trial being planned for 2022, subject to regulatory clearance. We currently expect to have dosed an aggregate of 20 to 25 patients across our pipeline by the end of 2021.</w:t>
      </w:r>
    </w:p>
    <w:p>
      <w:pPr>
        <w:spacing w:after="0" w:line="169"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June 30, 2021,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and gross cash proceeds, before deducting commissions and expenses, of $23.5 million from sales of our common stock through our “at-the-market”, or ATM, facility.</w:t>
      </w:r>
    </w:p>
    <w:p>
      <w:pPr>
        <w:spacing w:after="0" w:line="166"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Additionally,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$58.3 million and $54.8 million for the six months ended June 30, 2021 and 2020, respectively. As of June 30, 2021, we had an accumulated deficit of $322.7 million. We expect to continue to incur significant expenses for at least the next several years as we advance our current and future product candidates from discovery through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240"/>
        <w:spacing w:after="0" w:line="275" w:lineRule="auto"/>
        <w:rPr>
          <w:sz w:val="20"/>
          <w:szCs w:val="20"/>
          <w:color w:val="auto"/>
        </w:rPr>
      </w:pPr>
      <w:r>
        <w:rPr>
          <w:rFonts w:ascii="Arial" w:cs="Arial" w:eastAsia="Arial" w:hAnsi="Arial"/>
          <w:sz w:val="17"/>
          <w:szCs w:val="17"/>
          <w:color w:val="auto"/>
        </w:rPr>
        <w:t>preclinical development and clinical trials and seek regulatory approval of our product candidates. We have expanded the number of programs in our pipeline to a total of six investigational gene therapies, three of which are currently in clinical development. As a result, further development of these programs will require us to expend significant resources to advance these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w:t>
      </w:r>
    </w:p>
    <w:p>
      <w:pPr>
        <w:spacing w:after="0" w:line="17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follow-on offerings and sales of common stock under our ATM facility.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6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As of June 30, 2021, we had cash and cash equivalents of $226.4 million. We believe that our existing cash and cash equivalents as of June 30, 2021 will enable us to fund our operating expenses and capital expenditure requirements into the first quarter of 2023.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31" w:lineRule="exact"/>
        <w:rPr>
          <w:sz w:val="20"/>
          <w:szCs w:val="20"/>
          <w:color w:val="auto"/>
        </w:rPr>
      </w:pPr>
    </w:p>
    <w:p>
      <w:pPr>
        <w:ind w:right="180" w:firstLine="749"/>
        <w:spacing w:after="0" w:line="289" w:lineRule="auto"/>
        <w:rPr>
          <w:sz w:val="20"/>
          <w:szCs w:val="20"/>
          <w:color w:val="auto"/>
        </w:rPr>
      </w:pPr>
      <w:r>
        <w:rPr>
          <w:rFonts w:ascii="Arial" w:cs="Arial" w:eastAsia="Arial" w:hAnsi="Arial"/>
          <w:sz w:val="16"/>
          <w:szCs w:val="16"/>
          <w:color w:val="auto"/>
        </w:rPr>
        <w:t>As the global healthcare community responded to the COVID-19 pandemic, in 2020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and cannot be accurately predicted, including new information that may emerge concerning COVID-19 and variants of the virus that causes the disease, the actions taken to contain it or treat its impact and the economic impact on local, regional, national and international markets. We have continued our work-from-home policy for most employees, excluding our laboratory staff and a limited number of non-laboratory employees. For those employees, we have implemented safety measures designed to comply with applicable federal, state and local guidelines in response to the ongoing COVID-19 pandemic. We may be required to take additional actions that impact our operations as required by applicable laws or regulations, or which we determine to be in the best interests of our employees.</w:t>
      </w:r>
    </w:p>
    <w:p>
      <w:pPr>
        <w:spacing w:after="0" w:line="166" w:lineRule="exact"/>
        <w:rPr>
          <w:sz w:val="20"/>
          <w:szCs w:val="20"/>
          <w:color w:val="auto"/>
        </w:rPr>
      </w:pPr>
    </w:p>
    <w:p>
      <w:pPr>
        <w:jc w:val="both"/>
        <w:ind w:right="240" w:firstLine="510"/>
        <w:spacing w:after="0" w:line="342" w:lineRule="auto"/>
        <w:rPr>
          <w:sz w:val="20"/>
          <w:szCs w:val="20"/>
          <w:color w:val="auto"/>
        </w:rPr>
      </w:pPr>
      <w:r>
        <w:rPr>
          <w:rFonts w:ascii="Arial" w:cs="Arial" w:eastAsia="Arial" w:hAnsi="Arial"/>
          <w:sz w:val="16"/>
          <w:szCs w:val="16"/>
          <w:color w:val="auto"/>
        </w:rPr>
        <w:t>We continue to closely monitor this rapidly evolving situation and the potential impact on our Company. For additional information regarding the impact of the ongoing COVID-19 pandemic on our business, please see the section titled “Risk Factors” in Part II, Section 1.A of this Quarterly Report.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Updates</w:t>
      </w:r>
    </w:p>
    <w:p>
      <w:pPr>
        <w:spacing w:after="0" w:line="131" w:lineRule="exact"/>
        <w:rPr>
          <w:sz w:val="20"/>
          <w:szCs w:val="20"/>
          <w:color w:val="auto"/>
        </w:rPr>
      </w:pPr>
    </w:p>
    <w:p>
      <w:pPr>
        <w:ind w:right="60" w:firstLine="510"/>
        <w:spacing w:after="0" w:line="316" w:lineRule="auto"/>
        <w:rPr>
          <w:sz w:val="20"/>
          <w:szCs w:val="20"/>
          <w:color w:val="auto"/>
        </w:rPr>
      </w:pPr>
      <w:r>
        <w:rPr>
          <w:rFonts w:ascii="Arial" w:cs="Arial" w:eastAsia="Arial" w:hAnsi="Arial"/>
          <w:sz w:val="16"/>
          <w:szCs w:val="16"/>
          <w:color w:val="auto"/>
        </w:rPr>
        <w:t>In May 2021, we presented new preclinical data on AVR-RD-03, our program for Pompe disease, at the 24th virtual Annual Meeting of the American Society of Gene &amp; Cell Therapy. In addition, our collaborators at UCSD presented new clinical data on AVR-RD-04, our program for cystinosis.</w:t>
      </w:r>
    </w:p>
    <w:p>
      <w:pPr>
        <w:spacing w:after="0" w:line="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July 2021, we received clearance from the FDA for an Initial New Drug, or IND, application for AVR-RD-04 for the treatment of cystinosis. This IND clearance allows the Company to initiate a Company-sponsored long-term follow-up study for patients enrolled in the Phase 1/2 investigator-sponsored clinical trial, as well as potentially initiate a new Company-sponsored clinical trial, subject to regulatory clearance. Also in July 2021, the FDA granted fast track designation for AVR-RD-04 for the treatment of cystinosis to improve renal function.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76"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44" w:lineRule="exact"/>
        <w:rPr>
          <w:rFonts w:ascii="Arial" w:cs="Arial" w:eastAsia="Arial" w:hAnsi="Arial"/>
          <w:sz w:val="18"/>
          <w:szCs w:val="18"/>
          <w:color w:val="auto"/>
        </w:rPr>
      </w:pPr>
    </w:p>
    <w:p>
      <w:pPr>
        <w:ind w:left="880" w:right="40" w:hanging="373"/>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880" w:right="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62" w:lineRule="exact"/>
        <w:rPr>
          <w:rFonts w:ascii="Arial" w:cs="Arial" w:eastAsia="Arial" w:hAnsi="Arial"/>
          <w:sz w:val="18"/>
          <w:szCs w:val="18"/>
          <w:color w:val="auto"/>
        </w:rPr>
      </w:pPr>
    </w:p>
    <w:p>
      <w:pPr>
        <w:ind w:left="880" w:hanging="373"/>
        <w:spacing w:after="0" w:line="207" w:lineRule="exact"/>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our preclinical activities;</w:t>
      </w:r>
    </w:p>
    <w:p>
      <w:pPr>
        <w:spacing w:after="0" w:line="144" w:lineRule="exact"/>
        <w:rPr>
          <w:rFonts w:ascii="Arial" w:cs="Arial" w:eastAsia="Arial" w:hAnsi="Arial"/>
          <w:sz w:val="18"/>
          <w:szCs w:val="18"/>
          <w:color w:val="auto"/>
        </w:rPr>
      </w:pPr>
    </w:p>
    <w:p>
      <w:pPr>
        <w:ind w:left="880" w:right="60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5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right="320" w:firstLine="510"/>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our research and development expenses related to our product candidates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6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640" w:type="dxa"/>
            <w:vAlign w:val="bottom"/>
            <w:gridSpan w:val="6"/>
          </w:tcPr>
          <w:p>
            <w:pPr>
              <w:ind w:left="1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7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5"/>
        </w:trPr>
        <w:tc>
          <w:tcPr>
            <w:tcW w:w="67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5,484</w:t>
            </w:r>
          </w:p>
        </w:tc>
        <w:tc>
          <w:tcPr>
            <w:tcW w:w="60" w:type="dxa"/>
            <w:vAlign w:val="bottom"/>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Gaucher</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2,973</w:t>
            </w:r>
          </w:p>
        </w:tc>
        <w:tc>
          <w:tcPr>
            <w:tcW w:w="60" w:type="dxa"/>
            <w:vAlign w:val="bottom"/>
          </w:tcPr>
          <w:p>
            <w:pPr>
              <w:spacing w:after="0"/>
              <w:rPr>
                <w:sz w:val="19"/>
                <w:szCs w:val="19"/>
                <w:color w:val="auto"/>
              </w:rPr>
            </w:pPr>
          </w:p>
        </w:tc>
      </w:tr>
      <w:tr>
        <w:trPr>
          <w:trHeight w:val="24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60" w:type="dxa"/>
            <w:vAlign w:val="bottom"/>
            <w:shd w:val="clear" w:color="auto" w:fill="CFF0FC"/>
          </w:tcPr>
          <w:p>
            <w:pPr>
              <w:spacing w:after="0"/>
              <w:rPr>
                <w:sz w:val="21"/>
                <w:szCs w:val="21"/>
                <w:color w:val="auto"/>
              </w:rPr>
            </w:pP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Cystinosis</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446</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21"/>
                <w:szCs w:val="21"/>
                <w:color w:val="auto"/>
              </w:rPr>
            </w:pPr>
          </w:p>
        </w:tc>
      </w:tr>
      <w:tr>
        <w:trPr>
          <w:trHeight w:val="24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Hunter</w:t>
            </w:r>
          </w:p>
        </w:tc>
        <w:tc>
          <w:tcPr>
            <w:tcW w:w="8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Other research activities</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1,831</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4,037</w:t>
            </w:r>
          </w:p>
        </w:tc>
        <w:tc>
          <w:tcPr>
            <w:tcW w:w="60" w:type="dxa"/>
            <w:vAlign w:val="bottom"/>
          </w:tcPr>
          <w:p>
            <w:pPr>
              <w:spacing w:after="0"/>
              <w:rPr>
                <w:sz w:val="21"/>
                <w:szCs w:val="21"/>
                <w:color w:val="auto"/>
              </w:rPr>
            </w:pPr>
          </w:p>
        </w:tc>
      </w:tr>
      <w:tr>
        <w:trPr>
          <w:trHeight w:val="24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14,698</w:t>
            </w:r>
          </w:p>
        </w:tc>
        <w:tc>
          <w:tcPr>
            <w:tcW w:w="2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12,368</w:t>
            </w:r>
          </w:p>
        </w:tc>
        <w:tc>
          <w:tcPr>
            <w:tcW w:w="4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28,555</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23,158</w:t>
            </w:r>
          </w:p>
        </w:tc>
        <w:tc>
          <w:tcPr>
            <w:tcW w:w="60" w:type="dxa"/>
            <w:vAlign w:val="bottom"/>
            <w:shd w:val="clear" w:color="auto" w:fill="CFF0FC"/>
          </w:tcPr>
          <w:p>
            <w:pPr>
              <w:spacing w:after="0"/>
              <w:rPr>
                <w:sz w:val="21"/>
                <w:szCs w:val="21"/>
                <w:color w:val="auto"/>
              </w:rPr>
            </w:pPr>
          </w:p>
        </w:tc>
      </w:tr>
      <w:tr>
        <w:trPr>
          <w:trHeight w:val="237"/>
        </w:trPr>
        <w:tc>
          <w:tcPr>
            <w:tcW w:w="678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22,544</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20,866</w:t>
            </w:r>
          </w:p>
        </w:tc>
        <w:tc>
          <w:tcPr>
            <w:tcW w:w="4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41,024</w:t>
            </w:r>
          </w:p>
        </w:tc>
        <w:tc>
          <w:tcPr>
            <w:tcW w:w="280" w:type="dxa"/>
            <w:vAlign w:val="bottom"/>
          </w:tcPr>
          <w:p>
            <w:pPr>
              <w:spacing w:after="0"/>
              <w:rPr>
                <w:sz w:val="20"/>
                <w:szCs w:val="20"/>
                <w:color w:val="auto"/>
              </w:rPr>
            </w:pPr>
          </w:p>
        </w:tc>
        <w:tc>
          <w:tcPr>
            <w:tcW w:w="1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39,140</w:t>
            </w:r>
          </w:p>
        </w:tc>
        <w:tc>
          <w:tcPr>
            <w:tcW w:w="60" w:type="dxa"/>
            <w:vAlign w:val="bottom"/>
          </w:tcPr>
          <w:p>
            <w:pPr>
              <w:spacing w:after="0"/>
              <w:rPr>
                <w:sz w:val="20"/>
                <w:szCs w:val="20"/>
                <w:color w:val="auto"/>
              </w:rPr>
            </w:pPr>
          </w:p>
        </w:tc>
      </w:tr>
      <w:tr>
        <w:trPr>
          <w:trHeight w:val="20"/>
        </w:trPr>
        <w:tc>
          <w:tcPr>
            <w:tcW w:w="6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5" w:name="page26"/>
    <w:bookmarkEnd w:id="25"/>
    <w:p>
      <w:pPr>
        <w:ind w:right="40" w:firstLine="510"/>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9"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 of the COVID-19 pandemic on our preclinical development activities, clinical trials and other research and development activities;</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52"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(expense) income, net primarily consists of interest income earned on our cash and cash equivalents and changes in foreign currency.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consolidated results of operations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22,544</w:t>
            </w:r>
          </w:p>
        </w:tc>
        <w:tc>
          <w:tcPr>
            <w:tcW w:w="160" w:type="dxa"/>
            <w:vAlign w:val="bottom"/>
          </w:tcPr>
          <w:p>
            <w:pPr>
              <w:spacing w:after="0"/>
              <w:rPr>
                <w:sz w:val="19"/>
                <w:szCs w:val="19"/>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20,866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Other (expense) income:</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18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Research and development expenses increased by approximately $1.7 million to $22.5 million for the three months ended June 30, 2021, from $20.9 million for the three months ended June 30, 2020. This increase was attributable to increased program development activities related to the advancement of our pipeline programs, including a $2.3 million increase in personnel-related costs, a $1.5 million increase in manufacturing costs and a $1.5 million increase in clinical costs. These increases were partially offset by a $3.5 million decrease in preclinical costs and a $0.1 million decrease in non-cash stock-based compensation.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General and administrative expenses were $8.8 million for the three months ended June 30, 2021, compared to $8.0 million for the three months ended June 30, 2020. The increase of $0.8 million was attributable to an increase of $0.2 million in personnel-related costs and a $0.8 million increase in non-cash stock-based compensation, offset in part by a decrease in other expenses, primarily related to facilities costs, professional fees and legal fees, of $0.2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Other (expense), net, was less than $0.1 million for the three months ended June 30, 2021 and 2020, and primarily consisted of foreign currency losses recognized during the period.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41,024</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39,140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Other (expense) income:</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Other expenses</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18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Research and development expenses increased by approximately $1.9 million to $41.0 million for the six months ended June 30, 2021, from $39.1 million for the six months ended June 30, 2020. This increase was attributable a $5.6 million increase in personnel-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ind w:right="380"/>
        <w:spacing w:after="0" w:line="277" w:lineRule="auto"/>
        <w:rPr>
          <w:sz w:val="20"/>
          <w:szCs w:val="20"/>
          <w:color w:val="auto"/>
        </w:rPr>
      </w:pPr>
      <w:r>
        <w:rPr>
          <w:rFonts w:ascii="Arial" w:cs="Arial" w:eastAsia="Arial" w:hAnsi="Arial"/>
          <w:sz w:val="18"/>
          <w:szCs w:val="18"/>
          <w:color w:val="auto"/>
        </w:rPr>
        <w:t>related costs, a $0.6 million increase in non-cash stock-based compensation and a $1.9 million increase in clinical costs. These increases were partially offset by a $1.4 million decrease in manufacturing costs and a $4.8 million decrease in preclinical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General and administrative expenses were $17.2 million for the six months ended June 30, 2021, compared to $16.3 million for the six months ended June 30, 2020. The increase of $0.9 million was attributable to an increase of $1.0 million in personnel-related costs and a $2.0 million increase in non-cash stock-based compensation, offset in part by a decrease of $1.1 million in consulting costs and a decrease in other expenses, primarily related to facilities costs, professional fees and legal fees, of $1.0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220" w:firstLine="749"/>
        <w:spacing w:after="0" w:line="308" w:lineRule="auto"/>
        <w:rPr>
          <w:sz w:val="20"/>
          <w:szCs w:val="20"/>
          <w:color w:val="auto"/>
        </w:rPr>
      </w:pPr>
      <w:r>
        <w:rPr>
          <w:rFonts w:ascii="Arial" w:cs="Arial" w:eastAsia="Arial" w:hAnsi="Arial"/>
          <w:sz w:val="17"/>
          <w:szCs w:val="17"/>
          <w:color w:val="auto"/>
        </w:rPr>
        <w:t>Other (expense), net, was less than $0.1 million for the six months ended June 30, 2021, compared to other income, net, of $0.7 million for the six months ended June 30, 2020. The decrease was primarily a result of lower yields on our money market funds during the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10"/>
        <w:spacing w:after="0" w:line="299"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 additional capital through subsequent follow-on offerings and our ATM facility. Through June 30, 2021, we had received gross cash proceeds of</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$87.5 million from sales of our preferred stock; gross cash proceeds, before deducting underwriting discounts and commissions and expenses, of</w:t>
      </w:r>
    </w:p>
    <w:p>
      <w:pPr>
        <w:spacing w:after="0" w:line="21"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$428.1 million from sales of our common stock through our initial public offering and follow-on offerings; and gross cash proceeds, before deducting commissions and expenses, of $23.5 million from sales of our common stock under our ATM facility.</w:t>
      </w:r>
    </w:p>
    <w:p>
      <w:pPr>
        <w:spacing w:after="0" w:line="185"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w:t>
      </w:r>
    </w:p>
    <w:p>
      <w:pPr>
        <w:spacing w:after="0" w:line="15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The net proceeds to us from this offering, after deducting underwriting discounts and commissions and other offering expenses payable by us, were $129.5 million.</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February 2020, we closed an underwritten public offering, or the February 2020 Follow-On Offering, under the December 2019 Shelf of 4,350,000 shares of our common stock at a public offering price of $23.00 per share. The net proceeds to us from this offering, after deducting underwriting discounts and commissions and other offering expenses payable by us, were $93.6 million.</w:t>
      </w:r>
    </w:p>
    <w:p>
      <w:pPr>
        <w:spacing w:after="0" w:line="18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In June 2020, we sold an aggregate of 384,140 shares of common stock under the ATM facility for net proceeds, after deducting commissions and other offering expenses payable by us, of $8.1 million.</w:t>
      </w:r>
    </w:p>
    <w:p>
      <w:pPr>
        <w:spacing w:after="0" w:line="170"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In November 2020, we closed an underwritten public offering, or the November 2020 Follow-On Offering, of 5,000,000 shares of our common stock at a public offering price of $15.00 per share. The net proceeds to us from the November 2020 Follow-On Offering, after deducting underwriting discounts and commissions and other offering expenses payable by us, were $70.2 million.</w:t>
      </w:r>
    </w:p>
    <w:p>
      <w:pPr>
        <w:spacing w:after="0" w:line="184"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In May 2021, we sold an aggregate of 1,829,268 shares of common stock under the ATM facility for net proceeds, after deducting commissions and other offering expenses payable by us, of $14.5 million. As of June 30, 2021, approximately $26.5 million of common stock remained available for future issuance under the ATM facility.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220" w:firstLine="510"/>
        <w:spacing w:after="0" w:line="263" w:lineRule="auto"/>
        <w:rPr>
          <w:sz w:val="20"/>
          <w:szCs w:val="20"/>
          <w:color w:val="auto"/>
        </w:rPr>
      </w:pPr>
      <w:r>
        <w:rPr>
          <w:rFonts w:ascii="Arial" w:cs="Arial" w:eastAsia="Arial" w:hAnsi="Arial"/>
          <w:sz w:val="18"/>
          <w:szCs w:val="18"/>
          <w:color w:val="auto"/>
        </w:rPr>
        <w:t>As of June 30, 2021, we had cash and cash equivalents of $226.4 million. Cash in excess of immediate requirements is invested primarily with a view to liquidity and capital preservation. We believe that our existing cash and cash equivalents as of June 30, 2021 will enable us to fund our operating expenses and capital expenditure requirements into the first quarter of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(47,304)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(1,344)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(1,065)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15,404</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101,854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(decrease) increase in cash and cash equivalents</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(33,244)</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During the six months ended June 30, 2021, operating activities used $47.3 million of cash, cash equivalents and restricted cash, resulting from our net loss of $58.3 million offset by cash provided by changes in our operating assets and liabilities of $1.2 million and non-cash charges of $9.8 million. The net changes in our operating assets and liabilities were primarily due to an increase in accrued expenses and other liabilities of $1.0 million and a $0.5 million decrease in prepaids and other current assets, partially offset by a decrease in accounts payable. The non-cash charges primarily included $9.3 million of stock-based compensation expense and $0.6 million of depreciation and amortization expense.</w:t>
      </w:r>
    </w:p>
    <w:p>
      <w:pPr>
        <w:spacing w:after="0" w:line="284"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During the six months ended June 30, 2020, operating activities used $43.5 million of cash, cash equivalents and restricted cash, resulting from our net loss of $54.8 million partially offset by cash provided by changes in our operating assets and liabilities of $4.2 million and non-cash charges of $7.2 million. The net changes in our operating assets and liabilities were primarily due to decreases in prepaid expenses and other current assets of $2.0 million due to ongoing preclinical, manufacturing, and clinical trial efforts and an increase in accrued expenses and other liabilities of $3.0 million, partially offset by a decrease in accounts payable of $0.9 million. The non-cash charges primarily included $6.7 million of stock-based compensation expense and $0.6 million of depreciation expense.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Net cash used in investing activities was $1.3 million for the six months ended June 30, 2021 compared to $1.1 million for the six months ended June 30, 2020. The increase in cash used in investing activities was primarily due to an increase in purchases of property and equipment.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Net cash provided by financing activities was $15.4 million for the six months ended June 30, 2021 compared to $101.9 million for the six months ended June 30, 2020. The decrease in cash provided by financing activities was primarily due to the proceeds of $93.6 million raised from the February Follow-On Offering during the six months ended June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Notwithstanding the impact of the evolving COVID-19 pandemic on our company and the global economy generally, we expect our expenses to increase substantially in connection with our ongoing activities, particularly as we advance the preclinical activities and clinical trials of our product candidates. Our expenses will also increase as we:</w:t>
      </w:r>
    </w:p>
    <w:p>
      <w:pPr>
        <w:spacing w:after="0" w:line="76" w:lineRule="exact"/>
        <w:rPr>
          <w:sz w:val="20"/>
          <w:szCs w:val="20"/>
          <w:color w:val="auto"/>
        </w:rPr>
      </w:pPr>
    </w:p>
    <w:p>
      <w:pPr>
        <w:ind w:left="880" w:right="34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clinical trials and initiating additional clinical and preclinical studies for our current and future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encounter delays or interruptions in our preclinical studies, clinical trials, or supply chain as a result of the COVID-19 pandemic;</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44"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medical, manufacturing, quality, commercial and scientific personnel;</w:t>
      </w:r>
    </w:p>
    <w:p>
      <w:pPr>
        <w:spacing w:after="0" w:line="144"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52"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We believe that our $226.4 million of existing cash and cash equivalents as of June 30, 2021 will enable us to fund our operating expenses and capital expenditure requirements into the first quarter of 2023.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88"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2020, filed with the SEC on March 18, 2021. There have been no significant changes to the table contained therein as of June 30,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six months ended June 30, 2021,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2020, which was filed with the SEC on March 18, 2021, and the notes to the consolidated financial statements included in Item 1, “</w:t>
      </w:r>
      <w:r>
        <w:rPr>
          <w:rFonts w:ascii="Arial" w:cs="Arial" w:eastAsia="Arial" w:hAnsi="Arial"/>
          <w:sz w:val="17"/>
          <w:szCs w:val="17"/>
          <w:i w:val="1"/>
          <w:iCs w:val="1"/>
          <w:color w:val="auto"/>
        </w:rPr>
        <w:t>Condensed Consolidated Unaudited Financial Statements</w:t>
      </w:r>
      <w:r>
        <w:rPr>
          <w:rFonts w:ascii="Arial" w:cs="Arial" w:eastAsia="Arial" w:hAnsi="Arial"/>
          <w:sz w:val="17"/>
          <w:szCs w:val="17"/>
          <w:color w:val="auto"/>
        </w:rPr>
        <w:t>,” of this Quarterly Report on Form 10-Q.</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right="120"/>
        <w:spacing w:after="0" w:line="257" w:lineRule="auto"/>
        <w:rPr>
          <w:sz w:val="20"/>
          <w:szCs w:val="20"/>
          <w:color w:val="auto"/>
        </w:rPr>
      </w:pPr>
      <w:r>
        <w:rPr>
          <w:rFonts w:ascii="Arial" w:cs="Arial" w:eastAsia="Arial" w:hAnsi="Arial"/>
          <w:sz w:val="18"/>
          <w:szCs w:val="18"/>
          <w:color w:val="auto"/>
        </w:rPr>
        <w:t>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940" w:firstLine="510"/>
        <w:spacing w:after="0" w:line="277" w:lineRule="auto"/>
        <w:rPr>
          <w:sz w:val="20"/>
          <w:szCs w:val="20"/>
          <w:color w:val="auto"/>
        </w:rPr>
      </w:pPr>
      <w:r>
        <w:rPr>
          <w:rFonts w:ascii="Arial" w:cs="Arial" w:eastAsia="Arial" w:hAnsi="Arial"/>
          <w:sz w:val="18"/>
          <w:szCs w:val="18"/>
          <w:color w:val="auto"/>
        </w:rPr>
        <w:t>As of June 30, 2021, we did not have any significant off-balance sheet arrangements, as defined in Item 303(a)(4)(ii) of Regulation S-K promulgated under the Exchange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 xml:space="preserve">A description of recently issued accounting pronouncements that may potentially impact our financial position and results of operations is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appearing at the beginning of this Quarterly Report on Form 10-Q.</w:t>
      </w:r>
    </w:p>
    <w:p>
      <w:pPr>
        <w:spacing w:after="0" w:line="2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As of June 30, 2021, we had cash and cash equivalents of $226.4 million, which consisted of primarily money market funds. Our primary exposure to market risk is interest rate sensitivity, which is affected by changes in the general level of U.S. interest rates, particularly because our cash equivalents are in held in short-term money market funds. Due to short-term duration of our investment portfolio and the low risk profile of our investments, an immediate 100 basis point change in interest rates would not have a material effect on the fair market value of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three months ended June 30, 2021 and 2020, we recognized foreign currency transaction losses of $21 thousand and $33 thousand, respectively. During each of the six months ended June 30, 2021 and 2020, we recognized foreign currency transaction losses of $46 and $49,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Great British Pound, and Canadian dollar would not have a material impact on our financial position or results of operations.</w:t>
      </w:r>
    </w:p>
    <w:p>
      <w:pPr>
        <w:spacing w:after="0" w:line="166"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June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June 30, 2021, our Chief Executive Officer and Chief Financial Officer concluded that our disclosure controls and procedures were effective at the reasonable assurance level as of June 30,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June 30, 2021 that has materially affected, or is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June 30, 2021,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21"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Since inception, we have incurred net losses. We incurred net losses of $119.7 million and $73.0 million for the years ended December 31, 2020 and 2019, respectively, and $58.3 million for the six months ended June 30, 2021. We historically financed our operations primarily through private placements of our preferred stock and, more recently, our initial public offering and follow-on public offerings of our common stock, as well as sales of our common stock under our “at-the-market” facility.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69" w:lineRule="exact"/>
        <w:rPr>
          <w:sz w:val="20"/>
          <w:szCs w:val="20"/>
          <w:color w:val="auto"/>
        </w:rPr>
      </w:pPr>
    </w:p>
    <w:p>
      <w:pPr>
        <w:ind w:left="880" w:right="2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clinical trials, particularly if and as we commence and continue clinical-stage activities for our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delays or interruptions in preclinical studies, clinical trials, or our supply chain due to the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ind w:right="40"/>
        <w:spacing w:after="0" w:line="279" w:lineRule="auto"/>
        <w:rPr>
          <w:sz w:val="20"/>
          <w:szCs w:val="20"/>
          <w:color w:val="auto"/>
        </w:rPr>
      </w:pPr>
      <w:r>
        <w:rPr>
          <w:rFonts w:ascii="Arial" w:cs="Arial" w:eastAsia="Arial" w:hAnsi="Arial"/>
          <w:sz w:val="17"/>
          <w:szCs w:val="17"/>
          <w:color w:val="auto"/>
        </w:rPr>
        <w:t>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9" w:lineRule="exact"/>
        <w:rPr>
          <w:sz w:val="20"/>
          <w:szCs w:val="20"/>
          <w:color w:val="auto"/>
        </w:rPr>
      </w:pPr>
    </w:p>
    <w:p>
      <w:pPr>
        <w:ind w:left="880" w:right="42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7"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880" w:hanging="373"/>
        <w:spacing w:after="0" w:line="342"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5"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of June 30, 2021, we had cash and cash equivalents of $226.4 million. We believe that our existing cash and cash equivalents as of June 30, 2021 will enable us to fund our operating expenses and capital expenditure requirements into the first quarter of 2023.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88"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Furthermore, we have expanded the number of programs in our pipeline to a total of six investigational gene therapies, three of which are in clinical development. As a result, further development of these programs will require us to expend significant resources to advance these candidates.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ind w:left="880" w:right="6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current and future product candidates, including the extent of any impacts from the COVID-19 pandemic on these activities;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60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17"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520" w:right="500"/>
        <w:spacing w:after="0" w:line="342" w:lineRule="auto"/>
        <w:rPr>
          <w:sz w:val="20"/>
          <w:szCs w:val="20"/>
          <w:color w:val="auto"/>
        </w:rPr>
      </w:pPr>
      <w:r>
        <w:rPr>
          <w:rFonts w:ascii="Arial" w:cs="Arial" w:eastAsia="Arial" w:hAnsi="Arial"/>
          <w:sz w:val="16"/>
          <w:szCs w:val="16"/>
          <w:b w:val="1"/>
          <w:bCs w:val="1"/>
          <w:i w:val="1"/>
          <w:iCs w:val="1"/>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1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Public health crises such as pandemics or similar outbreaks could adversely impact our business. The COVID-19 pandemic has continued to disrupt normal business operations both in and outside of affected areas and has had significant negative impacts on businesses and financial markets worldwide. We continue to monitor our operations and applicable government recommendations and have continued our work-from-home policy for most employees, excluding our laboratory staff and a limited number of non-laboratory employees. Notwithstanding these measures, the COVID-19 pandemic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 We may experience limitations in employee resources, including because of sickness of employees or their families or the desire of employees to avoid contact with individuals or large groups of people.</w:t>
      </w:r>
    </w:p>
    <w:p>
      <w:pPr>
        <w:spacing w:after="0" w:line="178"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In addition, clinical trial activities, including patient enrollment and data collection, are dependent upon global clinical trial sites which have been and continue to be adversely affected by the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dosing of new patients began to resume in the first half of 2021, our ability to continue clinical activities without further delay or interruption will depend on future developments that are highly uncertain and cannot be accurately predicted. Additionally, while ongoing data collection has continued for our patients that have been dosed, certain data collection has been delayed and additional delays could result from COVID-19-related interruptions, particularly as new variants of the virus are identified and continue to spread. We are currently conducting clinical trials for our product candidates in the United States, Canada and Australia, and plan to expand to other geographies that have been affected by COVID-19.</w:t>
      </w:r>
    </w:p>
    <w:p>
      <w:pPr>
        <w:spacing w:after="0" w:line="18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Additional factors from the COVID-19 pandemic that have delayed and may continue to delay or otherwise adversely affect enrollment in or the progress of the clinical trials of our product candidates, as well as our business generally, include:</w:t>
      </w:r>
    </w:p>
    <w:p>
      <w:pPr>
        <w:spacing w:after="0" w:line="62" w:lineRule="exact"/>
        <w:rPr>
          <w:sz w:val="20"/>
          <w:szCs w:val="20"/>
          <w:color w:val="auto"/>
        </w:rPr>
      </w:pPr>
    </w:p>
    <w:p>
      <w:pPr>
        <w:jc w:val="both"/>
        <w:ind w:left="880" w:right="160" w:hanging="373"/>
        <w:spacing w:after="0" w:line="263"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880" w:right="60" w:hanging="373"/>
        <w:spacing w:after="0" w:line="279"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63" w:lineRule="exact"/>
        <w:rPr>
          <w:rFonts w:ascii="Arial" w:cs="Arial" w:eastAsia="Arial" w:hAnsi="Arial"/>
          <w:sz w:val="17"/>
          <w:szCs w:val="17"/>
          <w:color w:val="auto"/>
        </w:rPr>
      </w:pPr>
    </w:p>
    <w:p>
      <w:pPr>
        <w:ind w:left="880" w:right="50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62" w:lineRule="exact"/>
        <w:rPr>
          <w:rFonts w:ascii="Arial" w:cs="Arial" w:eastAsia="Arial" w:hAnsi="Arial"/>
          <w:sz w:val="18"/>
          <w:szCs w:val="18"/>
          <w:color w:val="auto"/>
        </w:rPr>
      </w:pPr>
    </w:p>
    <w:p>
      <w:pPr>
        <w:ind w:left="880" w:right="60" w:hanging="373"/>
        <w:spacing w:after="0" w:line="25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6" w:name="page37"/>
    <w:bookmarkEnd w:id="36"/>
    <w:p>
      <w:pPr>
        <w:ind w:left="880" w:right="120"/>
        <w:spacing w:after="0" w:line="277" w:lineRule="auto"/>
        <w:rPr>
          <w:sz w:val="20"/>
          <w:szCs w:val="20"/>
          <w:color w:val="auto"/>
        </w:rPr>
      </w:pPr>
      <w:r>
        <w:rPr>
          <w:rFonts w:ascii="Arial" w:cs="Arial" w:eastAsia="Arial" w:hAnsi="Arial"/>
          <w:sz w:val="18"/>
          <w:szCs w:val="18"/>
          <w:color w:val="auto"/>
        </w:rPr>
        <w:t>cybersecurity risks, create data accessibility problems, cause us to become more susceptible to communication disruptions, or delay necessary interactions with local regulators, ethics committees and other important agencies and contractors;</w:t>
      </w:r>
    </w:p>
    <w:p>
      <w:pPr>
        <w:spacing w:after="0" w:line="62" w:lineRule="exact"/>
        <w:rPr>
          <w:sz w:val="20"/>
          <w:szCs w:val="20"/>
          <w:color w:val="auto"/>
        </w:rPr>
      </w:pPr>
    </w:p>
    <w:p>
      <w:pPr>
        <w:ind w:left="880" w:right="120" w:hanging="373"/>
        <w:spacing w:after="0" w:line="342"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15" w:lineRule="exact"/>
        <w:rPr>
          <w:rFonts w:ascii="Arial" w:cs="Arial" w:eastAsia="Arial" w:hAnsi="Arial"/>
          <w:sz w:val="16"/>
          <w:szCs w:val="16"/>
          <w:color w:val="auto"/>
        </w:rPr>
      </w:pPr>
    </w:p>
    <w:p>
      <w:pPr>
        <w:ind w:left="880" w:right="4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70"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Additionally, three vaccines for COVID-19 were granted Emergency Use Authorization by the FDA in late 2020 and early 2021, and more may be authorized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8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These and other factors arising from the COVID-19 pandemic could worsen and further adversely impact our ability to conduct clinical trials and our business generally, and could have a material adverse impact on our operations and financial condition and results. The extent to which the COVID-19 pandemic impacts our operations or those of our third party partners will depend on future developments, which are highly uncertain and cannot be predicted with confidence, including the duration of the pandemic, the efficacy and safety of vaccines, including against emerging variants, the ability of third parties to manufacture and distribute vaccines and the public’s willingness to receive such vaccines, and new information that may emerge concerning mutations of the coronavirus that causes COVID-19, among others.</w:t>
      </w:r>
    </w:p>
    <w:p>
      <w:pPr>
        <w:spacing w:after="0" w:line="300"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have been and may continue to be adversely affected by the COVID-19 pandemic, especially if a resurgence of cases occurs. In addition, the implementation of our plato platform and upgrades, including our transition to Target Concentration Intervention, or TCI, conditioning using busulfan for our single-agent conditioning regimen,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as of the date of this Quarterly Report we have only dosed seven patients using our plato platform, which we plan to utilize for the majority of patients in our ongoing FAB-GT clinical trial for AVR-RD-01 and all patients in the Guard1 clinical trial of AVR-RD-02.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lentiviral gene therapy.</w:t>
      </w:r>
    </w:p>
    <w:p>
      <w:pPr>
        <w:spacing w:after="0" w:line="174"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Europe or other major markets or how long it will take to commercialize our product candidates, if any are approved. Approvals by foreign regulatory authorities may not be indicative of what the FDA may require for approval, and vice versa.</w:t>
      </w:r>
    </w:p>
    <w:p>
      <w:pPr>
        <w:spacing w:after="0" w:line="16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spacing w:after="0" w:line="270" w:lineRule="auto"/>
        <w:rPr>
          <w:sz w:val="20"/>
          <w:szCs w:val="20"/>
          <w:color w:val="auto"/>
        </w:rPr>
      </w:pPr>
      <w:r>
        <w:rPr>
          <w:rFonts w:ascii="Arial" w:cs="Arial" w:eastAsia="Arial" w:hAnsi="Arial"/>
          <w:sz w:val="17"/>
          <w:szCs w:val="17"/>
          <w:color w:val="auto"/>
        </w:rPr>
        <w:t>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If we were to engage an NIH-funded institution to conduct a clinical trial, that institution’s IBC as well as its institutional review board, or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8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5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8" w:lineRule="exact"/>
        <w:rPr>
          <w:sz w:val="20"/>
          <w:szCs w:val="20"/>
          <w:color w:val="auto"/>
        </w:rPr>
      </w:pPr>
    </w:p>
    <w:p>
      <w:pPr>
        <w:ind w:right="180" w:firstLine="510"/>
        <w:spacing w:after="0" w:line="272" w:lineRule="auto"/>
        <w:rPr>
          <w:sz w:val="20"/>
          <w:szCs w:val="20"/>
          <w:color w:val="auto"/>
        </w:rPr>
      </w:pPr>
      <w:r>
        <w:rPr>
          <w:rFonts w:ascii="Arial" w:cs="Arial" w:eastAsia="Arial" w:hAnsi="Arial"/>
          <w:sz w:val="17"/>
          <w:szCs w:val="17"/>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 impact on our gene therapy candidates or the duration or expense of any applicable regulatory development and review processes.</w:t>
      </w:r>
    </w:p>
    <w:p>
      <w:pPr>
        <w:spacing w:after="0" w:line="285" w:lineRule="exact"/>
        <w:rPr>
          <w:sz w:val="20"/>
          <w:szCs w:val="20"/>
          <w:color w:val="auto"/>
        </w:rPr>
      </w:pPr>
    </w:p>
    <w:p>
      <w:pPr>
        <w:jc w:val="both"/>
        <w:ind w:left="520" w:right="220"/>
        <w:spacing w:after="0" w:line="263"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the Company’s investigational therapies, such as through expanded or Right to Try access, may lead to discovery of undesirable side effects that could have adverse effects on the development programs for current and future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the development of the product candidate may fail or be delayed, or, if the product candidate has received regulatory approval, such approval may be revoked or limited.</w:t>
      </w:r>
    </w:p>
    <w:p>
      <w:pPr>
        <w:spacing w:after="0" w:line="16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ind w:right="20"/>
        <w:spacing w:after="0" w:line="269" w:lineRule="auto"/>
        <w:rPr>
          <w:sz w:val="20"/>
          <w:szCs w:val="20"/>
          <w:color w:val="auto"/>
        </w:rPr>
      </w:pPr>
      <w:r>
        <w:rPr>
          <w:rFonts w:ascii="Arial" w:cs="Arial" w:eastAsia="Arial" w:hAnsi="Arial"/>
          <w:sz w:val="17"/>
          <w:szCs w:val="17"/>
          <w:color w:val="auto"/>
        </w:rPr>
        <w:t xml:space="preserve">treatment or represent safety risks for patients. Another traditional safety concern for gene therapies using viral vectors has been the possibility of insertional oncogenesis by the vectors, leading to malignant transformation of transduced cells. As more patients are dosed with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therapies and higher VCNs are achieved, it is expected that rare cases of insertional oncogenesis may occur. In addition, dominant clonal expansion due to vector integration has been observed in third-party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clinical trials, including one case of thalassemia and two cases of cerebral adrenoleukodystrophy. Although to date there have been no reports of malignant transformation in these patients, these cases and any similar cases will require further monitoring and follow-up. While our lentiviral gene therapy approach is designed to avoid immunogenicity against the vector after administration, there can be no assurance that patients would not create antibodies that may impair treatment. In addition, although we are investigating a plan to potentially implement molecular cytogenetic screening, there can be no assurance that we will successfully implement such screening procedures in a timely manner or at all, or that, if implemented, they will enhance the safety profile of our gene therapy product candidates. If any of our gene therapy product candidates demonstrates adverse side effects at unacceptable rates or degrees of severity, we may decide or be required to halt or delay clinical development of such product candidates.</w:t>
      </w:r>
    </w:p>
    <w:p>
      <w:pPr>
        <w:spacing w:after="0" w:line="18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adverse side effects and transiently compromises the patient’s immune system, known as neutropenia, and ability to form blood clots, known as thrombocytopenia.</w:t>
      </w:r>
    </w:p>
    <w:p>
      <w:pPr>
        <w:spacing w:after="0" w:line="17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a precision dosing program, TCI, to achieve a balance between the removal of a sufficient amount of bone marrow cells from a patient against potential risks such as toxicity or graft failure. While we believe that the conditioning regimen could be performed during a limited hospital stay, we cannot guarantee that the conditioning will not require a lengthier hospitalization. Our conditioning regimens may not be successful or may nevertheless result in adverse side effects. For example, in each of our ongoing clinical trials several adverse events, including suppression of neutrophils and platelet counts following the conditioning process, were observed. While such adverse events in connection with conditioning is expected, if in the future any such adverse events caused by the conditioning process or related procedures continue at unacceptable rates or degrees of severity, the FDA or other foreign regulatory authorities could order us to cease development of, or deny approval of, our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Although we are investigating a plan to potentially implement molecular cytogenetic screening as an additional risk reduction measure, there can be no guarantees that these procedures will be implemented in a timely manner or would be successful if implemented. Even if we are able to demonstrate that adverse events are not product-related, such occurrences could adversely affect patient recruitment or the ability of enrolled patients to complete the clinical trial, and lead to a decline in our stock price.</w:t>
      </w:r>
    </w:p>
    <w:p>
      <w:pPr>
        <w:spacing w:after="0" w:line="182" w:lineRule="exact"/>
        <w:rPr>
          <w:sz w:val="20"/>
          <w:szCs w:val="20"/>
          <w:color w:val="auto"/>
        </w:rPr>
      </w:pPr>
    </w:p>
    <w:p>
      <w:pPr>
        <w:jc w:val="both"/>
        <w:ind w:right="360" w:firstLine="510"/>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p>
    <w:p>
      <w:pPr>
        <w:spacing w:after="0" w:line="80" w:lineRule="exact"/>
        <w:rPr>
          <w:sz w:val="20"/>
          <w:szCs w:val="20"/>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or boxed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lead to a decline in our stock price, and significantly harm our business, prospects,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left="520" w:right="420"/>
        <w:spacing w:after="0" w:line="277" w:lineRule="auto"/>
        <w:rPr>
          <w:sz w:val="20"/>
          <w:szCs w:val="20"/>
          <w:color w:val="auto"/>
        </w:rPr>
      </w:pPr>
      <w:r>
        <w:rPr>
          <w:rFonts w:ascii="Arial" w:cs="Arial" w:eastAsia="Arial" w:hAnsi="Arial"/>
          <w:sz w:val="18"/>
          <w:szCs w:val="18"/>
          <w:b w:val="1"/>
          <w:bCs w:val="1"/>
          <w:i w:val="1"/>
          <w:iCs w:val="1"/>
          <w:color w:val="auto"/>
        </w:rPr>
        <w:t>Our regulatory approach for AVR-RD-01 for the treatment of Fabry disease recently changed, and there can be no assurance that our new, proposed regulatory pathway will be accepted by regulatory agencies.</w:t>
      </w:r>
    </w:p>
    <w:p>
      <w:pPr>
        <w:spacing w:after="0" w:line="6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On March 11, 2021, approximately three weeks before our End-of-Phase 1 meeting for AVR-RD-01 held on March 31, 2021, the FDA granted full (also referred to as traditional) approval of Fabrazyme</w:t>
      </w:r>
      <w:r>
        <w:rPr>
          <w:rFonts w:ascii="Arial" w:cs="Arial" w:eastAsia="Arial" w:hAnsi="Arial"/>
          <w:sz w:val="13"/>
          <w:szCs w:val="13"/>
          <w:color w:val="auto"/>
        </w:rPr>
        <w:t>®</w:t>
      </w:r>
      <w:r>
        <w:rPr>
          <w:rFonts w:ascii="Arial" w:cs="Arial" w:eastAsia="Arial" w:hAnsi="Arial"/>
          <w:sz w:val="16"/>
          <w:szCs w:val="16"/>
          <w:color w:val="auto"/>
        </w:rPr>
        <w:t xml:space="preserve"> (agalsidase beta) more than 18 years after the ERT received accelerated approval on the basis of a surrogate endpoint: reduction of GL-3 (also referred to as Gb3) inclusions in biopsied PTCs. The conversion to full approval limits the accelerated approval pathways available for new therapies to treat Fabry disease, which must now show clinical benefit over Fabrazyme on a surrogate endpoint. Reduction of GL-3 in PTCs is the only surrogate endpoint that has been accepted as a basis for approval for Fabry ERTs at this time.</w:t>
      </w:r>
    </w:p>
    <w:p>
      <w:pPr>
        <w:spacing w:after="0" w:line="16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As a result of the Fabrazyme full approval, together with the FDA’s feedback on our original proposed trial design, we intend to pursue full approval for AVR-RD-01 based on the same surrogate endpoint that served as the basis for Fabrazyme’s full approval. Although we expect to engage with the FDA in the second half of 2021 to discuss and obtain feedback on a revised regulatory approach, our planned regulatory pathway for AVR-RD-01 is subject to numerous risks, including the following:</w:t>
      </w:r>
    </w:p>
    <w:p>
      <w:pPr>
        <w:spacing w:after="0" w:line="92" w:lineRule="exact"/>
        <w:rPr>
          <w:sz w:val="20"/>
          <w:szCs w:val="20"/>
          <w:color w:val="auto"/>
        </w:rPr>
      </w:pPr>
    </w:p>
    <w:p>
      <w:pPr>
        <w:ind w:left="760" w:hanging="388"/>
        <w:spacing w:after="0" w:line="290"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FDA guidance provides that the acceptability of surrogate endpoints is determined on a case-by-case basis, and a particular surrogate endpoint that may be appropriate for use in a particular drug or biologic clinical development program should not be assumed to be appropriate for use in a different program that is in a different clinical setting. Although we believe the recent full approval of Fabrazyme on the basis of a surrogate endpoint of complete/near complete reduction of GL-3 inclusions in biopsied renal PTCs may potentially support use of this endpoint in a registration trial of AVR-RD-01, we have not discussed this proposed surrogate endpoint with the FDA and there can be no assurance that the FDA will agree with our approach. Moreover, the FDA could require longer clinical or follow-up study requirements for patients, specify patient inclusion criteria that limits our ability to successfully and timely recruit and enroll patients, or require other study design details that will require additional clinical work or render our earlier clinical data of limited utility in support of an application for marketing authorization.</w:t>
      </w:r>
    </w:p>
    <w:p>
      <w:pPr>
        <w:spacing w:after="0" w:line="70" w:lineRule="exact"/>
        <w:rPr>
          <w:rFonts w:ascii="Arial" w:cs="Arial" w:eastAsia="Arial" w:hAnsi="Arial"/>
          <w:sz w:val="16"/>
          <w:szCs w:val="16"/>
          <w:color w:val="auto"/>
        </w:rPr>
      </w:pPr>
    </w:p>
    <w:p>
      <w:pPr>
        <w:ind w:left="760" w:right="20" w:hanging="388"/>
        <w:spacing w:after="0" w:line="254"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 if we obtain alignment with the FDA on our proposed regulatory pathway, without undertaking the special protocol assessment process to obtain FDA agreement on the details of the trial design, including the measurement methodology, number of trial participants and study duration, there is a risk that the FDA may disagree with the final details of our trial design. In addition, although we would propose to the FDA that the registration trial would enroll a number of patients comparable to other orphan disease gene therapy trials, the FDA could require us to enroll more patients than we expect. We have previously encountered delays in patient enrollment and recruitment, and any similar delays in the future could affect our ability to successfully complete a registration trial. Furthermore, the FDA will need to review additional CMC data before we can begin our proposed registration trial.</w:t>
      </w:r>
    </w:p>
    <w:p>
      <w:pPr>
        <w:spacing w:after="0" w:line="100" w:lineRule="exact"/>
        <w:rPr>
          <w:rFonts w:ascii="Arial" w:cs="Arial" w:eastAsia="Arial" w:hAnsi="Arial"/>
          <w:sz w:val="18"/>
          <w:szCs w:val="18"/>
          <w:color w:val="auto"/>
        </w:rPr>
      </w:pPr>
    </w:p>
    <w:p>
      <w:pPr>
        <w:ind w:left="760" w:right="20" w:hanging="388"/>
        <w:spacing w:after="0" w:line="270"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our new proposed regulatory pathway is uncertain. Although we intend to engage with the FDA in the second half of 2021 to discuss our proposal, we have not yet requested such meeting and there can be no assurances that the FDA will be available to meet with us in a timely manner, particularly given the agency’s workload during the ongoing COVID-19 pandemic. Even if we obtain alignment with the FDA on our proposed trial design and CMC readiness, we will need to submit a registration study protocol before we can commence a clinical trial, the timing of which will depend in part upon our interactions with the FDA. Our planned engagement with the FDA and submission of the protocol could be delayed, and as a result we may not be able to initiate a clinical trial in mid-2022, if at all. Furthermore, although the kidney biopsy endpoint in our FAB-GT trial has a 48-week follow-up period, even if the FDA agrees to a kidney biopsy surrogate endpoint in our proposed registration trial design, the FDA could require the follow-up period to be longer than 48-weeks, which would increase the length of the trial and delay any submission of a BLA.</w:t>
      </w:r>
    </w:p>
    <w:p>
      <w:pPr>
        <w:spacing w:after="0" w:line="18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Clinical testing is expensive, time-consuming and uncertain as to outcome. We cannot guarantee that any clinical studies, including our proposed registration trial of AVR-RD-01, will be conducted as planned or completed on schedule, if at all. Even if we are able to complete a registration trial for AVR-RD-01 and receive marketing approval, such approval may be for indications or patient populations that are not as broad as intended or desired, which could limit the potential commercial viability of the approved product. Any inability to successfully conduct our proposed registration trial of AVR-RD-01 using a kidney biopsy surrogate endpoint or other inability to successfully complete our clinical development of AVR-RD-01 could result in additional costs to us and impair our ability to generate revenues.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left="520"/>
        <w:spacing w:after="0"/>
        <w:rPr>
          <w:sz w:val="20"/>
          <w:szCs w:val="20"/>
          <w:color w:val="auto"/>
        </w:rPr>
      </w:pPr>
      <w:r>
        <w:rPr>
          <w:rFonts w:ascii="Arial" w:cs="Arial" w:eastAsia="Arial" w:hAnsi="Arial"/>
          <w:sz w:val="16"/>
          <w:szCs w:val="16"/>
          <w:b w:val="1"/>
          <w:bCs w:val="1"/>
          <w:i w:val="1"/>
          <w:iCs w:val="1"/>
          <w:color w:val="auto"/>
        </w:rPr>
        <w:t>We have never completed a pivotal or registration clinical trial, and may be unable to do so for any product candidates we may develop.</w:t>
      </w:r>
    </w:p>
    <w:p>
      <w:pPr>
        <w:spacing w:after="0" w:line="140"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We are at an early stage of development for all of our product candidates. As of the date of this Quarterly Report, we have dosed only 18 patients across four ongoing clinical trials. These ongoing clinical trials, as well as potentially additional pivotal clinical trials (also referred to as registration trials), must be completed in order to obtain FDA or other regulatory approval to market these product candidates. We have limited experience in preparing, submitting and prosecuting regulatory filings, and have not previously submitted a biologics license application, or BLA, for any product candidate.</w:t>
      </w:r>
    </w:p>
    <w:p>
      <w:pPr>
        <w:spacing w:after="0" w:line="15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Carrying out later-stage clinical trials is a complicated and lengthy process, and we do not expect that all data from patients participating in the clinical trials will be relevant or meaningful. For example, the primary efficacy endpoint of our Phase 2 clinical trial of AVR-RD-01, which we refer to as the FAB-GT clinical trial, is the change, from baseline to one year post-treatment with AVR-RD-01, in the average number of Gb3 inclusions per PTC, as measured in a patient kidney biopsy. The second patient in the FAB-GT trial has an N215S genotype, which is associated with a late-onset cardiac variant phenotype and lower plasma lyso-Gb3 levels. This patient’s cardiac variant phenotype does not typically result in Gb3 accumulation in the kidney and skin, and accordingly we do not expect that data obtained from this patient will have a meaningful impact on certain efficacy endpoints in our FAB-GT clinical trial, including kidney and skin biopsies. Nonetheless, there may be other important insights derived from data collected from this patient in the FAB-GT clinical trial. In addition, although a kidney biopsy was performed on the third patient in the FAB-GT clinical trial, as a result of human error in processing the biopsy sample at the external laboratory vendor, the kidney Gb3 inclusions could not be evaluated and will not be available. However, we expect to continue collecting other data from the third patient, including measures of kidney function such as estimated glomerular filtration rate and measured glomerular filtration rate.</w:t>
      </w:r>
    </w:p>
    <w:p>
      <w:pPr>
        <w:spacing w:after="0" w:line="18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we have not yet conducted any company-sponsored clinical trials of any of our product candidates in the United States, and our interactions with the FDA have generally been limited. We cannot be certain how many additional clinical trials of AVR-RD-01, AVR-RD-04, AVR-RD-02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AVR-RD-01 and AVR-RD-02, and the sponsor of the investigator-led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any of our product candidates.</w:t>
      </w:r>
    </w:p>
    <w:p>
      <w:pPr>
        <w:spacing w:after="0" w:line="17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and the ongoing Phase 1/2 clinical trial of AVR-RD-04 is also an investigator-sponsored clinical trial, which is being conducted by our collaborators at the University of California, San Diego. In addition, the planned Phase 1/2 clinical trial of AVR-RD-05 will be an investigator-sponsored trial conducted by our collaborators at The University of Manchester.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right="80"/>
        <w:spacing w:after="0" w:line="273" w:lineRule="auto"/>
        <w:rPr>
          <w:sz w:val="20"/>
          <w:szCs w:val="20"/>
          <w:color w:val="auto"/>
        </w:rPr>
      </w:pPr>
      <w:r>
        <w:rPr>
          <w:rFonts w:ascii="Arial" w:cs="Arial" w:eastAsia="Arial" w:hAnsi="Arial"/>
          <w:sz w:val="17"/>
          <w:szCs w:val="17"/>
          <w:color w:val="auto"/>
        </w:rPr>
        <w:t>analyzed.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w:t>
      </w:r>
    </w:p>
    <w:p>
      <w:pPr>
        <w:spacing w:after="0" w:line="17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also may experience regulatory delays or rejections as a result of many factors, including due to changes in regulatory policy or the approval of competitive therapies during the period of our product candidate development. Any of our current or future product candidates may fail to show the desired safety and efficacy in clinical development despite positive results in preclinical studies. Any such failure would cause us to abandon the product candidate.</w:t>
      </w:r>
    </w:p>
    <w:p>
      <w:pPr>
        <w:spacing w:after="0" w:line="14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Because our clinical trials are ongoing, the data that we report are preliminary and subject to change. As is typical in open-label studies in which interim reports are provided, the safety and efficacy data are regularly reviewed and validated. As a result, certain data may change over time, including reductions or increases in the number of reported safety events, until the database is locked at the end of the study.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left="520" w:right="6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Although we expect to have dosed an aggregate of 20 to 25 patients across all our clinical programs by the end of 2021, there can be no assurance we will achieve that goal. The timing and success of our patient enrollment and clinical trial activities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ongoing clinical trials and certain data collection has been delayed. While patient enrollment and dosing activities have begun to resume, there could be additional pauses in the future as a result of the COVID-19 pandemic or other factors.</w:t>
      </w:r>
    </w:p>
    <w:p>
      <w:pPr>
        <w:spacing w:after="0" w:line="17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which we refer to as the Guard1 clinical trial. While a number of patients had been identified for the Guard1 clinical trial, we encountered patient pre-screening failures that impacted the commencement of enrollment. Additionally, as a result of the COVID-19 pandemic, in 2020 we encountered protracted timelines with our Guard1 investigational site startup activities, which also impacted patient enrollment.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17"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enroll patients and conduct studies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We have expanded our patient enrollment activities to include patients who reside in a country other than the country where the applicable clinical site is located, and who are required to travel for some or all of the clinical testing and procedures required for patients in the applicable clinical trial. We have encountered and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 addition, once these international patients return to their home country they may need to travel back to the country where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ind w:right="160"/>
        <w:spacing w:after="0" w:line="277" w:lineRule="auto"/>
        <w:rPr>
          <w:sz w:val="20"/>
          <w:szCs w:val="20"/>
          <w:color w:val="auto"/>
        </w:rPr>
      </w:pPr>
      <w:r>
        <w:rPr>
          <w:rFonts w:ascii="Arial" w:cs="Arial" w:eastAsia="Arial" w:hAnsi="Arial"/>
          <w:sz w:val="18"/>
          <w:szCs w:val="18"/>
          <w:color w:val="auto"/>
        </w:rPr>
        <w:t>applicable clinical site is located. If these patients are unwilling or unable to return to the clinical site for testing and procedures, progress and completion of the clinical trial could be delayed or prevented.</w:t>
      </w:r>
    </w:p>
    <w:p>
      <w:pPr>
        <w:spacing w:after="0" w:line="1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3"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jc w:val="both"/>
        <w:ind w:right="420" w:firstLine="510"/>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3"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for our FAB-GT clinical trial of AVR-RD-01, we have transitioned our lentiviral vectors to an LV2 version in connection with our plato platform implementation. In addition, the transition from LV1 to LV2 has required (and 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spacing w:after="0" w:line="285" w:lineRule="auto"/>
        <w:rPr>
          <w:sz w:val="20"/>
          <w:szCs w:val="20"/>
          <w:color w:val="auto"/>
        </w:rPr>
      </w:pPr>
      <w:r>
        <w:rPr>
          <w:rFonts w:ascii="Arial" w:cs="Arial" w:eastAsia="Arial" w:hAnsi="Arial"/>
          <w:sz w:val="16"/>
          <w:szCs w:val="16"/>
          <w:color w:val="auto"/>
        </w:rPr>
        <w:t>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FAB-GT clinical study of AVR-RD-01 for Fabry disease in the United States, which was cleared by the FDA in April 2019, included data to demonstrate comparability between LV1 and LV2 and a transition to an automated manufacturing platform. In addition, our CTA (including amendments) and IND for our Guard1 clinical study of AVR-RD-02 for Gaucher disease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and allow us to commence clinical trials incorporating such elements, we expect that the FDA, Health Canada or other regulatory authorities will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investigator-sponsored clinical study of AVR-RD-04 for cystinosis in the United States, which has been cleared by the FDA, does not include our LV2 lentiviral vector or our automated manufacturing platform. Additionally, the study drug for the planned investigator-sponsored clinical study of AVR-RD-05 for Hunter syndrome will not be manufactured using our plato platform, and neither the automated, closed manufacturing system nor LV2 will be used in connection with this clinical trial. We anticipate that we will be required to submit comparability data in future regulatory filings relating to our transition to LV2 and the automated manufacturing platform.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103" w:lineRule="exact"/>
        <w:rPr>
          <w:sz w:val="20"/>
          <w:szCs w:val="20"/>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76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8" w:lineRule="exact"/>
        <w:rPr>
          <w:sz w:val="20"/>
          <w:szCs w:val="20"/>
          <w:color w:val="auto"/>
        </w:rPr>
      </w:pPr>
    </w:p>
    <w:p>
      <w:pPr>
        <w:ind w:left="520" w:right="90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38"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left="520" w:right="480"/>
        <w:spacing w:after="0" w:line="277" w:lineRule="auto"/>
        <w:rPr>
          <w:sz w:val="20"/>
          <w:szCs w:val="20"/>
          <w:color w:val="auto"/>
        </w:rPr>
      </w:pPr>
      <w:r>
        <w:rPr>
          <w:rFonts w:ascii="Arial" w:cs="Arial" w:eastAsia="Arial" w:hAnsi="Arial"/>
          <w:sz w:val="18"/>
          <w:szCs w:val="18"/>
          <w:b w:val="1"/>
          <w:bCs w:val="1"/>
          <w:i w:val="1"/>
          <w:iCs w:val="1"/>
          <w:color w:val="auto"/>
        </w:rPr>
        <w:t>Only certain of our clinical trials, including the Phase 2 FAB-GT clinical trial of AVR-RD-01 for Fabry disease and the Phase 1/2 Guard1 clinical trial of AVR-RD-02 for Gaucher disease type 1, utilize our commercial-scale plato platform.</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While we have submitted and intend to continue to submit comparability studies to the FDA and other regulatory agencies, as needed, with respect to our implementation of our commercial-scale plato platform in these and future clinical trials sponsored by us,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We intend to continue implementing our commercial-scale plato platform, including heightened vector efficiency, our closed, automated manufacturing system and utilization of a TCI conditioning regimen with busulfan, in connection with each of our investigational product candidates. We have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94" w:lineRule="exact"/>
        <w:rPr>
          <w:sz w:val="20"/>
          <w:szCs w:val="20"/>
          <w:color w:val="auto"/>
        </w:rPr>
      </w:pPr>
    </w:p>
    <w:p>
      <w:pPr>
        <w:ind w:left="520" w:right="80"/>
        <w:spacing w:after="0" w:line="311" w:lineRule="auto"/>
        <w:rPr>
          <w:sz w:val="20"/>
          <w:szCs w:val="20"/>
          <w:color w:val="auto"/>
        </w:rPr>
      </w:pPr>
      <w:r>
        <w:rPr>
          <w:rFonts w:ascii="Arial" w:cs="Arial" w:eastAsia="Arial" w:hAnsi="Arial"/>
          <w:sz w:val="16"/>
          <w:szCs w:val="16"/>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4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6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In March 2021, Fabrazyme, marketed by Sanofi Genzyme, received full (also referred to as traditional) approval more than 18 years after the ERT received accelerated approval on the basis of a surrogate endpoint. Amicus has secured regulatory approval in the United States and Europe for Migalastat, its oral chaperone therapy for Fabry disease. In addition, Protalix BioTherapeutics, together with Chiesi Global Rare Diseases, is developing pegunigalsidase alfa, their investigational product candidate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and Shire markets an enzyme replacement therapy for Hunter syndrome. Cystinosis is currently treated by therapies marketed by Horizon Orphan, Mylan, Chiesi, Recordati and Sigma Tau Pharmaceuticals, and Eloxx Pharmaceuticals has been advancing a new treatment in clinical trials. In addition, we may compete with other gene therapy companies in our industry such as bluebird bio and Spark Therapeutics (which was acquired by Roche in 2019). In particular, a number of gene therapy companies have announced preclinical or clinical non-viral and adeno-associated viral based gene therapy programs that, if successful in obtaining regulatory approval, could compete with our gene therapies.</w:t>
      </w:r>
    </w:p>
    <w:p>
      <w:pPr>
        <w:spacing w:after="0" w:line="168" w:lineRule="exact"/>
        <w:rPr>
          <w:sz w:val="20"/>
          <w:szCs w:val="20"/>
          <w:color w:val="auto"/>
        </w:rPr>
      </w:pPr>
    </w:p>
    <w:p>
      <w:pPr>
        <w:jc w:val="both"/>
        <w:ind w:right="120" w:firstLine="510"/>
        <w:spacing w:after="0" w:line="287"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right="200"/>
        <w:spacing w:after="0" w:line="263" w:lineRule="auto"/>
        <w:rPr>
          <w:sz w:val="20"/>
          <w:szCs w:val="20"/>
          <w:color w:val="auto"/>
        </w:rPr>
      </w:pPr>
      <w:r>
        <w:rPr>
          <w:rFonts w:ascii="Arial" w:cs="Arial" w:eastAsia="Arial" w:hAnsi="Arial"/>
          <w:sz w:val="18"/>
          <w:szCs w:val="18"/>
          <w:color w:val="auto"/>
        </w:rPr>
        <w:t>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92"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7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9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40" w:firstLine="510"/>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FAB-GT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0" w:lineRule="exact"/>
        <w:rPr>
          <w:sz w:val="20"/>
          <w:szCs w:val="20"/>
          <w:color w:val="auto"/>
        </w:rPr>
      </w:pPr>
    </w:p>
    <w:p>
      <w:pPr>
        <w:ind w:left="520" w:right="10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9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December 2018, October 2019 and March 2020, the FDA granted our requests for orphan drug designation for AVR-RD-01 for the treatment of Fabry disease, AVR-RD-02 for the treatment of Gaucher disease and AVR-RD-04 for the treatment of cystinosis, respectively. In September 2020, October 2020 and March 2021 we announced that the European Commission granted our request for orphan drug designation for AVR-RD-02 for the treatment of Gaucher disease, AVR-RD-01 for the treatment of Fabry disease, and AVR-RD-04 for the treatment of cystinosis, respectively. If we request orphan drug designation (or the foreign equivalent) for any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1"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0" w:lineRule="exact"/>
        <w:rPr>
          <w:sz w:val="20"/>
          <w:szCs w:val="20"/>
          <w:color w:val="auto"/>
        </w:rPr>
      </w:pPr>
    </w:p>
    <w:p>
      <w:pPr>
        <w:ind w:left="880" w:right="60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ind w:left="52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17"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4"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6"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As part of our growth strategy, we intend to identify, develop and market additional product candidates beyond our existing product candidates.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t>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9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7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left="520" w:right="82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4"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8"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20" w:right="64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have moved our cell processing to an automated, closed system with a single third-party supplier.</w:t>
      </w:r>
    </w:p>
    <w:p>
      <w:pPr>
        <w:spacing w:after="0" w:line="184"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Any of these third parties may terminate their engagements with us or renegotiate the terms of our agreements at any time. If we need to enter into alternative arrangements, it could delay our product development activities. Our reliance on these third parties for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jc w:val="both"/>
        <w:ind w:right="140"/>
        <w:spacing w:after="0" w:line="311" w:lineRule="auto"/>
        <w:rPr>
          <w:sz w:val="20"/>
          <w:szCs w:val="20"/>
          <w:color w:val="auto"/>
        </w:rPr>
      </w:pPr>
      <w:r>
        <w:rPr>
          <w:rFonts w:ascii="Arial" w:cs="Arial" w:eastAsia="Arial" w:hAnsi="Arial"/>
          <w:sz w:val="16"/>
          <w:szCs w:val="16"/>
          <w:color w:val="auto"/>
        </w:rPr>
        <w:t>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49"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Additionally, as a result of the COVID-19 pandemic, in 2020 we encountered protracted timelines with our investigational site startup activities for our Guard1 clinical trial, which also impacted patient enrollment. In 2020, a kidney biopsy was conducted on the third patient in the FAB-GT clinical trial of AVR-RD-01, but due to human error in processing the biopsy sample at the external laboratory vendor, the kidney Gb3 inclusions could not be evaluated and will not be available. Although our quality assurance personnel have worked closely with the external vendor to identify the cause of the vendor error and to identify additional protocols for implementation by the vendor that are designed to prevent similar errors in the future, there can be no assurances that such protocols will be successfully implemented by the vendor.</w:t>
      </w:r>
    </w:p>
    <w:p>
      <w:pPr>
        <w:spacing w:after="0" w:line="174"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62"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880" w:right="62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129"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20"/>
        <w:spacing w:after="0" w:line="279" w:lineRule="auto"/>
        <w:rPr>
          <w:sz w:val="20"/>
          <w:szCs w:val="20"/>
          <w:color w:val="auto"/>
        </w:rPr>
      </w:pPr>
      <w:r>
        <w:rPr>
          <w:rFonts w:ascii="Arial" w:cs="Arial" w:eastAsia="Arial" w:hAnsi="Arial"/>
          <w:sz w:val="17"/>
          <w:szCs w:val="17"/>
          <w:color w:val="auto"/>
        </w:rPr>
        <w:t>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7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4"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production, supply, shipment or delivery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8" w:lineRule="exact"/>
        <w:rPr>
          <w:sz w:val="20"/>
          <w:szCs w:val="20"/>
          <w:color w:val="auto"/>
        </w:rPr>
      </w:pPr>
    </w:p>
    <w:p>
      <w:pPr>
        <w:ind w:left="520" w:right="56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60"/>
        <w:spacing w:after="0" w:line="277" w:lineRule="auto"/>
        <w:rPr>
          <w:sz w:val="20"/>
          <w:szCs w:val="20"/>
          <w:color w:val="auto"/>
        </w:rPr>
      </w:pPr>
      <w:r>
        <w:rPr>
          <w:rFonts w:ascii="Arial" w:cs="Arial" w:eastAsia="Arial" w:hAnsi="Arial"/>
          <w:sz w:val="18"/>
          <w:szCs w:val="18"/>
          <w:color w:val="auto"/>
        </w:rPr>
        <w:t>inspection due to the COVID-19 pandemic, the FDA may issue a complete response letter or defer action on our applications, and approval of the products may be delayed or may not be granted.</w:t>
      </w:r>
    </w:p>
    <w:p>
      <w:pPr>
        <w:spacing w:after="0" w:line="17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4"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2"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7"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are in the preliminary stages of building our commercial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spacing w:after="0" w:line="263" w:lineRule="auto"/>
        <w:rPr>
          <w:sz w:val="20"/>
          <w:szCs w:val="20"/>
          <w:color w:val="auto"/>
        </w:rPr>
      </w:pPr>
      <w:r>
        <w:rPr>
          <w:rFonts w:ascii="Arial" w:cs="Arial" w:eastAsia="Arial" w:hAnsi="Arial"/>
          <w:sz w:val="18"/>
          <w:szCs w:val="18"/>
          <w:color w:val="auto"/>
        </w:rPr>
        <w:t>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92"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focus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our products, patients may become increasingly difficult to identify and access, and any approval we receive from regulatory agencies may be for a narrower indication and smaller patient population than anticipated, all of which would adversely affect our business, financial condition, results of operations and prospects.</w:t>
      </w:r>
    </w:p>
    <w:p>
      <w:pPr>
        <w:spacing w:after="0" w:line="303"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80"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880" w:right="460" w:hanging="373"/>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6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180"/>
        <w:spacing w:after="0" w:line="277" w:lineRule="auto"/>
        <w:rPr>
          <w:sz w:val="20"/>
          <w:szCs w:val="20"/>
          <w:color w:val="auto"/>
        </w:rPr>
      </w:pPr>
      <w:r>
        <w:rPr>
          <w:rFonts w:ascii="Arial" w:cs="Arial" w:eastAsia="Arial" w:hAnsi="Arial"/>
          <w:sz w:val="18"/>
          <w:szCs w:val="18"/>
          <w:color w:val="auto"/>
        </w:rPr>
        <w:t>marketed by our competitors. If these products do not achieve an adequate level of acceptance, we may not generate significant product revenue and may not become profitable.</w:t>
      </w:r>
    </w:p>
    <w:p>
      <w:pPr>
        <w:spacing w:after="0" w:line="278"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9"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6"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firstLine="510"/>
        <w:spacing w:after="0" w:line="269"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77"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6"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left="520" w:right="32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2010, the Patient Protection and Affordable Care Act, as amended by the Health Care and Education Reconciliation Act of 2010, or the ACA, was enacted, which, substantially changes the way healthcare is financed by both governmental and private insurers, and significantly impacts the U.S. 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creates a new Medicare Part D coverage gap discount program, in which manufacturers must agree to offer 70% (as of 2019)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72"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Members of Congress have introduced several pieces of legislation aimed at significantly revising or repealing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the purpose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6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2030 unless additional Congressional action is taken; however, pursuant to the Coronavirus Aid, Relief, and Economic Security Act, also known as the CARES Act, these reductions have been suspended from May 1, 2020 through December 31, 2020 due to the COVID-19 pandemic. The Consolidated Appropriations Act of 2021, extended the suspension period to March 31, 2021. An Act to Prevent Across-the-Board Direct Spending Cuts, and for Other Purposes, signed into law on April 14, 2021, has extended the suspension period to December 31, 2021.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8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directs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spacing w:after="0" w:line="284" w:lineRule="auto"/>
        <w:rPr>
          <w:sz w:val="20"/>
          <w:szCs w:val="20"/>
          <w:color w:val="auto"/>
        </w:rPr>
      </w:pPr>
      <w:r>
        <w:rPr>
          <w:rFonts w:ascii="Arial" w:cs="Arial" w:eastAsia="Arial" w:hAnsi="Arial"/>
          <w:sz w:val="16"/>
          <w:szCs w:val="16"/>
          <w:color w:val="auto"/>
        </w:rPr>
        <w:t>FDA to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Additionally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The MFN is currently subject to ongoing litigation.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w:t>
      </w:r>
    </w:p>
    <w:p>
      <w:pPr>
        <w:spacing w:after="0" w:line="391"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4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78" w:lineRule="exact"/>
        <w:rPr>
          <w:sz w:val="20"/>
          <w:szCs w:val="20"/>
          <w:color w:val="auto"/>
        </w:rPr>
      </w:pPr>
    </w:p>
    <w:p>
      <w:pPr>
        <w:ind w:left="5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500"/>
        <w:spacing w:after="0" w:line="277" w:lineRule="auto"/>
        <w:rPr>
          <w:sz w:val="20"/>
          <w:szCs w:val="20"/>
          <w:color w:val="auto"/>
        </w:rPr>
      </w:pPr>
      <w:r>
        <w:rPr>
          <w:rFonts w:ascii="Arial" w:cs="Arial" w:eastAsia="Arial" w:hAnsi="Arial"/>
          <w:sz w:val="18"/>
          <w:szCs w:val="18"/>
          <w:color w:val="auto"/>
        </w:rPr>
        <w:t>agencies on which our operations may rely, including those that fund research and development activities, is subject to the political process, which is inherently fluid and unpredictable.</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As of May 2021, certain inspections, such as foreign preapproval, surveillance, and for-cause inspections that are not deemed mission-critical, remain temporarily postponed.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a complete response letter or defer action on the application until an inspection can be completed. Additionally, as of May 26, 2021, the FDA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In 2020 and 2021,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283" w:lineRule="exact"/>
        <w:rPr>
          <w:sz w:val="20"/>
          <w:szCs w:val="20"/>
          <w:color w:val="auto"/>
        </w:rPr>
      </w:pPr>
    </w:p>
    <w:p>
      <w:pPr>
        <w:ind w:left="520" w:right="100"/>
        <w:spacing w:after="0" w:line="375" w:lineRule="auto"/>
        <w:rPr>
          <w:sz w:val="20"/>
          <w:szCs w:val="20"/>
          <w:color w:val="auto"/>
        </w:rPr>
      </w:pPr>
      <w:r>
        <w:rPr>
          <w:rFonts w:ascii="Arial" w:cs="Arial" w:eastAsia="Arial" w:hAnsi="Arial"/>
          <w:sz w:val="15"/>
          <w:szCs w:val="15"/>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 w:lineRule="exact"/>
        <w:rPr>
          <w:sz w:val="20"/>
          <w:szCs w:val="20"/>
          <w:color w:val="auto"/>
        </w:rPr>
      </w:pPr>
    </w:p>
    <w:p>
      <w:pPr>
        <w:jc w:val="both"/>
        <w:ind w:right="140" w:firstLine="510"/>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520" w:right="16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ind w:right="120"/>
        <w:spacing w:after="0" w:line="259" w:lineRule="auto"/>
        <w:rPr>
          <w:sz w:val="20"/>
          <w:szCs w:val="20"/>
          <w:color w:val="auto"/>
        </w:rPr>
      </w:pPr>
      <w:r>
        <w:rPr>
          <w:rFonts w:ascii="Arial" w:cs="Arial" w:eastAsia="Arial" w:hAnsi="Arial"/>
          <w:sz w:val="18"/>
          <w:szCs w:val="18"/>
          <w:color w:val="auto"/>
        </w:rPr>
        <w:t>attributable to our product candidates (such as the many adverse events that typically arise from the conditioning process), or adverse events in other lentiviral gene therapy trials, and the resulting publicity could result in a decline in our stock price,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95"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our ability to recruit and retain qualified personnel could be impacted by other factors, such as remote or hybrid working arrangements, including those resulting from the COVID-19 pandemic, which could impact employees’ productivity and morale, as well as any failure to succeed in preclinical or clinical trials. The inability to recruit or the loss of the services of any executive, key employee, consultant or advisor may impede the progress of our research, development and commercialization objectives.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140"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As we mature, we expect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4"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spacing w:after="0" w:line="254" w:lineRule="auto"/>
        <w:rPr>
          <w:sz w:val="20"/>
          <w:szCs w:val="20"/>
          <w:color w:val="auto"/>
        </w:rPr>
      </w:pPr>
      <w:r>
        <w:rPr>
          <w:rFonts w:ascii="Arial" w:cs="Arial" w:eastAsia="Arial" w:hAnsi="Arial"/>
          <w:sz w:val="18"/>
          <w:szCs w:val="18"/>
          <w:color w:val="auto"/>
        </w:rPr>
        <w:t>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03" w:lineRule="exact"/>
        <w:rPr>
          <w:sz w:val="20"/>
          <w:szCs w:val="20"/>
          <w:color w:val="auto"/>
        </w:rPr>
      </w:pPr>
    </w:p>
    <w:p>
      <w:pPr>
        <w:ind w:left="520" w:right="76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87" w:lineRule="exact"/>
        <w:rPr>
          <w:sz w:val="20"/>
          <w:szCs w:val="20"/>
          <w:color w:val="auto"/>
        </w:rPr>
      </w:pPr>
    </w:p>
    <w:p>
      <w:pPr>
        <w:jc w:val="both"/>
        <w:ind w:left="520" w:right="100"/>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4" w:lineRule="exact"/>
        <w:rPr>
          <w:sz w:val="20"/>
          <w:szCs w:val="20"/>
          <w:color w:val="auto"/>
        </w:rPr>
      </w:pPr>
    </w:p>
    <w:p>
      <w:pPr>
        <w:ind w:left="880" w:right="80" w:hanging="373"/>
        <w:spacing w:after="0" w:line="267"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w:t>
      </w:r>
    </w:p>
    <w:p>
      <w:pPr>
        <w:spacing w:after="0" w:line="83" w:lineRule="exact"/>
        <w:rPr>
          <w:rFonts w:ascii="Arial" w:cs="Arial" w:eastAsia="Arial" w:hAnsi="Arial"/>
          <w:sz w:val="17"/>
          <w:szCs w:val="17"/>
          <w:color w:val="auto"/>
        </w:rPr>
      </w:pPr>
    </w:p>
    <w:p>
      <w:pPr>
        <w:ind w:left="880" w:right="120" w:hanging="373"/>
        <w:spacing w:after="0" w:line="259"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left="880" w:right="40"/>
        <w:spacing w:after="0" w:line="257" w:lineRule="auto"/>
        <w:rPr>
          <w:sz w:val="20"/>
          <w:szCs w:val="20"/>
          <w:color w:val="auto"/>
        </w:rPr>
      </w:pPr>
      <w:r>
        <w:rPr>
          <w:rFonts w:ascii="Arial" w:cs="Arial" w:eastAsia="Arial" w:hAnsi="Arial"/>
          <w:sz w:val="18"/>
          <w:szCs w:val="18"/>
          <w:color w:val="auto"/>
        </w:rPr>
        <w:t>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80" w:lineRule="exact"/>
        <w:rPr>
          <w:sz w:val="20"/>
          <w:szCs w:val="20"/>
          <w:color w:val="auto"/>
        </w:rPr>
      </w:pPr>
    </w:p>
    <w:p>
      <w:pPr>
        <w:ind w:left="880" w:right="80" w:hanging="373"/>
        <w:spacing w:after="0" w:line="259"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880" w:right="40" w:hanging="373"/>
        <w:spacing w:after="0" w:line="29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880" w:right="100" w:hanging="373"/>
        <w:spacing w:after="0" w:line="279"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880" w:right="100" w:hanging="373"/>
        <w:spacing w:after="0" w:line="293"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(currently defined to include doctors, dentists, optometrists, podiatrists and chiropractors), physician assistants, nurse practitioners, clinical nurse specialists, certified registered nurse anesthetists and teaching hospitals, as well as ownership and investment interests held by the physicians described above and their immediate family members.</w:t>
      </w:r>
    </w:p>
    <w:p>
      <w:pPr>
        <w:spacing w:after="0" w:line="56" w:lineRule="exact"/>
        <w:rPr>
          <w:rFonts w:ascii="Arial" w:cs="Arial" w:eastAsia="Arial" w:hAnsi="Arial"/>
          <w:sz w:val="16"/>
          <w:szCs w:val="16"/>
          <w:color w:val="auto"/>
        </w:rPr>
      </w:pPr>
    </w:p>
    <w:p>
      <w:pPr>
        <w:ind w:left="880" w:right="10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62"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6"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ind w:firstLine="510"/>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66"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73"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currently plan to conduct clinical trials in the European Union, or EU, and the United Kingdom, or UK, and as a result will be subject to additional privacy restrictions. The collection, use, disclosure, transfer or other processing of personal health data in the EU is governed by the provisions of the General Data Protection Regulation, or GDPR. The GDPR is wide-ranging in scope and imposes numerous requirements on companies that process personal data, including requirements relating to processing health and other sensitive data, providing information to individuals regarding data processing activities, obtaining consent from individuals to whom the data processing relates,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our obligations with respect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100"/>
        <w:spacing w:after="0" w:line="272" w:lineRule="auto"/>
        <w:rPr>
          <w:sz w:val="20"/>
          <w:szCs w:val="20"/>
          <w:color w:val="auto"/>
        </w:rPr>
      </w:pPr>
      <w:r>
        <w:rPr>
          <w:rFonts w:ascii="Arial" w:cs="Arial" w:eastAsia="Arial" w:hAnsi="Arial"/>
          <w:sz w:val="17"/>
          <w:szCs w:val="17"/>
          <w:color w:val="auto"/>
        </w:rPr>
        <w:t>any clinical trials conducted in the European Economic Area by expanding the definition of personal data to include coded data and requiring changes to informed consent practices and more detailed notices for clinical trial subjects and investigators. In addition, the GDPR imposes strict rules on the transfer of personal data out of the European Union, including to the United States, and as a result increases scrutiny that such rules may apply to transfers of personal data from any clinical trial sites located in the EU and the UK to the United States. The GDPR also permits data protection authorities to require destruction of improperly gathered or used personal data and/or impose substantial fines for violations of the GDPR, which can be up to four percent of global revenues or 20 million Euros,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72"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European Union.</w:t>
      </w:r>
    </w:p>
    <w:p>
      <w:pPr>
        <w:spacing w:after="0" w:line="7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Further, the UK exited the EU effective January 31, 2020, subject to a transition period that ended December 31, 2020. Following the UK’s withdrawal from the EU on January 31, 2020, pursuant to the transitional arrangements agreed to between the UK and EU, the GDPR continued to have effect under law in the UK, and continued to do so until December 31, 2020 as if the UK remained a member state of the EU for such purposes. Following December 31, 2020, and the expiry of those transitional arrangements, the data protection obligations of the GDPR continue to apply to UK-related processing of personal data in substantially unvaried form and fashion under the so-called “UK GDPR” (i.e., the GDPR as it continues to form part of UK law by virtue of section 3 of the European Union (Withdrawal) Act 2018, as amended (including by the various Data Protection, Privacy and Electronic Communications (Amendments etc.) (EU Exit) Regulations)).</w:t>
      </w:r>
    </w:p>
    <w:p>
      <w:pPr>
        <w:spacing w:after="0" w:line="303" w:lineRule="exact"/>
        <w:rPr>
          <w:sz w:val="20"/>
          <w:szCs w:val="20"/>
          <w:color w:val="auto"/>
        </w:rPr>
      </w:pPr>
    </w:p>
    <w:p>
      <w:pPr>
        <w:jc w:val="both"/>
        <w:ind w:left="520" w:right="20"/>
        <w:spacing w:after="0" w:line="340"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2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carry master product liability insurance of $5.0 million per occurrence and $5.0 million in the aggregate in the United States. For studies conducted in Australia and Canada,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78"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right="40"/>
        <w:spacing w:after="0" w:line="275" w:lineRule="auto"/>
        <w:rPr>
          <w:sz w:val="20"/>
          <w:szCs w:val="20"/>
          <w:color w:val="auto"/>
        </w:rPr>
      </w:pPr>
      <w:r>
        <w:rPr>
          <w:rFonts w:ascii="Arial" w:cs="Arial" w:eastAsia="Arial" w:hAnsi="Arial"/>
          <w:sz w:val="17"/>
          <w:szCs w:val="17"/>
          <w:color w:val="auto"/>
        </w:rPr>
        <w:t>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4"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0" w:lineRule="exact"/>
        <w:rPr>
          <w:sz w:val="20"/>
          <w:szCs w:val="20"/>
          <w:color w:val="auto"/>
        </w:rPr>
      </w:pPr>
    </w:p>
    <w:p>
      <w:pPr>
        <w:ind w:left="520" w:right="92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As of December 31, 2020, we had federal and state net operating loss carryforwards of $214.0 million and $201.6 million, respectively, and federal and state research and development tax credit carryforwards of approximately $3.7 million and $0.7 million, respectively. If not utilized, the net operating loss carryforwards and research and development credits will generally expire at various dates through 2038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For taxable years beginning after December 31, 2020, deductions for federal net operating losses arising in taxable years beginning after December 31, 2017 may only offset 80% of taxable income.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64"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85"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type 1 program). In addition, we have in-licensed patents and patent applications from BioMarin Pharmaceutical Inc., or BioMarin (relevant to AVR-RD-03 and our Pompe program), GenStem Therapeutics, Inc., or GenStem (relevant to AVR-RD-04 and our cystinosis program) and The University of Manchester (relevant to AVR-RD-05 and our Hunter program), directed to compositions and methods related to the manufacture and use of AVR-RD-03, AVR-RD-04 and AVR-RD-05, respectively. Any termination of these licenses could result in the loss of significant rights and could harm or prevent our ability to commercialize our product candidates.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ind w:right="20" w:firstLine="510"/>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cystinosis, Gaucher disease type 1, Hunter syndrome,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the rights holders associated with Lund University, and The University of Manchester,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6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303" w:lineRule="exact"/>
        <w:rPr>
          <w:sz w:val="20"/>
          <w:szCs w:val="20"/>
          <w:color w:val="auto"/>
        </w:rPr>
      </w:pPr>
    </w:p>
    <w:p>
      <w:pPr>
        <w:ind w:left="520" w:right="40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AVR-RD-02 or AVR-RD-06, and the patent applications that we in-licensed related to AVR-RD-04 and AVR-RD-05 are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ind w:left="5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72"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4"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86"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ind w:left="52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6"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140"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3" w:lineRule="exact"/>
        <w:rPr>
          <w:sz w:val="20"/>
          <w:szCs w:val="20"/>
          <w:color w:val="auto"/>
        </w:rPr>
      </w:pPr>
    </w:p>
    <w:p>
      <w:pPr>
        <w:ind w:left="520" w:right="100"/>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57"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have licensed from GenStem.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ind w:right="120"/>
        <w:spacing w:after="0" w:line="255" w:lineRule="auto"/>
        <w:rPr>
          <w:sz w:val="20"/>
          <w:szCs w:val="20"/>
          <w:color w:val="auto"/>
        </w:rPr>
      </w:pPr>
      <w:r>
        <w:rPr>
          <w:rFonts w:ascii="Arial" w:cs="Arial" w:eastAsia="Arial" w:hAnsi="Arial"/>
          <w:sz w:val="18"/>
          <w:szCs w:val="18"/>
          <w:color w:val="auto"/>
        </w:rPr>
        <w:t>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6"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76"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ind w:right="100" w:firstLine="510"/>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6"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have registered the marks “AVROBIO” and “plato” with the USPTO but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right="54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2"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left="880" w:right="38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it is possible that our pending licensed patent applications or those that we may own or license in the future will not lead to issued patents;</w:t>
      </w:r>
    </w:p>
    <w:p>
      <w:pPr>
        <w:spacing w:after="0" w:line="128" w:lineRule="exact"/>
        <w:rPr>
          <w:rFonts w:ascii="Arial" w:cs="Arial" w:eastAsia="Arial" w:hAnsi="Arial"/>
          <w:sz w:val="17"/>
          <w:szCs w:val="17"/>
          <w:color w:val="auto"/>
        </w:rPr>
      </w:pPr>
    </w:p>
    <w:p>
      <w:pPr>
        <w:ind w:left="880" w:right="44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17" w:lineRule="exact"/>
        <w:rPr>
          <w:rFonts w:ascii="Arial" w:cs="Arial" w:eastAsia="Arial" w:hAnsi="Arial"/>
          <w:sz w:val="18"/>
          <w:szCs w:val="18"/>
          <w:color w:val="auto"/>
        </w:rPr>
      </w:pPr>
    </w:p>
    <w:p>
      <w:pPr>
        <w:ind w:left="880" w:right="860" w:hanging="373"/>
        <w:spacing w:after="0" w:line="308"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880" w:right="8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stock price is likely to be volatile. Since our initial public offering, or IPO, in June 2018, through July 30, 2021, the trading price of our common stock has ranged from $7.16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80"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62"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8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8"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4"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Based on shares outstanding as of July 30, 2021, our executive officers, directors, five percent stockholders and their affiliates beneficially owned approximately 40%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3" w:name="page74"/>
    <w:bookmarkEnd w:id="73"/>
    <w:p>
      <w:pPr>
        <w:ind w:left="520" w:right="4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w:t>
      </w:r>
    </w:p>
    <w:p>
      <w:pPr>
        <w:spacing w:after="0" w:line="2" w:lineRule="exact"/>
        <w:rPr>
          <w:sz w:val="20"/>
          <w:szCs w:val="20"/>
          <w:color w:val="auto"/>
        </w:rPr>
      </w:pPr>
    </w:p>
    <w:p>
      <w:pPr>
        <w:ind w:firstLine="8"/>
        <w:spacing w:after="0" w:line="253" w:lineRule="auto"/>
        <w:tabs>
          <w:tab w:leader="none" w:pos="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84" w:lineRule="exact"/>
        <w:rPr>
          <w:rFonts w:ascii="Arial" w:cs="Arial" w:eastAsia="Arial" w:hAnsi="Arial"/>
          <w:sz w:val="18"/>
          <w:szCs w:val="18"/>
          <w:color w:val="auto"/>
        </w:rPr>
      </w:pPr>
    </w:p>
    <w:p>
      <w:pPr>
        <w:ind w:left="880" w:hanging="373"/>
        <w:spacing w:after="0"/>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7" w:lineRule="exact"/>
        <w:rPr>
          <w:rFonts w:ascii="Arial" w:cs="Arial" w:eastAsia="Arial" w:hAnsi="Arial"/>
          <w:sz w:val="18"/>
          <w:szCs w:val="18"/>
          <w:color w:val="auto"/>
        </w:rPr>
      </w:pPr>
    </w:p>
    <w:p>
      <w:pPr>
        <w:ind w:left="880" w:right="580" w:hanging="373"/>
        <w:spacing w:after="0" w:line="263"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880" w:right="240" w:hanging="373"/>
        <w:spacing w:after="0" w:line="342" w:lineRule="auto"/>
        <w:tabs>
          <w:tab w:leader="none" w:pos="8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Annual Report on Form 10-K. In particular, we have not included in this Annual Report, and do not intend to include in our 2021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92" w:lineRule="exact"/>
        <w:rPr>
          <w:sz w:val="20"/>
          <w:szCs w:val="20"/>
          <w:color w:val="auto"/>
        </w:rPr>
      </w:pPr>
    </w:p>
    <w:p>
      <w:pPr>
        <w:ind w:left="520" w:right="78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right="20" w:firstLine="510"/>
        <w:spacing w:after="0" w:line="270"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jc w:val="both"/>
        <w:ind w:left="520" w:right="4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spacing w:after="0" w:line="19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0"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b w:val="1"/>
          <w:bCs w:val="1"/>
          <w:i w:val="1"/>
          <w:iCs w:val="1"/>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28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expect to continue our efforts to improve our control processes, though there can be no assurance that our efforts will ultimately be successful or avoid potential future material weaknesses, and we expect to continue incurring additional costs as a result of these efforts. If we are unable to successfully remediate any future material weaknesses in our internal control over financial reporting,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5" w:name="page76"/>
    <w:bookmarkEnd w:id="75"/>
    <w:p>
      <w:pPr>
        <w:ind w:right="60"/>
        <w:spacing w:after="0" w:line="277" w:lineRule="auto"/>
        <w:rPr>
          <w:sz w:val="20"/>
          <w:szCs w:val="20"/>
          <w:color w:val="auto"/>
        </w:rPr>
      </w:pPr>
      <w:r>
        <w:rPr>
          <w:rFonts w:ascii="Arial" w:cs="Arial" w:eastAsia="Arial" w:hAnsi="Arial"/>
          <w:sz w:val="18"/>
          <w:szCs w:val="18"/>
          <w:color w:val="auto"/>
        </w:rPr>
        <w:t>Accordingly, because of the inherent limitations in our control system, misstatements or insufficient disclosures due to error or fraud may occur and not be detected.</w:t>
      </w:r>
    </w:p>
    <w:p>
      <w:pPr>
        <w:spacing w:after="0" w:line="278"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July 30, 2021,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shares reserved for issuance upon the exercise of stock options outstanding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69" w:lineRule="exact"/>
        <w:rPr>
          <w:sz w:val="20"/>
          <w:szCs w:val="20"/>
          <w:color w:val="auto"/>
        </w:rPr>
      </w:pPr>
    </w:p>
    <w:p>
      <w:pPr>
        <w:ind w:left="520" w:right="40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88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w:t>
      </w:r>
    </w:p>
    <w:p>
      <w:pPr>
        <w:spacing w:after="0" w:line="2" w:lineRule="exact"/>
        <w:rPr>
          <w:sz w:val="20"/>
          <w:szCs w:val="20"/>
          <w:color w:val="auto"/>
        </w:rPr>
      </w:pPr>
    </w:p>
    <w:p>
      <w:pPr>
        <w:ind w:right="20" w:firstLine="8"/>
        <w:spacing w:after="0" w:line="251"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9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The COVID-19 pandemic has caused extreme volatility and disruptions in the capital and credit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ind w:left="520" w:right="20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100"/>
          </w:cols>
          <w:pgMar w:left="320" w:top="337" w:right="479" w:bottom="1440" w:gutter="0" w:footer="0" w:header="0"/>
        </w:sect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-3175</wp:posOffset>
            </wp:positionV>
            <wp:extent cx="5740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300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111" w:lineRule="exact"/>
        <w:rPr>
          <w:sz w:val="20"/>
          <w:szCs w:val="20"/>
          <w:color w:val="auto"/>
        </w:rPr>
      </w:pPr>
    </w:p>
    <w:p>
      <w:pPr>
        <w:spacing w:after="0" w:line="277" w:lineRule="auto"/>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Fourth Amended and Restated Certificate of Incorporation of the Registrant (filed as Exhibit 3.1 to our Current Report on Form 8-K filed</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on June 25, 2018 and incorporated herein by reference).</w:t>
        </w:r>
      </w:hyperlink>
    </w:p>
    <w:p>
      <w:pPr>
        <w:spacing w:after="0" w:line="76" w:lineRule="exact"/>
        <w:rPr>
          <w:sz w:val="20"/>
          <w:szCs w:val="20"/>
          <w:color w:val="auto"/>
        </w:rPr>
      </w:pPr>
    </w:p>
    <w:p>
      <w:pPr>
        <w:ind w:right="360"/>
        <w:spacing w:after="0" w:line="277" w:lineRule="auto"/>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Certificate of Change of Registered Agent and/or Registered Office of the Registrant (filed as Exhibit 3.2 to our Quarterly Report on</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Form 10-Q filed on November 5, 2020 (File No. 001-38537) and incorporated herein by reference).</w:t>
        </w:r>
      </w:hyperlink>
    </w:p>
    <w:p>
      <w:pPr>
        <w:spacing w:after="0" w:line="76" w:lineRule="exact"/>
        <w:rPr>
          <w:sz w:val="20"/>
          <w:szCs w:val="20"/>
          <w:color w:val="auto"/>
        </w:rPr>
      </w:pPr>
    </w:p>
    <w:p>
      <w:pPr>
        <w:ind w:right="320"/>
        <w:spacing w:after="0" w:line="277"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Amended and Restated By-laws of the Registrant (filed as Exhibit 3.2 to our Current Report on Form 8-K filed on June 25, 2018 and</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incorporated herein by reference).</w:t>
        </w:r>
      </w:hyperlink>
    </w:p>
    <w:p>
      <w:pPr>
        <w:spacing w:after="0" w:line="59" w:lineRule="exact"/>
        <w:rPr>
          <w:sz w:val="20"/>
          <w:szCs w:val="20"/>
          <w:color w:val="auto"/>
        </w:rPr>
      </w:pPr>
    </w:p>
    <w:p>
      <w:pPr>
        <w:sectPr>
          <w:pgSz w:w="11900" w:h="16838" w:orient="portrait"/>
          <w:cols w:equalWidth="0" w:num="2">
            <w:col w:w="840" w:space="360"/>
            <w:col w:w="9900"/>
          </w:cols>
          <w:pgMar w:left="320" w:top="337" w:right="47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Arial" w:cs="Arial" w:eastAsia="Arial" w:hAnsi="Arial"/>
                <w:sz w:val="18"/>
                <w:szCs w:val="18"/>
                <w:color w:val="auto"/>
              </w:rPr>
              <w:t>10.1#</w:t>
            </w:r>
          </w:p>
        </w:tc>
        <w:tc>
          <w:tcPr>
            <w:tcW w:w="9320" w:type="dxa"/>
            <w:vAlign w:val="bottom"/>
            <w:tcBorders>
              <w:bottom w:val="single" w:sz="8" w:color="0000EE"/>
            </w:tcBorders>
            <w:gridSpan w:val="6"/>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Amendment to Employment Agreement, by and between the Registrant and Geoff MacKay, dated April 5, 2021 (incorporated by</w:t>
              </w:r>
            </w:hyperlink>
          </w:p>
        </w:tc>
        <w:tc>
          <w:tcPr>
            <w:tcW w:w="56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9"/>
              </w:rPr>
            </w:pPr>
            <w:hyperlink r:id="rId104">
              <w:r>
                <w:rPr>
                  <w:rFonts w:ascii="Arial" w:cs="Arial" w:eastAsia="Arial" w:hAnsi="Arial"/>
                  <w:sz w:val="18"/>
                  <w:szCs w:val="18"/>
                  <w:color w:val="0000EE"/>
                  <w:w w:val="99"/>
                </w:rPr>
                <w:t>reference to Exhibit 10.1 to our Quarterly Report on Form 10-Q filed on May 13, 2021 and incorporated herein by reference)</w:t>
              </w:r>
              <w:r>
                <w:rPr>
                  <w:rFonts w:ascii="Arial" w:cs="Arial" w:eastAsia="Arial" w:hAnsi="Arial"/>
                  <w:sz w:val="18"/>
                  <w:szCs w:val="18"/>
                  <w:u w:val="single" w:color="auto"/>
                  <w:color w:val="000000"/>
                  <w:w w:val="99"/>
                </w:rPr>
                <w:t>.</w:t>
              </w:r>
            </w:hyperlink>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10.2#</w:t>
            </w:r>
          </w:p>
        </w:tc>
        <w:tc>
          <w:tcPr>
            <w:tcW w:w="9340" w:type="dxa"/>
            <w:vAlign w:val="bottom"/>
            <w:tcBorders>
              <w:bottom w:val="single" w:sz="8" w:color="0000EE"/>
            </w:tcBorders>
            <w:gridSpan w:val="7"/>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Amendment to Employment Agreement, by and between the Registrant and Erik Ostrowski, dated April 5, 2021 (incorporated by</w:t>
              </w:r>
            </w:hyperlink>
          </w:p>
        </w:tc>
        <w:tc>
          <w:tcPr>
            <w:tcW w:w="540" w:type="dxa"/>
            <w:vAlign w:val="bottom"/>
            <w:gridSpan w:val="6"/>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9"/>
              </w:rPr>
            </w:pPr>
            <w:hyperlink r:id="rId105">
              <w:r>
                <w:rPr>
                  <w:rFonts w:ascii="Arial" w:cs="Arial" w:eastAsia="Arial" w:hAnsi="Arial"/>
                  <w:sz w:val="18"/>
                  <w:szCs w:val="18"/>
                  <w:color w:val="0000EE"/>
                  <w:w w:val="99"/>
                </w:rPr>
                <w:t>reference to Exhibit 10.2 to our Quarterly Report on Form 10-Q filed on May 13, 2021 and incorporated herein by reference)</w:t>
              </w:r>
              <w:r>
                <w:rPr>
                  <w:rFonts w:ascii="Arial" w:cs="Arial" w:eastAsia="Arial" w:hAnsi="Arial"/>
                  <w:sz w:val="18"/>
                  <w:szCs w:val="18"/>
                  <w:color w:val="000000"/>
                  <w:w w:val="99"/>
                </w:rPr>
                <w:t>.</w:t>
              </w:r>
            </w:hyperlink>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10.3#</w:t>
            </w:r>
          </w:p>
        </w:tc>
        <w:tc>
          <w:tcPr>
            <w:tcW w:w="9880" w:type="dxa"/>
            <w:vAlign w:val="bottom"/>
            <w:gridSpan w:val="13"/>
          </w:tcPr>
          <w:p>
            <w:pPr>
              <w:spacing w:after="0"/>
              <w:rPr>
                <w:rFonts w:ascii="Arial" w:cs="Arial" w:eastAsia="Arial" w:hAnsi="Arial"/>
                <w:sz w:val="18"/>
                <w:szCs w:val="18"/>
                <w:color w:val="0000EE"/>
                <w:w w:val="96"/>
              </w:rPr>
            </w:pPr>
            <w:hyperlink r:id="rId106">
              <w:r>
                <w:rPr>
                  <w:rFonts w:ascii="Arial" w:cs="Arial" w:eastAsia="Arial" w:hAnsi="Arial"/>
                  <w:sz w:val="18"/>
                  <w:szCs w:val="18"/>
                  <w:color w:val="0000EE"/>
                  <w:w w:val="96"/>
                </w:rPr>
                <w:t>Amendment to Employment Agreement, by and between the Registrant and Steven Avruch, dated April 5, 2021 (incorporated by</w:t>
              </w:r>
            </w:hyperlink>
          </w:p>
        </w:tc>
      </w:tr>
      <w:tr>
        <w:trPr>
          <w:trHeight w:val="196"/>
        </w:trPr>
        <w:tc>
          <w:tcPr>
            <w:tcW w:w="1080" w:type="dxa"/>
            <w:vAlign w:val="bottom"/>
          </w:tcPr>
          <w:p>
            <w:pPr>
              <w:spacing w:after="0"/>
              <w:rPr>
                <w:sz w:val="17"/>
                <w:szCs w:val="17"/>
                <w:color w:val="auto"/>
              </w:rPr>
            </w:pPr>
          </w:p>
        </w:tc>
        <w:tc>
          <w:tcPr>
            <w:tcW w:w="9300" w:type="dxa"/>
            <w:vAlign w:val="bottom"/>
            <w:tcBorders>
              <w:top w:val="single" w:sz="8" w:color="0000EE"/>
            </w:tcBorders>
            <w:gridSpan w:val="5"/>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reference to Exhibit 10.3 to our Quarterly Report on Form 10-Q filed on May 13, 2021 and incorporated herein by reference)</w:t>
              </w:r>
              <w:r>
                <w:rPr>
                  <w:rFonts w:ascii="Arial" w:cs="Arial" w:eastAsia="Arial" w:hAnsi="Arial"/>
                  <w:sz w:val="18"/>
                  <w:szCs w:val="18"/>
                  <w:color w:val="000000"/>
                  <w:w w:val="93"/>
                </w:rPr>
                <w:t>.</w:t>
              </w:r>
            </w:hyperlink>
          </w:p>
        </w:tc>
        <w:tc>
          <w:tcPr>
            <w:tcW w:w="580" w:type="dxa"/>
            <w:vAlign w:val="bottom"/>
            <w:gridSpan w:val="8"/>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10.4#</w:t>
            </w:r>
          </w:p>
        </w:tc>
        <w:tc>
          <w:tcPr>
            <w:tcW w:w="9640" w:type="dxa"/>
            <w:vAlign w:val="bottom"/>
            <w:tcBorders>
              <w:bottom w:val="single" w:sz="8" w:color="0000EE"/>
            </w:tcBorders>
            <w:gridSpan w:val="11"/>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Amendment to Employment Agreement, by and between the Registrant and Diana Escolar, MD, dated April 5, 2021 (incorporated by</w:t>
              </w:r>
            </w:hyperlink>
          </w:p>
        </w:tc>
        <w:tc>
          <w:tcPr>
            <w:tcW w:w="24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9"/>
              </w:rPr>
            </w:pPr>
            <w:hyperlink r:id="rId107">
              <w:r>
                <w:rPr>
                  <w:rFonts w:ascii="Arial" w:cs="Arial" w:eastAsia="Arial" w:hAnsi="Arial"/>
                  <w:sz w:val="18"/>
                  <w:szCs w:val="18"/>
                  <w:color w:val="0000EE"/>
                  <w:w w:val="99"/>
                </w:rPr>
                <w:t>reference to Exhibit 10.4 to our Quarterly Report on Form 10-Q filed on May 13, 2021 and incorporated herein by reference)</w:t>
              </w:r>
              <w:r>
                <w:rPr>
                  <w:rFonts w:ascii="Arial" w:cs="Arial" w:eastAsia="Arial" w:hAnsi="Arial"/>
                  <w:sz w:val="18"/>
                  <w:szCs w:val="18"/>
                  <w:color w:val="000000"/>
                  <w:w w:val="99"/>
                </w:rPr>
                <w:t>.</w:t>
              </w:r>
            </w:hyperlink>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10.5#</w:t>
            </w:r>
          </w:p>
        </w:tc>
        <w:tc>
          <w:tcPr>
            <w:tcW w:w="9880" w:type="dxa"/>
            <w:vAlign w:val="bottom"/>
            <w:tcBorders>
              <w:bottom w:val="single" w:sz="8" w:color="0000EE"/>
            </w:tcBorders>
            <w:gridSpan w:val="13"/>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Amendment to Employment Agreement, by and between the Registrant and Chris Mason, dated April 5, 2021 (incorporated by reference</w:t>
              </w:r>
            </w:hyperlink>
          </w:p>
        </w:tc>
      </w:tr>
      <w:tr>
        <w:trPr>
          <w:trHeight w:val="196"/>
        </w:trPr>
        <w:tc>
          <w:tcPr>
            <w:tcW w:w="10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to Exhibit 10.5 to our Quarterly Report on Form 10-Q filed on May 13, 2021 and incorporated herein by reference)</w:t>
              </w:r>
              <w:r>
                <w:rPr>
                  <w:rFonts w:ascii="Arial" w:cs="Arial" w:eastAsia="Arial" w:hAnsi="Arial"/>
                  <w:sz w:val="18"/>
                  <w:szCs w:val="18"/>
                  <w:color w:val="000000"/>
                </w:rPr>
                <w:t>.</w:t>
              </w:r>
            </w:hyperlink>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10.6#</w:t>
            </w:r>
          </w:p>
        </w:tc>
        <w:tc>
          <w:tcPr>
            <w:tcW w:w="9880" w:type="dxa"/>
            <w:vAlign w:val="bottom"/>
            <w:gridSpan w:val="13"/>
          </w:tcPr>
          <w:p>
            <w:pPr>
              <w:spacing w:after="0"/>
              <w:rPr>
                <w:rFonts w:ascii="Arial" w:cs="Arial" w:eastAsia="Arial" w:hAnsi="Arial"/>
                <w:sz w:val="18"/>
                <w:szCs w:val="18"/>
                <w:color w:val="0000EE"/>
                <w:w w:val="94"/>
              </w:rPr>
            </w:pPr>
            <w:hyperlink r:id="rId109">
              <w:r>
                <w:rPr>
                  <w:rFonts w:ascii="Arial" w:cs="Arial" w:eastAsia="Arial" w:hAnsi="Arial"/>
                  <w:sz w:val="18"/>
                  <w:szCs w:val="18"/>
                  <w:color w:val="0000EE"/>
                  <w:w w:val="94"/>
                </w:rPr>
                <w:t>Amendment to Employment Agreement, by and between the Registrant and Deanna Petersen, dated April 5, 2021 (incorporated by</w:t>
              </w:r>
            </w:hyperlink>
          </w:p>
        </w:tc>
      </w:tr>
      <w:tr>
        <w:trPr>
          <w:trHeight w:val="196"/>
        </w:trPr>
        <w:tc>
          <w:tcPr>
            <w:tcW w:w="1080" w:type="dxa"/>
            <w:vAlign w:val="bottom"/>
          </w:tcPr>
          <w:p>
            <w:pPr>
              <w:spacing w:after="0"/>
              <w:rPr>
                <w:sz w:val="17"/>
                <w:szCs w:val="17"/>
                <w:color w:val="auto"/>
              </w:rPr>
            </w:pPr>
          </w:p>
        </w:tc>
        <w:tc>
          <w:tcPr>
            <w:tcW w:w="9440" w:type="dxa"/>
            <w:vAlign w:val="bottom"/>
            <w:tcBorders>
              <w:top w:val="single" w:sz="8" w:color="0000EE"/>
            </w:tcBorders>
            <w:gridSpan w:val="8"/>
          </w:tcPr>
          <w:p>
            <w:pPr>
              <w:spacing w:after="0" w:line="196" w:lineRule="exact"/>
              <w:rPr>
                <w:rFonts w:ascii="Arial" w:cs="Arial" w:eastAsia="Arial" w:hAnsi="Arial"/>
                <w:sz w:val="18"/>
                <w:szCs w:val="18"/>
                <w:color w:val="0000EE"/>
                <w:w w:val="95"/>
              </w:rPr>
            </w:pPr>
            <w:hyperlink r:id="rId109">
              <w:r>
                <w:rPr>
                  <w:rFonts w:ascii="Arial" w:cs="Arial" w:eastAsia="Arial" w:hAnsi="Arial"/>
                  <w:sz w:val="18"/>
                  <w:szCs w:val="18"/>
                  <w:color w:val="0000EE"/>
                  <w:w w:val="95"/>
                </w:rPr>
                <w:t>reference to Exhibit 10.6 to our Quarterly Report on Form 10-Q filed on May 13, 2021 and incorporated herein by reference)</w:t>
              </w:r>
              <w:r>
                <w:rPr>
                  <w:rFonts w:ascii="Arial" w:cs="Arial" w:eastAsia="Arial" w:hAnsi="Arial"/>
                  <w:sz w:val="18"/>
                  <w:szCs w:val="18"/>
                  <w:color w:val="000000"/>
                  <w:w w:val="95"/>
                </w:rPr>
                <w:t>.</w:t>
              </w:r>
            </w:hyperlink>
          </w:p>
        </w:tc>
        <w:tc>
          <w:tcPr>
            <w:tcW w:w="440" w:type="dxa"/>
            <w:vAlign w:val="bottom"/>
            <w:gridSpan w:val="5"/>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26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Adopted Pursuant to Section 302 of the Sarbanes-Oxley Act of 2002.</w:t>
              </w:r>
            </w:hyperlink>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9880" w:type="dxa"/>
            <w:vAlign w:val="bottom"/>
            <w:gridSpan w:val="13"/>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Certification of Principal Financial Officer Pursuant to Rules 13a-14(a) and 15d-14(a) under the Securities Exchange Act of 1934, as</w:t>
              </w:r>
            </w:hyperlink>
          </w:p>
        </w:tc>
      </w:tr>
      <w:tr>
        <w:trPr>
          <w:trHeight w:val="196"/>
        </w:trPr>
        <w:tc>
          <w:tcPr>
            <w:tcW w:w="1080" w:type="dxa"/>
            <w:vAlign w:val="bottom"/>
          </w:tcPr>
          <w:p>
            <w:pPr>
              <w:spacing w:after="0"/>
              <w:rPr>
                <w:sz w:val="17"/>
                <w:szCs w:val="17"/>
                <w:color w:val="auto"/>
              </w:rPr>
            </w:pPr>
          </w:p>
        </w:tc>
        <w:tc>
          <w:tcPr>
            <w:tcW w:w="95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Adopted Pursuant to Section 302 of the Sarbanes-Oxley Act of 2002.</w:t>
              </w:r>
            </w:hyperlink>
          </w:p>
        </w:tc>
        <w:tc>
          <w:tcPr>
            <w:tcW w:w="320" w:type="dxa"/>
            <w:vAlign w:val="bottom"/>
            <w:gridSpan w:val="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32.1*</w:t>
            </w:r>
          </w:p>
        </w:tc>
        <w:tc>
          <w:tcPr>
            <w:tcW w:w="97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1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Section 906 of the Sarbanes-Oxley Act of 2002.</w:t>
              </w:r>
            </w:hyperlink>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420" w:type="dxa"/>
            <w:vAlign w:val="bottom"/>
            <w:gridSpan w:val="12"/>
          </w:tcPr>
          <w:p>
            <w:pPr>
              <w:spacing w:after="0" w:line="20" w:lineRule="exact"/>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13"/>
          </w:tcPr>
          <w:p>
            <w:pPr>
              <w:spacing w:after="0"/>
              <w:rPr>
                <w:sz w:val="20"/>
                <w:szCs w:val="20"/>
                <w:color w:val="auto"/>
              </w:rPr>
            </w:pPr>
            <w:r>
              <w:rPr>
                <w:rFonts w:ascii="Arial" w:cs="Arial" w:eastAsia="Arial" w:hAnsi="Arial"/>
                <w:sz w:val="18"/>
                <w:szCs w:val="18"/>
                <w:color w:val="auto"/>
                <w:w w:val="95"/>
              </w:rPr>
              <w:t>Interactive Data Files pursuant to Rule 405 of Regulation S-T formatted in Inline Extensible Business Reporting Language (“Inline</w:t>
            </w:r>
          </w:p>
        </w:tc>
      </w:tr>
      <w:tr>
        <w:trPr>
          <w:trHeight w:val="230"/>
        </w:trPr>
        <w:tc>
          <w:tcPr>
            <w:tcW w:w="1080" w:type="dxa"/>
            <w:vAlign w:val="bottom"/>
          </w:tcPr>
          <w:p>
            <w:pPr>
              <w:spacing w:after="0"/>
              <w:rPr>
                <w:sz w:val="20"/>
                <w:szCs w:val="20"/>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rPr>
              <w:t>XBRL”).</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200" w:right="440" w:hanging="1077"/>
        <w:spacing w:after="0" w:line="277" w:lineRule="auto"/>
        <w:tabs>
          <w:tab w:leader="none" w:pos="1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the exhibit is being furnished, not 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6769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30" w:lineRule="exact"/>
        <w:rPr>
          <w:sz w:val="20"/>
          <w:szCs w:val="20"/>
          <w:color w:val="auto"/>
        </w:rPr>
      </w:pPr>
    </w:p>
    <w:p>
      <w:pPr>
        <w:ind w:left="5540" w:right="4720" w:hanging="5532"/>
        <w:spacing w:after="0" w:line="623" w:lineRule="auto"/>
        <w:tabs>
          <w:tab w:leader="none" w:pos="25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43" w:right="1440" w:bottom="1440" w:gutter="0" w:footer="0" w:header="0"/>
        </w:sectPr>
      </w:pPr>
    </w:p>
    <w:bookmarkStart w:id="80" w:name="page81"/>
    <w:bookmarkEnd w:id="80"/>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President, Chief Executive Officer, and Principal Executive Officer</w:t>
      </w:r>
    </w:p>
    <w:p>
      <w:pPr>
        <w:spacing w:after="0" w:line="222"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Chief Financial Officer and 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320" w:top="553" w:right="39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the Quarterly Report of AVROBIO, Inc. (the “Company”) on Form 10-Q for the period ending June 30, 2021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76" w:lineRule="exact"/>
        <w:rPr>
          <w:sz w:val="20"/>
          <w:szCs w:val="20"/>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880" w:right="76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Executive Officer</w:t>
      </w:r>
    </w:p>
    <w:p>
      <w:pPr>
        <w:spacing w:after="0" w:line="251"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0"/>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lowerRoman"/>
      <w:start w:val="4"/>
    </w:lvl>
    <w:lvl w:ilvl="1">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3"/>
    </w:lvl>
  </w:abstractNum>
  <w:abstractNum w:abstractNumId="40">
    <w:nsid w:val="2A487CB0"/>
    <w:multiLevelType w:val="hybridMultilevel"/>
    <w:lvl w:ilvl="0">
      <w:lvlJc w:val="left"/>
      <w:lvlText w:val="*"/>
      <w:numFmt w:val="bullet"/>
      <w:start w:val="1"/>
    </w:lvl>
    <w:lvl w:ilvl="1">
      <w:lvlJc w:val="left"/>
      <w:lvlText w:val="%2"/>
      <w:numFmt w:val="decimal"/>
      <w:start w:val="104"/>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01" Type="http://schemas.openxmlformats.org/officeDocument/2006/relationships/hyperlink" Target="http://www.sec.gov/Archives/edgar/data/1681087/000119312518202460/d153924dex31.htm" TargetMode="External"/><Relationship Id="rId102" Type="http://schemas.openxmlformats.org/officeDocument/2006/relationships/hyperlink" Target="http://www.sec.gov/Archives/edgar/data/1681087/000156459020051456/avro-ex32_90.htm" TargetMode="External"/><Relationship Id="rId103" Type="http://schemas.openxmlformats.org/officeDocument/2006/relationships/hyperlink" Target="http://www.sec.gov/Archives/edgar/data/1681087/000119312518202460/d153924dex32.htm" TargetMode="External"/><Relationship Id="rId104" Type="http://schemas.openxmlformats.org/officeDocument/2006/relationships/hyperlink" Target="http://www.sec.gov/Archives/edgar/data/1681087/000156459021027619/avro-ex101_113.htm" TargetMode="External"/><Relationship Id="rId105" Type="http://schemas.openxmlformats.org/officeDocument/2006/relationships/hyperlink" Target="http://www.sec.gov/Archives/edgar/data/1681087/000156459021027619/avro-ex102_112.htm" TargetMode="External"/><Relationship Id="rId106" Type="http://schemas.openxmlformats.org/officeDocument/2006/relationships/hyperlink" Target="http://www.sec.gov/Archives/edgar/data/1681087/000156459021027619/avro-ex103_111.htm" TargetMode="External"/><Relationship Id="rId107" Type="http://schemas.openxmlformats.org/officeDocument/2006/relationships/hyperlink" Target="http://www.sec.gov/Archives/edgar/data/1681087/000156459021027619/avro-ex104_110.htm" TargetMode="External"/><Relationship Id="rId108" Type="http://schemas.openxmlformats.org/officeDocument/2006/relationships/hyperlink" Target="http://www.sec.gov/Archives/edgar/data/1681087/000156459021027619/avro-ex105_109.htm" TargetMode="External"/><Relationship Id="rId109" Type="http://schemas.openxmlformats.org/officeDocument/2006/relationships/hyperlink" Target="http://www.sec.gov/Archives/edgar/data/1681087/000156459021027619/avro-ex106_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2021-08-05T17:50:50Z</dcterms:created>
  <dcterms:modified xsi:type="dcterms:W3CDTF">2021-08-05T17:50:50Z</dcterms:modified>
</cp:coreProperties>
</file>