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05455M100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Robert Liptak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Clarus Ventures, LLC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101 Main Street, Suite 1210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Cambridge, MA 02142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949-2200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May 20,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13 Pages</w:t>
      </w:r>
    </w:p>
    <w:p>
      <w:pPr>
        <w:spacing w:after="0" w:line="175" w:lineRule="exact"/>
        <w:rPr>
          <w:sz w:val="20"/>
          <w:szCs w:val="20"/>
          <w:color w:val="auto"/>
        </w:rPr>
      </w:pPr>
    </w:p>
    <w:p>
      <w:pPr>
        <w:ind w:left="500" w:hanging="249"/>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Clarus Lifesciences III, L.P.</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40"/>
          </w:cols>
          <w:pgMar w:left="440" w:top="270" w:right="419" w:bottom="1440" w:gutter="0" w:footer="0" w:header="0"/>
        </w:sectPr>
      </w:pPr>
    </w:p>
    <w:bookmarkStart w:id="2" w:name="page3"/>
    <w:bookmarkEnd w:id="2"/>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13 Pages</w:t>
      </w:r>
    </w:p>
    <w:p>
      <w:pPr>
        <w:spacing w:after="0" w:line="175" w:lineRule="exact"/>
        <w:rPr>
          <w:sz w:val="20"/>
          <w:szCs w:val="20"/>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Clarus Ventures III GP, L.P.</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40"/>
          </w:cols>
          <w:pgMar w:left="440" w:top="270" w:right="419" w:bottom="1440" w:gutter="0" w:footer="0" w:header="0"/>
        </w:sectPr>
      </w:pPr>
    </w:p>
    <w:bookmarkStart w:id="3" w:name="page4"/>
    <w:bookmarkEnd w:id="3"/>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13 Pages</w:t>
      </w:r>
    </w:p>
    <w:p>
      <w:pPr>
        <w:spacing w:after="0" w:line="175" w:lineRule="exact"/>
        <w:rPr>
          <w:sz w:val="20"/>
          <w:szCs w:val="20"/>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Blackstone Clarus III L.L.C.</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40"/>
          </w:cols>
          <w:pgMar w:left="440" w:top="270" w:right="419" w:bottom="1440" w:gutter="0" w:footer="0" w:header="0"/>
        </w:sectPr>
      </w:pPr>
    </w:p>
    <w:bookmarkStart w:id="4" w:name="page5"/>
    <w:bookmarkEnd w:id="4"/>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13 Pages</w:t>
      </w:r>
    </w:p>
    <w:p>
      <w:pPr>
        <w:spacing w:after="0" w:line="175" w:lineRule="exact"/>
        <w:rPr>
          <w:sz w:val="20"/>
          <w:szCs w:val="20"/>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Blackstone Holdings II L.P.</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40"/>
          </w:cols>
          <w:pgMar w:left="440" w:top="270" w:right="419" w:bottom="1440" w:gutter="0" w:footer="0" w:header="0"/>
        </w:sectPr>
      </w:pPr>
    </w:p>
    <w:bookmarkStart w:id="5" w:name="page6"/>
    <w:bookmarkEnd w:id="5"/>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13 Pages</w:t>
      </w:r>
    </w:p>
    <w:p>
      <w:pPr>
        <w:spacing w:after="0" w:line="175" w:lineRule="exact"/>
        <w:rPr>
          <w:sz w:val="20"/>
          <w:szCs w:val="20"/>
          <w:color w:val="auto"/>
        </w:rPr>
      </w:pPr>
    </w:p>
    <w:p>
      <w:pPr>
        <w:ind w:left="500" w:hanging="249"/>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Blackstone Holdings I/II GP Inc.</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w:t>
      </w:r>
    </w:p>
    <w:p>
      <w:pPr>
        <w:sectPr>
          <w:pgSz w:w="11900" w:h="16838" w:orient="portrait"/>
          <w:cols w:equalWidth="0" w:num="1">
            <w:col w:w="11040"/>
          </w:cols>
          <w:pgMar w:left="440" w:top="270" w:right="419" w:bottom="1440" w:gutter="0" w:footer="0" w:header="0"/>
        </w:sectPr>
      </w:pPr>
    </w:p>
    <w:bookmarkStart w:id="6" w:name="page7"/>
    <w:bookmarkEnd w:id="6"/>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13 Pages</w:t>
      </w:r>
    </w:p>
    <w:p>
      <w:pPr>
        <w:spacing w:after="0" w:line="175" w:lineRule="exact"/>
        <w:rPr>
          <w:sz w:val="20"/>
          <w:szCs w:val="20"/>
          <w:color w:val="auto"/>
        </w:rPr>
      </w:pPr>
    </w:p>
    <w:p>
      <w:pPr>
        <w:ind w:left="500" w:hanging="249"/>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The Blackstone Group L.P.</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40"/>
          </w:cols>
          <w:pgMar w:left="440" w:top="270" w:right="419" w:bottom="1440" w:gutter="0" w:footer="0" w:header="0"/>
        </w:sectPr>
      </w:pPr>
    </w:p>
    <w:bookmarkStart w:id="7" w:name="page8"/>
    <w:bookmarkEnd w:id="7"/>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8 of 13 Pages</w:t>
      </w:r>
    </w:p>
    <w:p>
      <w:pPr>
        <w:spacing w:after="0" w:line="175" w:lineRule="exact"/>
        <w:rPr>
          <w:sz w:val="20"/>
          <w:szCs w:val="20"/>
          <w:color w:val="auto"/>
        </w:rPr>
      </w:pPr>
    </w:p>
    <w:p>
      <w:pPr>
        <w:ind w:left="500" w:hanging="249"/>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Blackstone Group Management L.L.C.</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40"/>
          </w:cols>
          <w:pgMar w:left="440" w:top="270" w:right="419" w:bottom="1440" w:gutter="0" w:footer="0" w:header="0"/>
        </w:sectPr>
      </w:pPr>
    </w:p>
    <w:bookmarkStart w:id="8" w:name="page9"/>
    <w:bookmarkEnd w:id="8"/>
    <w:p>
      <w:pPr>
        <w:spacing w:after="0"/>
        <w:tabs>
          <w:tab w:leader="none" w:pos="5460" w:val="left"/>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9 of 13 Pages</w:t>
      </w:r>
    </w:p>
    <w:p>
      <w:pPr>
        <w:spacing w:after="0" w:line="175" w:lineRule="exact"/>
        <w:rPr>
          <w:sz w:val="20"/>
          <w:szCs w:val="20"/>
          <w:color w:val="auto"/>
        </w:rPr>
      </w:pPr>
    </w:p>
    <w:p>
      <w:pPr>
        <w:ind w:left="500" w:hanging="249"/>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006590" cy="6148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6590" cy="6148705"/>
                    </a:xfrm>
                    <a:prstGeom prst="rect">
                      <a:avLst/>
                    </a:prstGeom>
                    <a:noFill/>
                  </pic:spPr>
                </pic:pic>
              </a:graphicData>
            </a:graphic>
          </wp:anchor>
        </w:drawing>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Stephen A. Schwarzman</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4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6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106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6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Delaware</w:t>
            </w: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5"/>
        </w:trPr>
        <w:tc>
          <w:tcPr>
            <w:tcW w:w="206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8"/>
              </w:rPr>
              <w:t>NUMBER OF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6"/>
        </w:trPr>
        <w:tc>
          <w:tcPr>
            <w:tcW w:w="20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BENEFICIALLY</w:t>
            </w:r>
          </w:p>
        </w:tc>
        <w:tc>
          <w:tcPr>
            <w:tcW w:w="380" w:type="dxa"/>
            <w:vAlign w:val="bottom"/>
          </w:tcPr>
          <w:p>
            <w:pPr>
              <w:spacing w:after="0"/>
              <w:rPr>
                <w:sz w:val="18"/>
                <w:szCs w:val="18"/>
                <w:color w:val="auto"/>
              </w:rPr>
            </w:pPr>
          </w:p>
        </w:tc>
        <w:tc>
          <w:tcPr>
            <w:tcW w:w="8580" w:type="dxa"/>
            <w:vAlign w:val="bottom"/>
            <w:vMerge w:val="restart"/>
          </w:tcPr>
          <w:p>
            <w:pPr>
              <w:ind w:left="80"/>
              <w:spacing w:after="0"/>
              <w:rPr>
                <w:sz w:val="20"/>
                <w:szCs w:val="20"/>
                <w:color w:val="auto"/>
              </w:rPr>
            </w:pPr>
            <w:r>
              <w:rPr>
                <w:rFonts w:ascii="Arial" w:cs="Arial" w:eastAsia="Arial" w:hAnsi="Arial"/>
                <w:sz w:val="22"/>
                <w:szCs w:val="22"/>
                <w:color w:val="auto"/>
              </w:rPr>
              <w:t>1,481,162 shares</w:t>
            </w: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OWNED BY EACH</w:t>
            </w:r>
          </w:p>
        </w:tc>
        <w:tc>
          <w:tcPr>
            <w:tcW w:w="38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REPORTING PERSON</w:t>
            </w:r>
          </w:p>
        </w:tc>
        <w:tc>
          <w:tcPr>
            <w:tcW w:w="380" w:type="dxa"/>
            <w:vAlign w:val="bottom"/>
          </w:tcPr>
          <w:p>
            <w:pPr>
              <w:jc w:val="right"/>
              <w:spacing w:after="0" w:line="178" w:lineRule="exact"/>
              <w:rPr>
                <w:sz w:val="20"/>
                <w:szCs w:val="20"/>
                <w:color w:val="auto"/>
              </w:rPr>
            </w:pPr>
            <w:r>
              <w:rPr>
                <w:rFonts w:ascii="Arial" w:cs="Arial" w:eastAsia="Arial" w:hAnsi="Arial"/>
                <w:sz w:val="18"/>
                <w:szCs w:val="18"/>
                <w:color w:val="auto"/>
              </w:rPr>
              <w:t>9</w:t>
            </w:r>
          </w:p>
        </w:tc>
        <w:tc>
          <w:tcPr>
            <w:tcW w:w="8580" w:type="dxa"/>
            <w:vAlign w:val="bottom"/>
          </w:tcPr>
          <w:p>
            <w:pPr>
              <w:ind w:left="80"/>
              <w:spacing w:after="0" w:line="17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80" w:type="dxa"/>
            <w:vAlign w:val="bottom"/>
          </w:tcPr>
          <w:p>
            <w:pPr>
              <w:jc w:val="center"/>
              <w:ind w:right="153"/>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8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1,481,162 shares</w:t>
      </w:r>
    </w:p>
    <w:p>
      <w:pPr>
        <w:spacing w:after="0" w:line="2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1,481,162 shares</w:t>
      </w:r>
    </w:p>
    <w:p>
      <w:pPr>
        <w:spacing w:after="0" w:line="22" w:lineRule="exact"/>
        <w:rPr>
          <w:sz w:val="20"/>
          <w:szCs w:val="20"/>
          <w:color w:val="auto"/>
        </w:rPr>
      </w:pPr>
    </w:p>
    <w:p>
      <w:pPr>
        <w:ind w:left="480" w:hanging="319"/>
        <w:spacing w:after="0" w:line="207" w:lineRule="exact"/>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480" w:hanging="319"/>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6.1%</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  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40"/>
          </w:cols>
          <w:pgMar w:left="440" w:top="270" w:right="41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Amendment No. 2 (“Amendment No. 2”) to the statement on Schedule 13D amends and supplements the initial statement on Schedule 13D originally filed by Clarus Lifesciences III, L.P. and certain other reporting persons on July 5, 2018, as amended by Amendment No. 1 thereto filed on January 15, 2019 (as amended, the “Schedule 13D”), relating to the Common Stock, par value $0.0001 per share (the “Common Stock”), of AVROBIO, Inc. (the “Issuer”). The address of the principal executive offices of the Issuer is One Kendall Square, Building 300, Suite 201, Cambridge, MA 02139.</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Certain terms used but not defined in this Amendment No. 2 have the meanings assigned thereto in the Schedule 13D. Except as specifically provided herein, this Amendment No. 2 does not modify any of the information previously reported in the Schedule 13D.</w:t>
      </w:r>
    </w:p>
    <w:p>
      <w:pPr>
        <w:spacing w:after="0" w:line="3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hereby amended and restated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117"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Clarus Lifesciences III, L.P. (the “Fund”);</w:t>
      </w:r>
    </w:p>
    <w:p>
      <w:pPr>
        <w:spacing w:after="0" w:line="225" w:lineRule="exact"/>
        <w:rPr>
          <w:rFonts w:ascii="Arial" w:cs="Arial" w:eastAsia="Arial" w:hAnsi="Arial"/>
          <w:sz w:val="18"/>
          <w:szCs w:val="18"/>
          <w:color w:val="auto"/>
        </w:rPr>
      </w:pPr>
    </w:p>
    <w:p>
      <w:pPr>
        <w:ind w:left="260" w:hanging="256"/>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Clarus Ventures III GP, L.P. (“Clarus GP”), which is the sole general partner of the Fund;</w:t>
      </w:r>
    </w:p>
    <w:p>
      <w:pPr>
        <w:spacing w:after="0" w:line="225" w:lineRule="exact"/>
        <w:rPr>
          <w:rFonts w:ascii="Arial" w:cs="Arial" w:eastAsia="Arial" w:hAnsi="Arial"/>
          <w:sz w:val="18"/>
          <w:szCs w:val="18"/>
          <w:color w:val="auto"/>
        </w:rPr>
      </w:pPr>
    </w:p>
    <w:p>
      <w:pPr>
        <w:ind w:right="60" w:firstLine="4"/>
        <w:spacing w:after="0" w:line="25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Blackstone Clarus III L.L.C., which is the sole general partner of Clarus GP, Blackstone Holdings II L.P., which is the sole member of Blackstone Clarus III L.L.C., Blackstone Holdings I/II GP Inc., which is the sole general partner of Blackstone Holdings II L.P., The Blackstone Group L.P., which is the controlling shareholder of Blackstone Holdings I/II GP Inc., and Blackstone Group Management L.L.C. (collectively, with Blackstone Clarus III L.L.C., Blackstone Holdings II L.P., Blackstone Holdings I/II GP Inc. and The Blackstone Group L.P., the “Control Entities”), which is the sole general partner of The Blackstone Group L.P. and which is wholly-owned by Blackstone’s senior managing directors and controlled by its founder, Stephen A. Schwarzman.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persons named in this Item 2 are referred to individually herein as a “Reporting Person” and collectively as the “Reporting Persons.” The Reporting Persons have entered into a Joint Filing Agreement, dated as of the date hereof, a copy of which is filed with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(which is incorporated herein by reference), pursuant to which the Reporting Persons have agreed to file this statement jointly in accordance with the provisions of Rule 13d-1(k) under the Act.</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address of the principal business office of the Fund and Clarus GP is Clarus Ventures, 101 Main Street, Suite 1210, Cambridge, MA 02142. The address of the principal business office of each of the Control Entities and Mr. Schwarzman is c/o The Blackstone Group L.P., 345 Park Avenue, New York, NY 10154.</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principal business of the Fund is to invest in and assist early-stage and/or growth-oriented businesses in healthcare and life sciences. The principal business of Clarus GP is to act as the sole general partner of the Fund.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principal business of Blackstone Clarus III L.L.C. is performing the functions of, and serving as, the general partner of Clarus GP. The principal business of Blackstone Holdings II L.P. is performing the functions of, and serving as, a managing member (or similar position) of and member or equity holder in Blackstone Clarus III L.L.C. and other affiliated Blackstone entities. The principal business of Blackstone Holdings I/II GP Inc. is performing the functions of, and serving as, the general partner (or similar position) of Blackstone Holdings II L.P. and other affiliated Blackstone entities. The principal business of The Blackstone Group L.P. is performing the functions of, and serving as, the controlling shareholder of Blackstone Holdings I/II GP, Inc., and in a similar capacity for other affiliated Blackstone entities. The principal business of Blackstone Group Management L.L.C. is performing the functions of, and serving as, the general partner of The Blackstone Group L.P. The principal occupation of Mr. Schwarzman is serving as an executive of Blackstone Group Management L.L.C.</w:t>
      </w:r>
    </w:p>
    <w:p>
      <w:pPr>
        <w:spacing w:after="0" w:line="1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980"/>
          </w:cols>
          <w:pgMar w:left="440" w:top="274" w:right="47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Fund, Clarus GP, Blackstone Holdings II L.P. and The Blackstone Group L.P. are limited partnerships organized under the laws of the State of Delaware. Blackstone Clarus III L.L.C. and Blackstone Group Management L.L.C. are limited liability companies organized under the laws of the State of Delaware. Blackstone Holdings I/II GP Inc. is a corporation organized under the laws of the State of Delaware. Mr. Schwarzman is a United States citizen.</w:t>
      </w:r>
    </w:p>
    <w:p>
      <w:pPr>
        <w:spacing w:after="0" w:line="3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31" w:lineRule="exact"/>
        <w:rPr>
          <w:sz w:val="20"/>
          <w:szCs w:val="20"/>
          <w:color w:val="auto"/>
        </w:rPr>
      </w:pPr>
    </w:p>
    <w:p>
      <w:pPr>
        <w:ind w:left="980" w:hanging="54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Fund is the record owner of 1,481,162 shares of Common Stock (the “Clarus Shares”).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Clarus GP is the sole general partner of the Fund. Blackstone Clarus III L.L.C. is the sole general partner of Clarus GP. The sole member of Blackstone Clarus III L.L.C. is Blackstone Holdings II L.P. The sole general partner of Blackstone Holdings II L.P. is Blackstone Holdings I/II GP Inc. The controlling shareholder of Blackstone Holdings I/II GP Inc. is The Blackstone Group L.P. The sole general partner of The Blackstone Group L.P. is Blackstone Group Management L.L.C. Blackstone Group Management L.L.C. is wholly-owned by Blackstone’s senior managing directors and controlled by its founder, Stephen A. Schwarzman.</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such Reporting Person may be deemed to beneficially own the Common Stock beneficially owned by the Fund, but neither the filing of this Schedule 13D nor any of its contents shall be deemed to constitute an admission that any Reporting Person (other than the Fund) is the beneficial owner of the Common Stock referred to herein for purposes of Section 13(d) of the Securities Exchange Act of 1934, as amended (the “Exchange Act”), or for any other purpose, and each of the Reporting Persons expressly disclaims beneficial ownership of such Common Stock.</w:t>
      </w:r>
    </w:p>
    <w:p>
      <w:pPr>
        <w:spacing w:after="0" w:line="17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percentage of outstanding Common Stock of the Issuer which may be deemed to be beneficially owned by each Reporting Person is set forth on Line 13 of such Reporting Person’s cover sheet and was calculated based on the 24,147,025 shares of Common Stock reported to be outstanding as of May 9, 2019 in the Issuer’s Form 10-Q filed with the Securities and Exchange Commission on May 13, 2019.</w:t>
      </w:r>
    </w:p>
    <w:p>
      <w:pPr>
        <w:spacing w:after="0" w:line="71" w:lineRule="exact"/>
        <w:rPr>
          <w:sz w:val="20"/>
          <w:szCs w:val="20"/>
          <w:color w:val="auto"/>
        </w:rPr>
      </w:pPr>
    </w:p>
    <w:p>
      <w:pPr>
        <w:ind w:left="980" w:hanging="54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130" w:lineRule="exact"/>
        <w:rPr>
          <w:rFonts w:ascii="Arial" w:cs="Arial" w:eastAsia="Arial" w:hAnsi="Arial"/>
          <w:sz w:val="18"/>
          <w:szCs w:val="18"/>
          <w:color w:val="auto"/>
        </w:rPr>
      </w:pPr>
    </w:p>
    <w:p>
      <w:pPr>
        <w:ind w:left="980" w:right="60" w:hanging="544"/>
        <w:spacing w:after="0" w:line="31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May 20, 2019, the Fund distributed 1,481,163 shares of Common Stock to its limited partners, including Clarus GP (the “Fund Distribution”). Clarus GP then distributed the 202,995 shares it received in the Fund Distribution to its limited partners. Except as set forth in this Amendment No. 2, none of the Reporting Persons has effected any transaction in the Common Stock during the last 60 days.</w:t>
      </w:r>
    </w:p>
    <w:p>
      <w:pPr>
        <w:spacing w:after="0" w:line="52" w:lineRule="exact"/>
        <w:rPr>
          <w:rFonts w:ascii="Arial" w:cs="Arial" w:eastAsia="Arial" w:hAnsi="Arial"/>
          <w:sz w:val="16"/>
          <w:szCs w:val="16"/>
          <w:color w:val="auto"/>
        </w:rPr>
      </w:pPr>
    </w:p>
    <w:p>
      <w:pPr>
        <w:ind w:left="980" w:hanging="54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person other than the Reporting Persons, or the partners, members, affiliates or shareholders of the Reporting Persons, has the right to receive or the power to direct the receipt of dividends from, or the proceeds from the sale of, the securities beneficially owned by the Reporting Persons identified in this Item 5.</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1" w:name="page12"/>
    <w:bookmarkEnd w:id="11"/>
    <w:p>
      <w:pPr>
        <w:ind w:left="50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GP,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Blackstone Clarus III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Blackstone Clarus III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BLACKSTONE CLARUS III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ectPr>
          <w:pgSz w:w="11900" w:h="16838" w:orient="portrait"/>
          <w:cols w:equalWidth="0" w:num="1">
            <w:col w:w="10460"/>
          </w:cols>
          <w:pgMar w:left="440" w:top="274"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BLACKSTONE HOLDINGS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BLACKSTONE HOLDINGS I/II GP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BLACKSTONE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Blackstone Group Management L.L.C., its general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BLACKSTONE GROUP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Stephen A. Schwarzman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3179"/>
        <w:spacing w:after="0"/>
        <w:rPr>
          <w:sz w:val="20"/>
          <w:szCs w:val="20"/>
          <w:color w:val="auto"/>
        </w:rPr>
      </w:pPr>
      <w:r>
        <w:rPr>
          <w:rFonts w:ascii="Arial" w:cs="Arial" w:eastAsia="Arial" w:hAnsi="Arial"/>
          <w:sz w:val="18"/>
          <w:szCs w:val="18"/>
          <w:color w:val="auto"/>
        </w:rPr>
        <w:t>[AVROBIO, Inc.—Schedule 13D/A]</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1"/>
      <w:numFmt w:val="decimal"/>
      <w:start w:val="12"/>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1"/>
      <w:numFmt w:val="decimal"/>
      <w:start w:val="12"/>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1"/>
      <w:numFmt w:val="decimal"/>
      <w:start w:val="12"/>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1"/>
      <w:numFmt w:val="decimal"/>
      <w:start w:val="12"/>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decimal"/>
      <w:start w:val="12"/>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1"/>
      <w:numFmt w:val="decimal"/>
      <w:start w:val="1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2019-12-02T14:26:19Z</dcterms:created>
  <dcterms:modified xsi:type="dcterms:W3CDTF">2019-12-02T14:26:19Z</dcterms:modified>
</cp:coreProperties>
</file>